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054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2026年危旧房屋和城中村改造房地产测绘评估等服务事项实施框架协议采购项目（二次）</w:t>
      </w:r>
    </w:p>
    <w:p w14:paraId="1B634CE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p>
    <w:p w14:paraId="072D5F72">
      <w:pPr>
        <w:spacing w:line="760" w:lineRule="exact"/>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36"/>
          <w:szCs w:val="36"/>
          <w:highlight w:val="none"/>
          <w:lang w:val="en-US" w:eastAsia="zh-CN"/>
        </w:rPr>
        <w:t>项目编号：ATSJYZX-CG（KJ)-2026032-1</w:t>
      </w:r>
      <w:r>
        <w:rPr>
          <w:rFonts w:hint="eastAsia" w:ascii="仿宋" w:hAnsi="仿宋" w:eastAsia="仿宋" w:cs="仿宋"/>
          <w:b/>
          <w:bCs/>
          <w:color w:val="auto"/>
          <w:sz w:val="40"/>
          <w:szCs w:val="40"/>
          <w:highlight w:val="none"/>
          <w:lang w:eastAsia="zh-CN"/>
        </w:rPr>
        <w:t xml:space="preserve"> </w:t>
      </w:r>
      <w:r>
        <w:rPr>
          <w:rFonts w:hint="eastAsia" w:ascii="仿宋" w:hAnsi="仿宋" w:eastAsia="仿宋" w:cs="仿宋"/>
          <w:b/>
          <w:bCs/>
          <w:color w:val="auto"/>
          <w:sz w:val="40"/>
          <w:szCs w:val="40"/>
          <w:highlight w:val="none"/>
          <w:lang w:val="en-US" w:eastAsia="zh-CN"/>
        </w:rPr>
        <w:t xml:space="preserve"> </w:t>
      </w:r>
    </w:p>
    <w:p w14:paraId="6DDE1256">
      <w:pPr>
        <w:pStyle w:val="25"/>
        <w:rPr>
          <w:rFonts w:hint="eastAsia" w:ascii="仿宋" w:hAnsi="仿宋" w:eastAsia="仿宋" w:cs="仿宋"/>
          <w:color w:val="auto"/>
          <w:highlight w:val="none"/>
        </w:rPr>
      </w:pPr>
    </w:p>
    <w:p w14:paraId="7C39D4A2">
      <w:pPr>
        <w:pStyle w:val="25"/>
        <w:rPr>
          <w:rFonts w:hint="eastAsia" w:ascii="仿宋" w:hAnsi="仿宋" w:eastAsia="仿宋" w:cs="仿宋"/>
          <w:color w:val="auto"/>
          <w:highlight w:val="none"/>
        </w:rPr>
      </w:pPr>
    </w:p>
    <w:p w14:paraId="0990CEF9">
      <w:pPr>
        <w:pStyle w:val="25"/>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征</w:t>
      </w:r>
    </w:p>
    <w:p w14:paraId="5EED6E08">
      <w:pPr>
        <w:pStyle w:val="25"/>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集</w:t>
      </w:r>
    </w:p>
    <w:p w14:paraId="34642F29">
      <w:pPr>
        <w:pStyle w:val="25"/>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B80EF04">
      <w:pPr>
        <w:pStyle w:val="25"/>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6BDC71A3">
      <w:pPr>
        <w:spacing w:line="7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采购单位：阿图什市住房和城乡建设局（阿图什市国有土地上房屋征收与补偿管理办公室）       </w:t>
      </w:r>
    </w:p>
    <w:p w14:paraId="27EABE9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xml:space="preserve">联 系 人: </w:t>
      </w:r>
      <w:r>
        <w:rPr>
          <w:rFonts w:hint="eastAsia" w:ascii="仿宋" w:hAnsi="仿宋" w:eastAsia="仿宋" w:cs="仿宋"/>
          <w:color w:val="auto"/>
          <w:sz w:val="32"/>
          <w:szCs w:val="32"/>
          <w:highlight w:val="none"/>
          <w:lang w:val="en-US" w:eastAsia="zh-CN"/>
        </w:rPr>
        <w:t>徐先生</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18209089665</w:t>
      </w:r>
    </w:p>
    <w:p w14:paraId="267883D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代理机构：</w:t>
      </w:r>
      <w:r>
        <w:rPr>
          <w:rFonts w:hint="eastAsia" w:ascii="仿宋" w:hAnsi="仿宋" w:eastAsia="仿宋" w:cs="仿宋"/>
          <w:color w:val="auto"/>
          <w:sz w:val="32"/>
          <w:szCs w:val="32"/>
          <w:highlight w:val="none"/>
          <w:lang w:val="en-US" w:eastAsia="zh-CN"/>
        </w:rPr>
        <w:t>新疆誉诚信工程项目管理有限责任公司</w:t>
      </w:r>
    </w:p>
    <w:p w14:paraId="7250E858">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 系 人：</w:t>
      </w:r>
      <w:r>
        <w:rPr>
          <w:rFonts w:hint="eastAsia" w:ascii="仿宋" w:hAnsi="仿宋" w:eastAsia="仿宋" w:cs="仿宋"/>
          <w:color w:val="auto"/>
          <w:sz w:val="32"/>
          <w:szCs w:val="32"/>
          <w:highlight w:val="none"/>
          <w:lang w:val="en-US" w:eastAsia="zh-CN"/>
        </w:rPr>
        <w:t xml:space="preserve">施先生        </w:t>
      </w:r>
      <w:r>
        <w:rPr>
          <w:rFonts w:hint="eastAsia" w:ascii="仿宋" w:hAnsi="仿宋" w:eastAsia="仿宋" w:cs="仿宋"/>
          <w:color w:val="auto"/>
          <w:sz w:val="32"/>
          <w:szCs w:val="32"/>
          <w:highlight w:val="none"/>
          <w:lang w:eastAsia="zh-CN"/>
        </w:rPr>
        <w:t xml:space="preserve">联系电话: </w:t>
      </w:r>
      <w:r>
        <w:rPr>
          <w:rFonts w:hint="eastAsia" w:ascii="仿宋" w:hAnsi="仿宋" w:eastAsia="仿宋" w:cs="仿宋"/>
          <w:color w:val="auto"/>
          <w:sz w:val="32"/>
          <w:szCs w:val="32"/>
          <w:highlight w:val="none"/>
          <w:lang w:val="en-US" w:eastAsia="zh-CN"/>
        </w:rPr>
        <w:t>15209085733</w:t>
      </w:r>
    </w:p>
    <w:p w14:paraId="5A2D7C66">
      <w:pPr>
        <w:pStyle w:val="27"/>
        <w:rPr>
          <w:rFonts w:hint="eastAsia" w:ascii="仿宋" w:hAnsi="仿宋" w:eastAsia="仿宋" w:cs="仿宋"/>
          <w:b/>
          <w:color w:val="auto"/>
          <w:sz w:val="36"/>
          <w:szCs w:val="36"/>
          <w:highlight w:val="none"/>
          <w:lang w:eastAsia="zh-CN"/>
        </w:rPr>
      </w:pPr>
    </w:p>
    <w:p w14:paraId="5593440F">
      <w:pPr>
        <w:ind w:firstLine="3600" w:firstLineChars="1000"/>
        <w:jc w:val="both"/>
        <w:rPr>
          <w:rFonts w:hint="eastAsia" w:ascii="仿宋" w:hAnsi="仿宋" w:eastAsia="仿宋" w:cs="仿宋"/>
          <w:b/>
          <w:color w:val="auto"/>
          <w:sz w:val="36"/>
          <w:szCs w:val="36"/>
          <w:highlight w:val="none"/>
          <w:lang w:val="en-US" w:eastAsia="zh-CN"/>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val="0"/>
          <w:bCs/>
          <w:color w:val="auto"/>
          <w:sz w:val="36"/>
          <w:szCs w:val="36"/>
          <w:highlight w:val="none"/>
          <w:lang w:val="en-US" w:eastAsia="zh-CN"/>
        </w:rPr>
        <w:t>2026年6月</w:t>
      </w:r>
    </w:p>
    <w:p w14:paraId="68F8E802">
      <w:pPr>
        <w:pStyle w:val="5"/>
        <w:spacing w:line="274" w:lineRule="auto"/>
        <w:jc w:val="center"/>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目录 </w:t>
      </w:r>
    </w:p>
    <w:p w14:paraId="7655AACD">
      <w:pPr>
        <w:spacing w:line="339" w:lineRule="exact"/>
        <w:ind w:firstLine="4336"/>
        <w:rPr>
          <w:rFonts w:hint="eastAsia" w:ascii="仿宋" w:hAnsi="仿宋" w:eastAsia="仿宋" w:cs="仿宋"/>
          <w:color w:val="auto"/>
          <w:highlight w:val="none"/>
        </w:rPr>
      </w:pPr>
    </w:p>
    <w:p w14:paraId="5E85BB50">
      <w:pPr>
        <w:pStyle w:val="5"/>
        <w:numPr>
          <w:ilvl w:val="0"/>
          <w:numId w:val="1"/>
        </w:numPr>
        <w:spacing w:before="124" w:line="215" w:lineRule="auto"/>
        <w:jc w:val="left"/>
        <w:rPr>
          <w:rFonts w:hint="eastAsia" w:ascii="仿宋" w:hAnsi="仿宋" w:eastAsia="仿宋" w:cs="仿宋"/>
          <w:color w:val="auto"/>
          <w:spacing w:val="3"/>
          <w:position w:val="1"/>
          <w:sz w:val="29"/>
          <w:szCs w:val="29"/>
          <w:highlight w:val="none"/>
        </w:rPr>
      </w:pPr>
      <w:r>
        <w:rPr>
          <w:rFonts w:hint="eastAsia" w:ascii="仿宋" w:hAnsi="仿宋" w:eastAsia="仿宋" w:cs="仿宋"/>
          <w:color w:val="auto"/>
          <w:spacing w:val="3"/>
          <w:sz w:val="29"/>
          <w:szCs w:val="29"/>
          <w:highlight w:val="none"/>
        </w:rPr>
        <w:t>征集公告 .</w:t>
      </w:r>
      <w:r>
        <w:rPr>
          <w:rFonts w:hint="eastAsia" w:ascii="仿宋" w:hAnsi="仿宋" w:eastAsia="仿宋" w:cs="仿宋"/>
          <w:color w:val="auto"/>
          <w:spacing w:val="3"/>
          <w:position w:val="2"/>
          <w:sz w:val="29"/>
          <w:szCs w:val="29"/>
          <w:highlight w:val="none"/>
        </w:rPr>
        <w:t>...............................................................</w:t>
      </w:r>
    </w:p>
    <w:p w14:paraId="34B988CF">
      <w:pPr>
        <w:pStyle w:val="5"/>
        <w:numPr>
          <w:ilvl w:val="0"/>
          <w:numId w:val="0"/>
        </w:numPr>
        <w:spacing w:before="124"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第二部分</w:t>
      </w:r>
      <w:r>
        <w:rPr>
          <w:rFonts w:hint="eastAsia" w:ascii="仿宋" w:hAnsi="仿宋" w:eastAsia="仿宋" w:cs="仿宋"/>
          <w:color w:val="auto"/>
          <w:spacing w:val="58"/>
          <w:sz w:val="29"/>
          <w:szCs w:val="29"/>
          <w:highlight w:val="none"/>
        </w:rPr>
        <w:t xml:space="preserve"> </w:t>
      </w:r>
      <w:r>
        <w:rPr>
          <w:rFonts w:hint="eastAsia" w:ascii="仿宋" w:hAnsi="仿宋" w:eastAsia="仿宋" w:cs="仿宋"/>
          <w:color w:val="auto"/>
          <w:spacing w:val="3"/>
          <w:sz w:val="29"/>
          <w:szCs w:val="29"/>
          <w:highlight w:val="none"/>
        </w:rPr>
        <w:t>供应商须知</w:t>
      </w:r>
      <w:r>
        <w:rPr>
          <w:rFonts w:hint="eastAsia" w:ascii="仿宋" w:hAnsi="仿宋" w:eastAsia="仿宋" w:cs="仿宋"/>
          <w:color w:val="auto"/>
          <w:spacing w:val="47"/>
          <w:sz w:val="29"/>
          <w:szCs w:val="29"/>
          <w:highlight w:val="none"/>
        </w:rPr>
        <w:t xml:space="preserve"> </w:t>
      </w:r>
      <w:r>
        <w:rPr>
          <w:rFonts w:hint="eastAsia" w:ascii="仿宋" w:hAnsi="仿宋" w:eastAsia="仿宋" w:cs="仿宋"/>
          <w:color w:val="auto"/>
          <w:spacing w:val="3"/>
          <w:position w:val="2"/>
          <w:sz w:val="29"/>
          <w:szCs w:val="29"/>
          <w:highlight w:val="none"/>
        </w:rPr>
        <w:t>................................................................</w:t>
      </w:r>
    </w:p>
    <w:p w14:paraId="0E7DBFED">
      <w:pPr>
        <w:pStyle w:val="5"/>
        <w:spacing w:before="331"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第三部分</w:t>
      </w:r>
      <w:r>
        <w:rPr>
          <w:rFonts w:hint="eastAsia" w:ascii="仿宋" w:hAnsi="仿宋" w:eastAsia="仿宋" w:cs="仿宋"/>
          <w:color w:val="auto"/>
          <w:spacing w:val="62"/>
          <w:sz w:val="29"/>
          <w:szCs w:val="29"/>
          <w:highlight w:val="none"/>
        </w:rPr>
        <w:t xml:space="preserve"> </w:t>
      </w:r>
      <w:r>
        <w:rPr>
          <w:rFonts w:hint="eastAsia" w:ascii="仿宋" w:hAnsi="仿宋" w:eastAsia="仿宋" w:cs="仿宋"/>
          <w:color w:val="auto"/>
          <w:spacing w:val="3"/>
          <w:sz w:val="29"/>
          <w:szCs w:val="29"/>
          <w:highlight w:val="none"/>
        </w:rPr>
        <w:t xml:space="preserve">采购需求 </w:t>
      </w:r>
      <w:r>
        <w:rPr>
          <w:rFonts w:hint="eastAsia" w:ascii="仿宋" w:hAnsi="仿宋" w:eastAsia="仿宋" w:cs="仿宋"/>
          <w:color w:val="auto"/>
          <w:spacing w:val="3"/>
          <w:position w:val="2"/>
          <w:sz w:val="29"/>
          <w:szCs w:val="29"/>
          <w:highlight w:val="none"/>
        </w:rPr>
        <w:t>...............................................................</w:t>
      </w:r>
    </w:p>
    <w:p w14:paraId="16545A6E">
      <w:pPr>
        <w:pStyle w:val="5"/>
        <w:spacing w:before="330"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第四部分</w:t>
      </w:r>
      <w:r>
        <w:rPr>
          <w:rFonts w:hint="eastAsia" w:ascii="仿宋" w:hAnsi="仿宋" w:eastAsia="仿宋" w:cs="仿宋"/>
          <w:color w:val="auto"/>
          <w:spacing w:val="65"/>
          <w:sz w:val="29"/>
          <w:szCs w:val="29"/>
          <w:highlight w:val="none"/>
        </w:rPr>
        <w:t xml:space="preserve"> </w:t>
      </w:r>
      <w:r>
        <w:rPr>
          <w:rFonts w:hint="eastAsia" w:ascii="仿宋" w:hAnsi="仿宋" w:eastAsia="仿宋" w:cs="仿宋"/>
          <w:color w:val="auto"/>
          <w:spacing w:val="3"/>
          <w:sz w:val="29"/>
          <w:szCs w:val="29"/>
          <w:highlight w:val="none"/>
        </w:rPr>
        <w:t xml:space="preserve">评标办法 </w:t>
      </w:r>
      <w:r>
        <w:rPr>
          <w:rFonts w:hint="eastAsia" w:ascii="仿宋" w:hAnsi="仿宋" w:eastAsia="仿宋" w:cs="仿宋"/>
          <w:color w:val="auto"/>
          <w:spacing w:val="3"/>
          <w:position w:val="1"/>
          <w:sz w:val="29"/>
          <w:szCs w:val="29"/>
          <w:highlight w:val="none"/>
        </w:rPr>
        <w:t>...............................................................</w:t>
      </w:r>
    </w:p>
    <w:p w14:paraId="545E969A">
      <w:pPr>
        <w:pStyle w:val="5"/>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第五部分</w:t>
      </w:r>
      <w:r>
        <w:rPr>
          <w:rFonts w:hint="eastAsia" w:ascii="仿宋" w:hAnsi="仿宋" w:eastAsia="仿宋" w:cs="仿宋"/>
          <w:color w:val="auto"/>
          <w:spacing w:val="26"/>
          <w:sz w:val="32"/>
          <w:szCs w:val="32"/>
          <w:highlight w:val="none"/>
        </w:rPr>
        <w:t xml:space="preserve"> </w:t>
      </w:r>
      <w:r>
        <w:rPr>
          <w:rFonts w:hint="eastAsia" w:ascii="仿宋" w:hAnsi="仿宋" w:eastAsia="仿宋" w:cs="仿宋"/>
          <w:color w:val="auto"/>
          <w:spacing w:val="2"/>
          <w:sz w:val="32"/>
          <w:szCs w:val="32"/>
          <w:highlight w:val="none"/>
        </w:rPr>
        <w:t>框架协议(</w:t>
      </w:r>
      <w:r>
        <w:rPr>
          <w:rFonts w:hint="eastAsia" w:ascii="仿宋" w:hAnsi="仿宋" w:eastAsia="仿宋" w:cs="仿宋"/>
          <w:color w:val="auto"/>
          <w:spacing w:val="2"/>
          <w:sz w:val="32"/>
          <w:szCs w:val="32"/>
          <w:highlight w:val="none"/>
          <w:lang w:val="en-US" w:eastAsia="zh-CN"/>
        </w:rPr>
        <w:t>参考</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42"/>
          <w:sz w:val="32"/>
          <w:szCs w:val="32"/>
          <w:highlight w:val="none"/>
        </w:rPr>
        <w:t xml:space="preserve">  </w:t>
      </w:r>
      <w:r>
        <w:rPr>
          <w:rFonts w:hint="eastAsia" w:ascii="仿宋" w:hAnsi="仿宋" w:eastAsia="仿宋" w:cs="仿宋"/>
          <w:color w:val="auto"/>
          <w:spacing w:val="2"/>
          <w:position w:val="1"/>
          <w:sz w:val="29"/>
          <w:szCs w:val="29"/>
          <w:highlight w:val="none"/>
        </w:rPr>
        <w:t>.........................................</w:t>
      </w:r>
      <w:r>
        <w:rPr>
          <w:rFonts w:hint="eastAsia" w:ascii="仿宋" w:hAnsi="仿宋" w:eastAsia="仿宋" w:cs="仿宋"/>
          <w:color w:val="auto"/>
          <w:spacing w:val="1"/>
          <w:position w:val="1"/>
          <w:sz w:val="29"/>
          <w:szCs w:val="29"/>
          <w:highlight w:val="none"/>
        </w:rPr>
        <w:t>......................</w:t>
      </w:r>
    </w:p>
    <w:p w14:paraId="2D3AD488">
      <w:pPr>
        <w:pStyle w:val="5"/>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 xml:space="preserve">第六部分 采购合同(格式)   </w:t>
      </w:r>
      <w:r>
        <w:rPr>
          <w:rFonts w:hint="eastAsia" w:ascii="仿宋" w:hAnsi="仿宋" w:eastAsia="仿宋" w:cs="仿宋"/>
          <w:color w:val="auto"/>
          <w:spacing w:val="2"/>
          <w:position w:val="2"/>
          <w:sz w:val="29"/>
          <w:szCs w:val="29"/>
          <w:highlight w:val="none"/>
        </w:rPr>
        <w:t>...............................................................</w:t>
      </w:r>
    </w:p>
    <w:p w14:paraId="287F48EF">
      <w:pPr>
        <w:pStyle w:val="5"/>
        <w:spacing w:line="251" w:lineRule="auto"/>
        <w:rPr>
          <w:rFonts w:hint="eastAsia" w:ascii="仿宋" w:hAnsi="仿宋" w:eastAsia="仿宋" w:cs="仿宋"/>
          <w:color w:val="auto"/>
          <w:highlight w:val="none"/>
        </w:rPr>
      </w:pPr>
    </w:p>
    <w:p w14:paraId="7CFDDE24">
      <w:pPr>
        <w:pStyle w:val="5"/>
        <w:spacing w:before="125" w:line="215" w:lineRule="auto"/>
        <w:rPr>
          <w:rFonts w:hint="eastAsia" w:ascii="仿宋" w:hAnsi="仿宋" w:eastAsia="仿宋" w:cs="仿宋"/>
          <w:color w:val="auto"/>
          <w:spacing w:val="1"/>
          <w:position w:val="1"/>
          <w:sz w:val="32"/>
          <w:szCs w:val="32"/>
          <w:highlight w:val="none"/>
          <w:lang w:val="en-US" w:eastAsia="zh-CN"/>
        </w:rPr>
        <w:sectPr>
          <w:headerReference r:id="rId7" w:type="default"/>
          <w:footerReference r:id="rId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2"/>
          <w:sz w:val="32"/>
          <w:szCs w:val="32"/>
          <w:highlight w:val="none"/>
        </w:rPr>
        <w:t xml:space="preserve">第七部分  响应文件格式 </w:t>
      </w:r>
      <w:r>
        <w:rPr>
          <w:rFonts w:hint="eastAsia" w:ascii="仿宋" w:hAnsi="仿宋" w:eastAsia="仿宋" w:cs="仿宋"/>
          <w:color w:val="auto"/>
          <w:spacing w:val="3"/>
          <w:position w:val="2"/>
          <w:sz w:val="29"/>
          <w:szCs w:val="29"/>
          <w:highlight w:val="none"/>
        </w:rPr>
        <w:t>.............................................................</w:t>
      </w:r>
      <w:r>
        <w:rPr>
          <w:rFonts w:hint="eastAsia" w:ascii="仿宋" w:hAnsi="仿宋" w:eastAsia="仿宋" w:cs="仿宋"/>
          <w:color w:val="auto"/>
          <w:spacing w:val="2"/>
          <w:position w:val="2"/>
          <w:sz w:val="29"/>
          <w:szCs w:val="29"/>
          <w:highlight w:val="none"/>
        </w:rPr>
        <w:t>.</w:t>
      </w:r>
    </w:p>
    <w:p w14:paraId="247CAE04">
      <w:pPr>
        <w:jc w:val="cente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pP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第</w:t>
      </w:r>
      <w:r>
        <w:rPr>
          <w:rFonts w:hint="eastAsia" w:ascii="仿宋" w:hAnsi="仿宋" w:eastAsia="仿宋" w:cs="仿宋"/>
          <w:color w:val="auto"/>
          <w:sz w:val="36"/>
          <w:szCs w:val="36"/>
          <w:highlight w:val="none"/>
          <w:lang w:eastAsia="zh-CN"/>
          <w14:textOutline w14:w="4358" w14:cap="sq" w14:cmpd="sng">
            <w14:solidFill>
              <w14:srgbClr w14:val="000000"/>
            </w14:solidFill>
            <w14:prstDash w14:val="solid"/>
            <w14:bevel/>
          </w14:textOutline>
        </w:rPr>
        <w:t>一</w:t>
      </w:r>
      <w: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t>部分</w:t>
      </w: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 xml:space="preserve"> 征集公告</w:t>
      </w:r>
    </w:p>
    <w:p w14:paraId="06762EFE">
      <w:pPr>
        <w:jc w:val="cente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pPr>
    </w:p>
    <w:p w14:paraId="2371F84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2026年危旧房屋和城中村改造房地产测绘评估等服务事项实施框架协议采购项目（二次）征集公告</w:t>
      </w:r>
    </w:p>
    <w:p w14:paraId="4669765C">
      <w:pPr>
        <w:pStyle w:val="5"/>
        <w:spacing w:line="301" w:lineRule="auto"/>
        <w:rPr>
          <w:rFonts w:hint="eastAsia" w:ascii="仿宋" w:hAnsi="仿宋" w:eastAsia="仿宋" w:cs="仿宋"/>
          <w:color w:val="auto"/>
          <w:sz w:val="24"/>
          <w:szCs w:val="24"/>
          <w:highlight w:val="none"/>
        </w:rPr>
      </w:pPr>
    </w:p>
    <w:p w14:paraId="1803F960">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一、征集人信息</w:t>
      </w:r>
    </w:p>
    <w:p w14:paraId="290E46EA">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征集人名称：</w:t>
      </w:r>
      <w:r>
        <w:rPr>
          <w:rFonts w:hint="eastAsia" w:ascii="仿宋" w:hAnsi="仿宋" w:eastAsia="仿宋" w:cs="仿宋"/>
          <w:color w:val="auto"/>
          <w:sz w:val="24"/>
          <w:szCs w:val="24"/>
          <w:highlight w:val="none"/>
          <w:lang w:val="en-US" w:eastAsia="zh-CN"/>
        </w:rPr>
        <w:t>新疆誉诚信工程项目管理有限责任公司</w:t>
      </w:r>
    </w:p>
    <w:p w14:paraId="1B51FA6B">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val="en-US" w:eastAsia="zh-CN"/>
        </w:rPr>
        <w:t>阿图什市友谊路81号</w:t>
      </w:r>
    </w:p>
    <w:p w14:paraId="69D13FFE">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w:t>
      </w:r>
      <w:r>
        <w:rPr>
          <w:rFonts w:hint="eastAsia" w:ascii="仿宋" w:hAnsi="仿宋" w:eastAsia="仿宋" w:cs="仿宋"/>
          <w:color w:val="auto"/>
          <w:sz w:val="24"/>
          <w:szCs w:val="24"/>
          <w:highlight w:val="none"/>
          <w:lang w:val="en-US" w:eastAsia="zh-CN"/>
        </w:rPr>
        <w:t>施先生</w:t>
      </w:r>
    </w:p>
    <w:p w14:paraId="137E02F4">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征集人联系方式：</w:t>
      </w:r>
      <w:r>
        <w:rPr>
          <w:rFonts w:hint="eastAsia" w:ascii="仿宋" w:hAnsi="仿宋" w:eastAsia="仿宋" w:cs="仿宋"/>
          <w:color w:val="auto"/>
          <w:sz w:val="24"/>
          <w:szCs w:val="24"/>
          <w:highlight w:val="none"/>
          <w:lang w:val="en-US" w:eastAsia="zh-CN"/>
        </w:rPr>
        <w:t>15209085733</w:t>
      </w:r>
    </w:p>
    <w:p w14:paraId="6B27C922">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二、采购项目信息</w:t>
      </w:r>
    </w:p>
    <w:p w14:paraId="28A1F8FC">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2026年危旧房屋和城中村改造房地产测绘评估等服务事项实施框架协议采购项目（二次）</w:t>
      </w:r>
    </w:p>
    <w:p w14:paraId="207881AC">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项目编号：ATSJYZX-CG（KJ)-2026032</w:t>
      </w:r>
      <w:r>
        <w:rPr>
          <w:rFonts w:hint="eastAsia" w:ascii="仿宋" w:hAnsi="仿宋" w:eastAsia="仿宋" w:cs="仿宋"/>
          <w:color w:val="auto"/>
          <w:sz w:val="24"/>
          <w:szCs w:val="24"/>
          <w:highlight w:val="none"/>
          <w:lang w:val="en-US" w:eastAsia="zh-CN"/>
        </w:rPr>
        <w:t>-1</w:t>
      </w:r>
    </w:p>
    <w:p w14:paraId="65FA61B0">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适用采购人或者服务对象范围：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指定采购单位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阿图什市住房和城乡建设局</w:t>
      </w:r>
    </w:p>
    <w:p w14:paraId="22947359">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7"/>
        <w:tblW w:w="4645"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1151"/>
        <w:gridCol w:w="4462"/>
        <w:gridCol w:w="1515"/>
        <w:gridCol w:w="2003"/>
      </w:tblGrid>
      <w:tr w14:paraId="27F2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630" w:type="pct"/>
            <w:shd w:val="clear" w:color="auto" w:fill="auto"/>
            <w:noWrap w:val="0"/>
            <w:tcMar>
              <w:top w:w="96" w:type="dxa"/>
              <w:left w:w="96" w:type="dxa"/>
              <w:bottom w:w="96" w:type="dxa"/>
              <w:right w:w="96" w:type="dxa"/>
            </w:tcMar>
            <w:vAlign w:val="center"/>
          </w:tcPr>
          <w:p w14:paraId="25053B24">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2442" w:type="pct"/>
            <w:shd w:val="clear" w:color="auto" w:fill="auto"/>
            <w:noWrap w:val="0"/>
            <w:tcMar>
              <w:top w:w="96" w:type="dxa"/>
              <w:left w:w="96" w:type="dxa"/>
              <w:bottom w:w="96" w:type="dxa"/>
              <w:right w:w="96" w:type="dxa"/>
            </w:tcMar>
            <w:vAlign w:val="center"/>
          </w:tcPr>
          <w:p w14:paraId="4BC2F92C">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829" w:type="pct"/>
            <w:shd w:val="clear" w:color="auto" w:fill="auto"/>
            <w:noWrap w:val="0"/>
            <w:tcMar>
              <w:top w:w="96" w:type="dxa"/>
              <w:left w:w="96" w:type="dxa"/>
              <w:bottom w:w="96" w:type="dxa"/>
              <w:right w:w="96" w:type="dxa"/>
            </w:tcMar>
            <w:vAlign w:val="center"/>
          </w:tcPr>
          <w:p w14:paraId="564BD8DD">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最高限制</w:t>
            </w:r>
          </w:p>
          <w:p w14:paraId="47ADAF8E">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w:t>
            </w:r>
          </w:p>
        </w:tc>
        <w:tc>
          <w:tcPr>
            <w:tcW w:w="1096" w:type="pct"/>
            <w:shd w:val="clear" w:color="auto" w:fill="auto"/>
            <w:noWrap w:val="0"/>
            <w:tcMar>
              <w:top w:w="96" w:type="dxa"/>
              <w:left w:w="96" w:type="dxa"/>
              <w:bottom w:w="96" w:type="dxa"/>
              <w:right w:w="96" w:type="dxa"/>
            </w:tcMar>
            <w:vAlign w:val="center"/>
          </w:tcPr>
          <w:p w14:paraId="6941FFC7">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5C82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0" w:type="pct"/>
            <w:noWrap w:val="0"/>
            <w:tcMar>
              <w:top w:w="144" w:type="dxa"/>
              <w:left w:w="96" w:type="dxa"/>
              <w:bottom w:w="144" w:type="dxa"/>
              <w:right w:w="96" w:type="dxa"/>
            </w:tcMar>
            <w:vAlign w:val="center"/>
          </w:tcPr>
          <w:p w14:paraId="284E1462">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2442" w:type="pct"/>
            <w:shd w:val="clear" w:color="auto" w:fill="auto"/>
            <w:noWrap w:val="0"/>
            <w:tcMar>
              <w:top w:w="144" w:type="dxa"/>
              <w:left w:w="96" w:type="dxa"/>
              <w:bottom w:w="144" w:type="dxa"/>
              <w:right w:w="96" w:type="dxa"/>
            </w:tcMar>
            <w:vAlign w:val="center"/>
          </w:tcPr>
          <w:p w14:paraId="520798FB">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829" w:type="pct"/>
            <w:shd w:val="clear" w:color="auto" w:fill="auto"/>
            <w:noWrap w:val="0"/>
            <w:tcMar>
              <w:top w:w="144" w:type="dxa"/>
              <w:left w:w="96" w:type="dxa"/>
              <w:bottom w:w="144" w:type="dxa"/>
              <w:right w:w="96" w:type="dxa"/>
            </w:tcMar>
            <w:vAlign w:val="center"/>
          </w:tcPr>
          <w:p w14:paraId="38701DB1">
            <w:pPr>
              <w:pStyle w:val="5"/>
              <w:spacing w:line="301" w:lineRule="auto"/>
              <w:jc w:val="center"/>
              <w:rPr>
                <w:rFonts w:hint="default" w:ascii="Arial" w:hAnsi="Arial" w:eastAsia="Arial" w:cs="Arial"/>
                <w:snapToGrid w:val="0"/>
                <w:color w:val="auto"/>
                <w:kern w:val="0"/>
                <w:sz w:val="21"/>
                <w:szCs w:val="21"/>
                <w:highlight w:val="none"/>
                <w:lang w:val="en-US" w:eastAsia="zh-CN" w:bidi="ar-SA"/>
              </w:rPr>
            </w:pPr>
            <w:r>
              <w:rPr>
                <w:color w:val="auto"/>
                <w:highlight w:val="none"/>
                <w:lang w:val="en-US" w:eastAsia="zh-CN"/>
              </w:rPr>
              <w:t>99%</w:t>
            </w:r>
          </w:p>
        </w:tc>
        <w:tc>
          <w:tcPr>
            <w:tcW w:w="1096" w:type="pct"/>
            <w:shd w:val="clear" w:color="auto" w:fill="auto"/>
            <w:noWrap w:val="0"/>
            <w:tcMar>
              <w:top w:w="144" w:type="dxa"/>
              <w:left w:w="96" w:type="dxa"/>
              <w:bottom w:w="144" w:type="dxa"/>
              <w:right w:w="96" w:type="dxa"/>
            </w:tcMar>
            <w:vAlign w:val="center"/>
          </w:tcPr>
          <w:p w14:paraId="5159F6EC">
            <w:pPr>
              <w:pStyle w:val="5"/>
              <w:spacing w:line="301" w:lineRule="auto"/>
              <w:jc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2BA9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0" w:type="pct"/>
            <w:noWrap w:val="0"/>
            <w:tcMar>
              <w:top w:w="144" w:type="dxa"/>
              <w:left w:w="96" w:type="dxa"/>
              <w:bottom w:w="144" w:type="dxa"/>
              <w:right w:w="96" w:type="dxa"/>
            </w:tcMar>
            <w:vAlign w:val="center"/>
          </w:tcPr>
          <w:p w14:paraId="78EB8582">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442" w:type="pct"/>
            <w:shd w:val="clear" w:color="auto" w:fill="auto"/>
            <w:noWrap w:val="0"/>
            <w:tcMar>
              <w:top w:w="144" w:type="dxa"/>
              <w:left w:w="96" w:type="dxa"/>
              <w:bottom w:w="144" w:type="dxa"/>
              <w:right w:w="96" w:type="dxa"/>
            </w:tcMar>
            <w:vAlign w:val="center"/>
          </w:tcPr>
          <w:p w14:paraId="6B3DDEE3">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829" w:type="pct"/>
            <w:shd w:val="clear" w:color="auto" w:fill="auto"/>
            <w:noWrap w:val="0"/>
            <w:tcMar>
              <w:top w:w="144" w:type="dxa"/>
              <w:left w:w="96" w:type="dxa"/>
              <w:bottom w:w="144" w:type="dxa"/>
              <w:right w:w="96" w:type="dxa"/>
            </w:tcMar>
            <w:vAlign w:val="center"/>
          </w:tcPr>
          <w:p w14:paraId="59B45456">
            <w:pPr>
              <w:pStyle w:val="5"/>
              <w:spacing w:line="301" w:lineRule="auto"/>
              <w:jc w:val="center"/>
              <w:rPr>
                <w:rFonts w:ascii="Arial" w:hAnsi="Arial" w:eastAsia="Arial" w:cs="Arial"/>
                <w:snapToGrid w:val="0"/>
                <w:color w:val="auto"/>
                <w:kern w:val="0"/>
                <w:sz w:val="21"/>
                <w:szCs w:val="21"/>
                <w:highlight w:val="none"/>
                <w:lang w:val="en-US" w:eastAsia="zh-CN" w:bidi="ar-SA"/>
              </w:rPr>
            </w:pPr>
            <w:r>
              <w:rPr>
                <w:color w:val="auto"/>
                <w:highlight w:val="none"/>
                <w:lang w:val="en-US" w:eastAsia="zh-CN"/>
              </w:rPr>
              <w:t>99%</w:t>
            </w:r>
          </w:p>
        </w:tc>
        <w:tc>
          <w:tcPr>
            <w:tcW w:w="1096" w:type="pct"/>
            <w:shd w:val="clear" w:color="auto" w:fill="auto"/>
            <w:noWrap w:val="0"/>
            <w:tcMar>
              <w:top w:w="144" w:type="dxa"/>
              <w:left w:w="96" w:type="dxa"/>
              <w:bottom w:w="144" w:type="dxa"/>
              <w:right w:w="96" w:type="dxa"/>
            </w:tcMar>
            <w:vAlign w:val="center"/>
          </w:tcPr>
          <w:p w14:paraId="57472B10">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5CAD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0" w:type="pct"/>
            <w:noWrap w:val="0"/>
            <w:tcMar>
              <w:top w:w="144" w:type="dxa"/>
              <w:left w:w="96" w:type="dxa"/>
              <w:bottom w:w="144" w:type="dxa"/>
              <w:right w:w="96" w:type="dxa"/>
            </w:tcMar>
            <w:vAlign w:val="center"/>
          </w:tcPr>
          <w:p w14:paraId="1B141827">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442" w:type="pct"/>
            <w:shd w:val="clear" w:color="auto" w:fill="auto"/>
            <w:noWrap w:val="0"/>
            <w:tcMar>
              <w:top w:w="144" w:type="dxa"/>
              <w:left w:w="96" w:type="dxa"/>
              <w:bottom w:w="144" w:type="dxa"/>
              <w:right w:w="96" w:type="dxa"/>
            </w:tcMar>
            <w:vAlign w:val="center"/>
          </w:tcPr>
          <w:p w14:paraId="0F78DDD2">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829" w:type="pct"/>
            <w:shd w:val="clear" w:color="auto" w:fill="auto"/>
            <w:noWrap w:val="0"/>
            <w:tcMar>
              <w:top w:w="144" w:type="dxa"/>
              <w:left w:w="96" w:type="dxa"/>
              <w:bottom w:w="144" w:type="dxa"/>
              <w:right w:w="96" w:type="dxa"/>
            </w:tcMar>
            <w:vAlign w:val="center"/>
          </w:tcPr>
          <w:p w14:paraId="337FD6C1">
            <w:pPr>
              <w:pStyle w:val="5"/>
              <w:spacing w:line="301" w:lineRule="auto"/>
              <w:jc w:val="center"/>
              <w:rPr>
                <w:rFonts w:ascii="Arial" w:hAnsi="Arial" w:eastAsia="Arial" w:cs="Arial"/>
                <w:snapToGrid w:val="0"/>
                <w:color w:val="auto"/>
                <w:kern w:val="0"/>
                <w:sz w:val="21"/>
                <w:szCs w:val="21"/>
                <w:highlight w:val="none"/>
                <w:lang w:val="en-US" w:eastAsia="zh-CN" w:bidi="ar-SA"/>
              </w:rPr>
            </w:pPr>
            <w:r>
              <w:rPr>
                <w:color w:val="auto"/>
                <w:highlight w:val="none"/>
                <w:lang w:val="en-US" w:eastAsia="zh-CN"/>
              </w:rPr>
              <w:t>99%</w:t>
            </w:r>
          </w:p>
        </w:tc>
        <w:tc>
          <w:tcPr>
            <w:tcW w:w="1096" w:type="pct"/>
            <w:shd w:val="clear" w:color="auto" w:fill="auto"/>
            <w:noWrap w:val="0"/>
            <w:tcMar>
              <w:top w:w="144" w:type="dxa"/>
              <w:left w:w="96" w:type="dxa"/>
              <w:bottom w:w="144" w:type="dxa"/>
              <w:right w:w="96" w:type="dxa"/>
            </w:tcMar>
            <w:vAlign w:val="center"/>
          </w:tcPr>
          <w:p w14:paraId="4D9A3B3D">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2064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0" w:type="pct"/>
            <w:noWrap w:val="0"/>
            <w:tcMar>
              <w:top w:w="144" w:type="dxa"/>
              <w:left w:w="96" w:type="dxa"/>
              <w:bottom w:w="144" w:type="dxa"/>
              <w:right w:w="96" w:type="dxa"/>
            </w:tcMar>
            <w:vAlign w:val="center"/>
          </w:tcPr>
          <w:p w14:paraId="72F6E062">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442" w:type="pct"/>
            <w:shd w:val="clear" w:color="auto" w:fill="auto"/>
            <w:noWrap w:val="0"/>
            <w:tcMar>
              <w:top w:w="144" w:type="dxa"/>
              <w:left w:w="96" w:type="dxa"/>
              <w:bottom w:w="144" w:type="dxa"/>
              <w:right w:w="96" w:type="dxa"/>
            </w:tcMar>
            <w:vAlign w:val="center"/>
          </w:tcPr>
          <w:p w14:paraId="4BC36B50">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829" w:type="pct"/>
            <w:shd w:val="clear" w:color="auto" w:fill="auto"/>
            <w:noWrap w:val="0"/>
            <w:tcMar>
              <w:top w:w="144" w:type="dxa"/>
              <w:left w:w="96" w:type="dxa"/>
              <w:bottom w:w="144" w:type="dxa"/>
              <w:right w:w="96" w:type="dxa"/>
            </w:tcMar>
            <w:vAlign w:val="center"/>
          </w:tcPr>
          <w:p w14:paraId="1EBAA63D">
            <w:pPr>
              <w:pStyle w:val="5"/>
              <w:spacing w:line="301" w:lineRule="auto"/>
              <w:jc w:val="center"/>
              <w:rPr>
                <w:rFonts w:ascii="Arial" w:hAnsi="Arial" w:eastAsia="Arial" w:cs="Arial"/>
                <w:snapToGrid w:val="0"/>
                <w:color w:val="auto"/>
                <w:kern w:val="0"/>
                <w:sz w:val="21"/>
                <w:szCs w:val="21"/>
                <w:highlight w:val="none"/>
                <w:lang w:val="en-US" w:eastAsia="zh-CN" w:bidi="ar-SA"/>
              </w:rPr>
            </w:pPr>
            <w:r>
              <w:rPr>
                <w:color w:val="auto"/>
                <w:highlight w:val="none"/>
                <w:lang w:val="en-US" w:eastAsia="zh-CN"/>
              </w:rPr>
              <w:t>99%</w:t>
            </w:r>
          </w:p>
        </w:tc>
        <w:tc>
          <w:tcPr>
            <w:tcW w:w="1096" w:type="pct"/>
            <w:shd w:val="clear" w:color="auto" w:fill="auto"/>
            <w:noWrap w:val="0"/>
            <w:tcMar>
              <w:top w:w="144" w:type="dxa"/>
              <w:left w:w="96" w:type="dxa"/>
              <w:bottom w:w="144" w:type="dxa"/>
              <w:right w:w="96" w:type="dxa"/>
            </w:tcMar>
            <w:vAlign w:val="center"/>
          </w:tcPr>
          <w:p w14:paraId="35BC687E">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bl>
    <w:p w14:paraId="232DF07F">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三、供应商的资格条件</w:t>
      </w:r>
    </w:p>
    <w:p w14:paraId="3AB081B4">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BE7FBB5">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2.落实政府采购政策需满足的资格要求：标项1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专门面向中小企业。</w:t>
      </w:r>
    </w:p>
    <w:p w14:paraId="613B4443">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【标项1】</w:t>
      </w:r>
    </w:p>
    <w:p w14:paraId="0CB45095">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B569E33">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6BBEEDD2">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59F02837">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7DC36E2">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p>
    <w:p w14:paraId="10BD15E1">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2CAC56AF">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56C13F15">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24E4141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03A08D80">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6F442BFA">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428DBF3A">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503394FE">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5DE4072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AB84C12">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p w14:paraId="3CF7D125">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41E6FCC">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01AFF140">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59EDA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ECE9C90">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646283E4">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四、框架协议的期限</w:t>
      </w:r>
    </w:p>
    <w:p w14:paraId="5C24232D">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5 </w:t>
      </w:r>
      <w:r>
        <w:rPr>
          <w:rFonts w:hint="eastAsia" w:ascii="仿宋" w:hAnsi="仿宋" w:eastAsia="仿宋" w:cs="仿宋"/>
          <w:color w:val="auto"/>
          <w:sz w:val="24"/>
          <w:szCs w:val="24"/>
          <w:highlight w:val="none"/>
        </w:rPr>
        <w:t>00:00:00 至 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4 </w:t>
      </w:r>
      <w:r>
        <w:rPr>
          <w:rFonts w:hint="eastAsia" w:ascii="仿宋" w:hAnsi="仿宋" w:eastAsia="仿宋" w:cs="仿宋"/>
          <w:color w:val="auto"/>
          <w:sz w:val="24"/>
          <w:szCs w:val="24"/>
          <w:highlight w:val="none"/>
        </w:rPr>
        <w:t>00:00:00</w:t>
      </w:r>
    </w:p>
    <w:p w14:paraId="56474942">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五、获取征集文件的时间、地点和方式</w:t>
      </w:r>
    </w:p>
    <w:p w14:paraId="0F2DB81A">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 ，每天上午10:00至14:00 ，下午16:00至19:30（北京时间，法定节假日除外）</w:t>
      </w:r>
    </w:p>
    <w:p w14:paraId="2CE47713">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点：政采云平台线上获取</w:t>
      </w:r>
    </w:p>
    <w:p w14:paraId="725F182C">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      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23E48D0B">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六、响应文件的提交方式、提交截止时间和地点，开启方式、时间和地点</w:t>
      </w:r>
    </w:p>
    <w:p w14:paraId="65F467F3">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（北京时间）</w:t>
      </w:r>
    </w:p>
    <w:p w14:paraId="344A2986">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响应文件提交地点（网址）：请登录政采云投标客户端投标</w:t>
      </w:r>
    </w:p>
    <w:p w14:paraId="6D86EB24">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响应文件开启时间：202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p>
    <w:p w14:paraId="10571B8C">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响应文件开启地点：政府采购云平台（www.zcygov.cn）</w:t>
      </w:r>
    </w:p>
    <w:p w14:paraId="6EBDB6AA">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七、公告期限</w:t>
      </w:r>
    </w:p>
    <w:p w14:paraId="0EF7F4F1">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BA4E15">
      <w:pPr>
        <w:pStyle w:val="5"/>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八、省级以上财政部门规定的其他事项</w:t>
      </w:r>
    </w:p>
    <w:p w14:paraId="139FD603">
      <w:pPr>
        <w:pStyle w:val="5"/>
        <w:spacing w:line="30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1.本项目实行网上投标，采用电子投标文件(供应商须使用CA 加密设备通过新疆政采云电子投标客户端制作投标文件)。若供应商参与投标，自行承担投标一切费用。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3.供应商将政采云电子交易客户端下载、安装完成后，可通过账号密码或 CA 登录客户端进行投标文件制作。在使用新疆政采云投标客户端时，建议使用WIN7+64 位及以上操作系统。</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4.供应商在开标时须使用制作加密电子投标文件所使用的 CA 锁及电脑，电脑须提前配置好浏览器 (建议使用 360 浏览器兼容版或谷歌浏览器) ，以便开标时解锁。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5.供应商对不见面开评标系统的技术操作咨询，可通过https://edu.zcygov.cn/luban/xinjiang-e-biding 自助查询，也可在政采云帮助中心 常见问题解答和操作流程讲解视频中自助查询，网址为：https://service.zcygov.cn/， “项目采购”—“操作流程-电子招投标”—“政府采购项目电子交易管理操作指南-供 应商”版面获取操作指南，同时对自助查询无法解决的问题可通过钉钉群及政采云在线客服获取服务支持。供应商钉钉群号：政采云新疆供应商服务十群：33132402、十一群： 30213207 (如已加入 1-9 群，无需重复加入，十一个群联动直播) ，钉钉工具软件具有回放功能，直播培训结束后可在钉钉群中回放观看学习。</w:t>
      </w:r>
    </w:p>
    <w:p w14:paraId="00FF5214">
      <w:pPr>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6.框架协议的期限：具体时间以每个标项签订合同为准。</w:t>
      </w:r>
    </w:p>
    <w:p w14:paraId="2B4C41E6">
      <w:pPr>
        <w:rPr>
          <w:rFonts w:hint="default" w:ascii="仿宋" w:hAnsi="仿宋" w:eastAsia="仿宋" w:cs="仿宋"/>
          <w:snapToGrid w:val="0"/>
          <w:color w:val="auto"/>
          <w:kern w:val="0"/>
          <w:sz w:val="24"/>
          <w:szCs w:val="24"/>
          <w:highlight w:val="none"/>
          <w:lang w:val="en-US" w:eastAsia="zh-CN" w:bidi="ar-SA"/>
        </w:rPr>
      </w:pPr>
    </w:p>
    <w:p w14:paraId="29D547D9">
      <w:pPr>
        <w:rPr>
          <w:rFonts w:hint="default" w:ascii="仿宋" w:hAnsi="仿宋" w:eastAsia="仿宋" w:cs="仿宋"/>
          <w:snapToGrid w:val="0"/>
          <w:color w:val="auto"/>
          <w:kern w:val="0"/>
          <w:sz w:val="24"/>
          <w:szCs w:val="24"/>
          <w:highlight w:val="none"/>
          <w:lang w:val="en-US" w:eastAsia="zh-CN" w:bidi="ar-SA"/>
        </w:rPr>
      </w:pPr>
    </w:p>
    <w:p w14:paraId="25F670B0">
      <w:pPr>
        <w:rPr>
          <w:rFonts w:hint="default" w:ascii="仿宋" w:hAnsi="仿宋" w:eastAsia="仿宋" w:cs="仿宋"/>
          <w:snapToGrid w:val="0"/>
          <w:color w:val="auto"/>
          <w:kern w:val="0"/>
          <w:sz w:val="24"/>
          <w:szCs w:val="24"/>
          <w:highlight w:val="none"/>
          <w:lang w:val="en-US" w:eastAsia="zh-CN" w:bidi="ar-SA"/>
        </w:rPr>
      </w:pPr>
    </w:p>
    <w:p w14:paraId="0CD7D812">
      <w:pPr>
        <w:rPr>
          <w:rFonts w:hint="default" w:ascii="仿宋" w:hAnsi="仿宋" w:eastAsia="仿宋" w:cs="仿宋"/>
          <w:snapToGrid w:val="0"/>
          <w:color w:val="auto"/>
          <w:kern w:val="0"/>
          <w:sz w:val="24"/>
          <w:szCs w:val="24"/>
          <w:highlight w:val="none"/>
          <w:lang w:val="en-US" w:eastAsia="zh-CN" w:bidi="ar-SA"/>
        </w:rPr>
      </w:pPr>
    </w:p>
    <w:p w14:paraId="04533BBD">
      <w:pPr>
        <w:rPr>
          <w:rFonts w:hint="default" w:ascii="仿宋" w:hAnsi="仿宋" w:eastAsia="仿宋" w:cs="仿宋"/>
          <w:snapToGrid w:val="0"/>
          <w:color w:val="auto"/>
          <w:kern w:val="0"/>
          <w:sz w:val="24"/>
          <w:szCs w:val="24"/>
          <w:highlight w:val="none"/>
          <w:lang w:val="en-US" w:eastAsia="zh-CN" w:bidi="ar-SA"/>
        </w:rPr>
      </w:pPr>
    </w:p>
    <w:p w14:paraId="5A8E2BDE">
      <w:pPr>
        <w:rPr>
          <w:rFonts w:hint="default" w:ascii="仿宋" w:hAnsi="仿宋" w:eastAsia="仿宋" w:cs="仿宋"/>
          <w:snapToGrid w:val="0"/>
          <w:color w:val="auto"/>
          <w:kern w:val="0"/>
          <w:sz w:val="24"/>
          <w:szCs w:val="24"/>
          <w:highlight w:val="none"/>
          <w:lang w:val="en-US" w:eastAsia="zh-CN" w:bidi="ar-SA"/>
        </w:rPr>
      </w:pPr>
    </w:p>
    <w:p w14:paraId="7A001E72">
      <w:pPr>
        <w:rPr>
          <w:rFonts w:hint="default" w:ascii="仿宋" w:hAnsi="仿宋" w:eastAsia="仿宋" w:cs="仿宋"/>
          <w:snapToGrid w:val="0"/>
          <w:color w:val="auto"/>
          <w:kern w:val="0"/>
          <w:sz w:val="24"/>
          <w:szCs w:val="24"/>
          <w:highlight w:val="none"/>
          <w:lang w:val="en-US" w:eastAsia="zh-CN" w:bidi="ar-SA"/>
        </w:rPr>
      </w:pPr>
    </w:p>
    <w:p w14:paraId="69CE5137">
      <w:pPr>
        <w:rPr>
          <w:rFonts w:hint="default" w:ascii="仿宋" w:hAnsi="仿宋" w:eastAsia="仿宋" w:cs="仿宋"/>
          <w:snapToGrid w:val="0"/>
          <w:color w:val="auto"/>
          <w:kern w:val="0"/>
          <w:sz w:val="24"/>
          <w:szCs w:val="24"/>
          <w:highlight w:val="none"/>
          <w:lang w:val="en-US" w:eastAsia="zh-CN" w:bidi="ar-SA"/>
        </w:rPr>
      </w:pPr>
    </w:p>
    <w:p w14:paraId="394FC97B">
      <w:pPr>
        <w:spacing w:before="163" w:line="389" w:lineRule="exact"/>
        <w:ind w:left="2977"/>
        <w:outlineLvl w:val="1"/>
        <w:rPr>
          <w:rFonts w:hint="eastAsia" w:ascii="仿宋" w:hAnsi="仿宋" w:eastAsia="仿宋" w:cs="仿宋"/>
          <w:b/>
          <w:bCs/>
          <w:color w:val="auto"/>
          <w:sz w:val="38"/>
          <w:szCs w:val="38"/>
          <w:highlight w:val="none"/>
        </w:rPr>
      </w:pPr>
      <w:r>
        <w:rPr>
          <w:rFonts w:hint="eastAsia" w:ascii="仿宋" w:hAnsi="仿宋" w:eastAsia="仿宋" w:cs="仿宋"/>
          <w:b/>
          <w:bCs/>
          <w:color w:val="auto"/>
          <w:spacing w:val="-8"/>
          <w:w w:val="96"/>
          <w:position w:val="-2"/>
          <w:sz w:val="38"/>
          <w:szCs w:val="38"/>
          <w:highlight w:val="none"/>
        </w:rPr>
        <w:t>第二部分</w:t>
      </w:r>
      <w:r>
        <w:rPr>
          <w:rFonts w:hint="eastAsia" w:ascii="仿宋" w:hAnsi="仿宋" w:eastAsia="仿宋" w:cs="仿宋"/>
          <w:b/>
          <w:bCs/>
          <w:color w:val="auto"/>
          <w:spacing w:val="44"/>
          <w:position w:val="-2"/>
          <w:sz w:val="38"/>
          <w:szCs w:val="38"/>
          <w:highlight w:val="none"/>
        </w:rPr>
        <w:t xml:space="preserve"> </w:t>
      </w:r>
      <w:r>
        <w:rPr>
          <w:rFonts w:hint="eastAsia" w:ascii="仿宋" w:hAnsi="仿宋" w:eastAsia="仿宋" w:cs="仿宋"/>
          <w:b/>
          <w:bCs/>
          <w:color w:val="auto"/>
          <w:spacing w:val="-8"/>
          <w:w w:val="96"/>
          <w:position w:val="-2"/>
          <w:sz w:val="38"/>
          <w:szCs w:val="38"/>
          <w:highlight w:val="none"/>
        </w:rPr>
        <w:t>供应商须知</w:t>
      </w:r>
    </w:p>
    <w:p w14:paraId="310E5CC7">
      <w:pPr>
        <w:spacing w:before="99" w:line="161" w:lineRule="auto"/>
        <w:ind w:left="3796"/>
        <w:rPr>
          <w:rFonts w:hint="eastAsia" w:ascii="仿宋" w:hAnsi="仿宋" w:eastAsia="仿宋" w:cs="仿宋"/>
          <w:color w:val="auto"/>
          <w:sz w:val="29"/>
          <w:szCs w:val="29"/>
          <w:highlight w:val="none"/>
        </w:rPr>
      </w:pPr>
    </w:p>
    <w:p w14:paraId="46313E54">
      <w:pPr>
        <w:spacing w:before="99" w:line="161" w:lineRule="auto"/>
        <w:ind w:left="3796"/>
        <w:rPr>
          <w:rFonts w:hint="eastAsia" w:ascii="仿宋" w:hAnsi="仿宋" w:eastAsia="仿宋" w:cs="仿宋"/>
          <w:color w:val="auto"/>
          <w:sz w:val="29"/>
          <w:szCs w:val="29"/>
          <w:highlight w:val="none"/>
        </w:rPr>
      </w:pPr>
      <w:r>
        <w:rPr>
          <w:rFonts w:hint="eastAsia" w:ascii="仿宋" w:hAnsi="仿宋" w:eastAsia="仿宋" w:cs="仿宋"/>
          <w:color w:val="auto"/>
          <w:sz w:val="29"/>
          <w:szCs w:val="29"/>
          <w:highlight w:val="none"/>
        </w:rPr>
        <w:t>供应商须知前附表</w:t>
      </w:r>
    </w:p>
    <w:p w14:paraId="5315DB5E">
      <w:pPr>
        <w:spacing w:line="135" w:lineRule="exact"/>
        <w:rPr>
          <w:rFonts w:hint="eastAsia" w:ascii="仿宋" w:hAnsi="仿宋" w:eastAsia="仿宋" w:cs="仿宋"/>
          <w:color w:val="auto"/>
          <w:sz w:val="24"/>
          <w:szCs w:val="24"/>
          <w:highlight w:val="none"/>
        </w:rPr>
      </w:pPr>
    </w:p>
    <w:tbl>
      <w:tblPr>
        <w:tblStyle w:val="21"/>
        <w:tblW w:w="1016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970"/>
        <w:gridCol w:w="7189"/>
      </w:tblGrid>
      <w:tr w14:paraId="4360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09" w:type="dxa"/>
            <w:tcBorders>
              <w:top w:val="single" w:color="000000" w:sz="6" w:space="0"/>
              <w:bottom w:val="single" w:color="000000" w:sz="4" w:space="0"/>
            </w:tcBorders>
            <w:vAlign w:val="top"/>
          </w:tcPr>
          <w:p w14:paraId="1FBFE591">
            <w:pPr>
              <w:pStyle w:val="22"/>
              <w:spacing w:before="219" w:line="227" w:lineRule="auto"/>
              <w:ind w:left="15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条款号</w:t>
            </w:r>
          </w:p>
        </w:tc>
        <w:tc>
          <w:tcPr>
            <w:tcW w:w="1970" w:type="dxa"/>
            <w:tcBorders>
              <w:top w:val="single" w:color="000000" w:sz="6" w:space="0"/>
              <w:bottom w:val="single" w:color="000000" w:sz="4" w:space="0"/>
            </w:tcBorders>
            <w:vAlign w:val="top"/>
          </w:tcPr>
          <w:p w14:paraId="7066A87B">
            <w:pPr>
              <w:pStyle w:val="22"/>
              <w:spacing w:before="219" w:line="227" w:lineRule="auto"/>
              <w:ind w:left="761"/>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内</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5"/>
                <w:sz w:val="24"/>
                <w:szCs w:val="24"/>
                <w:highlight w:val="none"/>
              </w:rPr>
              <w:t>容</w:t>
            </w:r>
          </w:p>
        </w:tc>
        <w:tc>
          <w:tcPr>
            <w:tcW w:w="7189" w:type="dxa"/>
            <w:tcBorders>
              <w:top w:val="single" w:color="000000" w:sz="6" w:space="0"/>
              <w:bottom w:val="single" w:color="000000" w:sz="4" w:space="0"/>
              <w:right w:val="single" w:color="000000" w:sz="4" w:space="0"/>
            </w:tcBorders>
            <w:vAlign w:val="top"/>
          </w:tcPr>
          <w:p w14:paraId="01BC5F7E">
            <w:pPr>
              <w:pStyle w:val="22"/>
              <w:spacing w:before="219" w:line="227" w:lineRule="auto"/>
              <w:ind w:left="272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说明及要求</w:t>
            </w:r>
          </w:p>
        </w:tc>
      </w:tr>
      <w:tr w14:paraId="5C57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009" w:type="dxa"/>
            <w:tcBorders>
              <w:top w:val="single" w:color="000000" w:sz="4" w:space="0"/>
              <w:bottom w:val="single" w:color="000000" w:sz="4" w:space="0"/>
            </w:tcBorders>
            <w:vAlign w:val="center"/>
          </w:tcPr>
          <w:p w14:paraId="2EBD73D7">
            <w:pPr>
              <w:pStyle w:val="22"/>
              <w:spacing w:before="75" w:line="189" w:lineRule="auto"/>
              <w:ind w:left="36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1</w:t>
            </w:r>
          </w:p>
        </w:tc>
        <w:tc>
          <w:tcPr>
            <w:tcW w:w="1970" w:type="dxa"/>
            <w:tcBorders>
              <w:top w:val="single" w:color="000000" w:sz="4" w:space="0"/>
              <w:bottom w:val="single" w:color="000000" w:sz="4" w:space="0"/>
            </w:tcBorders>
            <w:vAlign w:val="center"/>
          </w:tcPr>
          <w:p w14:paraId="64055EBA">
            <w:pPr>
              <w:spacing w:before="79"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499F63">
            <w:pPr>
              <w:spacing w:before="79"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38A9914">
            <w:pPr>
              <w:spacing w:before="79"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189" w:type="dxa"/>
            <w:tcBorders>
              <w:top w:val="single" w:color="000000" w:sz="4" w:space="0"/>
              <w:bottom w:val="single" w:color="000000" w:sz="4" w:space="0"/>
              <w:right w:val="single" w:color="000000" w:sz="4" w:space="0"/>
            </w:tcBorders>
            <w:vAlign w:val="top"/>
          </w:tcPr>
          <w:p w14:paraId="7CC13902">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项目名称：2026年危旧房屋和城中村改造房地产测绘评估等服务事项实施框架协议采购项目（二次）</w:t>
            </w:r>
          </w:p>
          <w:p w14:paraId="08DDB1B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标项1：2026年阿图什市危旧房屋和棚户区改造设备评估服务框架协议采购项目</w:t>
            </w:r>
          </w:p>
          <w:p w14:paraId="098073C0">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标项2：2026年阿图什市危旧房屋和棚户区改造可回收资源评估服务框架协议采购项目</w:t>
            </w:r>
          </w:p>
          <w:p w14:paraId="3B0B45DE">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标项3：2026年阿图什市危旧房屋和棚户区改造搬家转运服务框架协议采购项目</w:t>
            </w:r>
          </w:p>
          <w:p w14:paraId="2EB59032">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标项4：2026年阿图什市危旧房屋和棚户区改造资产公证服务框架协议采购项目</w:t>
            </w:r>
          </w:p>
          <w:p w14:paraId="50B96F84">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ATSJYZX-CG（KJ)-2026032</w:t>
            </w:r>
            <w:r>
              <w:rPr>
                <w:rFonts w:hint="eastAsia" w:ascii="仿宋" w:hAnsi="仿宋" w:eastAsia="仿宋" w:cs="仿宋"/>
                <w:color w:val="auto"/>
                <w:sz w:val="24"/>
                <w:szCs w:val="24"/>
                <w:highlight w:val="none"/>
                <w:lang w:val="en-US" w:eastAsia="zh-CN"/>
              </w:rPr>
              <w:t>-1</w:t>
            </w:r>
          </w:p>
          <w:p w14:paraId="3237CD1F">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采购内容：</w:t>
            </w:r>
            <w:r>
              <w:rPr>
                <w:rFonts w:hint="eastAsia" w:ascii="仿宋" w:hAnsi="仿宋" w:eastAsia="仿宋" w:cs="仿宋"/>
                <w:color w:val="auto"/>
                <w:sz w:val="24"/>
                <w:szCs w:val="24"/>
                <w:highlight w:val="none"/>
                <w:lang w:val="en-US" w:eastAsia="zh-CN"/>
              </w:rPr>
              <w:t>2026年阿图什市危旧房屋和棚户区改造设备评估、可回收资源评估、搬家转运、资产公证服务事项框架协议采购项目。(具体详见征集文件采购需求）</w:t>
            </w:r>
          </w:p>
        </w:tc>
      </w:tr>
      <w:tr w14:paraId="63A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9" w:type="dxa"/>
            <w:tcBorders>
              <w:top w:val="single" w:color="000000" w:sz="4" w:space="0"/>
              <w:bottom w:val="single" w:color="000000" w:sz="4" w:space="0"/>
            </w:tcBorders>
            <w:vAlign w:val="center"/>
          </w:tcPr>
          <w:p w14:paraId="32C0652F">
            <w:pPr>
              <w:pStyle w:val="22"/>
              <w:spacing w:before="134"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2</w:t>
            </w:r>
          </w:p>
        </w:tc>
        <w:tc>
          <w:tcPr>
            <w:tcW w:w="1970" w:type="dxa"/>
            <w:tcBorders>
              <w:top w:val="single" w:color="000000" w:sz="4" w:space="0"/>
              <w:bottom w:val="single" w:color="000000" w:sz="4" w:space="0"/>
            </w:tcBorders>
            <w:vAlign w:val="center"/>
          </w:tcPr>
          <w:p w14:paraId="7D1172B1">
            <w:pPr>
              <w:pStyle w:val="22"/>
              <w:spacing w:before="99"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采购</w:t>
            </w:r>
            <w:r>
              <w:rPr>
                <w:rFonts w:hint="eastAsia" w:ascii="仿宋" w:hAnsi="仿宋" w:eastAsia="仿宋" w:cs="仿宋"/>
                <w:color w:val="auto"/>
                <w:spacing w:val="2"/>
                <w:sz w:val="24"/>
                <w:szCs w:val="24"/>
                <w:highlight w:val="none"/>
              </w:rPr>
              <w:t>人</w:t>
            </w:r>
          </w:p>
        </w:tc>
        <w:tc>
          <w:tcPr>
            <w:tcW w:w="7189" w:type="dxa"/>
            <w:tcBorders>
              <w:top w:val="single" w:color="000000" w:sz="4" w:space="0"/>
              <w:bottom w:val="single" w:color="000000" w:sz="4" w:space="0"/>
              <w:right w:val="single" w:color="000000" w:sz="4" w:space="0"/>
            </w:tcBorders>
            <w:vAlign w:val="top"/>
          </w:tcPr>
          <w:p w14:paraId="3A8AB696">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名称：阿图什市住房和城乡建设局（阿图什市国有土地上房屋征收与补偿管理办公室）</w:t>
            </w:r>
          </w:p>
          <w:p w14:paraId="6069B3BF">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阿图什市松他克南路22号院</w:t>
            </w:r>
          </w:p>
          <w:p w14:paraId="3D2D3840">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联系人：徐</w:t>
            </w:r>
            <w:r>
              <w:rPr>
                <w:rFonts w:hint="eastAsia" w:ascii="仿宋" w:hAnsi="仿宋" w:eastAsia="仿宋" w:cs="仿宋"/>
                <w:color w:val="auto"/>
                <w:sz w:val="24"/>
                <w:szCs w:val="24"/>
                <w:highlight w:val="none"/>
                <w:lang w:val="en-US" w:eastAsia="zh-CN"/>
              </w:rPr>
              <w:t>先生</w:t>
            </w:r>
          </w:p>
          <w:p w14:paraId="0F370BD0">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联系方式：18209089665</w:t>
            </w:r>
          </w:p>
        </w:tc>
      </w:tr>
      <w:tr w14:paraId="34267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009" w:type="dxa"/>
            <w:tcBorders>
              <w:top w:val="single" w:color="000000" w:sz="4" w:space="0"/>
              <w:left w:val="single" w:color="000000" w:sz="6" w:space="0"/>
            </w:tcBorders>
            <w:vAlign w:val="center"/>
          </w:tcPr>
          <w:p w14:paraId="520C2996">
            <w:pPr>
              <w:pStyle w:val="22"/>
              <w:spacing w:before="75" w:line="189" w:lineRule="auto"/>
              <w:jc w:val="center"/>
              <w:rPr>
                <w:rFonts w:hint="default"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2.1</w:t>
            </w:r>
          </w:p>
        </w:tc>
        <w:tc>
          <w:tcPr>
            <w:tcW w:w="1970" w:type="dxa"/>
            <w:tcBorders>
              <w:top w:val="single" w:color="000000" w:sz="4" w:space="0"/>
            </w:tcBorders>
            <w:vAlign w:val="center"/>
          </w:tcPr>
          <w:p w14:paraId="607C9A17">
            <w:pPr>
              <w:pStyle w:val="22"/>
              <w:spacing w:before="74" w:line="227"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征集人</w:t>
            </w:r>
          </w:p>
        </w:tc>
        <w:tc>
          <w:tcPr>
            <w:tcW w:w="7189" w:type="dxa"/>
            <w:tcBorders>
              <w:top w:val="single" w:color="000000" w:sz="4" w:space="0"/>
              <w:right w:val="single" w:color="000000" w:sz="6" w:space="0"/>
            </w:tcBorders>
            <w:vAlign w:val="center"/>
          </w:tcPr>
          <w:p w14:paraId="16B418E0">
            <w:pPr>
              <w:pStyle w:val="5"/>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新疆誉诚信工程项目管理有限责任公司</w:t>
            </w:r>
          </w:p>
        </w:tc>
      </w:tr>
      <w:tr w14:paraId="7C06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09" w:type="dxa"/>
            <w:tcBorders>
              <w:top w:val="single" w:color="000000" w:sz="4" w:space="0"/>
              <w:left w:val="single" w:color="000000" w:sz="6" w:space="0"/>
            </w:tcBorders>
            <w:vAlign w:val="top"/>
          </w:tcPr>
          <w:p w14:paraId="717FB5CB">
            <w:pPr>
              <w:spacing w:line="364" w:lineRule="auto"/>
              <w:jc w:val="center"/>
              <w:rPr>
                <w:rFonts w:hint="eastAsia" w:ascii="仿宋" w:hAnsi="仿宋" w:eastAsia="仿宋" w:cs="仿宋"/>
                <w:color w:val="auto"/>
                <w:sz w:val="24"/>
                <w:szCs w:val="24"/>
                <w:highlight w:val="none"/>
              </w:rPr>
            </w:pPr>
          </w:p>
          <w:p w14:paraId="74F4953C">
            <w:pPr>
              <w:pStyle w:val="22"/>
              <w:spacing w:before="75"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3</w:t>
            </w:r>
          </w:p>
        </w:tc>
        <w:tc>
          <w:tcPr>
            <w:tcW w:w="1970" w:type="dxa"/>
            <w:tcBorders>
              <w:top w:val="single" w:color="000000" w:sz="4" w:space="0"/>
            </w:tcBorders>
            <w:vAlign w:val="top"/>
          </w:tcPr>
          <w:p w14:paraId="35EE1FFA">
            <w:pPr>
              <w:spacing w:line="327" w:lineRule="auto"/>
              <w:rPr>
                <w:rFonts w:hint="eastAsia" w:ascii="仿宋" w:hAnsi="仿宋" w:eastAsia="仿宋" w:cs="仿宋"/>
                <w:color w:val="auto"/>
                <w:sz w:val="24"/>
                <w:szCs w:val="24"/>
                <w:highlight w:val="none"/>
              </w:rPr>
            </w:pPr>
          </w:p>
          <w:p w14:paraId="7E3ABAA2">
            <w:pPr>
              <w:pStyle w:val="22"/>
              <w:spacing w:before="74"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采购代理机构</w:t>
            </w:r>
          </w:p>
        </w:tc>
        <w:tc>
          <w:tcPr>
            <w:tcW w:w="7189" w:type="dxa"/>
            <w:tcBorders>
              <w:top w:val="single" w:color="000000" w:sz="4" w:space="0"/>
              <w:right w:val="single" w:color="000000" w:sz="6" w:space="0"/>
            </w:tcBorders>
            <w:vAlign w:val="top"/>
          </w:tcPr>
          <w:p w14:paraId="60A952A6">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称：新疆誉诚信工程项目管理有限责任公司</w:t>
            </w:r>
          </w:p>
          <w:p w14:paraId="20B18165">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址：阿图什市友谊路81号</w:t>
            </w:r>
          </w:p>
          <w:p w14:paraId="798F7CF3">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联系人：施先生    联系方式：15209085733</w:t>
            </w:r>
          </w:p>
        </w:tc>
      </w:tr>
      <w:tr w14:paraId="2E873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09" w:type="dxa"/>
            <w:vAlign w:val="top"/>
          </w:tcPr>
          <w:p w14:paraId="7B2FD16B">
            <w:pPr>
              <w:spacing w:line="243" w:lineRule="auto"/>
              <w:jc w:val="center"/>
              <w:rPr>
                <w:rFonts w:hint="eastAsia" w:ascii="仿宋" w:hAnsi="仿宋" w:eastAsia="仿宋" w:cs="仿宋"/>
                <w:color w:val="auto"/>
                <w:sz w:val="24"/>
                <w:szCs w:val="24"/>
                <w:highlight w:val="none"/>
              </w:rPr>
            </w:pPr>
          </w:p>
          <w:p w14:paraId="0FC1A465">
            <w:pPr>
              <w:spacing w:line="243" w:lineRule="auto"/>
              <w:jc w:val="center"/>
              <w:rPr>
                <w:rFonts w:hint="eastAsia" w:ascii="仿宋" w:hAnsi="仿宋" w:eastAsia="仿宋" w:cs="仿宋"/>
                <w:color w:val="auto"/>
                <w:sz w:val="24"/>
                <w:szCs w:val="24"/>
                <w:highlight w:val="none"/>
              </w:rPr>
            </w:pPr>
          </w:p>
          <w:p w14:paraId="5126FE24">
            <w:pPr>
              <w:spacing w:line="243" w:lineRule="auto"/>
              <w:jc w:val="center"/>
              <w:rPr>
                <w:rFonts w:hint="eastAsia" w:ascii="仿宋" w:hAnsi="仿宋" w:eastAsia="仿宋" w:cs="仿宋"/>
                <w:color w:val="auto"/>
                <w:sz w:val="24"/>
                <w:szCs w:val="24"/>
                <w:highlight w:val="none"/>
              </w:rPr>
            </w:pPr>
          </w:p>
          <w:p w14:paraId="601E3919">
            <w:pPr>
              <w:spacing w:line="243" w:lineRule="auto"/>
              <w:jc w:val="center"/>
              <w:rPr>
                <w:rFonts w:hint="eastAsia" w:ascii="仿宋" w:hAnsi="仿宋" w:eastAsia="仿宋" w:cs="仿宋"/>
                <w:color w:val="auto"/>
                <w:sz w:val="24"/>
                <w:szCs w:val="24"/>
                <w:highlight w:val="none"/>
              </w:rPr>
            </w:pPr>
          </w:p>
          <w:p w14:paraId="7937B7F1">
            <w:pPr>
              <w:spacing w:line="244" w:lineRule="auto"/>
              <w:jc w:val="center"/>
              <w:rPr>
                <w:rFonts w:hint="eastAsia" w:ascii="仿宋" w:hAnsi="仿宋" w:eastAsia="仿宋" w:cs="仿宋"/>
                <w:color w:val="auto"/>
                <w:sz w:val="24"/>
                <w:szCs w:val="24"/>
                <w:highlight w:val="none"/>
              </w:rPr>
            </w:pPr>
          </w:p>
          <w:p w14:paraId="14A862E7">
            <w:pPr>
              <w:spacing w:line="244" w:lineRule="auto"/>
              <w:jc w:val="center"/>
              <w:rPr>
                <w:rFonts w:hint="eastAsia" w:ascii="仿宋" w:hAnsi="仿宋" w:eastAsia="仿宋" w:cs="仿宋"/>
                <w:color w:val="auto"/>
                <w:sz w:val="24"/>
                <w:szCs w:val="24"/>
                <w:highlight w:val="none"/>
              </w:rPr>
            </w:pPr>
          </w:p>
          <w:p w14:paraId="14DE9E87">
            <w:pPr>
              <w:spacing w:line="244" w:lineRule="auto"/>
              <w:jc w:val="center"/>
              <w:rPr>
                <w:rFonts w:hint="eastAsia" w:ascii="仿宋" w:hAnsi="仿宋" w:eastAsia="仿宋" w:cs="仿宋"/>
                <w:color w:val="auto"/>
                <w:sz w:val="24"/>
                <w:szCs w:val="24"/>
                <w:highlight w:val="none"/>
              </w:rPr>
            </w:pPr>
          </w:p>
          <w:p w14:paraId="53367759">
            <w:pPr>
              <w:pStyle w:val="22"/>
              <w:spacing w:before="75" w:line="189" w:lineRule="auto"/>
              <w:ind w:left="24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4</w:t>
            </w:r>
          </w:p>
        </w:tc>
        <w:tc>
          <w:tcPr>
            <w:tcW w:w="1970" w:type="dxa"/>
            <w:vAlign w:val="top"/>
          </w:tcPr>
          <w:p w14:paraId="02418531">
            <w:pPr>
              <w:spacing w:line="253" w:lineRule="auto"/>
              <w:rPr>
                <w:rFonts w:hint="eastAsia" w:ascii="仿宋" w:hAnsi="仿宋" w:eastAsia="仿宋" w:cs="仿宋"/>
                <w:color w:val="auto"/>
                <w:sz w:val="24"/>
                <w:szCs w:val="24"/>
                <w:highlight w:val="none"/>
              </w:rPr>
            </w:pPr>
          </w:p>
          <w:p w14:paraId="1D7C72C4">
            <w:pPr>
              <w:spacing w:line="253" w:lineRule="auto"/>
              <w:rPr>
                <w:rFonts w:hint="eastAsia" w:ascii="仿宋" w:hAnsi="仿宋" w:eastAsia="仿宋" w:cs="仿宋"/>
                <w:color w:val="auto"/>
                <w:sz w:val="24"/>
                <w:szCs w:val="24"/>
                <w:highlight w:val="none"/>
              </w:rPr>
            </w:pPr>
          </w:p>
          <w:p w14:paraId="4E118208">
            <w:pPr>
              <w:spacing w:line="253" w:lineRule="auto"/>
              <w:rPr>
                <w:rFonts w:hint="eastAsia" w:ascii="仿宋" w:hAnsi="仿宋" w:eastAsia="仿宋" w:cs="仿宋"/>
                <w:color w:val="auto"/>
                <w:sz w:val="24"/>
                <w:szCs w:val="24"/>
                <w:highlight w:val="none"/>
              </w:rPr>
            </w:pPr>
          </w:p>
          <w:p w14:paraId="4F16C2FE">
            <w:pPr>
              <w:spacing w:line="253" w:lineRule="auto"/>
              <w:rPr>
                <w:rFonts w:hint="eastAsia" w:ascii="仿宋" w:hAnsi="仿宋" w:eastAsia="仿宋" w:cs="仿宋"/>
                <w:color w:val="auto"/>
                <w:sz w:val="24"/>
                <w:szCs w:val="24"/>
                <w:highlight w:val="none"/>
              </w:rPr>
            </w:pPr>
          </w:p>
          <w:p w14:paraId="28E3577F">
            <w:pPr>
              <w:spacing w:line="253" w:lineRule="auto"/>
              <w:rPr>
                <w:rFonts w:hint="eastAsia" w:ascii="仿宋" w:hAnsi="仿宋" w:eastAsia="仿宋" w:cs="仿宋"/>
                <w:color w:val="auto"/>
                <w:sz w:val="24"/>
                <w:szCs w:val="24"/>
                <w:highlight w:val="none"/>
              </w:rPr>
            </w:pPr>
          </w:p>
          <w:p w14:paraId="17BE806E">
            <w:pPr>
              <w:spacing w:line="253" w:lineRule="auto"/>
              <w:rPr>
                <w:rFonts w:hint="eastAsia" w:ascii="仿宋" w:hAnsi="仿宋" w:eastAsia="仿宋" w:cs="仿宋"/>
                <w:color w:val="auto"/>
                <w:sz w:val="24"/>
                <w:szCs w:val="24"/>
                <w:highlight w:val="none"/>
              </w:rPr>
            </w:pPr>
          </w:p>
          <w:p w14:paraId="36119723">
            <w:pPr>
              <w:spacing w:line="254" w:lineRule="auto"/>
              <w:rPr>
                <w:rFonts w:hint="eastAsia" w:ascii="仿宋" w:hAnsi="仿宋" w:eastAsia="仿宋" w:cs="仿宋"/>
                <w:color w:val="auto"/>
                <w:sz w:val="24"/>
                <w:szCs w:val="24"/>
                <w:highlight w:val="none"/>
              </w:rPr>
            </w:pPr>
          </w:p>
          <w:p w14:paraId="6CB842DD">
            <w:pPr>
              <w:pStyle w:val="22"/>
              <w:spacing w:before="75" w:line="227"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资格要求</w:t>
            </w:r>
          </w:p>
        </w:tc>
        <w:tc>
          <w:tcPr>
            <w:tcW w:w="7189" w:type="dxa"/>
            <w:vAlign w:val="top"/>
          </w:tcPr>
          <w:p w14:paraId="6C82C678">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07694DB6">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2.落实政府采购政策需满足的资格要求：标项1、2、3、4，专门面向中小企业。</w:t>
            </w:r>
          </w:p>
          <w:p w14:paraId="5D401284">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7B400C0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标项1、标项2、标项3、标项4：</w:t>
            </w:r>
          </w:p>
          <w:p w14:paraId="67F3D72E">
            <w:pPr>
              <w:spacing w:before="80" w:line="360" w:lineRule="auto"/>
              <w:ind w:left="117" w:leftChars="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 xml:space="preserve">1）具备三证合一营业执照副本； </w:t>
            </w:r>
          </w:p>
          <w:p w14:paraId="389E7609">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2）法定代表人投标需提供法定代表人资格证明书，委托代理人投标需提供法定代表人授权</w:t>
            </w:r>
            <w:r>
              <w:rPr>
                <w:rFonts w:hint="eastAsia" w:ascii="仿宋" w:hAnsi="仿宋" w:eastAsia="仿宋" w:cs="仿宋"/>
                <w:color w:val="auto"/>
                <w:sz w:val="24"/>
                <w:szCs w:val="24"/>
                <w:highlight w:val="none"/>
                <w:lang w:val="en-US" w:eastAsia="zh-CN"/>
              </w:rPr>
              <w:t xml:space="preserve">委托书； </w:t>
            </w:r>
          </w:p>
          <w:p w14:paraId="3762CA93">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3）投标企业须提供投标人（被授权在职人员）近6个月内任意1个月社保证明； </w:t>
            </w:r>
          </w:p>
          <w:p w14:paraId="1EC2788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4）未被列入信用中国网（www.creditchina.gov.cn）及中国政府采购网(www.ccgp.gov.cn）失信被执行人名单、重大税收违法失信主体、政府采购严重违法失信行为记录名单；</w:t>
            </w:r>
          </w:p>
          <w:p w14:paraId="7725FAA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5）【标项4】投标企业须具备国家行政主管部门合法登记注册，并具备有效的公证机构执业证书。</w:t>
            </w:r>
          </w:p>
        </w:tc>
      </w:tr>
      <w:tr w14:paraId="0533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09" w:type="dxa"/>
            <w:vAlign w:val="top"/>
          </w:tcPr>
          <w:p w14:paraId="1F7F3179">
            <w:pPr>
              <w:spacing w:line="245" w:lineRule="auto"/>
              <w:jc w:val="center"/>
              <w:rPr>
                <w:rFonts w:hint="eastAsia" w:ascii="仿宋" w:hAnsi="仿宋" w:eastAsia="仿宋" w:cs="仿宋"/>
                <w:color w:val="auto"/>
                <w:sz w:val="24"/>
                <w:szCs w:val="24"/>
                <w:highlight w:val="none"/>
              </w:rPr>
            </w:pPr>
          </w:p>
          <w:p w14:paraId="7928502E">
            <w:pPr>
              <w:spacing w:line="245" w:lineRule="auto"/>
              <w:jc w:val="center"/>
              <w:rPr>
                <w:rFonts w:hint="eastAsia" w:ascii="仿宋" w:hAnsi="仿宋" w:eastAsia="仿宋" w:cs="仿宋"/>
                <w:color w:val="auto"/>
                <w:sz w:val="24"/>
                <w:szCs w:val="24"/>
                <w:highlight w:val="none"/>
              </w:rPr>
            </w:pPr>
          </w:p>
          <w:p w14:paraId="7B5FECBD">
            <w:pPr>
              <w:spacing w:line="245" w:lineRule="auto"/>
              <w:jc w:val="center"/>
              <w:rPr>
                <w:rFonts w:hint="eastAsia" w:ascii="仿宋" w:hAnsi="仿宋" w:eastAsia="仿宋" w:cs="仿宋"/>
                <w:color w:val="auto"/>
                <w:sz w:val="24"/>
                <w:szCs w:val="24"/>
                <w:highlight w:val="none"/>
              </w:rPr>
            </w:pPr>
          </w:p>
          <w:p w14:paraId="3F810918">
            <w:pPr>
              <w:spacing w:line="246" w:lineRule="auto"/>
              <w:jc w:val="center"/>
              <w:rPr>
                <w:rFonts w:hint="eastAsia" w:ascii="仿宋" w:hAnsi="仿宋" w:eastAsia="仿宋" w:cs="仿宋"/>
                <w:color w:val="auto"/>
                <w:sz w:val="24"/>
                <w:szCs w:val="24"/>
                <w:highlight w:val="none"/>
              </w:rPr>
            </w:pPr>
          </w:p>
          <w:p w14:paraId="5F289139">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31A9F127">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1AB2B7A2">
            <w:pPr>
              <w:pStyle w:val="22"/>
              <w:spacing w:before="75" w:line="189" w:lineRule="auto"/>
              <w:ind w:left="158" w:leftChars="0"/>
              <w:jc w:val="center"/>
              <w:rPr>
                <w:rFonts w:hint="eastAsia" w:ascii="仿宋" w:hAnsi="仿宋" w:eastAsia="仿宋" w:cs="仿宋"/>
                <w:color w:val="auto"/>
                <w:spacing w:val="-10"/>
                <w:sz w:val="24"/>
                <w:szCs w:val="24"/>
                <w:highlight w:val="none"/>
              </w:rPr>
            </w:pPr>
          </w:p>
          <w:p w14:paraId="04BADDC7">
            <w:pPr>
              <w:pStyle w:val="22"/>
              <w:spacing w:before="75" w:line="189" w:lineRule="auto"/>
              <w:ind w:left="158" w:leftChars="0"/>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0"/>
                <w:sz w:val="24"/>
                <w:szCs w:val="24"/>
                <w:highlight w:val="none"/>
                <w:lang w:val="en-US" w:eastAsia="zh-CN"/>
              </w:rPr>
              <w:t>5</w:t>
            </w:r>
          </w:p>
        </w:tc>
        <w:tc>
          <w:tcPr>
            <w:tcW w:w="1970" w:type="dxa"/>
            <w:vAlign w:val="top"/>
          </w:tcPr>
          <w:p w14:paraId="15F14E3F">
            <w:pPr>
              <w:spacing w:line="288" w:lineRule="auto"/>
              <w:rPr>
                <w:rFonts w:hint="eastAsia" w:ascii="仿宋" w:hAnsi="仿宋" w:eastAsia="仿宋" w:cs="仿宋"/>
                <w:color w:val="auto"/>
                <w:sz w:val="24"/>
                <w:szCs w:val="24"/>
                <w:highlight w:val="none"/>
              </w:rPr>
            </w:pPr>
          </w:p>
          <w:p w14:paraId="733E7D48">
            <w:pPr>
              <w:spacing w:line="288" w:lineRule="auto"/>
              <w:rPr>
                <w:rFonts w:hint="eastAsia" w:ascii="仿宋" w:hAnsi="仿宋" w:eastAsia="仿宋" w:cs="仿宋"/>
                <w:color w:val="auto"/>
                <w:sz w:val="24"/>
                <w:szCs w:val="24"/>
                <w:highlight w:val="none"/>
              </w:rPr>
            </w:pPr>
          </w:p>
          <w:p w14:paraId="26AEDA51">
            <w:pPr>
              <w:pStyle w:val="22"/>
              <w:spacing w:before="75" w:line="227" w:lineRule="auto"/>
              <w:ind w:left="588" w:leftChars="0"/>
              <w:rPr>
                <w:rFonts w:hint="eastAsia" w:ascii="仿宋" w:hAnsi="仿宋" w:eastAsia="仿宋" w:cs="仿宋"/>
                <w:color w:val="auto"/>
                <w:spacing w:val="5"/>
                <w:sz w:val="24"/>
                <w:szCs w:val="24"/>
                <w:highlight w:val="none"/>
              </w:rPr>
            </w:pPr>
          </w:p>
          <w:p w14:paraId="6900841A">
            <w:pPr>
              <w:pStyle w:val="22"/>
              <w:spacing w:before="75" w:line="227" w:lineRule="auto"/>
              <w:ind w:left="588" w:leftChars="0"/>
              <w:rPr>
                <w:rFonts w:hint="eastAsia" w:ascii="仿宋" w:hAnsi="仿宋" w:eastAsia="仿宋" w:cs="仿宋"/>
                <w:color w:val="auto"/>
                <w:spacing w:val="5"/>
                <w:sz w:val="24"/>
                <w:szCs w:val="24"/>
                <w:highlight w:val="none"/>
              </w:rPr>
            </w:pPr>
          </w:p>
          <w:p w14:paraId="1F18E054">
            <w:pPr>
              <w:pStyle w:val="22"/>
              <w:spacing w:before="75" w:line="227" w:lineRule="auto"/>
              <w:ind w:left="588" w:leftChars="0"/>
              <w:rPr>
                <w:rFonts w:hint="eastAsia" w:ascii="仿宋" w:hAnsi="仿宋" w:eastAsia="仿宋" w:cs="仿宋"/>
                <w:color w:val="auto"/>
                <w:spacing w:val="5"/>
                <w:sz w:val="24"/>
                <w:szCs w:val="24"/>
                <w:highlight w:val="none"/>
              </w:rPr>
            </w:pPr>
          </w:p>
          <w:p w14:paraId="1C5A1ED4">
            <w:pPr>
              <w:pStyle w:val="22"/>
              <w:spacing w:before="75" w:line="227" w:lineRule="auto"/>
              <w:ind w:left="588" w:leftChars="0"/>
              <w:rPr>
                <w:rFonts w:hint="eastAsia" w:ascii="仿宋" w:hAnsi="仿宋" w:eastAsia="仿宋" w:cs="仿宋"/>
                <w:color w:val="auto"/>
                <w:spacing w:val="5"/>
                <w:sz w:val="24"/>
                <w:szCs w:val="24"/>
                <w:highlight w:val="none"/>
              </w:rPr>
            </w:pPr>
          </w:p>
          <w:p w14:paraId="2B751465">
            <w:pPr>
              <w:pStyle w:val="22"/>
              <w:spacing w:before="75" w:line="227" w:lineRule="auto"/>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信用查询</w:t>
            </w:r>
          </w:p>
        </w:tc>
        <w:tc>
          <w:tcPr>
            <w:tcW w:w="7189" w:type="dxa"/>
            <w:vAlign w:val="top"/>
          </w:tcPr>
          <w:p w14:paraId="12FBE4AA">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查询渠道：</w:t>
            </w:r>
          </w:p>
          <w:p w14:paraId="09927983">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1、信用中国（网址：http://www.creditchina.gov.cn）、中国政府采购网(网址：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http://www.ccgp.gov.cn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xml:space="preserve">）。 </w:t>
            </w:r>
          </w:p>
          <w:p w14:paraId="592846D1">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13EE10D9">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3、信用信息查询记录和证据留存的具体方式：由采购组织机构在规定查询时间内打印信用信息查询记录并归入项目档案。 </w:t>
            </w:r>
          </w:p>
          <w:p w14:paraId="76E7F1DC">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8B4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09" w:type="dxa"/>
            <w:vAlign w:val="top"/>
          </w:tcPr>
          <w:p w14:paraId="2E519DA3">
            <w:pPr>
              <w:spacing w:line="318" w:lineRule="auto"/>
              <w:jc w:val="center"/>
              <w:rPr>
                <w:rFonts w:hint="eastAsia" w:ascii="仿宋" w:hAnsi="仿宋" w:eastAsia="仿宋" w:cs="仿宋"/>
                <w:color w:val="auto"/>
                <w:sz w:val="24"/>
                <w:szCs w:val="24"/>
                <w:highlight w:val="none"/>
              </w:rPr>
            </w:pPr>
          </w:p>
          <w:p w14:paraId="45E63BE1">
            <w:pPr>
              <w:pStyle w:val="22"/>
              <w:spacing w:before="75"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6</w:t>
            </w:r>
          </w:p>
        </w:tc>
        <w:tc>
          <w:tcPr>
            <w:tcW w:w="1970" w:type="dxa"/>
            <w:vAlign w:val="top"/>
          </w:tcPr>
          <w:p w14:paraId="681AE803">
            <w:pPr>
              <w:spacing w:line="280" w:lineRule="auto"/>
              <w:rPr>
                <w:rFonts w:hint="eastAsia" w:ascii="仿宋" w:hAnsi="仿宋" w:eastAsia="仿宋" w:cs="仿宋"/>
                <w:color w:val="auto"/>
                <w:sz w:val="24"/>
                <w:szCs w:val="24"/>
                <w:highlight w:val="none"/>
              </w:rPr>
            </w:pPr>
          </w:p>
          <w:p w14:paraId="48B4D94A">
            <w:pPr>
              <w:pStyle w:val="22"/>
              <w:spacing w:before="75" w:line="227"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采购方式</w:t>
            </w:r>
          </w:p>
        </w:tc>
        <w:tc>
          <w:tcPr>
            <w:tcW w:w="7189" w:type="dxa"/>
            <w:vAlign w:val="top"/>
          </w:tcPr>
          <w:p w14:paraId="3DB7494F">
            <w:pPr>
              <w:pStyle w:val="22"/>
              <w:spacing w:before="126" w:line="227"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采购形式：封闭式框架协议采购</w:t>
            </w:r>
          </w:p>
          <w:p w14:paraId="775E4811">
            <w:pPr>
              <w:pStyle w:val="22"/>
              <w:spacing w:before="180" w:line="226" w:lineRule="auto"/>
              <w:ind w:left="114"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4"/>
                <w:sz w:val="24"/>
                <w:szCs w:val="24"/>
                <w:highlight w:val="none"/>
              </w:rPr>
              <w:t>评审方法：</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position w:val="1"/>
                <w:sz w:val="24"/>
                <w:szCs w:val="24"/>
                <w:highlight w:val="none"/>
                <w:lang w:val="en-US" w:eastAsia="zh-CN"/>
              </w:rPr>
              <w:t xml:space="preserve"> </w:t>
            </w:r>
            <w:r>
              <w:rPr>
                <w:rFonts w:hint="eastAsia" w:ascii="仿宋" w:hAnsi="仿宋" w:eastAsia="仿宋" w:cs="仿宋"/>
                <w:color w:val="auto"/>
                <w:spacing w:val="-4"/>
                <w:sz w:val="24"/>
                <w:szCs w:val="24"/>
                <w:highlight w:val="none"/>
              </w:rPr>
              <w:t>质量优先法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□价格优先法</w:t>
            </w:r>
          </w:p>
        </w:tc>
      </w:tr>
      <w:tr w14:paraId="730C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9" w:type="dxa"/>
            <w:vAlign w:val="top"/>
          </w:tcPr>
          <w:p w14:paraId="13C07D19">
            <w:pPr>
              <w:pStyle w:val="22"/>
              <w:spacing w:before="22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7</w:t>
            </w:r>
          </w:p>
        </w:tc>
        <w:tc>
          <w:tcPr>
            <w:tcW w:w="1970" w:type="dxa"/>
            <w:vAlign w:val="top"/>
          </w:tcPr>
          <w:p w14:paraId="30B61963">
            <w:pPr>
              <w:pStyle w:val="22"/>
              <w:spacing w:before="186"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项目实施地点</w:t>
            </w:r>
          </w:p>
        </w:tc>
        <w:tc>
          <w:tcPr>
            <w:tcW w:w="7189" w:type="dxa"/>
            <w:vAlign w:val="top"/>
          </w:tcPr>
          <w:p w14:paraId="68A3C305">
            <w:pPr>
              <w:pStyle w:val="22"/>
              <w:spacing w:before="186" w:line="227" w:lineRule="auto"/>
              <w:ind w:left="137"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
                <w:sz w:val="24"/>
                <w:szCs w:val="24"/>
                <w:highlight w:val="none"/>
                <w:lang w:val="en-US" w:eastAsia="zh-CN"/>
              </w:rPr>
              <w:t>阿图什市（甲方指定地点）</w:t>
            </w:r>
          </w:p>
        </w:tc>
      </w:tr>
      <w:tr w14:paraId="43F4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009" w:type="dxa"/>
            <w:vAlign w:val="top"/>
          </w:tcPr>
          <w:p w14:paraId="2D55AD00">
            <w:pPr>
              <w:pStyle w:val="22"/>
              <w:spacing w:before="236"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8</w:t>
            </w:r>
          </w:p>
        </w:tc>
        <w:tc>
          <w:tcPr>
            <w:tcW w:w="1970" w:type="dxa"/>
            <w:vAlign w:val="top"/>
          </w:tcPr>
          <w:p w14:paraId="5A21A4B2">
            <w:pPr>
              <w:pStyle w:val="22"/>
              <w:spacing w:before="186"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服务范围</w:t>
            </w:r>
          </w:p>
        </w:tc>
        <w:tc>
          <w:tcPr>
            <w:tcW w:w="7189" w:type="dxa"/>
            <w:vAlign w:val="top"/>
          </w:tcPr>
          <w:p w14:paraId="3E8CB72E">
            <w:pPr>
              <w:pStyle w:val="22"/>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6825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09" w:type="dxa"/>
            <w:vAlign w:val="top"/>
          </w:tcPr>
          <w:p w14:paraId="726DE245">
            <w:pPr>
              <w:pStyle w:val="22"/>
              <w:spacing w:before="31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9</w:t>
            </w:r>
          </w:p>
        </w:tc>
        <w:tc>
          <w:tcPr>
            <w:tcW w:w="1970" w:type="dxa"/>
            <w:vAlign w:val="top"/>
          </w:tcPr>
          <w:p w14:paraId="2DF0706F">
            <w:pPr>
              <w:pStyle w:val="22"/>
              <w:spacing w:before="186"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服务要求</w:t>
            </w:r>
          </w:p>
        </w:tc>
        <w:tc>
          <w:tcPr>
            <w:tcW w:w="7189" w:type="dxa"/>
            <w:vAlign w:val="top"/>
          </w:tcPr>
          <w:p w14:paraId="44F7D652">
            <w:pPr>
              <w:pStyle w:val="22"/>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174B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2285A921">
            <w:pPr>
              <w:spacing w:line="466" w:lineRule="auto"/>
              <w:jc w:val="center"/>
              <w:rPr>
                <w:rFonts w:hint="eastAsia" w:ascii="仿宋" w:hAnsi="仿宋" w:eastAsia="仿宋" w:cs="仿宋"/>
                <w:color w:val="auto"/>
                <w:sz w:val="24"/>
                <w:szCs w:val="24"/>
                <w:highlight w:val="none"/>
              </w:rPr>
            </w:pPr>
          </w:p>
          <w:p w14:paraId="7EB184C8">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w:t>
            </w:r>
          </w:p>
        </w:tc>
        <w:tc>
          <w:tcPr>
            <w:tcW w:w="1970" w:type="dxa"/>
            <w:vAlign w:val="top"/>
          </w:tcPr>
          <w:p w14:paraId="1D710075">
            <w:pPr>
              <w:pStyle w:val="22"/>
              <w:spacing w:before="171" w:line="256" w:lineRule="auto"/>
              <w:ind w:left="105" w:leftChars="0" w:right="128" w:rightChars="0" w:firstLine="1" w:firstLineChars="0"/>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28"/>
                <w:sz w:val="24"/>
                <w:szCs w:val="24"/>
                <w:highlight w:val="none"/>
              </w:rPr>
              <w:t>提交征集响应文</w:t>
            </w:r>
            <w:r>
              <w:rPr>
                <w:rFonts w:hint="eastAsia" w:ascii="仿宋" w:hAnsi="仿宋" w:eastAsia="仿宋" w:cs="仿宋"/>
                <w:color w:val="auto"/>
                <w:spacing w:val="21"/>
                <w:sz w:val="24"/>
                <w:szCs w:val="24"/>
                <w:highlight w:val="none"/>
              </w:rPr>
              <w:t>件截止时</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1"/>
                <w:sz w:val="24"/>
                <w:szCs w:val="24"/>
                <w:highlight w:val="none"/>
              </w:rPr>
              <w:t>间及地</w:t>
            </w:r>
            <w:r>
              <w:rPr>
                <w:rFonts w:hint="eastAsia" w:ascii="仿宋" w:hAnsi="仿宋" w:eastAsia="仿宋" w:cs="仿宋"/>
                <w:color w:val="auto"/>
                <w:spacing w:val="1"/>
                <w:sz w:val="24"/>
                <w:szCs w:val="24"/>
                <w:highlight w:val="none"/>
              </w:rPr>
              <w:t>点</w:t>
            </w:r>
          </w:p>
        </w:tc>
        <w:tc>
          <w:tcPr>
            <w:tcW w:w="7189" w:type="dxa"/>
            <w:vAlign w:val="top"/>
          </w:tcPr>
          <w:p w14:paraId="5A9F1C58">
            <w:pPr>
              <w:pStyle w:val="22"/>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时间：2026年7月2日10时10分（北京时间）</w:t>
            </w:r>
          </w:p>
          <w:p w14:paraId="7844CB73">
            <w:pPr>
              <w:pStyle w:val="22"/>
              <w:spacing w:before="93" w:line="243" w:lineRule="auto"/>
              <w:ind w:left="115" w:leftChars="0" w:right="149" w:rightChars="0"/>
              <w:rPr>
                <w:rFonts w:hint="eastAsia" w:ascii="仿宋" w:hAnsi="仿宋" w:eastAsia="仿宋" w:cs="仿宋"/>
                <w:color w:val="auto"/>
                <w:spacing w:val="7"/>
                <w:sz w:val="24"/>
                <w:szCs w:val="24"/>
                <w:highlight w:val="none"/>
              </w:rPr>
            </w:pPr>
            <w:r>
              <w:rPr>
                <w:rFonts w:hint="eastAsia" w:ascii="仿宋" w:hAnsi="仿宋" w:eastAsia="仿宋" w:cs="仿宋"/>
                <w:snapToGrid w:val="0"/>
                <w:color w:val="auto"/>
                <w:kern w:val="0"/>
                <w:sz w:val="24"/>
                <w:szCs w:val="24"/>
                <w:highlight w:val="none"/>
                <w:lang w:val="en-US" w:eastAsia="zh-CN" w:bidi="ar-SA"/>
              </w:rPr>
              <w:t>地点：供应商在政采云平台</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"http://www.zcygov.cn/"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http://www.zcygov.cn/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不见面开标大厅远程参加开标活动</w:t>
            </w:r>
          </w:p>
        </w:tc>
      </w:tr>
      <w:tr w14:paraId="0600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4E1BCB59">
            <w:pPr>
              <w:spacing w:line="281" w:lineRule="auto"/>
              <w:jc w:val="both"/>
              <w:rPr>
                <w:rFonts w:hint="eastAsia" w:ascii="仿宋" w:hAnsi="仿宋" w:eastAsia="仿宋" w:cs="仿宋"/>
                <w:color w:val="auto"/>
                <w:sz w:val="24"/>
                <w:szCs w:val="24"/>
                <w:highlight w:val="none"/>
              </w:rPr>
            </w:pPr>
          </w:p>
          <w:p w14:paraId="450A394A">
            <w:pPr>
              <w:spacing w:line="282" w:lineRule="auto"/>
              <w:jc w:val="both"/>
              <w:rPr>
                <w:rFonts w:hint="eastAsia" w:ascii="仿宋" w:hAnsi="仿宋" w:eastAsia="仿宋" w:cs="仿宋"/>
                <w:color w:val="auto"/>
                <w:sz w:val="24"/>
                <w:szCs w:val="24"/>
                <w:highlight w:val="none"/>
              </w:rPr>
            </w:pPr>
          </w:p>
          <w:p w14:paraId="17082C5C">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w:t>
            </w:r>
          </w:p>
        </w:tc>
        <w:tc>
          <w:tcPr>
            <w:tcW w:w="1970" w:type="dxa"/>
            <w:vAlign w:val="top"/>
          </w:tcPr>
          <w:p w14:paraId="03EDB9CF">
            <w:pPr>
              <w:spacing w:line="263" w:lineRule="auto"/>
              <w:rPr>
                <w:rFonts w:hint="eastAsia" w:ascii="仿宋" w:hAnsi="仿宋" w:eastAsia="仿宋" w:cs="仿宋"/>
                <w:color w:val="auto"/>
                <w:sz w:val="24"/>
                <w:szCs w:val="24"/>
                <w:highlight w:val="none"/>
              </w:rPr>
            </w:pPr>
          </w:p>
          <w:p w14:paraId="1D8962D9">
            <w:pPr>
              <w:spacing w:line="263" w:lineRule="auto"/>
              <w:rPr>
                <w:rFonts w:hint="eastAsia" w:ascii="仿宋" w:hAnsi="仿宋" w:eastAsia="仿宋" w:cs="仿宋"/>
                <w:color w:val="auto"/>
                <w:sz w:val="24"/>
                <w:szCs w:val="24"/>
                <w:highlight w:val="none"/>
              </w:rPr>
            </w:pPr>
          </w:p>
          <w:p w14:paraId="76B8967B">
            <w:pPr>
              <w:pStyle w:val="22"/>
              <w:spacing w:before="75"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开标时间及地点</w:t>
            </w:r>
          </w:p>
        </w:tc>
        <w:tc>
          <w:tcPr>
            <w:tcW w:w="7189" w:type="dxa"/>
            <w:vAlign w:val="top"/>
          </w:tcPr>
          <w:p w14:paraId="4F6E561F">
            <w:pPr>
              <w:pStyle w:val="22"/>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开标时间：2026年7月2日10时10分（北京时间）</w:t>
            </w:r>
          </w:p>
          <w:p w14:paraId="40F4BB91">
            <w:pPr>
              <w:pStyle w:val="22"/>
              <w:spacing w:before="59" w:line="365"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8"/>
                <w:position w:val="9"/>
                <w:sz w:val="24"/>
                <w:szCs w:val="24"/>
                <w:highlight w:val="none"/>
              </w:rPr>
              <w:t>供应商开标地点：供应商在政采云平台</w:t>
            </w:r>
          </w:p>
          <w:p w14:paraId="5FD4009B">
            <w:pPr>
              <w:pStyle w:val="22"/>
              <w:spacing w:line="221" w:lineRule="auto"/>
              <w:rPr>
                <w:rFonts w:hint="eastAsia" w:ascii="仿宋" w:hAnsi="仿宋" w:eastAsia="仿宋" w:cs="仿宋"/>
                <w:color w:val="auto"/>
                <w:spacing w:val="7"/>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1"/>
                <w:sz w:val="24"/>
                <w:szCs w:val="24"/>
                <w:highlight w:val="none"/>
              </w:rPr>
              <w:fldChar w:fldCharType="end"/>
            </w:r>
            <w:r>
              <w:rPr>
                <w:rFonts w:hint="eastAsia" w:ascii="仿宋" w:hAnsi="仿宋" w:eastAsia="仿宋" w:cs="仿宋"/>
                <w:color w:val="auto"/>
                <w:spacing w:val="11"/>
                <w:sz w:val="24"/>
                <w:szCs w:val="24"/>
                <w:highlight w:val="none"/>
              </w:rPr>
              <w:t>不见面</w:t>
            </w:r>
            <w:r>
              <w:rPr>
                <w:rFonts w:hint="eastAsia" w:ascii="仿宋" w:hAnsi="仿宋" w:eastAsia="仿宋" w:cs="仿宋"/>
                <w:color w:val="auto"/>
                <w:spacing w:val="8"/>
                <w:sz w:val="24"/>
                <w:szCs w:val="24"/>
                <w:highlight w:val="none"/>
              </w:rPr>
              <w:t>现场开标地点：请登录政采云投标客户端投标</w:t>
            </w:r>
          </w:p>
        </w:tc>
      </w:tr>
      <w:tr w14:paraId="6FE4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514F2D">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12</w:t>
            </w:r>
          </w:p>
        </w:tc>
        <w:tc>
          <w:tcPr>
            <w:tcW w:w="1970" w:type="dxa"/>
            <w:vAlign w:val="top"/>
          </w:tcPr>
          <w:p w14:paraId="09AC121D">
            <w:pPr>
              <w:pStyle w:val="22"/>
              <w:spacing w:before="288" w:line="240"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合同履行期限</w:t>
            </w:r>
          </w:p>
        </w:tc>
        <w:tc>
          <w:tcPr>
            <w:tcW w:w="7189" w:type="dxa"/>
            <w:vAlign w:val="top"/>
          </w:tcPr>
          <w:p w14:paraId="6B2E24BD">
            <w:pPr>
              <w:pStyle w:val="22"/>
              <w:spacing w:before="286" w:line="240" w:lineRule="auto"/>
              <w:ind w:left="118"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具体时间以签订合同为准</w:t>
            </w:r>
          </w:p>
        </w:tc>
      </w:tr>
      <w:tr w14:paraId="587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AC957B">
            <w:pPr>
              <w:pStyle w:val="22"/>
              <w:spacing w:before="278"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13</w:t>
            </w:r>
          </w:p>
        </w:tc>
        <w:tc>
          <w:tcPr>
            <w:tcW w:w="1970" w:type="dxa"/>
            <w:vAlign w:val="top"/>
          </w:tcPr>
          <w:p w14:paraId="36D0F1B1">
            <w:pPr>
              <w:pStyle w:val="22"/>
              <w:spacing w:before="241" w:line="227"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1"/>
                <w:sz w:val="24"/>
                <w:szCs w:val="24"/>
                <w:highlight w:val="none"/>
              </w:rPr>
              <w:t>资金来源</w:t>
            </w:r>
          </w:p>
        </w:tc>
        <w:tc>
          <w:tcPr>
            <w:tcW w:w="7189" w:type="dxa"/>
            <w:vAlign w:val="top"/>
          </w:tcPr>
          <w:p w14:paraId="275EA154">
            <w:pPr>
              <w:pStyle w:val="22"/>
              <w:spacing w:before="241" w:line="229" w:lineRule="auto"/>
              <w:ind w:left="116"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财政资金</w:t>
            </w:r>
          </w:p>
        </w:tc>
      </w:tr>
      <w:tr w14:paraId="06E4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C0F94D0">
            <w:pPr>
              <w:pStyle w:val="22"/>
              <w:spacing w:before="284"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14</w:t>
            </w:r>
          </w:p>
        </w:tc>
        <w:tc>
          <w:tcPr>
            <w:tcW w:w="1970" w:type="dxa"/>
            <w:vAlign w:val="top"/>
          </w:tcPr>
          <w:p w14:paraId="43552A2B">
            <w:pPr>
              <w:pStyle w:val="22"/>
              <w:spacing w:before="247" w:line="227" w:lineRule="auto"/>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付款方式</w:t>
            </w:r>
          </w:p>
        </w:tc>
        <w:tc>
          <w:tcPr>
            <w:tcW w:w="7189" w:type="dxa"/>
            <w:vAlign w:val="top"/>
          </w:tcPr>
          <w:p w14:paraId="0CD134E7">
            <w:pPr>
              <w:pStyle w:val="22"/>
              <w:spacing w:before="246" w:line="228" w:lineRule="auto"/>
              <w:ind w:left="117"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6"/>
                <w:sz w:val="24"/>
                <w:szCs w:val="24"/>
                <w:highlight w:val="none"/>
              </w:rPr>
              <w:t>签订合同中约定</w:t>
            </w:r>
          </w:p>
        </w:tc>
      </w:tr>
      <w:tr w14:paraId="7ADA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1454B7D">
            <w:pPr>
              <w:pStyle w:val="22"/>
              <w:spacing w:before="297"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15</w:t>
            </w:r>
          </w:p>
        </w:tc>
        <w:tc>
          <w:tcPr>
            <w:tcW w:w="1970" w:type="dxa"/>
            <w:vAlign w:val="top"/>
          </w:tcPr>
          <w:p w14:paraId="2D0C7A9A">
            <w:pPr>
              <w:pStyle w:val="22"/>
              <w:spacing w:before="260" w:line="227" w:lineRule="auto"/>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是否允许联合体</w:t>
            </w:r>
          </w:p>
        </w:tc>
        <w:tc>
          <w:tcPr>
            <w:tcW w:w="7189" w:type="dxa"/>
            <w:vAlign w:val="top"/>
          </w:tcPr>
          <w:p w14:paraId="0550E905">
            <w:pPr>
              <w:pStyle w:val="22"/>
              <w:spacing w:before="259" w:line="228" w:lineRule="auto"/>
              <w:ind w:left="129"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z w:val="24"/>
                <w:szCs w:val="24"/>
                <w:highlight w:val="none"/>
                <w:u w:val="none" w:color="auto"/>
              </w:rPr>
              <w:t>否</w:t>
            </w:r>
          </w:p>
        </w:tc>
      </w:tr>
      <w:tr w14:paraId="4BC2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9565020">
            <w:pPr>
              <w:pStyle w:val="22"/>
              <w:spacing w:before="290"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16</w:t>
            </w:r>
          </w:p>
        </w:tc>
        <w:tc>
          <w:tcPr>
            <w:tcW w:w="1970" w:type="dxa"/>
            <w:vAlign w:val="top"/>
          </w:tcPr>
          <w:p w14:paraId="731B14BB">
            <w:pPr>
              <w:pStyle w:val="22"/>
              <w:spacing w:before="253" w:line="227" w:lineRule="auto"/>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是否允许分包</w:t>
            </w:r>
          </w:p>
        </w:tc>
        <w:tc>
          <w:tcPr>
            <w:tcW w:w="7189" w:type="dxa"/>
            <w:vAlign w:val="top"/>
          </w:tcPr>
          <w:p w14:paraId="521BE1D7">
            <w:pPr>
              <w:pStyle w:val="22"/>
              <w:spacing w:before="253" w:line="227" w:lineRule="auto"/>
              <w:ind w:left="121"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2"/>
                <w:sz w:val="24"/>
                <w:szCs w:val="24"/>
                <w:highlight w:val="none"/>
              </w:rPr>
              <w:t>不允许</w:t>
            </w:r>
          </w:p>
        </w:tc>
      </w:tr>
      <w:tr w14:paraId="3CB7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auto" w:sz="4" w:space="0"/>
            </w:tcBorders>
            <w:vAlign w:val="center"/>
          </w:tcPr>
          <w:p w14:paraId="67A9364F">
            <w:pPr>
              <w:pStyle w:val="22"/>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17</w:t>
            </w:r>
          </w:p>
        </w:tc>
        <w:tc>
          <w:tcPr>
            <w:tcW w:w="1970" w:type="dxa"/>
            <w:vAlign w:val="top"/>
          </w:tcPr>
          <w:p w14:paraId="703C8692">
            <w:pPr>
              <w:pStyle w:val="22"/>
              <w:spacing w:before="198" w:line="242" w:lineRule="auto"/>
              <w:ind w:right="196" w:rightChars="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征集项目服务</w:t>
            </w:r>
          </w:p>
          <w:p w14:paraId="0AE601C0">
            <w:pPr>
              <w:pStyle w:val="22"/>
              <w:spacing w:before="198" w:line="242" w:lineRule="auto"/>
              <w:ind w:right="196" w:rightChars="0"/>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对</w:t>
            </w:r>
            <w:r>
              <w:rPr>
                <w:rFonts w:hint="eastAsia" w:ascii="仿宋" w:hAnsi="仿宋" w:eastAsia="仿宋" w:cs="仿宋"/>
                <w:color w:val="auto"/>
                <w:sz w:val="24"/>
                <w:szCs w:val="24"/>
                <w:highlight w:val="none"/>
              </w:rPr>
              <w:t>象</w:t>
            </w:r>
          </w:p>
        </w:tc>
        <w:tc>
          <w:tcPr>
            <w:tcW w:w="7189" w:type="dxa"/>
            <w:vAlign w:val="center"/>
          </w:tcPr>
          <w:p w14:paraId="38A33B45">
            <w:pPr>
              <w:pStyle w:val="22"/>
              <w:spacing w:before="75" w:line="227" w:lineRule="auto"/>
              <w:jc w:val="both"/>
              <w:rPr>
                <w:rFonts w:hint="eastAsia" w:ascii="仿宋" w:hAnsi="仿宋" w:eastAsia="仿宋" w:cs="仿宋"/>
                <w:color w:val="auto"/>
                <w:spacing w:val="5"/>
                <w:sz w:val="24"/>
                <w:szCs w:val="24"/>
                <w:highlight w:val="none"/>
                <w:lang w:val="en-US" w:eastAsia="zh-CN"/>
              </w:rPr>
            </w:pPr>
            <w:r>
              <w:rPr>
                <w:rFonts w:hint="eastAsia" w:ascii="仿宋" w:hAnsi="仿宋" w:eastAsia="仿宋" w:cs="仿宋"/>
                <w:b/>
                <w:bCs/>
                <w:color w:val="auto"/>
                <w:sz w:val="24"/>
                <w:szCs w:val="24"/>
                <w:highlight w:val="none"/>
                <w:lang w:val="en-US" w:eastAsia="zh-CN"/>
              </w:rPr>
              <w:t>（指定采购单位）阿图什市住房和城乡建设局</w:t>
            </w:r>
          </w:p>
        </w:tc>
      </w:tr>
      <w:tr w14:paraId="5A75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0B805AFE">
            <w:pPr>
              <w:pStyle w:val="22"/>
              <w:spacing w:before="75" w:line="189" w:lineRule="auto"/>
              <w:jc w:val="center"/>
              <w:rPr>
                <w:rFonts w:hint="eastAsia" w:ascii="仿宋" w:hAnsi="仿宋" w:eastAsia="仿宋" w:cs="仿宋"/>
                <w:snapToGrid w:val="0"/>
                <w:color w:val="auto"/>
                <w:spacing w:val="-10"/>
                <w:kern w:val="0"/>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18</w:t>
            </w:r>
          </w:p>
        </w:tc>
        <w:tc>
          <w:tcPr>
            <w:tcW w:w="1970" w:type="dxa"/>
            <w:shd w:val="clear" w:color="auto" w:fill="auto"/>
            <w:vAlign w:val="top"/>
          </w:tcPr>
          <w:p w14:paraId="1E9FA31E">
            <w:pPr>
              <w:spacing w:line="259" w:lineRule="auto"/>
              <w:jc w:val="both"/>
              <w:rPr>
                <w:rFonts w:hint="eastAsia" w:ascii="仿宋" w:hAnsi="仿宋" w:eastAsia="仿宋" w:cs="仿宋"/>
                <w:color w:val="auto"/>
                <w:sz w:val="24"/>
                <w:szCs w:val="24"/>
                <w:highlight w:val="none"/>
              </w:rPr>
            </w:pPr>
          </w:p>
          <w:p w14:paraId="12E822DF">
            <w:pPr>
              <w:spacing w:line="260" w:lineRule="auto"/>
              <w:jc w:val="both"/>
              <w:rPr>
                <w:rFonts w:hint="eastAsia" w:ascii="仿宋" w:hAnsi="仿宋" w:eastAsia="仿宋" w:cs="仿宋"/>
                <w:color w:val="auto"/>
                <w:sz w:val="24"/>
                <w:szCs w:val="24"/>
                <w:highlight w:val="none"/>
              </w:rPr>
            </w:pPr>
          </w:p>
          <w:p w14:paraId="5B32EC93">
            <w:pPr>
              <w:spacing w:line="260" w:lineRule="auto"/>
              <w:jc w:val="both"/>
              <w:rPr>
                <w:rFonts w:hint="eastAsia" w:ascii="仿宋" w:hAnsi="仿宋" w:eastAsia="仿宋" w:cs="仿宋"/>
                <w:color w:val="auto"/>
                <w:sz w:val="24"/>
                <w:szCs w:val="24"/>
                <w:highlight w:val="none"/>
              </w:rPr>
            </w:pPr>
          </w:p>
          <w:p w14:paraId="7FA80478">
            <w:pPr>
              <w:pStyle w:val="22"/>
              <w:spacing w:before="75" w:line="242" w:lineRule="auto"/>
              <w:ind w:right="181" w:rightChars="0"/>
              <w:jc w:val="center"/>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6"/>
                <w:sz w:val="24"/>
                <w:szCs w:val="24"/>
                <w:highlight w:val="none"/>
              </w:rPr>
              <w:t>征集文件的澄清</w:t>
            </w:r>
            <w:r>
              <w:rPr>
                <w:rFonts w:hint="eastAsia" w:ascii="仿宋" w:hAnsi="仿宋" w:eastAsia="仿宋" w:cs="仿宋"/>
                <w:color w:val="auto"/>
                <w:spacing w:val="2"/>
                <w:sz w:val="24"/>
                <w:szCs w:val="24"/>
                <w:highlight w:val="none"/>
              </w:rPr>
              <w:t>与修改</w:t>
            </w:r>
          </w:p>
        </w:tc>
        <w:tc>
          <w:tcPr>
            <w:tcW w:w="7189" w:type="dxa"/>
            <w:shd w:val="clear" w:color="auto" w:fill="auto"/>
            <w:vAlign w:val="top"/>
          </w:tcPr>
          <w:p w14:paraId="0DED9173">
            <w:pPr>
              <w:pStyle w:val="22"/>
              <w:spacing w:before="177"/>
              <w:ind w:left="130" w:right="84" w:firstLine="3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1、征集人可主动地或在解答供应商提出的澄清问题时对征集</w:t>
            </w:r>
            <w:r>
              <w:rPr>
                <w:rFonts w:hint="eastAsia" w:ascii="仿宋" w:hAnsi="仿宋" w:eastAsia="仿宋" w:cs="仿宋"/>
                <w:color w:val="auto"/>
                <w:spacing w:val="7"/>
                <w:sz w:val="24"/>
                <w:szCs w:val="24"/>
                <w:highlight w:val="none"/>
              </w:rPr>
              <w:t>文件澄清或修改。征集人将以发布澄清（更正）公告的方</w:t>
            </w:r>
            <w:r>
              <w:rPr>
                <w:rFonts w:hint="eastAsia" w:ascii="仿宋" w:hAnsi="仿宋" w:eastAsia="仿宋" w:cs="仿宋"/>
                <w:color w:val="auto"/>
                <w:spacing w:val="6"/>
                <w:sz w:val="24"/>
                <w:szCs w:val="24"/>
                <w:highlight w:val="none"/>
              </w:rPr>
              <w:t>式，</w:t>
            </w:r>
            <w:r>
              <w:rPr>
                <w:rFonts w:hint="eastAsia" w:ascii="仿宋" w:hAnsi="仿宋" w:eastAsia="仿宋" w:cs="仿宋"/>
                <w:color w:val="auto"/>
                <w:spacing w:val="7"/>
                <w:sz w:val="24"/>
                <w:szCs w:val="24"/>
                <w:highlight w:val="none"/>
              </w:rPr>
              <w:t>澄清或修改征集文件，澄清或修改内容作为征集文件的组成部</w:t>
            </w:r>
            <w:r>
              <w:rPr>
                <w:rFonts w:hint="eastAsia" w:ascii="仿宋" w:hAnsi="仿宋" w:eastAsia="仿宋" w:cs="仿宋"/>
                <w:color w:val="auto"/>
                <w:sz w:val="24"/>
                <w:szCs w:val="24"/>
                <w:highlight w:val="none"/>
              </w:rPr>
              <w:t>分。</w:t>
            </w:r>
          </w:p>
          <w:p w14:paraId="63ABEFCA">
            <w:pPr>
              <w:pStyle w:val="22"/>
              <w:spacing w:before="43"/>
              <w:ind w:left="133" w:right="98"/>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澄清或者修改的内容可能影响响应文件编制的，征集人将以书面形式通知所有获取征集文件的供应商，并对其具有约束力。供应商在收到上述通知后，应及时向征集人确认。供应商未回复的，视同已知晓澄清或者修改的内容。</w:t>
            </w:r>
          </w:p>
          <w:p w14:paraId="38CDDC5A">
            <w:pPr>
              <w:pStyle w:val="22"/>
              <w:spacing w:before="40" w:line="234" w:lineRule="auto"/>
              <w:ind w:left="132" w:leftChars="0" w:right="106" w:rightChars="0" w:firstLine="33" w:firstLineChars="0"/>
              <w:rPr>
                <w:rFonts w:hint="eastAsia" w:ascii="仿宋" w:hAnsi="仿宋" w:eastAsia="仿宋" w:cs="仿宋"/>
                <w:snapToGrid w:val="0"/>
                <w:color w:val="auto"/>
                <w:spacing w:val="8"/>
                <w:kern w:val="0"/>
                <w:sz w:val="24"/>
                <w:szCs w:val="24"/>
                <w:highlight w:val="none"/>
                <w:lang w:val="en-US" w:eastAsia="zh-CN" w:bidi="ar-SA"/>
              </w:rPr>
            </w:pPr>
            <w:r>
              <w:rPr>
                <w:rFonts w:hint="eastAsia" w:ascii="仿宋" w:hAnsi="仿宋" w:eastAsia="仿宋" w:cs="仿宋"/>
                <w:color w:val="auto"/>
                <w:spacing w:val="5"/>
                <w:sz w:val="24"/>
                <w:szCs w:val="24"/>
                <w:highlight w:val="none"/>
              </w:rPr>
              <w:t>因供应商原因或通讯线路故障导致逾期送达或无法送达，征集</w:t>
            </w:r>
            <w:r>
              <w:rPr>
                <w:rFonts w:hint="eastAsia" w:ascii="仿宋" w:hAnsi="仿宋" w:eastAsia="仿宋" w:cs="仿宋"/>
                <w:color w:val="auto"/>
                <w:spacing w:val="2"/>
                <w:sz w:val="24"/>
                <w:szCs w:val="24"/>
                <w:highlight w:val="none"/>
              </w:rPr>
              <w:t>人不因此承担任何责任</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有关的征集活动可以</w:t>
            </w:r>
            <w:r>
              <w:rPr>
                <w:rFonts w:hint="eastAsia" w:ascii="仿宋" w:hAnsi="仿宋" w:eastAsia="仿宋" w:cs="仿宋"/>
                <w:color w:val="auto"/>
                <w:spacing w:val="1"/>
                <w:sz w:val="24"/>
                <w:szCs w:val="24"/>
                <w:highlight w:val="none"/>
              </w:rPr>
              <w:t>继续有效进行。</w:t>
            </w:r>
          </w:p>
        </w:tc>
      </w:tr>
      <w:tr w14:paraId="50D4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23D6E6C1">
            <w:pPr>
              <w:pStyle w:val="22"/>
              <w:spacing w:before="75" w:line="189" w:lineRule="auto"/>
              <w:jc w:val="center"/>
              <w:rPr>
                <w:rFonts w:hint="eastAsia" w:ascii="仿宋" w:hAnsi="仿宋" w:eastAsia="仿宋" w:cs="仿宋"/>
                <w:snapToGrid w:val="0"/>
                <w:color w:val="auto"/>
                <w:spacing w:val="-4"/>
                <w:kern w:val="0"/>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rPr>
              <w:t>19</w:t>
            </w:r>
          </w:p>
        </w:tc>
        <w:tc>
          <w:tcPr>
            <w:tcW w:w="1970" w:type="dxa"/>
            <w:shd w:val="clear" w:color="auto" w:fill="auto"/>
            <w:vAlign w:val="top"/>
          </w:tcPr>
          <w:p w14:paraId="28E78876">
            <w:pPr>
              <w:spacing w:line="310" w:lineRule="auto"/>
              <w:rPr>
                <w:rFonts w:hint="eastAsia" w:ascii="仿宋" w:hAnsi="仿宋" w:eastAsia="仿宋" w:cs="仿宋"/>
                <w:color w:val="auto"/>
                <w:sz w:val="24"/>
                <w:szCs w:val="24"/>
                <w:highlight w:val="none"/>
              </w:rPr>
            </w:pPr>
          </w:p>
          <w:p w14:paraId="297EE3CA">
            <w:pPr>
              <w:pStyle w:val="22"/>
              <w:spacing w:before="75" w:line="226" w:lineRule="auto"/>
              <w:jc w:val="center"/>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5"/>
                <w:sz w:val="24"/>
                <w:szCs w:val="24"/>
                <w:highlight w:val="none"/>
              </w:rPr>
              <w:t>征集响应报价</w:t>
            </w:r>
          </w:p>
        </w:tc>
        <w:tc>
          <w:tcPr>
            <w:tcW w:w="7189" w:type="dxa"/>
            <w:shd w:val="clear" w:color="auto" w:fill="auto"/>
            <w:vAlign w:val="top"/>
          </w:tcPr>
          <w:p w14:paraId="794CE9B7">
            <w:pPr>
              <w:pStyle w:val="22"/>
              <w:spacing w:before="126" w:line="227" w:lineRule="auto"/>
              <w:ind w:left="136"/>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pacing w:val="6"/>
                <w:sz w:val="24"/>
                <w:szCs w:val="24"/>
                <w:highlight w:val="none"/>
              </w:rPr>
              <w:t>项目预算金额：</w:t>
            </w:r>
            <w:r>
              <w:rPr>
                <w:rFonts w:hint="eastAsia" w:ascii="仿宋" w:hAnsi="仿宋" w:eastAsia="仿宋" w:cs="仿宋"/>
                <w:b/>
                <w:bCs/>
                <w:color w:val="auto"/>
                <w:spacing w:val="6"/>
                <w:sz w:val="24"/>
                <w:szCs w:val="24"/>
                <w:highlight w:val="none"/>
                <w:u w:val="single" w:color="auto"/>
                <w:lang w:val="en-US" w:eastAsia="zh-CN"/>
              </w:rPr>
              <w:t xml:space="preserve">/ </w:t>
            </w:r>
          </w:p>
          <w:p w14:paraId="78ED0B9A">
            <w:pPr>
              <w:pStyle w:val="22"/>
              <w:spacing w:before="26" w:line="226" w:lineRule="auto"/>
              <w:ind w:left="13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最高限价： 见征集公告</w:t>
            </w:r>
          </w:p>
          <w:p w14:paraId="7877FD38">
            <w:pPr>
              <w:pStyle w:val="22"/>
              <w:spacing w:before="38" w:line="232" w:lineRule="auto"/>
              <w:ind w:left="131" w:leftChars="0" w:right="74" w:rightChars="0" w:firstLine="20" w:firstLineChars="0"/>
              <w:rPr>
                <w:rFonts w:hint="eastAsia" w:ascii="仿宋" w:hAnsi="仿宋" w:eastAsia="仿宋" w:cs="仿宋"/>
                <w:snapToGrid w:val="0"/>
                <w:color w:val="auto"/>
                <w:spacing w:val="5"/>
                <w:kern w:val="0"/>
                <w:sz w:val="24"/>
                <w:szCs w:val="24"/>
                <w:highlight w:val="none"/>
                <w:lang w:val="en-US" w:eastAsia="zh-CN" w:bidi="ar-SA"/>
              </w:rPr>
            </w:pPr>
            <w:r>
              <w:rPr>
                <w:rFonts w:hint="eastAsia" w:ascii="仿宋" w:hAnsi="仿宋" w:eastAsia="仿宋" w:cs="仿宋"/>
                <w:b/>
                <w:bCs/>
                <w:color w:val="auto"/>
                <w:spacing w:val="5"/>
                <w:sz w:val="24"/>
                <w:szCs w:val="24"/>
                <w:highlight w:val="none"/>
              </w:rPr>
              <w:t>说明：投标人报价不得超过最高限价</w:t>
            </w:r>
            <w:r>
              <w:rPr>
                <w:rFonts w:hint="eastAsia" w:ascii="仿宋" w:hAnsi="仿宋" w:eastAsia="仿宋" w:cs="仿宋"/>
                <w:b/>
                <w:bCs/>
                <w:color w:val="auto"/>
                <w:spacing w:val="5"/>
                <w:sz w:val="24"/>
                <w:szCs w:val="24"/>
                <w:highlight w:val="none"/>
                <w:lang w:eastAsia="zh-CN"/>
              </w:rPr>
              <w:t>。</w:t>
            </w:r>
          </w:p>
        </w:tc>
      </w:tr>
      <w:tr w14:paraId="229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344CFC9D">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20</w:t>
            </w:r>
          </w:p>
        </w:tc>
        <w:tc>
          <w:tcPr>
            <w:tcW w:w="1970" w:type="dxa"/>
            <w:shd w:val="clear" w:color="auto" w:fill="auto"/>
            <w:vAlign w:val="center"/>
          </w:tcPr>
          <w:p w14:paraId="3420BFAB">
            <w:pPr>
              <w:pStyle w:val="22"/>
              <w:spacing w:before="75" w:line="228" w:lineRule="auto"/>
              <w:jc w:val="center"/>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color w:val="auto"/>
                <w:spacing w:val="5"/>
                <w:sz w:val="24"/>
                <w:szCs w:val="24"/>
                <w:highlight w:val="none"/>
              </w:rPr>
              <w:t>投标保证金</w:t>
            </w:r>
          </w:p>
        </w:tc>
        <w:tc>
          <w:tcPr>
            <w:tcW w:w="7189" w:type="dxa"/>
            <w:shd w:val="clear" w:color="auto" w:fill="auto"/>
            <w:vAlign w:val="center"/>
          </w:tcPr>
          <w:p w14:paraId="7529A7C5">
            <w:pPr>
              <w:spacing w:before="3" w:line="240" w:lineRule="auto"/>
              <w:jc w:val="left"/>
              <w:rPr>
                <w:rFonts w:hint="eastAsia" w:ascii="仿宋" w:hAnsi="仿宋" w:eastAsia="仿宋" w:cs="仿宋"/>
                <w:b/>
                <w:bCs/>
                <w:snapToGrid w:val="0"/>
                <w:color w:val="auto"/>
                <w:spacing w:val="5"/>
                <w:kern w:val="0"/>
                <w:sz w:val="24"/>
                <w:szCs w:val="24"/>
                <w:highlight w:val="none"/>
                <w:lang w:val="en-US" w:eastAsia="en-US" w:bidi="ar-SA"/>
              </w:rPr>
            </w:pPr>
            <w:r>
              <w:rPr>
                <w:rFonts w:hint="eastAsia" w:ascii="仿宋" w:hAnsi="仿宋" w:eastAsia="仿宋" w:cs="仿宋"/>
                <w:b/>
                <w:bCs/>
                <w:snapToGrid w:val="0"/>
                <w:color w:val="auto"/>
                <w:spacing w:val="5"/>
                <w:kern w:val="0"/>
                <w:sz w:val="24"/>
                <w:szCs w:val="24"/>
                <w:highlight w:val="none"/>
                <w:lang w:val="en-US" w:eastAsia="en-US" w:bidi="ar-SA"/>
              </w:rPr>
              <w:t>本项目不需要交纳投标保证金</w:t>
            </w:r>
          </w:p>
        </w:tc>
      </w:tr>
    </w:tbl>
    <w:tbl>
      <w:tblPr>
        <w:tblStyle w:val="21"/>
        <w:tblpPr w:leftFromText="180" w:rightFromText="180" w:vertAnchor="text" w:horzAnchor="page" w:tblpX="1214" w:tblpY="142"/>
        <w:tblOverlap w:val="never"/>
        <w:tblW w:w="10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087"/>
        <w:gridCol w:w="7261"/>
      </w:tblGrid>
      <w:tr w14:paraId="7F57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3" w:hRule="atLeast"/>
        </w:trPr>
        <w:tc>
          <w:tcPr>
            <w:tcW w:w="893" w:type="dxa"/>
            <w:tcBorders>
              <w:top w:val="single" w:color="000000" w:sz="2" w:space="0"/>
              <w:left w:val="single" w:color="000000" w:sz="6" w:space="0"/>
              <w:bottom w:val="single" w:color="000000" w:sz="2" w:space="0"/>
            </w:tcBorders>
            <w:vAlign w:val="center"/>
          </w:tcPr>
          <w:p w14:paraId="09266599">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21</w:t>
            </w:r>
          </w:p>
        </w:tc>
        <w:tc>
          <w:tcPr>
            <w:tcW w:w="2087" w:type="dxa"/>
            <w:vAlign w:val="center"/>
          </w:tcPr>
          <w:p w14:paraId="78460D5B">
            <w:pPr>
              <w:pStyle w:val="22"/>
              <w:spacing w:before="302"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投标有效期</w:t>
            </w:r>
          </w:p>
        </w:tc>
        <w:tc>
          <w:tcPr>
            <w:tcW w:w="7261" w:type="dxa"/>
            <w:tcBorders>
              <w:right w:val="single" w:color="000000" w:sz="6" w:space="0"/>
            </w:tcBorders>
            <w:vAlign w:val="top"/>
          </w:tcPr>
          <w:p w14:paraId="70475B94">
            <w:pPr>
              <w:pStyle w:val="22"/>
              <w:spacing w:before="300" w:line="227" w:lineRule="auto"/>
              <w:ind w:left="116" w:leftChars="0"/>
              <w:rPr>
                <w:rFonts w:hint="eastAsia" w:ascii="仿宋" w:hAnsi="仿宋" w:eastAsia="仿宋" w:cs="仿宋"/>
                <w:color w:val="auto"/>
                <w:spacing w:val="5"/>
                <w:sz w:val="24"/>
                <w:szCs w:val="24"/>
                <w:highlight w:val="none"/>
              </w:rPr>
            </w:pPr>
            <w:r>
              <w:rPr>
                <w:rFonts w:hint="eastAsia" w:ascii="仿宋" w:hAnsi="仿宋" w:eastAsia="仿宋" w:cs="仿宋"/>
                <w:color w:val="auto"/>
                <w:sz w:val="24"/>
                <w:szCs w:val="24"/>
                <w:highlight w:val="none"/>
              </w:rPr>
              <w:t>90日历日（从开标之日算起）</w:t>
            </w:r>
          </w:p>
        </w:tc>
      </w:tr>
      <w:tr w14:paraId="6554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93" w:type="dxa"/>
            <w:tcBorders>
              <w:top w:val="single" w:color="000000" w:sz="2" w:space="0"/>
              <w:left w:val="single" w:color="000000" w:sz="6" w:space="0"/>
              <w:bottom w:val="single" w:color="000000" w:sz="2" w:space="0"/>
            </w:tcBorders>
            <w:vAlign w:val="center"/>
          </w:tcPr>
          <w:p w14:paraId="5A840A77">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22</w:t>
            </w:r>
          </w:p>
        </w:tc>
        <w:tc>
          <w:tcPr>
            <w:tcW w:w="2087" w:type="dxa"/>
            <w:vAlign w:val="center"/>
          </w:tcPr>
          <w:p w14:paraId="07A8AEF1">
            <w:pPr>
              <w:pStyle w:val="22"/>
              <w:spacing w:before="75" w:line="227"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签字盖章</w:t>
            </w:r>
          </w:p>
        </w:tc>
        <w:tc>
          <w:tcPr>
            <w:tcW w:w="7261" w:type="dxa"/>
            <w:tcBorders>
              <w:right w:val="single" w:color="000000" w:sz="6" w:space="0"/>
            </w:tcBorders>
            <w:vAlign w:val="top"/>
          </w:tcPr>
          <w:p w14:paraId="5D1FF3F0">
            <w:pPr>
              <w:pStyle w:val="22"/>
              <w:spacing w:before="187" w:line="261" w:lineRule="auto"/>
              <w:ind w:left="116" w:leftChars="0" w:right="101" w:rightChars="0" w:hanging="1"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供应商必须按照征集文件的规定和要求在指定位置签字或盖</w:t>
            </w:r>
            <w:r>
              <w:rPr>
                <w:rFonts w:hint="eastAsia" w:ascii="仿宋" w:hAnsi="仿宋" w:eastAsia="仿宋" w:cs="仿宋"/>
                <w:color w:val="auto"/>
                <w:spacing w:val="6"/>
                <w:sz w:val="24"/>
                <w:szCs w:val="24"/>
                <w:highlight w:val="none"/>
              </w:rPr>
              <w:t>章</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否则按</w:t>
            </w:r>
            <w:r>
              <w:rPr>
                <w:rFonts w:hint="eastAsia" w:ascii="仿宋" w:hAnsi="仿宋" w:eastAsia="仿宋" w:cs="仿宋"/>
                <w:color w:val="auto"/>
                <w:spacing w:val="5"/>
                <w:sz w:val="24"/>
                <w:szCs w:val="24"/>
                <w:highlight w:val="none"/>
              </w:rPr>
              <w:t>无效投标处理。</w:t>
            </w:r>
          </w:p>
        </w:tc>
      </w:tr>
      <w:tr w14:paraId="38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93" w:type="dxa"/>
            <w:tcBorders>
              <w:top w:val="single" w:color="000000" w:sz="2" w:space="0"/>
              <w:left w:val="single" w:color="000000" w:sz="6" w:space="0"/>
              <w:bottom w:val="single" w:color="000000" w:sz="2" w:space="0"/>
            </w:tcBorders>
            <w:vAlign w:val="center"/>
          </w:tcPr>
          <w:p w14:paraId="64221292">
            <w:pPr>
              <w:pStyle w:val="22"/>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23</w:t>
            </w:r>
          </w:p>
        </w:tc>
        <w:tc>
          <w:tcPr>
            <w:tcW w:w="2087" w:type="dxa"/>
            <w:vAlign w:val="center"/>
          </w:tcPr>
          <w:p w14:paraId="3563FCFC">
            <w:pPr>
              <w:pStyle w:val="22"/>
              <w:spacing w:before="75" w:line="243"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征集响应文件</w:t>
            </w:r>
          </w:p>
          <w:p w14:paraId="08C6C6BF">
            <w:pPr>
              <w:pStyle w:val="22"/>
              <w:spacing w:before="75" w:line="243" w:lineRule="auto"/>
              <w:ind w:right="196" w:rightChars="0"/>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7"/>
                <w:sz w:val="24"/>
                <w:szCs w:val="24"/>
                <w:highlight w:val="none"/>
              </w:rPr>
              <w:t>递交</w:t>
            </w:r>
          </w:p>
        </w:tc>
        <w:tc>
          <w:tcPr>
            <w:tcW w:w="7261" w:type="dxa"/>
            <w:tcBorders>
              <w:right w:val="single" w:color="000000" w:sz="6" w:space="0"/>
            </w:tcBorders>
            <w:vAlign w:val="top"/>
          </w:tcPr>
          <w:p w14:paraId="1F7BF735">
            <w:pPr>
              <w:pStyle w:val="22"/>
              <w:spacing w:before="271" w:line="261" w:lineRule="auto"/>
              <w:ind w:left="110" w:leftChars="0" w:right="84" w:rightChars="0" w:firstLine="1"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加密的电子征集响应文件投标供应商应当在投标截止时间前，</w:t>
            </w:r>
            <w:r>
              <w:rPr>
                <w:rFonts w:hint="eastAsia" w:ascii="仿宋" w:hAnsi="仿宋" w:eastAsia="仿宋" w:cs="仿宋"/>
                <w:color w:val="auto"/>
                <w:sz w:val="24"/>
                <w:szCs w:val="24"/>
                <w:highlight w:val="none"/>
              </w:rPr>
              <w:t>将生成“</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z w:val="24"/>
                <w:szCs w:val="24"/>
                <w:highlight w:val="none"/>
              </w:rPr>
              <w:t>电子加密响应文件</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”上传递交至“采购云平台</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”，投</w:t>
            </w:r>
            <w:r>
              <w:rPr>
                <w:rFonts w:hint="eastAsia" w:ascii="仿宋" w:hAnsi="仿宋" w:eastAsia="仿宋" w:cs="仿宋"/>
                <w:color w:val="auto"/>
                <w:spacing w:val="5"/>
                <w:sz w:val="24"/>
                <w:szCs w:val="24"/>
                <w:highlight w:val="none"/>
              </w:rPr>
              <w:t>标截止时间以后，上传递交的响应文件将被“政采云</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”平台拒</w:t>
            </w:r>
            <w:r>
              <w:rPr>
                <w:rFonts w:hint="eastAsia" w:ascii="仿宋" w:hAnsi="仿宋" w:eastAsia="仿宋" w:cs="仿宋"/>
                <w:color w:val="auto"/>
                <w:spacing w:val="2"/>
                <w:sz w:val="24"/>
                <w:szCs w:val="24"/>
                <w:highlight w:val="none"/>
              </w:rPr>
              <w:t>收，开标时须使用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2"/>
                <w:sz w:val="24"/>
                <w:szCs w:val="24"/>
                <w:highlight w:val="none"/>
              </w:rPr>
              <w:t xml:space="preserve"> 密钥进行文件解密工作</w:t>
            </w:r>
            <w:r>
              <w:rPr>
                <w:rFonts w:hint="eastAsia" w:ascii="仿宋" w:hAnsi="仿宋" w:eastAsia="仿宋" w:cs="仿宋"/>
                <w:color w:val="auto"/>
                <w:spacing w:val="2"/>
                <w:sz w:val="24"/>
                <w:szCs w:val="24"/>
                <w:highlight w:val="none"/>
                <w:lang w:eastAsia="zh-CN"/>
              </w:rPr>
              <w:t>。</w:t>
            </w:r>
          </w:p>
        </w:tc>
      </w:tr>
      <w:tr w14:paraId="7317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893" w:type="dxa"/>
            <w:vMerge w:val="restart"/>
            <w:tcBorders>
              <w:top w:val="single" w:color="000000" w:sz="2" w:space="0"/>
              <w:left w:val="single" w:color="000000" w:sz="6" w:space="0"/>
            </w:tcBorders>
            <w:vAlign w:val="center"/>
          </w:tcPr>
          <w:p w14:paraId="5674F90E">
            <w:pPr>
              <w:pStyle w:val="22"/>
              <w:spacing w:before="75" w:line="18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2"/>
                <w:sz w:val="24"/>
                <w:szCs w:val="24"/>
                <w:highlight w:val="none"/>
                <w:lang w:val="en-US" w:eastAsia="zh-CN"/>
              </w:rPr>
              <w:t>24</w:t>
            </w:r>
          </w:p>
        </w:tc>
        <w:tc>
          <w:tcPr>
            <w:tcW w:w="2087" w:type="dxa"/>
            <w:vAlign w:val="top"/>
          </w:tcPr>
          <w:p w14:paraId="3345D98F">
            <w:pPr>
              <w:spacing w:line="356" w:lineRule="auto"/>
              <w:rPr>
                <w:rFonts w:hint="eastAsia" w:ascii="仿宋" w:hAnsi="仿宋" w:eastAsia="仿宋" w:cs="仿宋"/>
                <w:color w:val="auto"/>
                <w:sz w:val="24"/>
                <w:szCs w:val="24"/>
                <w:highlight w:val="none"/>
              </w:rPr>
            </w:pPr>
          </w:p>
          <w:p w14:paraId="3F493B0D">
            <w:pPr>
              <w:pStyle w:val="22"/>
              <w:spacing w:before="74" w:line="228"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7"/>
                <w:sz w:val="24"/>
                <w:szCs w:val="24"/>
                <w:highlight w:val="none"/>
              </w:rPr>
              <w:t>评标方法及标准</w:t>
            </w:r>
          </w:p>
        </w:tc>
        <w:tc>
          <w:tcPr>
            <w:tcW w:w="7261" w:type="dxa"/>
            <w:tcBorders>
              <w:right w:val="single" w:color="000000" w:sz="6" w:space="0"/>
            </w:tcBorders>
            <w:vAlign w:val="center"/>
          </w:tcPr>
          <w:p w14:paraId="628C5F18">
            <w:pPr>
              <w:pStyle w:val="22"/>
              <w:spacing w:before="279" w:line="260" w:lineRule="auto"/>
              <w:ind w:right="101" w:rightChars="0"/>
              <w:jc w:val="left"/>
              <w:rPr>
                <w:rFonts w:hint="eastAsia" w:ascii="仿宋" w:hAnsi="仿宋" w:eastAsia="仿宋" w:cs="仿宋"/>
                <w:color w:val="auto"/>
                <w:spacing w:val="7"/>
                <w:sz w:val="24"/>
                <w:szCs w:val="24"/>
                <w:highlight w:val="none"/>
              </w:rPr>
            </w:pPr>
            <w:bookmarkStart w:id="0" w:name="_GoBack"/>
            <w:bookmarkEnd w:id="0"/>
            <w:r>
              <w:rPr>
                <w:rFonts w:hint="eastAsia" w:ascii="仿宋" w:hAnsi="仿宋" w:eastAsia="仿宋" w:cs="仿宋"/>
                <w:color w:val="auto"/>
                <w:spacing w:val="6"/>
                <w:sz w:val="24"/>
                <w:szCs w:val="24"/>
                <w:highlight w:val="none"/>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CAD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93" w:type="dxa"/>
            <w:vMerge w:val="continue"/>
            <w:tcBorders>
              <w:left w:val="single" w:color="000000" w:sz="6" w:space="0"/>
              <w:bottom w:val="single" w:color="000000" w:sz="2" w:space="0"/>
            </w:tcBorders>
            <w:vAlign w:val="center"/>
          </w:tcPr>
          <w:p w14:paraId="57ACCDEC">
            <w:pPr>
              <w:pStyle w:val="22"/>
              <w:spacing w:before="75" w:line="189" w:lineRule="auto"/>
              <w:jc w:val="center"/>
              <w:rPr>
                <w:rFonts w:hint="eastAsia" w:ascii="仿宋" w:hAnsi="仿宋" w:eastAsia="仿宋" w:cs="仿宋"/>
                <w:color w:val="auto"/>
                <w:spacing w:val="-2"/>
                <w:sz w:val="24"/>
                <w:szCs w:val="24"/>
                <w:highlight w:val="none"/>
                <w:lang w:val="en-US" w:eastAsia="zh-CN"/>
              </w:rPr>
            </w:pPr>
          </w:p>
        </w:tc>
        <w:tc>
          <w:tcPr>
            <w:tcW w:w="2087" w:type="dxa"/>
            <w:vAlign w:val="center"/>
          </w:tcPr>
          <w:p w14:paraId="3503C86B">
            <w:pPr>
              <w:pStyle w:val="22"/>
              <w:spacing w:before="74" w:line="228" w:lineRule="auto"/>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评标委员会</w:t>
            </w:r>
          </w:p>
        </w:tc>
        <w:tc>
          <w:tcPr>
            <w:tcW w:w="7261" w:type="dxa"/>
            <w:tcBorders>
              <w:right w:val="single" w:color="000000" w:sz="6" w:space="0"/>
            </w:tcBorders>
            <w:vAlign w:val="center"/>
          </w:tcPr>
          <w:p w14:paraId="3C009165">
            <w:pPr>
              <w:pStyle w:val="7"/>
              <w:snapToGrid w:val="0"/>
              <w:spacing w:line="290" w:lineRule="exact"/>
              <w:rPr>
                <w:rFonts w:hint="eastAsia" w:ascii="仿宋" w:hAnsi="仿宋" w:eastAsia="仿宋" w:cs="仿宋"/>
                <w:snapToGrid w:val="0"/>
                <w:color w:val="auto"/>
                <w:spacing w:val="6"/>
                <w:kern w:val="0"/>
                <w:sz w:val="24"/>
                <w:szCs w:val="24"/>
                <w:highlight w:val="none"/>
                <w:u w:val="none"/>
                <w:lang w:val="en-US" w:eastAsia="zh-CN" w:bidi="ar-SA"/>
              </w:rPr>
            </w:pPr>
            <w:r>
              <w:rPr>
                <w:rFonts w:hint="eastAsia" w:ascii="仿宋" w:hAnsi="仿宋" w:eastAsia="仿宋" w:cs="仿宋"/>
                <w:snapToGrid w:val="0"/>
                <w:color w:val="auto"/>
                <w:spacing w:val="6"/>
                <w:kern w:val="0"/>
                <w:sz w:val="24"/>
                <w:szCs w:val="24"/>
                <w:highlight w:val="none"/>
                <w:u w:val="none"/>
                <w:lang w:val="en-US" w:eastAsia="zh-CN" w:bidi="ar-SA"/>
              </w:rPr>
              <w:t>评标委员会依法组建；采购人代表1人，评审专家4人，共5人。</w:t>
            </w:r>
          </w:p>
          <w:p w14:paraId="1476AB44">
            <w:pPr>
              <w:pStyle w:val="22"/>
              <w:spacing w:before="279" w:line="260" w:lineRule="auto"/>
              <w:ind w:right="101" w:rightChars="0"/>
              <w:jc w:val="left"/>
              <w:rPr>
                <w:rFonts w:hint="eastAsia" w:ascii="仿宋" w:hAnsi="仿宋" w:eastAsia="仿宋" w:cs="仿宋"/>
                <w:color w:val="auto"/>
                <w:spacing w:val="6"/>
                <w:sz w:val="24"/>
                <w:szCs w:val="24"/>
                <w:highlight w:val="none"/>
              </w:rPr>
            </w:pPr>
            <w:r>
              <w:rPr>
                <w:rFonts w:hint="eastAsia" w:ascii="仿宋" w:hAnsi="仿宋" w:eastAsia="仿宋" w:cs="仿宋"/>
                <w:snapToGrid w:val="0"/>
                <w:color w:val="auto"/>
                <w:spacing w:val="6"/>
                <w:kern w:val="0"/>
                <w:sz w:val="24"/>
                <w:szCs w:val="24"/>
                <w:highlight w:val="none"/>
                <w:u w:val="none"/>
                <w:lang w:val="en-US" w:eastAsia="zh-CN" w:bidi="ar-SA"/>
              </w:rPr>
              <w:t>评标专家确定方式：专家评委在开标前从政采云专家库中随机抽取。</w:t>
            </w:r>
          </w:p>
        </w:tc>
      </w:tr>
      <w:tr w14:paraId="7F7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93" w:type="dxa"/>
            <w:tcBorders>
              <w:top w:val="single" w:color="000000" w:sz="2" w:space="0"/>
              <w:left w:val="single" w:color="000000" w:sz="6" w:space="0"/>
              <w:bottom w:val="single" w:color="000000" w:sz="2" w:space="0"/>
            </w:tcBorders>
            <w:vAlign w:val="center"/>
          </w:tcPr>
          <w:p w14:paraId="7F6535B6">
            <w:pPr>
              <w:pStyle w:val="22"/>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4"/>
                <w:sz w:val="24"/>
                <w:szCs w:val="24"/>
                <w:highlight w:val="none"/>
                <w:lang w:val="en-US" w:eastAsia="zh-CN"/>
              </w:rPr>
              <w:t>25</w:t>
            </w:r>
          </w:p>
        </w:tc>
        <w:tc>
          <w:tcPr>
            <w:tcW w:w="2087" w:type="dxa"/>
            <w:vAlign w:val="center"/>
          </w:tcPr>
          <w:p w14:paraId="7B7B2CBE">
            <w:pPr>
              <w:pStyle w:val="22"/>
              <w:spacing w:before="75" w:line="257"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第一阶段入围供应商数量上限</w:t>
            </w:r>
          </w:p>
        </w:tc>
        <w:tc>
          <w:tcPr>
            <w:tcW w:w="7261" w:type="dxa"/>
            <w:tcBorders>
              <w:right w:val="single" w:color="000000" w:sz="6" w:space="0"/>
            </w:tcBorders>
            <w:vAlign w:val="top"/>
          </w:tcPr>
          <w:p w14:paraId="4EC3CAA1">
            <w:pPr>
              <w:pStyle w:val="22"/>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1、2、3、4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家</w:t>
            </w:r>
          </w:p>
          <w:p w14:paraId="366612E2">
            <w:pPr>
              <w:pStyle w:val="22"/>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家时，按照质量评分从高到低排序选取前</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家为入围供应商(淘汰比例一般不得低于20%)；</w:t>
            </w:r>
          </w:p>
          <w:p w14:paraId="26BF417D">
            <w:pPr>
              <w:pStyle w:val="22"/>
              <w:spacing w:before="87" w:line="227" w:lineRule="auto"/>
              <w:ind w:left="115"/>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9"/>
                <w:sz w:val="24"/>
                <w:szCs w:val="24"/>
                <w:highlight w:val="none"/>
                <w:lang w:val="en-US" w:eastAsia="zh-CN"/>
              </w:rPr>
              <w:t>2、</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家时，仅按比例淘汰供应商。(淘汰比例一般不得低于20%，且最少淘汰一家。</w:t>
            </w:r>
          </w:p>
        </w:tc>
      </w:tr>
      <w:tr w14:paraId="2F20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3" w:type="dxa"/>
            <w:tcBorders>
              <w:top w:val="single" w:color="000000" w:sz="2" w:space="0"/>
              <w:left w:val="single" w:color="000000" w:sz="6" w:space="0"/>
              <w:bottom w:val="single" w:color="000000" w:sz="2" w:space="0"/>
            </w:tcBorders>
            <w:vAlign w:val="center"/>
          </w:tcPr>
          <w:p w14:paraId="55B17FF3">
            <w:pPr>
              <w:pStyle w:val="22"/>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26</w:t>
            </w:r>
          </w:p>
        </w:tc>
        <w:tc>
          <w:tcPr>
            <w:tcW w:w="2087" w:type="dxa"/>
            <w:vAlign w:val="top"/>
          </w:tcPr>
          <w:p w14:paraId="513D2267">
            <w:pPr>
              <w:pStyle w:val="22"/>
              <w:spacing w:before="313" w:line="258"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第二阶段成交供应商确定方式</w:t>
            </w:r>
          </w:p>
        </w:tc>
        <w:tc>
          <w:tcPr>
            <w:tcW w:w="7261" w:type="dxa"/>
            <w:tcBorders>
              <w:right w:val="single" w:color="000000" w:sz="6" w:space="0"/>
            </w:tcBorders>
            <w:vAlign w:val="center"/>
          </w:tcPr>
          <w:p w14:paraId="415D60EB">
            <w:pPr>
              <w:pStyle w:val="22"/>
              <w:spacing w:before="74" w:line="242" w:lineRule="auto"/>
              <w:ind w:right="110" w:rightChars="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按照《政府采购框架协议采购方式管理暂行办法》采用直接选定方式对入围供应商授予采购合同。</w:t>
            </w:r>
          </w:p>
        </w:tc>
      </w:tr>
      <w:tr w14:paraId="1A8A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3" w:type="dxa"/>
            <w:tcBorders>
              <w:top w:val="single" w:color="000000" w:sz="2" w:space="0"/>
              <w:left w:val="single" w:color="000000" w:sz="6" w:space="0"/>
              <w:bottom w:val="single" w:color="000000" w:sz="2" w:space="0"/>
            </w:tcBorders>
            <w:vAlign w:val="center"/>
          </w:tcPr>
          <w:p w14:paraId="62DCA117">
            <w:pPr>
              <w:pStyle w:val="22"/>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3"/>
                <w:sz w:val="24"/>
                <w:szCs w:val="24"/>
                <w:highlight w:val="none"/>
                <w:lang w:val="en-US" w:eastAsia="zh-CN"/>
              </w:rPr>
              <w:t>27</w:t>
            </w:r>
          </w:p>
        </w:tc>
        <w:tc>
          <w:tcPr>
            <w:tcW w:w="2087" w:type="dxa"/>
            <w:vAlign w:val="top"/>
          </w:tcPr>
          <w:p w14:paraId="0C7ED4A0">
            <w:pPr>
              <w:spacing w:line="274" w:lineRule="auto"/>
              <w:rPr>
                <w:rFonts w:hint="eastAsia" w:ascii="仿宋" w:hAnsi="仿宋" w:eastAsia="仿宋" w:cs="仿宋"/>
                <w:color w:val="auto"/>
                <w:sz w:val="24"/>
                <w:szCs w:val="24"/>
                <w:highlight w:val="none"/>
              </w:rPr>
            </w:pPr>
          </w:p>
          <w:p w14:paraId="761AB9CF">
            <w:pPr>
              <w:spacing w:line="275" w:lineRule="auto"/>
              <w:rPr>
                <w:rFonts w:hint="eastAsia" w:ascii="仿宋" w:hAnsi="仿宋" w:eastAsia="仿宋" w:cs="仿宋"/>
                <w:color w:val="auto"/>
                <w:sz w:val="24"/>
                <w:szCs w:val="24"/>
                <w:highlight w:val="none"/>
              </w:rPr>
            </w:pPr>
          </w:p>
          <w:p w14:paraId="7BA84A62">
            <w:pPr>
              <w:pStyle w:val="22"/>
              <w:spacing w:before="75" w:line="228" w:lineRule="auto"/>
              <w:jc w:val="center"/>
              <w:rPr>
                <w:rFonts w:hint="eastAsia" w:ascii="仿宋" w:hAnsi="仿宋" w:eastAsia="仿宋" w:cs="仿宋"/>
                <w:color w:val="auto"/>
                <w:spacing w:val="5"/>
                <w:sz w:val="24"/>
                <w:szCs w:val="24"/>
                <w:highlight w:val="none"/>
              </w:rPr>
            </w:pPr>
          </w:p>
          <w:p w14:paraId="283291A1">
            <w:pPr>
              <w:pStyle w:val="22"/>
              <w:spacing w:before="75" w:line="228" w:lineRule="auto"/>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5"/>
                <w:sz w:val="24"/>
                <w:szCs w:val="24"/>
                <w:highlight w:val="none"/>
              </w:rPr>
              <w:t>履约保证金</w:t>
            </w:r>
          </w:p>
        </w:tc>
        <w:tc>
          <w:tcPr>
            <w:tcW w:w="7261" w:type="dxa"/>
            <w:tcBorders>
              <w:right w:val="single" w:color="000000" w:sz="6" w:space="0"/>
            </w:tcBorders>
            <w:vAlign w:val="top"/>
          </w:tcPr>
          <w:p w14:paraId="49B38CE2">
            <w:pPr>
              <w:pStyle w:val="22"/>
              <w:spacing w:before="90" w:line="371" w:lineRule="auto"/>
              <w:ind w:left="115" w:leftChars="0" w:right="101" w:rightChars="0" w:firstLine="6" w:firstLine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履约保证金金额：以支票、汇票、本票或者金融机构、担保机</w:t>
            </w:r>
            <w:r>
              <w:rPr>
                <w:rFonts w:hint="eastAsia" w:ascii="仿宋" w:hAnsi="仿宋" w:eastAsia="仿宋" w:cs="仿宋"/>
                <w:color w:val="auto"/>
                <w:spacing w:val="2"/>
                <w:sz w:val="24"/>
                <w:szCs w:val="24"/>
                <w:highlight w:val="none"/>
              </w:rPr>
              <w:t>构出具的保函等非现金形式，每家提</w:t>
            </w:r>
            <w:r>
              <w:rPr>
                <w:rFonts w:hint="eastAsia" w:ascii="仿宋" w:hAnsi="仿宋" w:eastAsia="仿宋" w:cs="仿宋"/>
                <w:b/>
                <w:bCs/>
                <w:color w:val="auto"/>
                <w:spacing w:val="2"/>
                <w:sz w:val="24"/>
                <w:szCs w:val="24"/>
                <w:highlight w:val="none"/>
              </w:rPr>
              <w:t>交</w:t>
            </w:r>
            <w:r>
              <w:rPr>
                <w:rFonts w:hint="eastAsia" w:ascii="仿宋" w:hAnsi="仿宋" w:eastAsia="仿宋" w:cs="仿宋"/>
                <w:b/>
                <w:bCs/>
                <w:color w:val="auto"/>
                <w:spacing w:val="2"/>
                <w:sz w:val="24"/>
                <w:szCs w:val="24"/>
                <w:highlight w:val="none"/>
                <w:u w:val="single"/>
                <w:lang w:val="en-US" w:eastAsia="zh-CN"/>
              </w:rPr>
              <w:t xml:space="preserve">  / </w:t>
            </w:r>
            <w:r>
              <w:rPr>
                <w:rFonts w:hint="eastAsia" w:ascii="仿宋" w:hAnsi="仿宋" w:eastAsia="仿宋" w:cs="仿宋"/>
                <w:b/>
                <w:bCs/>
                <w:color w:val="auto"/>
                <w:spacing w:val="2"/>
                <w:sz w:val="24"/>
                <w:szCs w:val="24"/>
                <w:highlight w:val="none"/>
              </w:rPr>
              <w:t>元</w:t>
            </w:r>
            <w:r>
              <w:rPr>
                <w:rFonts w:hint="eastAsia" w:ascii="仿宋" w:hAnsi="仿宋" w:eastAsia="仿宋" w:cs="仿宋"/>
                <w:color w:val="auto"/>
                <w:spacing w:val="2"/>
                <w:sz w:val="24"/>
                <w:szCs w:val="24"/>
                <w:highlight w:val="none"/>
              </w:rPr>
              <w:t>的履约保证金；</w:t>
            </w:r>
            <w:r>
              <w:rPr>
                <w:rFonts w:hint="eastAsia" w:ascii="仿宋" w:hAnsi="仿宋" w:eastAsia="仿宋" w:cs="仿宋"/>
                <w:color w:val="auto"/>
                <w:spacing w:val="6"/>
                <w:sz w:val="24"/>
                <w:szCs w:val="24"/>
                <w:highlight w:val="none"/>
              </w:rPr>
              <w:t>服务期满后15个工作日内无息返还。如果乙方不履行合同，履</w:t>
            </w:r>
            <w:r>
              <w:rPr>
                <w:rFonts w:hint="eastAsia" w:ascii="仿宋" w:hAnsi="仿宋" w:eastAsia="仿宋" w:cs="仿宋"/>
                <w:color w:val="auto"/>
                <w:spacing w:val="2"/>
                <w:sz w:val="24"/>
                <w:szCs w:val="24"/>
                <w:highlight w:val="none"/>
              </w:rPr>
              <w:t>约保证金不予退还； 如果乙方未能按合同约定全面履行义务，</w:t>
            </w:r>
            <w:r>
              <w:rPr>
                <w:rFonts w:hint="eastAsia" w:ascii="仿宋" w:hAnsi="仿宋" w:eastAsia="仿宋" w:cs="仿宋"/>
                <w:color w:val="auto"/>
                <w:spacing w:val="6"/>
                <w:sz w:val="24"/>
                <w:szCs w:val="24"/>
                <w:highlight w:val="none"/>
              </w:rPr>
              <w:t>那么甲方有权从履约保证金中取得补偿或赔偿，同时不影响甲</w:t>
            </w:r>
            <w:r>
              <w:rPr>
                <w:rFonts w:hint="eastAsia" w:ascii="仿宋" w:hAnsi="仿宋" w:eastAsia="仿宋" w:cs="仿宋"/>
                <w:color w:val="auto"/>
                <w:spacing w:val="8"/>
                <w:sz w:val="24"/>
                <w:szCs w:val="24"/>
                <w:highlight w:val="none"/>
              </w:rPr>
              <w:t>方要求乙方承担合同约定的超过履约保证金的违约责任的权</w:t>
            </w:r>
            <w:r>
              <w:rPr>
                <w:rFonts w:hint="eastAsia" w:ascii="仿宋" w:hAnsi="仿宋" w:eastAsia="仿宋" w:cs="仿宋"/>
                <w:color w:val="auto"/>
                <w:spacing w:val="-1"/>
                <w:sz w:val="24"/>
                <w:szCs w:val="24"/>
                <w:highlight w:val="none"/>
              </w:rPr>
              <w:t>利。</w:t>
            </w:r>
          </w:p>
        </w:tc>
      </w:tr>
      <w:tr w14:paraId="55EE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74AEF7D6">
            <w:pPr>
              <w:pStyle w:val="22"/>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28</w:t>
            </w:r>
          </w:p>
        </w:tc>
        <w:tc>
          <w:tcPr>
            <w:tcW w:w="2087" w:type="dxa"/>
            <w:vAlign w:val="top"/>
          </w:tcPr>
          <w:p w14:paraId="0440A2CD">
            <w:pPr>
              <w:spacing w:line="315" w:lineRule="auto"/>
              <w:rPr>
                <w:rFonts w:hint="eastAsia" w:ascii="仿宋" w:hAnsi="仿宋" w:eastAsia="仿宋" w:cs="仿宋"/>
                <w:color w:val="auto"/>
                <w:sz w:val="24"/>
                <w:szCs w:val="24"/>
                <w:highlight w:val="none"/>
              </w:rPr>
            </w:pPr>
          </w:p>
          <w:p w14:paraId="6E2B16EB">
            <w:pPr>
              <w:spacing w:line="316" w:lineRule="auto"/>
              <w:rPr>
                <w:rFonts w:hint="eastAsia" w:ascii="仿宋" w:hAnsi="仿宋" w:eastAsia="仿宋" w:cs="仿宋"/>
                <w:color w:val="auto"/>
                <w:sz w:val="24"/>
                <w:szCs w:val="24"/>
                <w:highlight w:val="none"/>
              </w:rPr>
            </w:pPr>
          </w:p>
          <w:p w14:paraId="6AE8BE76">
            <w:pPr>
              <w:pStyle w:val="22"/>
              <w:spacing w:before="75" w:line="227"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招标代理服务费</w:t>
            </w:r>
          </w:p>
        </w:tc>
        <w:tc>
          <w:tcPr>
            <w:tcW w:w="7261" w:type="dxa"/>
            <w:tcBorders>
              <w:right w:val="single" w:color="000000" w:sz="6" w:space="0"/>
            </w:tcBorders>
            <w:vAlign w:val="top"/>
          </w:tcPr>
          <w:p w14:paraId="5CCE6302">
            <w:pPr>
              <w:pStyle w:val="22"/>
              <w:spacing w:before="93" w:line="22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是否由入围供应商缴纳招标代理费：是</w:t>
            </w:r>
          </w:p>
          <w:p w14:paraId="30E1394A">
            <w:pPr>
              <w:pStyle w:val="22"/>
              <w:spacing w:before="166" w:line="482"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position w:val="18"/>
                <w:sz w:val="24"/>
                <w:szCs w:val="24"/>
                <w:highlight w:val="none"/>
              </w:rPr>
              <w:t>招标代理费：项目代理服务费由中标人在领取入围通知</w:t>
            </w:r>
            <w:r>
              <w:rPr>
                <w:rFonts w:hint="eastAsia" w:ascii="仿宋" w:hAnsi="仿宋" w:eastAsia="仿宋" w:cs="仿宋"/>
                <w:color w:val="auto"/>
                <w:spacing w:val="3"/>
                <w:position w:val="18"/>
                <w:sz w:val="24"/>
                <w:szCs w:val="24"/>
                <w:highlight w:val="none"/>
              </w:rPr>
              <w:t>书前</w:t>
            </w:r>
          </w:p>
          <w:p w14:paraId="7422E4C7">
            <w:pPr>
              <w:pStyle w:val="22"/>
              <w:spacing w:line="22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一次性向采购代理机构支付。</w:t>
            </w:r>
            <w:r>
              <w:rPr>
                <w:rFonts w:hint="eastAsia" w:ascii="仿宋" w:hAnsi="仿宋" w:eastAsia="仿宋" w:cs="仿宋"/>
                <w:b/>
                <w:bCs/>
                <w:color w:val="auto"/>
                <w:spacing w:val="7"/>
                <w:sz w:val="24"/>
                <w:szCs w:val="24"/>
                <w:highlight w:val="none"/>
              </w:rPr>
              <w:t>（入围供应商每家</w:t>
            </w:r>
            <w:r>
              <w:rPr>
                <w:rFonts w:hint="eastAsia" w:ascii="仿宋" w:hAnsi="仿宋" w:eastAsia="仿宋" w:cs="仿宋"/>
                <w:b/>
                <w:bCs/>
                <w:color w:val="auto"/>
                <w:spacing w:val="7"/>
                <w:sz w:val="24"/>
                <w:szCs w:val="24"/>
                <w:highlight w:val="none"/>
                <w:lang w:val="en-US" w:eastAsia="zh-CN"/>
              </w:rPr>
              <w:t>6</w:t>
            </w:r>
            <w:r>
              <w:rPr>
                <w:rFonts w:hint="eastAsia" w:ascii="仿宋" w:hAnsi="仿宋" w:eastAsia="仿宋" w:cs="仿宋"/>
                <w:b/>
                <w:bCs/>
                <w:color w:val="auto"/>
                <w:spacing w:val="7"/>
                <w:sz w:val="24"/>
                <w:szCs w:val="24"/>
                <w:highlight w:val="none"/>
              </w:rPr>
              <w:t>000元）</w:t>
            </w:r>
          </w:p>
          <w:p w14:paraId="33EA0AD5">
            <w:pPr>
              <w:pStyle w:val="22"/>
              <w:spacing w:before="180" w:line="227" w:lineRule="auto"/>
              <w:ind w:left="1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支付形式：与代理机构联系确定</w:t>
            </w:r>
          </w:p>
          <w:p w14:paraId="2CF7E187">
            <w:pPr>
              <w:pStyle w:val="22"/>
              <w:spacing w:before="185" w:line="227" w:lineRule="auto"/>
              <w:ind w:left="116" w:left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8"/>
                <w:sz w:val="24"/>
                <w:szCs w:val="24"/>
                <w:highlight w:val="none"/>
              </w:rPr>
              <w:t>支付时间：与代理机构联系确定</w:t>
            </w:r>
          </w:p>
        </w:tc>
      </w:tr>
      <w:tr w14:paraId="233E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restart"/>
            <w:tcBorders>
              <w:top w:val="single" w:color="000000" w:sz="2" w:space="0"/>
              <w:left w:val="single" w:color="000000" w:sz="6" w:space="0"/>
            </w:tcBorders>
            <w:vAlign w:val="center"/>
          </w:tcPr>
          <w:p w14:paraId="04673DD9">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29</w:t>
            </w:r>
          </w:p>
        </w:tc>
        <w:tc>
          <w:tcPr>
            <w:tcW w:w="2087" w:type="dxa"/>
            <w:vMerge w:val="restart"/>
            <w:vAlign w:val="center"/>
          </w:tcPr>
          <w:p w14:paraId="2C092037">
            <w:pPr>
              <w:pStyle w:val="22"/>
              <w:spacing w:before="75" w:line="365" w:lineRule="auto"/>
              <w:ind w:right="104"/>
              <w:jc w:val="center"/>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t>中小微企业政策</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1"/>
                <w:highlight w:val="none"/>
              </w:rPr>
              <w:t>文件（本政策仅限</w:t>
            </w:r>
            <w:r>
              <w:rPr>
                <w:rFonts w:hint="eastAsia" w:ascii="仿宋" w:hAnsi="仿宋" w:eastAsia="仿宋" w:cs="仿宋"/>
                <w:color w:val="auto"/>
                <w:spacing w:val="5"/>
                <w:highlight w:val="none"/>
              </w:rPr>
              <w:t>于综合评分法）</w:t>
            </w:r>
          </w:p>
        </w:tc>
        <w:tc>
          <w:tcPr>
            <w:tcW w:w="7261" w:type="dxa"/>
            <w:tcBorders>
              <w:right w:val="single" w:color="000000" w:sz="6" w:space="0"/>
            </w:tcBorders>
            <w:vAlign w:val="top"/>
          </w:tcPr>
          <w:p w14:paraId="38B985C3">
            <w:pPr>
              <w:pStyle w:val="22"/>
              <w:spacing w:before="185" w:line="349" w:lineRule="auto"/>
              <w:ind w:left="114" w:right="103"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
                <w:highlight w:val="none"/>
              </w:rPr>
              <w:t>（1）根据财政部《政府采购促进中小企业发展管理办法》（财</w:t>
            </w:r>
            <w:r>
              <w:rPr>
                <w:rFonts w:hint="eastAsia" w:ascii="仿宋" w:hAnsi="仿宋" w:eastAsia="仿宋" w:cs="仿宋"/>
                <w:color w:val="auto"/>
                <w:spacing w:val="6"/>
                <w:highlight w:val="none"/>
              </w:rPr>
              <w:t>库[2020]46号）</w:t>
            </w:r>
            <w:r>
              <w:rPr>
                <w:rFonts w:hint="eastAsia" w:ascii="仿宋" w:hAnsi="仿宋" w:eastAsia="仿宋" w:cs="仿宋"/>
                <w:color w:val="auto"/>
                <w:spacing w:val="6"/>
                <w:highlight w:val="none"/>
                <w:lang w:eastAsia="zh-CN"/>
              </w:rPr>
              <w:t>、</w:t>
            </w:r>
            <w:r>
              <w:rPr>
                <w:rFonts w:hint="eastAsia" w:ascii="仿宋" w:hAnsi="仿宋" w:eastAsia="仿宋" w:cs="仿宋"/>
                <w:color w:val="auto"/>
                <w:spacing w:val="6"/>
                <w:highlight w:val="none"/>
              </w:rPr>
              <w:t>《关于进一步加大政府采购支持</w:t>
            </w:r>
            <w:r>
              <w:rPr>
                <w:rFonts w:hint="eastAsia" w:ascii="仿宋" w:hAnsi="仿宋" w:eastAsia="仿宋" w:cs="仿宋"/>
                <w:color w:val="auto"/>
                <w:spacing w:val="5"/>
                <w:highlight w:val="none"/>
              </w:rPr>
              <w:t>中小企业力</w:t>
            </w:r>
            <w:r>
              <w:rPr>
                <w:rFonts w:hint="eastAsia" w:ascii="仿宋" w:hAnsi="仿宋" w:eastAsia="仿宋" w:cs="仿宋"/>
                <w:color w:val="auto"/>
                <w:spacing w:val="4"/>
                <w:highlight w:val="none"/>
              </w:rPr>
              <w:t>度的通知》</w:t>
            </w:r>
            <w:r>
              <w:rPr>
                <w:rFonts w:hint="eastAsia" w:ascii="仿宋" w:hAnsi="仿宋" w:eastAsia="仿宋" w:cs="仿宋"/>
                <w:color w:val="auto"/>
                <w:spacing w:val="-58"/>
                <w:highlight w:val="none"/>
              </w:rPr>
              <w:t xml:space="preserve"> </w:t>
            </w:r>
            <w:r>
              <w:rPr>
                <w:rFonts w:hint="eastAsia" w:ascii="仿宋" w:hAnsi="仿宋" w:eastAsia="仿宋" w:cs="仿宋"/>
                <w:color w:val="auto"/>
                <w:spacing w:val="4"/>
                <w:highlight w:val="none"/>
              </w:rPr>
              <w:t>(财库[2022]19号)、</w:t>
            </w:r>
            <w:r>
              <w:rPr>
                <w:rFonts w:hint="eastAsia" w:ascii="仿宋" w:hAnsi="仿宋" w:eastAsia="仿宋" w:cs="仿宋"/>
                <w:color w:val="auto"/>
                <w:spacing w:val="3"/>
                <w:highlight w:val="none"/>
              </w:rPr>
              <w:t>新财购（2022）22号文件《关</w:t>
            </w:r>
            <w:r>
              <w:rPr>
                <w:rFonts w:hint="eastAsia" w:ascii="仿宋" w:hAnsi="仿宋" w:eastAsia="仿宋" w:cs="仿宋"/>
                <w:color w:val="auto"/>
                <w:spacing w:val="1"/>
                <w:highlight w:val="none"/>
              </w:rPr>
              <w:t>于落实好政府采购支持中小企业发展的通知》，投标人及其所</w:t>
            </w:r>
            <w:r>
              <w:rPr>
                <w:rFonts w:hint="eastAsia" w:ascii="仿宋" w:hAnsi="仿宋" w:eastAsia="仿宋" w:cs="仿宋"/>
                <w:color w:val="auto"/>
                <w:spacing w:val="7"/>
                <w:highlight w:val="none"/>
              </w:rPr>
              <w:t>投产品的制造商均属于《工业和信息化部、国家</w:t>
            </w:r>
            <w:r>
              <w:rPr>
                <w:rFonts w:hint="eastAsia" w:ascii="仿宋" w:hAnsi="仿宋" w:eastAsia="仿宋" w:cs="仿宋"/>
                <w:color w:val="auto"/>
                <w:spacing w:val="6"/>
                <w:highlight w:val="none"/>
              </w:rPr>
              <w:t>统计局、国家</w:t>
            </w:r>
            <w:r>
              <w:rPr>
                <w:rFonts w:hint="eastAsia" w:ascii="仿宋" w:hAnsi="仿宋" w:eastAsia="仿宋" w:cs="仿宋"/>
                <w:color w:val="auto"/>
                <w:spacing w:val="7"/>
                <w:highlight w:val="none"/>
              </w:rPr>
              <w:t>发展和改革委员会、财政部关于印发中小企业划</w:t>
            </w:r>
            <w:r>
              <w:rPr>
                <w:rFonts w:hint="eastAsia" w:ascii="仿宋" w:hAnsi="仿宋" w:eastAsia="仿宋" w:cs="仿宋"/>
                <w:color w:val="auto"/>
                <w:spacing w:val="6"/>
                <w:highlight w:val="none"/>
              </w:rPr>
              <w:t>型标准规定的</w:t>
            </w:r>
            <w:r>
              <w:rPr>
                <w:rFonts w:hint="eastAsia" w:ascii="仿宋" w:hAnsi="仿宋" w:eastAsia="仿宋" w:cs="仿宋"/>
                <w:color w:val="auto"/>
                <w:spacing w:val="4"/>
                <w:highlight w:val="none"/>
              </w:rPr>
              <w:t>通知》（工信部联企业[2011]300号）中规定的小型、微型企</w:t>
            </w:r>
            <w:r>
              <w:rPr>
                <w:rFonts w:hint="eastAsia" w:ascii="仿宋" w:hAnsi="仿宋" w:eastAsia="仿宋" w:cs="仿宋"/>
                <w:color w:val="auto"/>
                <w:spacing w:val="6"/>
                <w:highlight w:val="none"/>
              </w:rPr>
              <w:t>业标准的，按文件格式提供《中小企业声明函》。</w:t>
            </w:r>
          </w:p>
        </w:tc>
      </w:tr>
      <w:tr w14:paraId="7904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893" w:type="dxa"/>
            <w:vMerge w:val="continue"/>
            <w:tcBorders>
              <w:left w:val="single" w:color="000000" w:sz="6" w:space="0"/>
            </w:tcBorders>
            <w:vAlign w:val="top"/>
          </w:tcPr>
          <w:p w14:paraId="6244A068">
            <w:pPr>
              <w:pStyle w:val="22"/>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1FC8D85F">
            <w:pPr>
              <w:pStyle w:val="22"/>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73F5ADEC">
            <w:pPr>
              <w:pStyle w:val="22"/>
              <w:spacing w:before="179" w:line="349" w:lineRule="auto"/>
              <w:ind w:left="118" w:right="106" w:firstLine="2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（2）根据财政部、司令部《关于政府采购支持监狱企业发展</w:t>
            </w:r>
            <w:r>
              <w:rPr>
                <w:rFonts w:hint="eastAsia" w:ascii="仿宋" w:hAnsi="仿宋" w:eastAsia="仿宋" w:cs="仿宋"/>
                <w:color w:val="auto"/>
                <w:spacing w:val="6"/>
                <w:highlight w:val="none"/>
              </w:rPr>
              <w:t>有关问题》的通知财库[2014]68号，监</w:t>
            </w:r>
            <w:r>
              <w:rPr>
                <w:rFonts w:hint="eastAsia" w:ascii="仿宋" w:hAnsi="仿宋" w:eastAsia="仿宋" w:cs="仿宋"/>
                <w:color w:val="auto"/>
                <w:spacing w:val="5"/>
                <w:highlight w:val="none"/>
              </w:rPr>
              <w:t>狱企业参加本项目投标</w:t>
            </w:r>
            <w:r>
              <w:rPr>
                <w:rFonts w:hint="eastAsia" w:ascii="仿宋" w:hAnsi="仿宋" w:eastAsia="仿宋" w:cs="仿宋"/>
                <w:color w:val="auto"/>
                <w:spacing w:val="6"/>
                <w:highlight w:val="none"/>
              </w:rPr>
              <w:t>时，应当提供由省级以上监狱管理局、戒毒管理局（新疆生产建设兵团）出具的属于监狱企业的证明文件。监狱企业视同小</w:t>
            </w:r>
            <w:r>
              <w:rPr>
                <w:rFonts w:hint="eastAsia" w:ascii="仿宋" w:hAnsi="仿宋" w:eastAsia="仿宋" w:cs="仿宋"/>
                <w:color w:val="auto"/>
                <w:spacing w:val="4"/>
                <w:highlight w:val="none"/>
              </w:rPr>
              <w:t>型、微型企业。</w:t>
            </w:r>
          </w:p>
        </w:tc>
      </w:tr>
      <w:tr w14:paraId="2445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5" w:hRule="atLeast"/>
        </w:trPr>
        <w:tc>
          <w:tcPr>
            <w:tcW w:w="893" w:type="dxa"/>
            <w:vMerge w:val="continue"/>
            <w:tcBorders>
              <w:left w:val="single" w:color="000000" w:sz="6" w:space="0"/>
              <w:bottom w:val="single" w:color="000000" w:sz="2" w:space="0"/>
            </w:tcBorders>
            <w:vAlign w:val="top"/>
          </w:tcPr>
          <w:p w14:paraId="3182C6CA">
            <w:pPr>
              <w:pStyle w:val="22"/>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38C4C2C0">
            <w:pPr>
              <w:pStyle w:val="22"/>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27BE1790">
            <w:pPr>
              <w:pStyle w:val="22"/>
              <w:spacing w:before="185" w:line="348" w:lineRule="auto"/>
              <w:ind w:left="114" w:right="106"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（3）根据财政部、民政部、中国残疾人联合会《关于促进残</w:t>
            </w:r>
            <w:r>
              <w:rPr>
                <w:rFonts w:hint="eastAsia" w:ascii="仿宋" w:hAnsi="仿宋" w:eastAsia="仿宋" w:cs="仿宋"/>
                <w:color w:val="auto"/>
                <w:spacing w:val="8"/>
                <w:highlight w:val="none"/>
              </w:rPr>
              <w:t>疾人就业政府采购政策的通知》（财库[2017]141号</w:t>
            </w:r>
            <w:r>
              <w:rPr>
                <w:rFonts w:hint="eastAsia" w:ascii="仿宋" w:hAnsi="仿宋" w:eastAsia="仿宋" w:cs="仿宋"/>
                <w:color w:val="auto"/>
                <w:spacing w:val="5"/>
                <w:highlight w:val="none"/>
              </w:rPr>
              <w:t>）</w:t>
            </w:r>
            <w:r>
              <w:rPr>
                <w:rFonts w:hint="eastAsia" w:ascii="仿宋" w:hAnsi="仿宋" w:eastAsia="仿宋" w:cs="仿宋"/>
                <w:color w:val="auto"/>
                <w:spacing w:val="-61"/>
                <w:highlight w:val="none"/>
              </w:rPr>
              <w:t xml:space="preserve"> </w:t>
            </w:r>
            <w:r>
              <w:rPr>
                <w:rFonts w:hint="eastAsia" w:ascii="仿宋" w:hAnsi="仿宋" w:eastAsia="仿宋" w:cs="仿宋"/>
                <w:color w:val="auto"/>
                <w:spacing w:val="5"/>
                <w:highlight w:val="none"/>
              </w:rPr>
              <w:t>，</w:t>
            </w:r>
            <w:r>
              <w:rPr>
                <w:rFonts w:hint="eastAsia" w:ascii="仿宋" w:hAnsi="仿宋" w:eastAsia="仿宋" w:cs="仿宋"/>
                <w:color w:val="auto"/>
                <w:spacing w:val="8"/>
                <w:highlight w:val="none"/>
              </w:rPr>
              <w:t>在政</w:t>
            </w:r>
            <w:r>
              <w:rPr>
                <w:rFonts w:hint="eastAsia" w:ascii="仿宋" w:hAnsi="仿宋" w:eastAsia="仿宋" w:cs="仿宋"/>
                <w:color w:val="auto"/>
                <w:spacing w:val="7"/>
                <w:highlight w:val="none"/>
              </w:rPr>
              <w:t>府采购活动中，残疾人福利性单位视同小型</w:t>
            </w:r>
            <w:r>
              <w:rPr>
                <w:rFonts w:hint="eastAsia" w:ascii="仿宋" w:hAnsi="仿宋" w:eastAsia="仿宋" w:cs="仿宋"/>
                <w:color w:val="auto"/>
                <w:spacing w:val="6"/>
                <w:highlight w:val="none"/>
              </w:rPr>
              <w:t>、微型企业。投标</w:t>
            </w:r>
            <w:r>
              <w:rPr>
                <w:rFonts w:hint="eastAsia" w:ascii="仿宋" w:hAnsi="仿宋" w:eastAsia="仿宋" w:cs="仿宋"/>
                <w:color w:val="auto"/>
                <w:spacing w:val="7"/>
                <w:highlight w:val="none"/>
              </w:rPr>
              <w:t>人属于残疾人福利性单位的，按照招标文件</w:t>
            </w:r>
            <w:r>
              <w:rPr>
                <w:rFonts w:hint="eastAsia" w:ascii="仿宋" w:hAnsi="仿宋" w:eastAsia="仿宋" w:cs="仿宋"/>
                <w:color w:val="auto"/>
                <w:spacing w:val="6"/>
                <w:highlight w:val="none"/>
              </w:rPr>
              <w:t>格式提供残疾人福</w:t>
            </w:r>
            <w:r>
              <w:rPr>
                <w:rFonts w:hint="eastAsia" w:ascii="仿宋" w:hAnsi="仿宋" w:eastAsia="仿宋" w:cs="仿宋"/>
                <w:color w:val="auto"/>
                <w:spacing w:val="5"/>
                <w:highlight w:val="none"/>
              </w:rPr>
              <w:t>利性单位声明函。</w:t>
            </w:r>
          </w:p>
        </w:tc>
      </w:tr>
      <w:tr w14:paraId="2E2A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93" w:type="dxa"/>
            <w:tcBorders>
              <w:top w:val="single" w:color="000000" w:sz="2" w:space="0"/>
              <w:left w:val="single" w:color="000000" w:sz="6" w:space="0"/>
              <w:bottom w:val="single" w:color="000000" w:sz="2" w:space="0"/>
            </w:tcBorders>
            <w:vAlign w:val="center"/>
          </w:tcPr>
          <w:p w14:paraId="1C89DB51">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30</w:t>
            </w:r>
          </w:p>
        </w:tc>
        <w:tc>
          <w:tcPr>
            <w:tcW w:w="2087" w:type="dxa"/>
            <w:vAlign w:val="center"/>
          </w:tcPr>
          <w:p w14:paraId="246CB532">
            <w:pPr>
              <w:pStyle w:val="22"/>
              <w:spacing w:before="75" w:line="484" w:lineRule="exact"/>
              <w:jc w:val="center"/>
              <w:rPr>
                <w:rFonts w:hint="eastAsia" w:ascii="仿宋" w:hAnsi="仿宋" w:eastAsia="仿宋" w:cs="仿宋"/>
                <w:b/>
                <w:bCs/>
                <w:color w:val="auto"/>
                <w:highlight w:val="none"/>
              </w:rPr>
            </w:pPr>
            <w:r>
              <w:rPr>
                <w:rFonts w:hint="eastAsia" w:ascii="仿宋" w:hAnsi="仿宋" w:eastAsia="仿宋" w:cs="仿宋"/>
                <w:b/>
                <w:bCs/>
                <w:color w:val="auto"/>
                <w:position w:val="18"/>
                <w:highlight w:val="none"/>
              </w:rPr>
              <w:t>中小微企业政策</w:t>
            </w:r>
          </w:p>
          <w:p w14:paraId="7D02DB05">
            <w:pPr>
              <w:pStyle w:val="22"/>
              <w:spacing w:before="75" w:line="227" w:lineRule="auto"/>
              <w:ind w:left="191" w:leftChars="0"/>
              <w:jc w:val="cente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4"/>
                <w:highlight w:val="none"/>
              </w:rPr>
              <w:t>文件说明</w:t>
            </w:r>
          </w:p>
        </w:tc>
        <w:tc>
          <w:tcPr>
            <w:tcW w:w="7261" w:type="dxa"/>
            <w:tcBorders>
              <w:right w:val="single" w:color="000000" w:sz="6" w:space="0"/>
            </w:tcBorders>
            <w:vAlign w:val="top"/>
          </w:tcPr>
          <w:p w14:paraId="56481E78">
            <w:pPr>
              <w:pStyle w:val="22"/>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1.本项目为专门面向中小企业项目，资金为全部预留。</w:t>
            </w:r>
          </w:p>
          <w:p w14:paraId="342FEAE0">
            <w:pPr>
              <w:pStyle w:val="22"/>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2.本采购项目中小企业划分标准所属行业为：</w:t>
            </w:r>
            <w:r>
              <w:rPr>
                <w:rFonts w:hint="eastAsia" w:ascii="仿宋" w:hAnsi="仿宋" w:eastAsia="仿宋" w:cs="仿宋"/>
                <w:b/>
                <w:bCs/>
                <w:color w:val="auto"/>
                <w:spacing w:val="1"/>
                <w:highlight w:val="none"/>
                <w:u w:val="single"/>
                <w:lang w:val="en-US" w:eastAsia="zh-CN"/>
              </w:rPr>
              <w:t>其他未列明行业。</w:t>
            </w:r>
          </w:p>
          <w:p w14:paraId="5CCEABF7">
            <w:pPr>
              <w:pStyle w:val="22"/>
              <w:spacing w:before="185" w:line="349" w:lineRule="auto"/>
              <w:ind w:left="114" w:right="103" w:firstLine="24"/>
              <w:jc w:val="both"/>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color w:val="auto"/>
                <w:spacing w:val="1"/>
                <w:highlight w:val="none"/>
                <w:lang w:val="en-US" w:eastAsia="zh-CN"/>
              </w:rPr>
              <w:t>一、根据《中华人民共和国中小企业促进法》和《国务院关于进一步促进中小企业发展的若干意见》(国发〔2009〕36号)，制定本规定。</w:t>
            </w:r>
            <w:r>
              <w:rPr>
                <w:rFonts w:hint="eastAsia" w:ascii="仿宋" w:hAnsi="仿宋" w:eastAsia="仿宋" w:cs="仿宋"/>
                <w:snapToGrid w:val="0"/>
                <w:color w:val="auto"/>
                <w:spacing w:val="10"/>
                <w:kern w:val="0"/>
                <w:sz w:val="23"/>
                <w:szCs w:val="23"/>
                <w:highlight w:val="none"/>
                <w:lang w:val="en-US" w:eastAsia="zh-CN" w:bidi="ar-SA"/>
              </w:rPr>
              <w:t>二、中小企业划分为中型、小型、微型三种类型，具体标准根据企业从业人员、营业收入、资产总额等指标，结合行业特点制定。</w:t>
            </w:r>
          </w:p>
          <w:p w14:paraId="3F1D96E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7CCE5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四、各行业划型标准为：</w:t>
            </w:r>
          </w:p>
          <w:p w14:paraId="2A58D25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89CE55">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F00D0B">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D5079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5E13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626B4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2F25C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904A48">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F2F960">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5DAF67">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4B66D0">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CF0D8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81485F">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E88EE3">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67F279">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93A37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5D9E98E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五、企业类型的划分以统计部门的统计数据为依据。</w:t>
            </w:r>
          </w:p>
          <w:p w14:paraId="5802F684">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六、本规定适用于在中华人民共和国境内依法设立的各类所有制和各种组织形式的企业。个体工商户和本规定以外的行业，参照本规定进行划型。</w:t>
            </w:r>
          </w:p>
          <w:p w14:paraId="03F5FEDA">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403F8DF2">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八、本规定由工业和信息化部、国家统计局会同有关部门根据《国民经济行业分类》修订情况和企业发展变化情况适时修订。</w:t>
            </w:r>
          </w:p>
          <w:p w14:paraId="36F77576">
            <w:pPr>
              <w:pStyle w:val="31"/>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九、本规定由工业和信息化部、国家统计局会同有关部门负责解释。</w:t>
            </w:r>
          </w:p>
          <w:p w14:paraId="2D799E7B">
            <w:pPr>
              <w:pStyle w:val="22"/>
              <w:spacing w:before="185" w:line="348" w:lineRule="auto"/>
              <w:ind w:right="106"/>
              <w:jc w:val="both"/>
              <w:rPr>
                <w:rFonts w:hint="default" w:ascii="仿宋" w:hAnsi="仿宋" w:eastAsia="仿宋" w:cs="仿宋"/>
                <w:b/>
                <w:bCs/>
                <w:color w:val="auto"/>
                <w:spacing w:val="10"/>
                <w:highlight w:val="none"/>
                <w:lang w:val="en-US" w:eastAsia="zh-CN"/>
              </w:rPr>
            </w:pPr>
            <w:r>
              <w:rPr>
                <w:rFonts w:hint="eastAsia" w:ascii="仿宋" w:hAnsi="仿宋" w:eastAsia="仿宋" w:cs="仿宋"/>
                <w:snapToGrid w:val="0"/>
                <w:color w:val="auto"/>
                <w:spacing w:val="10"/>
                <w:kern w:val="0"/>
                <w:sz w:val="23"/>
                <w:szCs w:val="23"/>
                <w:highlight w:val="none"/>
                <w:lang w:val="en-US" w:eastAsia="zh-CN" w:bidi="ar-SA"/>
              </w:rPr>
              <w:t>十、本规定自发布之日起执行，原国家经贸委、原国家计委、财政部和国家统计局2003年颁布的《中小企业标准暂行规定》同时废止</w:t>
            </w:r>
          </w:p>
        </w:tc>
      </w:tr>
      <w:tr w14:paraId="1D64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3A748F56">
            <w:pPr>
              <w:pStyle w:val="22"/>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31</w:t>
            </w:r>
          </w:p>
        </w:tc>
        <w:tc>
          <w:tcPr>
            <w:tcW w:w="2087" w:type="dxa"/>
            <w:vAlign w:val="center"/>
          </w:tcPr>
          <w:p w14:paraId="39F00E7E">
            <w:pPr>
              <w:pStyle w:val="22"/>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备注</w:t>
            </w:r>
          </w:p>
        </w:tc>
        <w:tc>
          <w:tcPr>
            <w:tcW w:w="7261" w:type="dxa"/>
            <w:tcBorders>
              <w:right w:val="single" w:color="000000" w:sz="6" w:space="0"/>
            </w:tcBorders>
            <w:vAlign w:val="top"/>
          </w:tcPr>
          <w:p w14:paraId="6129C39D">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1、着重提醒各投标人注意，并认真查看招标文件中的每一个条款及要求，因误读招标文件而造成的后果，招标人概不负责。 </w:t>
            </w:r>
          </w:p>
          <w:p w14:paraId="04048759">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2、投标人使用相同IP地址的，一经发现，相关部门将进一步核实，查实后按串通投标处理。</w:t>
            </w:r>
          </w:p>
          <w:p w14:paraId="04E234C3">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3、为保证本项目质量，良好的售后服务，最低报价不作为中标的唯一依据。</w:t>
            </w:r>
          </w:p>
          <w:p w14:paraId="479FBF7A">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4、投标人须承诺班组成员须常驻现场，否则项目做废标处理。 </w:t>
            </w:r>
          </w:p>
          <w:p w14:paraId="42EEC14D">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5、采购人若发现</w:t>
            </w:r>
            <w:r>
              <w:rPr>
                <w:rFonts w:hint="eastAsia" w:ascii="仿宋" w:hAnsi="仿宋" w:eastAsia="仿宋" w:cs="仿宋"/>
                <w:color w:val="auto"/>
                <w:spacing w:val="5"/>
                <w:highlight w:val="none"/>
                <w:lang w:val="en-US" w:eastAsia="zh-CN"/>
              </w:rPr>
              <w:t>中标</w:t>
            </w:r>
            <w:r>
              <w:rPr>
                <w:rFonts w:hint="eastAsia" w:ascii="仿宋" w:hAnsi="仿宋" w:eastAsia="仿宋" w:cs="仿宋"/>
                <w:color w:val="auto"/>
                <w:spacing w:val="5"/>
                <w:highlight w:val="none"/>
              </w:rPr>
              <w:t>候选供应商在投标过程中提供虚假证明文件，故意隐瞒公司不良信誉和财务状况，以及其他可能对合同圆满履行造成风险的因素等，则按规定取消其成交资格，监管部门依法进行处理。</w:t>
            </w:r>
          </w:p>
          <w:p w14:paraId="5F89D103">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6</w:t>
            </w:r>
            <w:r>
              <w:rPr>
                <w:rFonts w:hint="eastAsia" w:ascii="仿宋" w:hAnsi="仿宋" w:eastAsia="仿宋" w:cs="仿宋"/>
                <w:color w:val="auto"/>
                <w:spacing w:val="5"/>
                <w:highlight w:val="none"/>
              </w:rPr>
              <w:t>、其它：</w:t>
            </w:r>
          </w:p>
          <w:p w14:paraId="3CFAAC7E">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（1）投标企业严格遵守国家的法律法规及招标纪律，无违法违纪及商业贿赂行为。</w:t>
            </w:r>
          </w:p>
          <w:p w14:paraId="46F86D26">
            <w:pPr>
              <w:pStyle w:val="22"/>
              <w:spacing w:before="1" w:line="228" w:lineRule="auto"/>
              <w:ind w:left="125" w:leftChars="0"/>
              <w:rPr>
                <w:rFonts w:hint="eastAsia" w:ascii="仿宋" w:hAnsi="仿宋" w:eastAsia="仿宋" w:cs="仿宋"/>
                <w:color w:val="auto"/>
                <w:spacing w:val="5"/>
                <w:highlight w:val="none"/>
                <w:lang w:eastAsia="zh-CN"/>
              </w:rPr>
            </w:pPr>
            <w:r>
              <w:rPr>
                <w:rFonts w:hint="eastAsia" w:ascii="仿宋" w:hAnsi="仿宋" w:eastAsia="仿宋" w:cs="仿宋"/>
                <w:color w:val="auto"/>
                <w:spacing w:val="5"/>
                <w:highlight w:val="none"/>
              </w:rPr>
              <w:t>（2）不管投标结果如何，供应商均应自行承担投标所需一切费用</w:t>
            </w:r>
            <w:r>
              <w:rPr>
                <w:rFonts w:hint="eastAsia" w:ascii="仿宋" w:hAnsi="仿宋" w:eastAsia="仿宋" w:cs="仿宋"/>
                <w:color w:val="auto"/>
                <w:spacing w:val="5"/>
                <w:highlight w:val="none"/>
                <w:lang w:eastAsia="zh-CN"/>
              </w:rPr>
              <w:t>。</w:t>
            </w:r>
          </w:p>
          <w:p w14:paraId="623B14C0">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（3）供应商应以书面形式保证中标后由本公司组织实施，不得以任何理由将项目转包给其他机构。</w:t>
            </w:r>
          </w:p>
          <w:p w14:paraId="0076DA91">
            <w:pPr>
              <w:pStyle w:val="22"/>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（4）</w:t>
            </w:r>
            <w:r>
              <w:rPr>
                <w:rFonts w:hint="eastAsia" w:ascii="仿宋" w:hAnsi="仿宋" w:eastAsia="仿宋" w:cs="仿宋"/>
                <w:color w:val="auto"/>
                <w:spacing w:val="5"/>
                <w:highlight w:val="none"/>
                <w:lang w:val="en-US" w:eastAsia="zh-CN"/>
              </w:rPr>
              <w:t>征集</w:t>
            </w:r>
            <w:r>
              <w:rPr>
                <w:rFonts w:hint="eastAsia" w:ascii="仿宋" w:hAnsi="仿宋" w:eastAsia="仿宋" w:cs="仿宋"/>
                <w:color w:val="auto"/>
                <w:spacing w:val="5"/>
                <w:highlight w:val="none"/>
              </w:rPr>
              <w:t>文件中如出现前后不一致情况，均以前附表内容为准。</w:t>
            </w:r>
          </w:p>
        </w:tc>
      </w:tr>
    </w:tbl>
    <w:p w14:paraId="17FE6BF8">
      <w:pPr>
        <w:spacing w:before="13"/>
        <w:rPr>
          <w:rFonts w:hint="eastAsia" w:ascii="仿宋" w:hAnsi="仿宋" w:eastAsia="仿宋" w:cs="仿宋"/>
          <w:color w:val="auto"/>
          <w:sz w:val="24"/>
          <w:szCs w:val="24"/>
          <w:highlight w:val="none"/>
        </w:rPr>
      </w:pPr>
    </w:p>
    <w:p w14:paraId="6275AD5E">
      <w:pPr>
        <w:pStyle w:val="5"/>
        <w:spacing w:before="124" w:line="292" w:lineRule="exact"/>
        <w:jc w:val="center"/>
        <w:rPr>
          <w:rFonts w:hint="eastAsia" w:ascii="仿宋" w:hAnsi="仿宋" w:eastAsia="仿宋" w:cs="仿宋"/>
          <w:snapToGrid w:val="0"/>
          <w:color w:val="auto"/>
          <w:spacing w:val="-9"/>
          <w:kern w:val="0"/>
          <w:sz w:val="36"/>
          <w:szCs w:val="36"/>
          <w:highlight w:val="none"/>
          <w:lang w:val="en-US" w:eastAsia="zh-CN" w:bidi="ar-SA"/>
          <w14:textOutline w14:w="5103" w14:cap="sq" w14:cmpd="sng">
            <w14:solidFill>
              <w14:srgbClr w14:val="000000"/>
            </w14:solidFill>
            <w14:prstDash w14:val="solid"/>
            <w14:bevel/>
          </w14:textOutline>
        </w:rPr>
      </w:pPr>
    </w:p>
    <w:p w14:paraId="52000941">
      <w:pPr>
        <w:pStyle w:val="5"/>
        <w:keepNext w:val="0"/>
        <w:keepLines w:val="0"/>
        <w:pageBreakBefore w:val="0"/>
        <w:widowControl/>
        <w:kinsoku w:val="0"/>
        <w:wordWrap/>
        <w:overflowPunct/>
        <w:topLinePunct w:val="0"/>
        <w:autoSpaceDE w:val="0"/>
        <w:autoSpaceDN w:val="0"/>
        <w:bidi w:val="0"/>
        <w:adjustRightInd w:val="0"/>
        <w:snapToGrid w:val="0"/>
        <w:spacing w:before="124" w:line="460" w:lineRule="exact"/>
        <w:jc w:val="center"/>
        <w:textAlignment w:val="baseline"/>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pPr>
      <w:r>
        <w:rPr>
          <w:rFonts w:hint="eastAsia" w:ascii="仿宋" w:hAnsi="仿宋" w:eastAsia="仿宋" w:cs="仿宋"/>
          <w:snapToGrid w:val="0"/>
          <w:color w:val="auto"/>
          <w:spacing w:val="-9"/>
          <w:kern w:val="0"/>
          <w:sz w:val="36"/>
          <w:szCs w:val="36"/>
          <w:highlight w:val="none"/>
          <w:lang w:val="en-US" w:eastAsia="zh-CN" w:bidi="ar-SA"/>
          <w14:textOutline w14:w="5103" w14:cap="sq" w14:cmpd="sng">
            <w14:solidFill>
              <w14:srgbClr w14:val="000000"/>
            </w14:solidFill>
            <w14:prstDash w14:val="solid"/>
            <w14:bevel/>
          </w14:textOutline>
        </w:rPr>
        <w:t>一</w:t>
      </w:r>
      <w: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t xml:space="preserve">  总  则</w:t>
      </w:r>
    </w:p>
    <w:p w14:paraId="1C8468C2">
      <w:pPr>
        <w:rPr>
          <w:rFonts w:hint="eastAsia"/>
          <w:color w:val="auto"/>
          <w:highlight w:val="none"/>
          <w:lang w:val="en-US" w:eastAsia="en-US"/>
        </w:rPr>
      </w:pPr>
    </w:p>
    <w:p w14:paraId="08AB33BB">
      <w:pPr>
        <w:keepNext w:val="0"/>
        <w:keepLines w:val="0"/>
        <w:pageBreakBefore w:val="0"/>
        <w:widowControl/>
        <w:kinsoku w:val="0"/>
        <w:wordWrap/>
        <w:overflowPunct/>
        <w:topLinePunct w:val="0"/>
        <w:autoSpaceDE w:val="0"/>
        <w:autoSpaceDN w:val="0"/>
        <w:bidi w:val="0"/>
        <w:adjustRightInd w:val="0"/>
        <w:snapToGrid w:val="0"/>
        <w:spacing w:before="45"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1.1采购人：是指依法进行政府采购的国家机关、事业单位、团体组织。本项目的适用采购</w:t>
      </w:r>
      <w:r>
        <w:rPr>
          <w:rFonts w:hint="eastAsia" w:ascii="仿宋" w:hAnsi="仿宋" w:eastAsia="仿宋" w:cs="仿宋"/>
          <w:color w:val="auto"/>
          <w:spacing w:val="-2"/>
          <w:sz w:val="24"/>
          <w:szCs w:val="24"/>
          <w:highlight w:val="none"/>
        </w:rPr>
        <w:t>人或者服务对象范围见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2F0DF8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1.2征集人：是指主管预算单位及其委托的采购代理机构。本项目的征集人见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6"/>
          <w:sz w:val="24"/>
          <w:szCs w:val="24"/>
          <w:highlight w:val="none"/>
        </w:rPr>
        <w:t>。</w:t>
      </w:r>
    </w:p>
    <w:p w14:paraId="0479BDED">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1.3供应商：是指响应征集、参加框架协议采购竞争的法人、非法人组织或者自然人。本项</w:t>
      </w:r>
      <w:r>
        <w:rPr>
          <w:rFonts w:hint="eastAsia" w:ascii="仿宋" w:hAnsi="仿宋" w:eastAsia="仿宋" w:cs="仿宋"/>
          <w:color w:val="auto"/>
          <w:spacing w:val="-5"/>
          <w:sz w:val="24"/>
          <w:szCs w:val="24"/>
          <w:highlight w:val="none"/>
        </w:rPr>
        <w:t>目的供应商须满足以下条件：</w:t>
      </w:r>
    </w:p>
    <w:p w14:paraId="6D5DFB38">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1.3.1在中华人民共和国境内注册，能够独立承担民事责任，有生产或供应能力的本国供</w:t>
      </w:r>
      <w:r>
        <w:rPr>
          <w:rFonts w:hint="eastAsia" w:ascii="仿宋" w:hAnsi="仿宋" w:eastAsia="仿宋" w:cs="仿宋"/>
          <w:color w:val="auto"/>
          <w:spacing w:val="-6"/>
          <w:sz w:val="24"/>
          <w:szCs w:val="24"/>
          <w:highlight w:val="none"/>
        </w:rPr>
        <w:t>应商。</w:t>
      </w:r>
    </w:p>
    <w:p w14:paraId="07C7F48E">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1.3.2具备《中华人民共和国政府采购法》第二十二条关于供应商条件的规定，遵守本项</w:t>
      </w:r>
      <w:r>
        <w:rPr>
          <w:rFonts w:hint="eastAsia" w:ascii="仿宋" w:hAnsi="仿宋" w:eastAsia="仿宋" w:cs="仿宋"/>
          <w:color w:val="auto"/>
          <w:spacing w:val="-3"/>
          <w:sz w:val="24"/>
          <w:szCs w:val="24"/>
          <w:highlight w:val="none"/>
        </w:rPr>
        <w:t>目采购人本级和上级财政部门政府采购的有关规定。</w:t>
      </w:r>
    </w:p>
    <w:p w14:paraId="50CEF09A">
      <w:pPr>
        <w:keepNext w:val="0"/>
        <w:keepLines w:val="0"/>
        <w:pageBreakBefore w:val="0"/>
        <w:widowControl/>
        <w:kinsoku w:val="0"/>
        <w:wordWrap/>
        <w:overflowPunct/>
        <w:topLinePunct w:val="0"/>
        <w:autoSpaceDE w:val="0"/>
        <w:autoSpaceDN w:val="0"/>
        <w:bidi w:val="0"/>
        <w:adjustRightInd w:val="0"/>
        <w:snapToGrid w:val="0"/>
        <w:spacing w:before="21"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1.3.3以征集文件规定的方式获得了本项目的征集文件。</w:t>
      </w:r>
    </w:p>
    <w:p w14:paraId="39F41A47">
      <w:pPr>
        <w:keepNext w:val="0"/>
        <w:keepLines w:val="0"/>
        <w:pageBreakBefore w:val="0"/>
        <w:widowControl/>
        <w:kinsoku w:val="0"/>
        <w:wordWrap/>
        <w:overflowPunct/>
        <w:topLinePunct w:val="0"/>
        <w:autoSpaceDE w:val="0"/>
        <w:autoSpaceDN w:val="0"/>
        <w:bidi w:val="0"/>
        <w:adjustRightInd w:val="0"/>
        <w:snapToGrid w:val="0"/>
        <w:spacing w:before="25"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中规定的合格供应商的其他资格要求。</w:t>
      </w:r>
    </w:p>
    <w:p w14:paraId="5927681A">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z w:val="24"/>
          <w:szCs w:val="24"/>
          <w:highlight w:val="none"/>
        </w:rPr>
        <w:t>中写明专门面向中小企业采购的，如供</w:t>
      </w:r>
      <w:r>
        <w:rPr>
          <w:rFonts w:hint="eastAsia" w:ascii="仿宋" w:hAnsi="仿宋" w:eastAsia="仿宋" w:cs="仿宋"/>
          <w:color w:val="auto"/>
          <w:spacing w:val="-1"/>
          <w:sz w:val="24"/>
          <w:szCs w:val="24"/>
          <w:highlight w:val="none"/>
        </w:rPr>
        <w:t>应商为非中小企业，其</w:t>
      </w:r>
    </w:p>
    <w:p w14:paraId="5F2DE8BB">
      <w:pPr>
        <w:keepNext w:val="0"/>
        <w:keepLines w:val="0"/>
        <w:pageBreakBefore w:val="0"/>
        <w:widowControl/>
        <w:kinsoku w:val="0"/>
        <w:wordWrap/>
        <w:overflowPunct/>
        <w:topLinePunct w:val="0"/>
        <w:autoSpaceDE w:val="0"/>
        <w:autoSpaceDN w:val="0"/>
        <w:bidi w:val="0"/>
        <w:adjustRightInd w:val="0"/>
        <w:snapToGrid w:val="0"/>
        <w:spacing w:before="26" w:line="360" w:lineRule="auto"/>
        <w:ind w:left="56" w:right="540" w:hanging="2"/>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响应文件将被认定为无效。</w:t>
      </w:r>
    </w:p>
    <w:p w14:paraId="2D43326B">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1.4</w:t>
      </w:r>
      <w:r>
        <w:rPr>
          <w:rFonts w:hint="eastAsia" w:ascii="仿宋" w:hAnsi="仿宋" w:eastAsia="仿宋" w:cs="仿宋"/>
          <w:color w:val="auto"/>
          <w:spacing w:val="-1"/>
          <w:sz w:val="24"/>
          <w:szCs w:val="24"/>
          <w:highlight w:val="none"/>
          <w:lang w:val="en-US" w:eastAsia="zh-CN"/>
        </w:rPr>
        <w:t>本项目</w:t>
      </w:r>
      <w:r>
        <w:rPr>
          <w:rFonts w:hint="eastAsia" w:ascii="仿宋" w:hAnsi="仿宋" w:eastAsia="仿宋" w:cs="仿宋"/>
          <w:b/>
          <w:bCs/>
          <w:color w:val="auto"/>
          <w:spacing w:val="-1"/>
          <w:sz w:val="24"/>
          <w:szCs w:val="24"/>
          <w:highlight w:val="none"/>
          <w:lang w:val="en-US" w:eastAsia="zh-CN"/>
        </w:rPr>
        <w:t>不</w:t>
      </w:r>
      <w:r>
        <w:rPr>
          <w:rFonts w:hint="eastAsia" w:ascii="仿宋" w:hAnsi="仿宋" w:eastAsia="仿宋" w:cs="仿宋"/>
          <w:b/>
          <w:bCs/>
          <w:color w:val="auto"/>
          <w:spacing w:val="-1"/>
          <w:sz w:val="24"/>
          <w:szCs w:val="24"/>
          <w:highlight w:val="none"/>
        </w:rPr>
        <w:t>允许</w:t>
      </w:r>
      <w:r>
        <w:rPr>
          <w:rFonts w:hint="eastAsia" w:ascii="仿宋" w:hAnsi="仿宋" w:eastAsia="仿宋" w:cs="仿宋"/>
          <w:color w:val="auto"/>
          <w:spacing w:val="-1"/>
          <w:sz w:val="24"/>
          <w:szCs w:val="24"/>
          <w:highlight w:val="none"/>
        </w:rPr>
        <w:t>联合体参与征集</w:t>
      </w:r>
      <w:r>
        <w:rPr>
          <w:rFonts w:hint="eastAsia" w:ascii="仿宋" w:hAnsi="仿宋" w:eastAsia="仿宋" w:cs="仿宋"/>
          <w:color w:val="auto"/>
          <w:spacing w:val="-1"/>
          <w:sz w:val="24"/>
          <w:szCs w:val="24"/>
          <w:highlight w:val="none"/>
          <w:lang w:eastAsia="zh-CN"/>
        </w:rPr>
        <w:t>。</w:t>
      </w:r>
    </w:p>
    <w:p w14:paraId="6E901E5E">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对联合体规定如下：</w:t>
      </w:r>
    </w:p>
    <w:p w14:paraId="1EA70CFA">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1.4.1两个及以上供应商可以组成一个联合体，以一个供应商的身份参加征集响应。</w:t>
      </w:r>
    </w:p>
    <w:p w14:paraId="187E0064">
      <w:pPr>
        <w:keepNext w:val="0"/>
        <w:keepLines w:val="0"/>
        <w:pageBreakBefore w:val="0"/>
        <w:widowControl/>
        <w:kinsoku w:val="0"/>
        <w:wordWrap/>
        <w:overflowPunct/>
        <w:topLinePunct w:val="0"/>
        <w:autoSpaceDE w:val="0"/>
        <w:autoSpaceDN w:val="0"/>
        <w:bidi w:val="0"/>
        <w:adjustRightInd w:val="0"/>
        <w:snapToGrid w:val="0"/>
        <w:spacing w:before="20"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1.4.2联合体各方均应符合本须知1.3.2</w:t>
      </w:r>
      <w:r>
        <w:rPr>
          <w:rFonts w:hint="eastAsia" w:ascii="仿宋" w:hAnsi="仿宋" w:eastAsia="仿宋" w:cs="仿宋"/>
          <w:color w:val="auto"/>
          <w:spacing w:val="-2"/>
          <w:sz w:val="24"/>
          <w:szCs w:val="24"/>
          <w:highlight w:val="none"/>
        </w:rPr>
        <w:t>规定。</w:t>
      </w:r>
    </w:p>
    <w:p w14:paraId="20425AA2">
      <w:pPr>
        <w:keepNext w:val="0"/>
        <w:keepLines w:val="0"/>
        <w:pageBreakBefore w:val="0"/>
        <w:widowControl/>
        <w:kinsoku w:val="0"/>
        <w:wordWrap/>
        <w:overflowPunct/>
        <w:topLinePunct w:val="0"/>
        <w:autoSpaceDE w:val="0"/>
        <w:autoSpaceDN w:val="0"/>
        <w:bidi w:val="0"/>
        <w:adjustRightInd w:val="0"/>
        <w:snapToGrid w:val="0"/>
        <w:spacing w:before="25"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1.4.3征集人根据采购项目对供应商的</w:t>
      </w:r>
      <w:r>
        <w:rPr>
          <w:rFonts w:hint="eastAsia" w:ascii="仿宋" w:hAnsi="仿宋" w:eastAsia="仿宋" w:cs="仿宋"/>
          <w:color w:val="auto"/>
          <w:spacing w:val="-2"/>
          <w:sz w:val="24"/>
          <w:szCs w:val="24"/>
          <w:highlight w:val="none"/>
        </w:rPr>
        <w:t>特殊要求，联合体中至少应当有一方符合相关规定。</w:t>
      </w:r>
    </w:p>
    <w:p w14:paraId="739E813A">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1.4.4联合体各方应签订共同协议，明确约定联合体各方承担的工作和相应的责任，并将</w:t>
      </w:r>
      <w:r>
        <w:rPr>
          <w:rFonts w:hint="eastAsia" w:ascii="仿宋" w:hAnsi="仿宋" w:eastAsia="仿宋" w:cs="仿宋"/>
          <w:color w:val="auto"/>
          <w:spacing w:val="-2"/>
          <w:sz w:val="24"/>
          <w:szCs w:val="24"/>
          <w:highlight w:val="none"/>
        </w:rPr>
        <w:t>共同协议作为响应文件的内容提交。</w:t>
      </w:r>
    </w:p>
    <w:p w14:paraId="30B9738F">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1.4.5大中型企业、其他自然人、法人或者非法人组织与小型、微型企业组成联合体共同</w:t>
      </w:r>
      <w:r>
        <w:rPr>
          <w:rFonts w:hint="eastAsia" w:ascii="仿宋" w:hAnsi="仿宋" w:eastAsia="仿宋" w:cs="仿宋"/>
          <w:color w:val="auto"/>
          <w:sz w:val="24"/>
          <w:szCs w:val="24"/>
          <w:highlight w:val="none"/>
        </w:rPr>
        <w:t>参加公开征集响应，共同协议中应写明小型、微型企</w:t>
      </w:r>
      <w:r>
        <w:rPr>
          <w:rFonts w:hint="eastAsia" w:ascii="仿宋" w:hAnsi="仿宋" w:eastAsia="仿宋" w:cs="仿宋"/>
          <w:color w:val="auto"/>
          <w:spacing w:val="-1"/>
          <w:sz w:val="24"/>
          <w:szCs w:val="24"/>
          <w:highlight w:val="none"/>
        </w:rPr>
        <w:t>业的协议合同金额占到共同协议投标总</w:t>
      </w:r>
      <w:r>
        <w:rPr>
          <w:rFonts w:hint="eastAsia" w:ascii="仿宋" w:hAnsi="仿宋" w:eastAsia="仿宋" w:cs="仿宋"/>
          <w:color w:val="auto"/>
          <w:spacing w:val="-3"/>
          <w:sz w:val="24"/>
          <w:szCs w:val="24"/>
          <w:highlight w:val="none"/>
        </w:rPr>
        <w:t>金额的比例。</w:t>
      </w:r>
    </w:p>
    <w:p w14:paraId="17D2C684">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1.4.6以联合体形式参加公开征集活动的，联合体各方不得再单独参加或者与其他供应商另外组成联合体参加本项目</w:t>
      </w:r>
      <w:r>
        <w:rPr>
          <w:rFonts w:hint="eastAsia" w:ascii="仿宋" w:hAnsi="仿宋" w:eastAsia="仿宋" w:cs="仿宋"/>
          <w:color w:val="auto"/>
          <w:spacing w:val="-1"/>
          <w:sz w:val="24"/>
          <w:szCs w:val="24"/>
          <w:highlight w:val="none"/>
          <w:lang w:val="en-US" w:eastAsia="zh-CN"/>
        </w:rPr>
        <w:t>同一包段</w:t>
      </w:r>
      <w:r>
        <w:rPr>
          <w:rFonts w:hint="eastAsia" w:ascii="仿宋" w:hAnsi="仿宋" w:eastAsia="仿宋" w:cs="仿宋"/>
          <w:color w:val="auto"/>
          <w:spacing w:val="-1"/>
          <w:sz w:val="24"/>
          <w:szCs w:val="24"/>
          <w:highlight w:val="none"/>
        </w:rPr>
        <w:t>的征集活动，否则相关响应文件将被认定为无效。</w:t>
      </w:r>
    </w:p>
    <w:p w14:paraId="74E01A73">
      <w:pPr>
        <w:keepNext w:val="0"/>
        <w:keepLines w:val="0"/>
        <w:pageBreakBefore w:val="0"/>
        <w:widowControl/>
        <w:kinsoku w:val="0"/>
        <w:wordWrap/>
        <w:overflowPunct/>
        <w:topLinePunct w:val="0"/>
        <w:autoSpaceDE w:val="0"/>
        <w:autoSpaceDN w:val="0"/>
        <w:bidi w:val="0"/>
        <w:adjustRightInd w:val="0"/>
        <w:snapToGrid w:val="0"/>
        <w:spacing w:before="22"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1.4.7对联合体的其他资格要求见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0978B079">
      <w:pPr>
        <w:keepNext w:val="0"/>
        <w:keepLines w:val="0"/>
        <w:pageBreakBefore w:val="0"/>
        <w:widowControl/>
        <w:kinsoku w:val="0"/>
        <w:wordWrap/>
        <w:overflowPunct/>
        <w:topLinePunct w:val="0"/>
        <w:autoSpaceDE w:val="0"/>
        <w:autoSpaceDN w:val="0"/>
        <w:bidi w:val="0"/>
        <w:adjustRightInd w:val="0"/>
        <w:snapToGrid w:val="0"/>
        <w:spacing w:before="25" w:line="360" w:lineRule="auto"/>
        <w:ind w:left="51" w:right="383" w:firstLine="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1.5单位负责人为同一人或者存在直接控股、管理关系的不同供应商参与本项目同一合同项下的公开征集活动的，其相关响应文件将被认定为无效。</w:t>
      </w:r>
    </w:p>
    <w:p w14:paraId="20CF8B6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9" w:right="383"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1.6为本项目提供过整体设计、规范编制或者项目管理、监理、检测等服务的供应商，不得再参加本项目上述服务以外的其他采购活动。否则其响应文件将被认定为无效。</w:t>
      </w:r>
    </w:p>
    <w:p w14:paraId="0AB41AB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2.资金来源</w:t>
      </w:r>
    </w:p>
    <w:p w14:paraId="262E804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2.1本项目的采购人已获得足以支付本次公开征集活动后所签</w:t>
      </w:r>
      <w:r>
        <w:rPr>
          <w:rFonts w:hint="eastAsia" w:ascii="仿宋" w:hAnsi="仿宋" w:eastAsia="仿宋" w:cs="仿宋"/>
          <w:color w:val="auto"/>
          <w:spacing w:val="-1"/>
          <w:sz w:val="24"/>
          <w:szCs w:val="24"/>
          <w:highlight w:val="none"/>
        </w:rPr>
        <w:t>订的合同项下的资金（包括财</w:t>
      </w:r>
    </w:p>
    <w:p w14:paraId="383FCED1">
      <w:pPr>
        <w:keepNext w:val="0"/>
        <w:keepLines w:val="0"/>
        <w:pageBreakBefore w:val="0"/>
        <w:widowControl/>
        <w:kinsoku w:val="0"/>
        <w:wordWrap/>
        <w:overflowPunct/>
        <w:topLinePunct w:val="0"/>
        <w:autoSpaceDE w:val="0"/>
        <w:autoSpaceDN w:val="0"/>
        <w:bidi w:val="0"/>
        <w:adjustRightInd w:val="0"/>
        <w:snapToGrid w:val="0"/>
        <w:spacing w:before="25" w:line="360" w:lineRule="auto"/>
        <w:ind w:left="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政性资金和本项目采购中无法与财政性资金分割的非财政性资金）。</w:t>
      </w:r>
    </w:p>
    <w:p w14:paraId="1F8B1D5D">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2.2项目预算金额最高限价（如有）见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B0D6B9C">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2.3供应商报价超过征集文件规定的预算金额或者最高限价的，</w:t>
      </w:r>
      <w:r>
        <w:rPr>
          <w:rFonts w:hint="eastAsia" w:ascii="仿宋" w:hAnsi="仿宋" w:eastAsia="仿宋" w:cs="仿宋"/>
          <w:color w:val="auto"/>
          <w:spacing w:val="-1"/>
          <w:sz w:val="24"/>
          <w:szCs w:val="24"/>
          <w:highlight w:val="none"/>
        </w:rPr>
        <w:t>其响应文件将被认定为无效。</w:t>
      </w:r>
    </w:p>
    <w:p w14:paraId="29202EC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3.征集费用</w:t>
      </w:r>
    </w:p>
    <w:p w14:paraId="49A2AFF6">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不论公开征集活动的结果如何，供应商应承担所有与征集活动有关的费用。</w:t>
      </w:r>
    </w:p>
    <w:p w14:paraId="14F18FA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4.适用法律</w:t>
      </w:r>
    </w:p>
    <w:p w14:paraId="6E2D15A3">
      <w:pPr>
        <w:keepNext w:val="0"/>
        <w:keepLines w:val="0"/>
        <w:pageBreakBefore w:val="0"/>
        <w:widowControl/>
        <w:kinsoku w:val="0"/>
        <w:wordWrap/>
        <w:overflowPunct/>
        <w:topLinePunct w:val="0"/>
        <w:autoSpaceDE w:val="0"/>
        <w:autoSpaceDN w:val="0"/>
        <w:bidi w:val="0"/>
        <w:adjustRightInd w:val="0"/>
        <w:snapToGrid w:val="0"/>
        <w:spacing w:before="72" w:line="360" w:lineRule="auto"/>
        <w:ind w:left="47" w:right="354" w:firstLine="5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本项目采购人、征集人、供应商、评标委员会的相关行为均受《中华人民共和国政</w:t>
      </w:r>
      <w:r>
        <w:rPr>
          <w:rFonts w:hint="eastAsia" w:ascii="仿宋" w:hAnsi="仿宋" w:eastAsia="仿宋" w:cs="仿宋"/>
          <w:color w:val="auto"/>
          <w:spacing w:val="8"/>
          <w:sz w:val="24"/>
          <w:szCs w:val="24"/>
          <w:highlight w:val="none"/>
        </w:rPr>
        <w:t>府采购法》、《中华人民共和国政府采购法实施条例》</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《政府采购非</w:t>
      </w:r>
      <w:r>
        <w:rPr>
          <w:rFonts w:hint="eastAsia" w:ascii="仿宋" w:hAnsi="仿宋" w:eastAsia="仿宋" w:cs="仿宋"/>
          <w:color w:val="auto"/>
          <w:spacing w:val="7"/>
          <w:sz w:val="24"/>
          <w:szCs w:val="24"/>
          <w:highlight w:val="none"/>
        </w:rPr>
        <w:t>招标采购方式管理</w:t>
      </w:r>
      <w:r>
        <w:rPr>
          <w:rFonts w:hint="eastAsia" w:ascii="仿宋" w:hAnsi="仿宋" w:eastAsia="仿宋" w:cs="仿宋"/>
          <w:color w:val="auto"/>
          <w:spacing w:val="9"/>
          <w:sz w:val="24"/>
          <w:szCs w:val="24"/>
          <w:highlight w:val="none"/>
        </w:rPr>
        <w:t>办法》</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lang w:val="en-US" w:eastAsia="zh-CN"/>
        </w:rPr>
        <w:t>《政府采购框架协议采购方式管理暂行办法》</w:t>
      </w:r>
      <w:r>
        <w:rPr>
          <w:rFonts w:hint="eastAsia" w:ascii="仿宋" w:hAnsi="仿宋" w:eastAsia="仿宋" w:cs="仿宋"/>
          <w:color w:val="auto"/>
          <w:spacing w:val="9"/>
          <w:sz w:val="24"/>
          <w:szCs w:val="24"/>
          <w:highlight w:val="none"/>
        </w:rPr>
        <w:t>及本项目本级和上级财政部门政府采购有关规定的约束，其权利受到上述法律法</w:t>
      </w:r>
      <w:r>
        <w:rPr>
          <w:rFonts w:hint="eastAsia" w:ascii="仿宋" w:hAnsi="仿宋" w:eastAsia="仿宋" w:cs="仿宋"/>
          <w:color w:val="auto"/>
          <w:spacing w:val="2"/>
          <w:sz w:val="24"/>
          <w:szCs w:val="24"/>
          <w:highlight w:val="none"/>
        </w:rPr>
        <w:t>规的保护。</w:t>
      </w:r>
    </w:p>
    <w:p w14:paraId="5FFE0E17">
      <w:pPr>
        <w:spacing w:before="204" w:line="366" w:lineRule="auto"/>
        <w:ind w:left="26" w:right="75" w:firstLine="484"/>
        <w:jc w:val="both"/>
        <w:rPr>
          <w:rFonts w:hint="eastAsia" w:ascii="仿宋" w:hAnsi="仿宋" w:eastAsia="仿宋" w:cs="仿宋"/>
          <w:color w:val="auto"/>
          <w:sz w:val="23"/>
          <w:szCs w:val="23"/>
          <w:highlight w:val="none"/>
        </w:rPr>
      </w:pPr>
    </w:p>
    <w:p w14:paraId="7737A25C">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pPr>
    </w:p>
    <w:p w14:paraId="4E523E2A">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pPr>
    </w:p>
    <w:p w14:paraId="249D0956">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二</w:t>
      </w:r>
      <w:r>
        <w:rPr>
          <w:rFonts w:hint="eastAsia" w:ascii="仿宋" w:hAnsi="仿宋" w:eastAsia="仿宋" w:cs="仿宋"/>
          <w:color w:val="auto"/>
          <w:spacing w:val="22"/>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征集文件</w:t>
      </w:r>
    </w:p>
    <w:p w14:paraId="265950F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5.征集文件构成</w:t>
      </w:r>
    </w:p>
    <w:p w14:paraId="2106DA9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5.1征集文件共</w:t>
      </w:r>
      <w:r>
        <w:rPr>
          <w:rFonts w:hint="eastAsia" w:ascii="仿宋" w:hAnsi="仿宋" w:eastAsia="仿宋" w:cs="仿宋"/>
          <w:color w:val="auto"/>
          <w:spacing w:val="-1"/>
          <w:sz w:val="24"/>
          <w:szCs w:val="24"/>
          <w:highlight w:val="none"/>
          <w:lang w:val="en-US" w:eastAsia="zh-CN"/>
        </w:rPr>
        <w:t>七部分</w:t>
      </w:r>
      <w:r>
        <w:rPr>
          <w:rFonts w:hint="eastAsia" w:ascii="仿宋" w:hAnsi="仿宋" w:eastAsia="仿宋" w:cs="仿宋"/>
          <w:color w:val="auto"/>
          <w:spacing w:val="-1"/>
          <w:sz w:val="24"/>
          <w:szCs w:val="24"/>
          <w:highlight w:val="none"/>
        </w:rPr>
        <w:t>，构成如下：</w:t>
      </w:r>
    </w:p>
    <w:p w14:paraId="5AF49ED5">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征集公告</w:t>
      </w:r>
    </w:p>
    <w:p w14:paraId="0D188520">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供应商须知</w:t>
      </w:r>
    </w:p>
    <w:p w14:paraId="10D352B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采购需求</w:t>
      </w:r>
    </w:p>
    <w:p w14:paraId="57596A6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评审方法和标准</w:t>
      </w:r>
    </w:p>
    <w:p w14:paraId="62AA9C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框架协议（参考）</w:t>
      </w:r>
    </w:p>
    <w:p w14:paraId="16DB4143">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采购合同（</w:t>
      </w:r>
      <w:r>
        <w:rPr>
          <w:rFonts w:hint="eastAsia" w:ascii="仿宋" w:hAnsi="仿宋" w:eastAsia="仿宋" w:cs="仿宋"/>
          <w:color w:val="auto"/>
          <w:sz w:val="24"/>
          <w:szCs w:val="24"/>
          <w:highlight w:val="none"/>
        </w:rPr>
        <w:t>格式</w:t>
      </w:r>
      <w:r>
        <w:rPr>
          <w:rFonts w:hint="eastAsia" w:ascii="仿宋" w:hAnsi="仿宋" w:eastAsia="仿宋" w:cs="仿宋"/>
          <w:color w:val="auto"/>
          <w:sz w:val="24"/>
          <w:szCs w:val="24"/>
          <w:highlight w:val="none"/>
          <w:lang w:eastAsia="zh-CN"/>
        </w:rPr>
        <w:t>）</w:t>
      </w:r>
    </w:p>
    <w:p w14:paraId="5BF43AB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七部分</w:t>
      </w:r>
      <w:r>
        <w:rPr>
          <w:rFonts w:hint="eastAsia" w:ascii="仿宋" w:hAnsi="仿宋" w:eastAsia="仿宋" w:cs="仿宋"/>
          <w:color w:val="auto"/>
          <w:sz w:val="24"/>
          <w:szCs w:val="24"/>
          <w:highlight w:val="none"/>
        </w:rPr>
        <w:t xml:space="preserve"> 响应文件格式</w:t>
      </w:r>
    </w:p>
    <w:p w14:paraId="0103314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5.2征集文件中有不一致的，有澄清的部分以最终的澄清</w:t>
      </w:r>
      <w:r>
        <w:rPr>
          <w:rFonts w:hint="eastAsia" w:ascii="仿宋" w:hAnsi="仿宋" w:eastAsia="仿宋" w:cs="仿宋"/>
          <w:color w:val="auto"/>
          <w:spacing w:val="-1"/>
          <w:sz w:val="24"/>
          <w:szCs w:val="24"/>
          <w:highlight w:val="none"/>
        </w:rPr>
        <w:t>更正内容为准；未澄清的，以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为准；</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不涉及的内容，以编排在后的描述为准。</w:t>
      </w:r>
    </w:p>
    <w:p w14:paraId="5A8CDAD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8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5.3供应商应认真阅读征集文件所有的事项、格式、条款</w:t>
      </w:r>
      <w:r>
        <w:rPr>
          <w:rFonts w:hint="eastAsia" w:ascii="仿宋" w:hAnsi="仿宋" w:eastAsia="仿宋" w:cs="仿宋"/>
          <w:color w:val="auto"/>
          <w:spacing w:val="-1"/>
          <w:sz w:val="24"/>
          <w:szCs w:val="24"/>
          <w:highlight w:val="none"/>
        </w:rPr>
        <w:t>和技术规范等。如供应商没有按照</w:t>
      </w:r>
      <w:r>
        <w:rPr>
          <w:rFonts w:hint="eastAsia" w:ascii="仿宋" w:hAnsi="仿宋" w:eastAsia="仿宋" w:cs="仿宋"/>
          <w:color w:val="auto"/>
          <w:sz w:val="24"/>
          <w:szCs w:val="24"/>
          <w:highlight w:val="none"/>
        </w:rPr>
        <w:t>征集文件要求提交全部资料，或者响应文件没有对征</w:t>
      </w:r>
      <w:r>
        <w:rPr>
          <w:rFonts w:hint="eastAsia" w:ascii="仿宋" w:hAnsi="仿宋" w:eastAsia="仿宋" w:cs="仿宋"/>
          <w:color w:val="auto"/>
          <w:spacing w:val="-1"/>
          <w:sz w:val="24"/>
          <w:szCs w:val="24"/>
          <w:highlight w:val="none"/>
        </w:rPr>
        <w:t>集文件的实质性要求做出响应，其响应</w:t>
      </w:r>
      <w:r>
        <w:rPr>
          <w:rFonts w:hint="eastAsia" w:ascii="仿宋" w:hAnsi="仿宋" w:eastAsia="仿宋" w:cs="仿宋"/>
          <w:color w:val="auto"/>
          <w:spacing w:val="-2"/>
          <w:sz w:val="24"/>
          <w:szCs w:val="24"/>
          <w:highlight w:val="none"/>
        </w:rPr>
        <w:t>文件将被认定为无效。</w:t>
      </w:r>
    </w:p>
    <w:p w14:paraId="080BC9A4">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6.征集文件的澄清与修改</w:t>
      </w:r>
    </w:p>
    <w:p w14:paraId="725C2CC5">
      <w:pPr>
        <w:keepNext w:val="0"/>
        <w:keepLines w:val="0"/>
        <w:pageBreakBefore w:val="0"/>
        <w:widowControl/>
        <w:kinsoku w:val="0"/>
        <w:wordWrap/>
        <w:overflowPunct/>
        <w:topLinePunct w:val="0"/>
        <w:autoSpaceDE w:val="0"/>
        <w:autoSpaceDN w:val="0"/>
        <w:bidi w:val="0"/>
        <w:adjustRightInd w:val="0"/>
        <w:snapToGrid w:val="0"/>
        <w:spacing w:before="45" w:line="360" w:lineRule="auto"/>
        <w:ind w:left="58" w:right="203" w:hanging="1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6.1在提交征集响应文件截止日期前15天，采购人或代理机构可</w:t>
      </w:r>
      <w:r>
        <w:rPr>
          <w:rFonts w:hint="eastAsia" w:ascii="仿宋" w:hAnsi="仿宋" w:eastAsia="仿宋" w:cs="仿宋"/>
          <w:color w:val="auto"/>
          <w:spacing w:val="-1"/>
          <w:sz w:val="24"/>
          <w:szCs w:val="24"/>
          <w:highlight w:val="none"/>
        </w:rPr>
        <w:t>主动的或在解答供应商提出</w:t>
      </w:r>
      <w:r>
        <w:rPr>
          <w:rFonts w:hint="eastAsia" w:ascii="仿宋" w:hAnsi="仿宋" w:eastAsia="仿宋" w:cs="仿宋"/>
          <w:color w:val="auto"/>
          <w:spacing w:val="-3"/>
          <w:sz w:val="24"/>
          <w:szCs w:val="24"/>
          <w:highlight w:val="none"/>
        </w:rPr>
        <w:t>的问题时对征集文件进行修改。</w:t>
      </w:r>
    </w:p>
    <w:p w14:paraId="5F847217">
      <w:pPr>
        <w:keepNext w:val="0"/>
        <w:keepLines w:val="0"/>
        <w:pageBreakBefore w:val="0"/>
        <w:widowControl/>
        <w:kinsoku w:val="0"/>
        <w:wordWrap/>
        <w:overflowPunct/>
        <w:topLinePunct w:val="0"/>
        <w:autoSpaceDE w:val="0"/>
        <w:autoSpaceDN w:val="0"/>
        <w:bidi w:val="0"/>
        <w:adjustRightInd w:val="0"/>
        <w:snapToGrid w:val="0"/>
        <w:spacing w:before="25" w:line="360" w:lineRule="auto"/>
        <w:ind w:left="39" w:right="12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6.2征集文件的修改将以变更公告形式在新疆政府采购网发布,并对所有供应</w:t>
      </w:r>
      <w:r>
        <w:rPr>
          <w:rFonts w:hint="eastAsia" w:ascii="仿宋" w:hAnsi="仿宋" w:eastAsia="仿宋" w:cs="仿宋"/>
          <w:color w:val="auto"/>
          <w:spacing w:val="-2"/>
          <w:sz w:val="24"/>
          <w:szCs w:val="24"/>
          <w:highlight w:val="none"/>
        </w:rPr>
        <w:t>商具有约束力。</w:t>
      </w:r>
      <w:r>
        <w:rPr>
          <w:rFonts w:hint="eastAsia" w:ascii="仿宋" w:hAnsi="仿宋" w:eastAsia="仿宋" w:cs="仿宋"/>
          <w:color w:val="auto"/>
          <w:spacing w:val="-1"/>
          <w:sz w:val="24"/>
          <w:szCs w:val="24"/>
          <w:highlight w:val="none"/>
        </w:rPr>
        <w:t>6.3为使供应商在编写征集响应文件时有充分时间对征集文件的修改部分进行研究，代理单位可以酌情后延投标日期。</w:t>
      </w:r>
    </w:p>
    <w:p w14:paraId="7062B9E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5" w:right="6" w:hanging="6"/>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6.4对征集文件的澄清与修改均须经过采购人确认后方可发放。</w:t>
      </w:r>
      <w:r>
        <w:rPr>
          <w:rFonts w:hint="eastAsia" w:ascii="仿宋" w:hAnsi="仿宋" w:eastAsia="仿宋" w:cs="仿宋"/>
          <w:color w:val="auto"/>
          <w:spacing w:val="-2"/>
          <w:sz w:val="24"/>
          <w:szCs w:val="24"/>
          <w:highlight w:val="none"/>
        </w:rPr>
        <w:t>当征集文件、修改补充通知、</w:t>
      </w:r>
      <w:r>
        <w:rPr>
          <w:rFonts w:hint="eastAsia" w:ascii="仿宋" w:hAnsi="仿宋" w:eastAsia="仿宋" w:cs="仿宋"/>
          <w:color w:val="auto"/>
          <w:sz w:val="24"/>
          <w:szCs w:val="24"/>
          <w:highlight w:val="none"/>
        </w:rPr>
        <w:t>澄清（答疑）记录内容相互矛盾时，以最后发出的</w:t>
      </w:r>
      <w:r>
        <w:rPr>
          <w:rFonts w:hint="eastAsia" w:ascii="仿宋" w:hAnsi="仿宋" w:eastAsia="仿宋" w:cs="仿宋"/>
          <w:color w:val="auto"/>
          <w:spacing w:val="-1"/>
          <w:sz w:val="24"/>
          <w:szCs w:val="24"/>
          <w:highlight w:val="none"/>
        </w:rPr>
        <w:t>通知（或纪要）或修改文件为准；因新疆</w:t>
      </w:r>
      <w:r>
        <w:rPr>
          <w:rFonts w:hint="eastAsia" w:ascii="仿宋" w:hAnsi="仿宋" w:eastAsia="仿宋" w:cs="仿宋"/>
          <w:color w:val="auto"/>
          <w:sz w:val="24"/>
          <w:szCs w:val="24"/>
          <w:highlight w:val="none"/>
        </w:rPr>
        <w:t>政府采购网政采云平台在开标前具有保密性，供应</w:t>
      </w:r>
      <w:r>
        <w:rPr>
          <w:rFonts w:hint="eastAsia" w:ascii="仿宋" w:hAnsi="仿宋" w:eastAsia="仿宋" w:cs="仿宋"/>
          <w:color w:val="auto"/>
          <w:spacing w:val="-1"/>
          <w:sz w:val="24"/>
          <w:szCs w:val="24"/>
          <w:highlight w:val="none"/>
        </w:rPr>
        <w:t>商在征集响应文件递交截止时间前须自行查看项目进展、变更通知、澄清及回复，因供应商未及时查看而造成的后果自负。</w:t>
      </w:r>
    </w:p>
    <w:p w14:paraId="288197D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7.响应文件递交截止时间的顺延</w:t>
      </w:r>
    </w:p>
    <w:p w14:paraId="6DCA9DB1">
      <w:pPr>
        <w:keepNext w:val="0"/>
        <w:keepLines w:val="0"/>
        <w:pageBreakBefore w:val="0"/>
        <w:widowControl/>
        <w:kinsoku w:val="0"/>
        <w:wordWrap/>
        <w:overflowPunct/>
        <w:topLinePunct w:val="0"/>
        <w:autoSpaceDE w:val="0"/>
        <w:autoSpaceDN w:val="0"/>
        <w:bidi w:val="0"/>
        <w:adjustRightInd w:val="0"/>
        <w:snapToGrid w:val="0"/>
        <w:spacing w:before="44" w:line="360" w:lineRule="auto"/>
        <w:ind w:left="48" w:right="143" w:firstLine="42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为使供应商有足够的时间对征集文件的澄清或者修改部分进行研究而准备征集响应工作或因其他原因，征集人将依法决定是否顺延响应文件递交截止时间。</w:t>
      </w:r>
    </w:p>
    <w:p w14:paraId="4A81AA9C">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pPr>
    </w:p>
    <w:p w14:paraId="0B6B0384">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三</w:t>
      </w:r>
      <w:r>
        <w:rPr>
          <w:rFonts w:hint="eastAsia" w:ascii="仿宋" w:hAnsi="仿宋" w:eastAsia="仿宋" w:cs="仿宋"/>
          <w:color w:val="auto"/>
          <w:spacing w:val="28"/>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响应文件的编制</w:t>
      </w:r>
    </w:p>
    <w:p w14:paraId="40C6B52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8.征集范围及响应文件中标准和计量单位的使用</w:t>
      </w:r>
    </w:p>
    <w:p w14:paraId="57CA208E">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8.1供应商可对征集文件中一个或几个分包进行响应，除非在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中另有规定。</w:t>
      </w:r>
    </w:p>
    <w:p w14:paraId="182997B1">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8.2供应商应当对所投分包征集文件中“采购需求”所列</w:t>
      </w:r>
      <w:r>
        <w:rPr>
          <w:rFonts w:hint="eastAsia" w:ascii="仿宋" w:hAnsi="仿宋" w:eastAsia="仿宋" w:cs="仿宋"/>
          <w:color w:val="auto"/>
          <w:spacing w:val="-2"/>
          <w:sz w:val="24"/>
          <w:szCs w:val="24"/>
          <w:highlight w:val="none"/>
        </w:rPr>
        <w:t>的所有内容进行响应，如仅响应分</w:t>
      </w:r>
      <w:r>
        <w:rPr>
          <w:rFonts w:hint="eastAsia" w:ascii="仿宋" w:hAnsi="仿宋" w:eastAsia="仿宋" w:cs="仿宋"/>
          <w:color w:val="auto"/>
          <w:spacing w:val="-1"/>
          <w:sz w:val="24"/>
          <w:szCs w:val="24"/>
          <w:highlight w:val="none"/>
        </w:rPr>
        <w:t>包中的部分内容，其响应文件将被认定为无效。</w:t>
      </w:r>
    </w:p>
    <w:p w14:paraId="2BA0460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03"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8.3无论征集文件中是否要求，供应商所投服务及其伴随的货物和</w:t>
      </w:r>
      <w:r>
        <w:rPr>
          <w:rFonts w:hint="eastAsia" w:ascii="仿宋" w:hAnsi="仿宋" w:eastAsia="仿宋" w:cs="仿宋"/>
          <w:color w:val="auto"/>
          <w:spacing w:val="-1"/>
          <w:sz w:val="24"/>
          <w:szCs w:val="24"/>
          <w:highlight w:val="none"/>
        </w:rPr>
        <w:t>工程均应符合国家强制性</w:t>
      </w:r>
      <w:r>
        <w:rPr>
          <w:rFonts w:hint="eastAsia" w:ascii="仿宋" w:hAnsi="仿宋" w:eastAsia="仿宋" w:cs="仿宋"/>
          <w:color w:val="auto"/>
          <w:spacing w:val="-6"/>
          <w:sz w:val="24"/>
          <w:szCs w:val="24"/>
          <w:highlight w:val="none"/>
        </w:rPr>
        <w:t>标准。</w:t>
      </w:r>
    </w:p>
    <w:p w14:paraId="1CF9544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9" w:right="203" w:hanging="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8.4除征集文件中有特殊要求外，响应文件中所使用的计量单位，</w:t>
      </w:r>
      <w:r>
        <w:rPr>
          <w:rFonts w:hint="eastAsia" w:ascii="仿宋" w:hAnsi="仿宋" w:eastAsia="仿宋" w:cs="仿宋"/>
          <w:color w:val="auto"/>
          <w:spacing w:val="-1"/>
          <w:sz w:val="24"/>
          <w:szCs w:val="24"/>
          <w:highlight w:val="none"/>
        </w:rPr>
        <w:t>应采用中华人民共和国法</w:t>
      </w:r>
      <w:r>
        <w:rPr>
          <w:rFonts w:hint="eastAsia" w:ascii="仿宋" w:hAnsi="仿宋" w:eastAsia="仿宋" w:cs="仿宋"/>
          <w:color w:val="auto"/>
          <w:spacing w:val="-4"/>
          <w:sz w:val="24"/>
          <w:szCs w:val="24"/>
          <w:highlight w:val="none"/>
        </w:rPr>
        <w:t>定计量单位。</w:t>
      </w:r>
    </w:p>
    <w:p w14:paraId="7A5F2DD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9.响应文件组成</w:t>
      </w:r>
    </w:p>
    <w:p w14:paraId="26A1B727">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9.1响应文件由“第一部分资格证明材料”和“第二部分商务技术部分”组成。供应商应完</w:t>
      </w:r>
      <w:r>
        <w:rPr>
          <w:rFonts w:hint="eastAsia" w:ascii="仿宋" w:hAnsi="仿宋" w:eastAsia="仿宋" w:cs="仿宋"/>
          <w:color w:val="auto"/>
          <w:sz w:val="24"/>
          <w:szCs w:val="24"/>
          <w:highlight w:val="none"/>
        </w:rPr>
        <w:t>整地按照征集文件提供的响应文件格式及要求编写响</w:t>
      </w:r>
      <w:r>
        <w:rPr>
          <w:rFonts w:hint="eastAsia" w:ascii="仿宋" w:hAnsi="仿宋" w:eastAsia="仿宋" w:cs="仿宋"/>
          <w:color w:val="auto"/>
          <w:spacing w:val="-1"/>
          <w:sz w:val="24"/>
          <w:szCs w:val="24"/>
          <w:highlight w:val="none"/>
        </w:rPr>
        <w:t>应文件。响应文件中资格审查和符合性审查涉及的事项不满足征集文件要求的，其响应文件将被认定为无效。</w:t>
      </w:r>
    </w:p>
    <w:p w14:paraId="2DF50324">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上述文件应按照征集文件的规定签署和盖公章或经公章授权的</w:t>
      </w:r>
      <w:r>
        <w:rPr>
          <w:rFonts w:hint="eastAsia" w:ascii="仿宋" w:hAnsi="仿宋" w:eastAsia="仿宋" w:cs="仿宋"/>
          <w:color w:val="auto"/>
          <w:spacing w:val="-1"/>
          <w:sz w:val="24"/>
          <w:szCs w:val="24"/>
          <w:highlight w:val="none"/>
        </w:rPr>
        <w:t>其他单位章（以下统称公章）。采用公章授权方式的，应当在响应文件第一部分附公章授权书（格式自定）。</w:t>
      </w:r>
    </w:p>
    <w:p w14:paraId="095C7A0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10.证明征集活动标的的合格性和符合征集文件规定的响应文件</w:t>
      </w:r>
    </w:p>
    <w:p w14:paraId="2FB8BAA4">
      <w:pPr>
        <w:keepNext w:val="0"/>
        <w:keepLines w:val="0"/>
        <w:pageBreakBefore w:val="0"/>
        <w:widowControl/>
        <w:kinsoku w:val="0"/>
        <w:wordWrap/>
        <w:overflowPunct/>
        <w:topLinePunct w:val="0"/>
        <w:autoSpaceDE w:val="0"/>
        <w:autoSpaceDN w:val="0"/>
        <w:bidi w:val="0"/>
        <w:adjustRightInd w:val="0"/>
        <w:snapToGrid w:val="0"/>
        <w:spacing w:before="44" w:line="360" w:lineRule="auto"/>
        <w:ind w:left="27" w:right="185"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10.1供应商应提交证明文件，证明其标的符合征集文件规定。该证明文件是响应文件的技术</w:t>
      </w:r>
      <w:r>
        <w:rPr>
          <w:rFonts w:hint="eastAsia" w:ascii="仿宋" w:hAnsi="仿宋" w:eastAsia="仿宋" w:cs="仿宋"/>
          <w:color w:val="auto"/>
          <w:spacing w:val="-6"/>
          <w:sz w:val="24"/>
          <w:szCs w:val="24"/>
          <w:highlight w:val="none"/>
        </w:rPr>
        <w:t>文件。</w:t>
      </w:r>
    </w:p>
    <w:p w14:paraId="22EE7F72">
      <w:pPr>
        <w:keepNext w:val="0"/>
        <w:keepLines w:val="0"/>
        <w:pageBreakBefore w:val="0"/>
        <w:widowControl/>
        <w:kinsoku w:val="0"/>
        <w:wordWrap/>
        <w:overflowPunct/>
        <w:topLinePunct w:val="0"/>
        <w:autoSpaceDE w:val="0"/>
        <w:autoSpaceDN w:val="0"/>
        <w:bidi w:val="0"/>
        <w:adjustRightInd w:val="0"/>
        <w:snapToGrid w:val="0"/>
        <w:spacing w:before="20"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10.2上款所述的证明文件，可以是文字资料、图纸和数据，包括：</w:t>
      </w:r>
    </w:p>
    <w:p w14:paraId="5E456D84">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10.2.1 主要技术指标和性能的详细说明及实现的功能或者目标；</w:t>
      </w:r>
    </w:p>
    <w:p w14:paraId="09AF6ADF">
      <w:pPr>
        <w:keepNext w:val="0"/>
        <w:keepLines w:val="0"/>
        <w:pageBreakBefore w:val="0"/>
        <w:widowControl/>
        <w:kinsoku w:val="0"/>
        <w:wordWrap/>
        <w:overflowPunct/>
        <w:topLinePunct w:val="0"/>
        <w:autoSpaceDE w:val="0"/>
        <w:autoSpaceDN w:val="0"/>
        <w:bidi w:val="0"/>
        <w:adjustRightInd w:val="0"/>
        <w:snapToGrid w:val="0"/>
        <w:spacing w:before="24"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 从买方开始使用至征集文件规定的保质期内正常、连续地使用所必须的备件和专用工具清单，包括备件和专用工具的货源及现行价格；</w:t>
      </w:r>
    </w:p>
    <w:p w14:paraId="560EF34B">
      <w:pPr>
        <w:keepNext w:val="0"/>
        <w:keepLines w:val="0"/>
        <w:pageBreakBefore w:val="0"/>
        <w:widowControl/>
        <w:kinsoku w:val="0"/>
        <w:wordWrap/>
        <w:overflowPunct/>
        <w:topLinePunct w:val="0"/>
        <w:autoSpaceDE w:val="0"/>
        <w:autoSpaceDN w:val="0"/>
        <w:bidi w:val="0"/>
        <w:adjustRightInd w:val="0"/>
        <w:snapToGrid w:val="0"/>
        <w:spacing w:before="25"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10.2.3 对照征集文件技术规格，逐条说明所提供货物及伴随的工程和服务已对征集文件的技术规格做出了实质性的响应，或申明与技术规格条文的偏差和例外。</w:t>
      </w:r>
    </w:p>
    <w:p w14:paraId="5D42CDA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85"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10.3供应商应注意采购人在技术规格中指出的工艺、材料和设备的参照品牌型号仅起说明作</w:t>
      </w:r>
      <w:r>
        <w:rPr>
          <w:rFonts w:hint="eastAsia" w:ascii="仿宋" w:hAnsi="仿宋" w:eastAsia="仿宋" w:cs="仿宋"/>
          <w:color w:val="auto"/>
          <w:sz w:val="24"/>
          <w:szCs w:val="24"/>
          <w:highlight w:val="none"/>
        </w:rPr>
        <w:t>用，并没有任何倾向性或限制性。采购人、征集人承</w:t>
      </w:r>
      <w:r>
        <w:rPr>
          <w:rFonts w:hint="eastAsia" w:ascii="仿宋" w:hAnsi="仿宋" w:eastAsia="仿宋" w:cs="仿宋"/>
          <w:color w:val="auto"/>
          <w:spacing w:val="-1"/>
          <w:sz w:val="24"/>
          <w:szCs w:val="24"/>
          <w:highlight w:val="none"/>
        </w:rPr>
        <w:t>诺不以上述参照品牌型号作为评标时判</w:t>
      </w:r>
      <w:r>
        <w:rPr>
          <w:rFonts w:hint="eastAsia" w:ascii="仿宋" w:hAnsi="仿宋" w:eastAsia="仿宋" w:cs="仿宋"/>
          <w:color w:val="auto"/>
          <w:sz w:val="24"/>
          <w:szCs w:val="24"/>
          <w:highlight w:val="none"/>
        </w:rPr>
        <w:t>定其响应文件是否有效的标准。任何品牌的供</w:t>
      </w:r>
      <w:r>
        <w:rPr>
          <w:rFonts w:hint="eastAsia" w:ascii="仿宋" w:hAnsi="仿宋" w:eastAsia="仿宋" w:cs="仿宋"/>
          <w:color w:val="auto"/>
          <w:spacing w:val="-1"/>
          <w:sz w:val="24"/>
          <w:szCs w:val="24"/>
          <w:highlight w:val="none"/>
        </w:rPr>
        <w:t>应商均可依法参加本项目的征集活动。</w:t>
      </w:r>
    </w:p>
    <w:p w14:paraId="5F280873">
      <w:pPr>
        <w:keepNext w:val="0"/>
        <w:keepLines w:val="0"/>
        <w:pageBreakBefore w:val="0"/>
        <w:widowControl/>
        <w:kinsoku w:val="0"/>
        <w:wordWrap/>
        <w:overflowPunct/>
        <w:topLinePunct w:val="0"/>
        <w:autoSpaceDE w:val="0"/>
        <w:autoSpaceDN w:val="0"/>
        <w:bidi w:val="0"/>
        <w:adjustRightInd w:val="0"/>
        <w:snapToGrid w:val="0"/>
        <w:spacing w:before="21"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10.4本条所指证明文件不包括对征集文件相关部分的文字、图标的复制。</w:t>
      </w:r>
    </w:p>
    <w:p w14:paraId="208E56C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11.征集响应报价</w:t>
      </w:r>
    </w:p>
    <w:p w14:paraId="3115D92F">
      <w:pPr>
        <w:keepNext w:val="0"/>
        <w:keepLines w:val="0"/>
        <w:pageBreakBefore w:val="0"/>
        <w:widowControl/>
        <w:kinsoku w:val="0"/>
        <w:wordWrap/>
        <w:overflowPunct/>
        <w:topLinePunct w:val="0"/>
        <w:autoSpaceDE w:val="0"/>
        <w:autoSpaceDN w:val="0"/>
        <w:bidi w:val="0"/>
        <w:adjustRightInd w:val="0"/>
        <w:snapToGrid w:val="0"/>
        <w:spacing w:before="43" w:line="360" w:lineRule="auto"/>
        <w:ind w:left="30" w:right="185"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11.1供应商的报价应当包括满足本次征集全部采购需求所应提供的服务，以及伴随的货物和</w:t>
      </w:r>
      <w:r>
        <w:rPr>
          <w:rFonts w:hint="eastAsia" w:ascii="仿宋" w:hAnsi="仿宋" w:eastAsia="仿宋" w:cs="仿宋"/>
          <w:color w:val="auto"/>
          <w:sz w:val="24"/>
          <w:szCs w:val="24"/>
          <w:highlight w:val="none"/>
        </w:rPr>
        <w:t>工程。所有征集响应均应以人民币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报价，供应</w:t>
      </w:r>
      <w:r>
        <w:rPr>
          <w:rFonts w:hint="eastAsia" w:ascii="仿宋" w:hAnsi="仿宋" w:eastAsia="仿宋" w:cs="仿宋"/>
          <w:color w:val="auto"/>
          <w:spacing w:val="-1"/>
          <w:sz w:val="24"/>
          <w:szCs w:val="24"/>
          <w:highlight w:val="none"/>
        </w:rPr>
        <w:t>商的报价应遵守《中华人民共和国价格法》。</w:t>
      </w:r>
      <w:r>
        <w:rPr>
          <w:rFonts w:hint="eastAsia" w:ascii="仿宋" w:hAnsi="仿宋" w:eastAsia="仿宋" w:cs="仿宋"/>
          <w:color w:val="auto"/>
          <w:sz w:val="24"/>
          <w:szCs w:val="24"/>
          <w:highlight w:val="none"/>
        </w:rPr>
        <w:t>11.2供应商应在分项报价表上标明分项服务、</w:t>
      </w:r>
      <w:r>
        <w:rPr>
          <w:rFonts w:hint="eastAsia" w:ascii="仿宋" w:hAnsi="仿宋" w:eastAsia="仿宋" w:cs="仿宋"/>
          <w:color w:val="auto"/>
          <w:spacing w:val="-1"/>
          <w:sz w:val="24"/>
          <w:szCs w:val="24"/>
          <w:highlight w:val="none"/>
        </w:rPr>
        <w:t>伴随的货物和工程的价格（如适用）和总价，</w:t>
      </w:r>
      <w:r>
        <w:rPr>
          <w:rFonts w:hint="eastAsia" w:ascii="仿宋" w:hAnsi="仿宋" w:eastAsia="仿宋" w:cs="仿宋"/>
          <w:color w:val="auto"/>
          <w:spacing w:val="-2"/>
          <w:sz w:val="24"/>
          <w:szCs w:val="24"/>
          <w:highlight w:val="none"/>
        </w:rPr>
        <w:t>并由法定代表人或委托代理人签署。</w:t>
      </w:r>
    </w:p>
    <w:p w14:paraId="100AF1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11.3征集人不接受具有附加条件的报价或多个方案的报价。</w:t>
      </w:r>
    </w:p>
    <w:p w14:paraId="19FFF991">
      <w:pPr>
        <w:keepNext w:val="0"/>
        <w:keepLines w:val="0"/>
        <w:pageBreakBefore w:val="0"/>
        <w:widowControl/>
        <w:kinsoku w:val="0"/>
        <w:wordWrap/>
        <w:overflowPunct/>
        <w:topLinePunct w:val="0"/>
        <w:autoSpaceDE w:val="0"/>
        <w:autoSpaceDN w:val="0"/>
        <w:bidi w:val="0"/>
        <w:adjustRightInd w:val="0"/>
        <w:snapToGrid w:val="0"/>
        <w:spacing w:before="21" w:line="360" w:lineRule="auto"/>
        <w:ind w:left="27" w:right="222"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11.4供应商所报的各分项报价在合同履</w:t>
      </w:r>
      <w:r>
        <w:rPr>
          <w:rFonts w:hint="eastAsia" w:ascii="仿宋" w:hAnsi="仿宋" w:eastAsia="仿宋" w:cs="仿宋"/>
          <w:color w:val="auto"/>
          <w:spacing w:val="-2"/>
          <w:sz w:val="24"/>
          <w:szCs w:val="24"/>
          <w:highlight w:val="none"/>
        </w:rPr>
        <w:t>行过程中是固定不变的，不得以任何理由予以变更。</w:t>
      </w:r>
      <w:r>
        <w:rPr>
          <w:rFonts w:hint="eastAsia" w:ascii="仿宋" w:hAnsi="仿宋" w:eastAsia="仿宋" w:cs="仿宋"/>
          <w:color w:val="auto"/>
          <w:spacing w:val="-1"/>
          <w:sz w:val="24"/>
          <w:szCs w:val="24"/>
          <w:highlight w:val="none"/>
        </w:rPr>
        <w:t>任何包含价格调整要求的响应文件，将被认定为无效。</w:t>
      </w:r>
    </w:p>
    <w:p w14:paraId="5EDDE553">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12.保证金</w:t>
      </w:r>
    </w:p>
    <w:p w14:paraId="349C9ED6">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right="9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12.1供应商应提交</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中规定的保证金，并作为其响应文件的一部分。12.2供应商存在下列情形的，保证金不予退还：</w:t>
      </w:r>
    </w:p>
    <w:p w14:paraId="0430FFFC">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（1）在征集响应有效期内，撤销响应文件的；</w:t>
      </w:r>
    </w:p>
    <w:p w14:paraId="13D1761F">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（2）入围后不按本须知第30条的规定与征集人签订框架协议的；</w:t>
      </w:r>
    </w:p>
    <w:p w14:paraId="78A22508">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（3）入围后不按本须知第31条的规定提交履约保证金的；</w:t>
      </w:r>
    </w:p>
    <w:p w14:paraId="0336D188">
      <w:pPr>
        <w:keepNext w:val="0"/>
        <w:keepLines w:val="0"/>
        <w:pageBreakBefore w:val="0"/>
        <w:widowControl/>
        <w:kinsoku w:val="0"/>
        <w:wordWrap/>
        <w:overflowPunct/>
        <w:topLinePunct w:val="0"/>
        <w:autoSpaceDE w:val="0"/>
        <w:autoSpaceDN w:val="0"/>
        <w:bidi w:val="0"/>
        <w:adjustRightInd w:val="0"/>
        <w:snapToGrid w:val="0"/>
        <w:spacing w:before="22"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（4）入围后不按本须知第33条的规定缴纳服务费的；</w:t>
      </w:r>
    </w:p>
    <w:p w14:paraId="09828101">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5C17CCF6">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12.3供应商未按本须知第12.1条规定提交保证金的，其响应文件将被认定为无效。</w:t>
      </w:r>
    </w:p>
    <w:p w14:paraId="26359BC3">
      <w:pPr>
        <w:keepNext w:val="0"/>
        <w:keepLines w:val="0"/>
        <w:pageBreakBefore w:val="0"/>
        <w:widowControl/>
        <w:kinsoku w:val="0"/>
        <w:wordWrap/>
        <w:overflowPunct/>
        <w:topLinePunct w:val="0"/>
        <w:autoSpaceDE w:val="0"/>
        <w:autoSpaceDN w:val="0"/>
        <w:bidi w:val="0"/>
        <w:adjustRightInd w:val="0"/>
        <w:snapToGrid w:val="0"/>
        <w:spacing w:before="25" w:line="360" w:lineRule="auto"/>
        <w:ind w:left="29"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12.4联合体参加的，可以由联合体中的一方或者共同提交保证金。以一方名义提交保证金的，对联合体各方均具有约束力。</w:t>
      </w:r>
    </w:p>
    <w:p w14:paraId="5CC6D42D">
      <w:pPr>
        <w:keepNext w:val="0"/>
        <w:keepLines w:val="0"/>
        <w:pageBreakBefore w:val="0"/>
        <w:widowControl/>
        <w:kinsoku w:val="0"/>
        <w:wordWrap/>
        <w:overflowPunct/>
        <w:topLinePunct w:val="0"/>
        <w:autoSpaceDE w:val="0"/>
        <w:autoSpaceDN w:val="0"/>
        <w:bidi w:val="0"/>
        <w:adjustRightInd w:val="0"/>
        <w:snapToGrid w:val="0"/>
        <w:spacing w:before="2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12.5保证金的退还</w:t>
      </w:r>
    </w:p>
    <w:p w14:paraId="1F802FF8">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51" w:firstLine="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12.5.1入围供应商应在与征集人签订框架协议之日起5个工作日内，及时联系保证金收受</w:t>
      </w:r>
      <w:r>
        <w:rPr>
          <w:rFonts w:hint="eastAsia" w:ascii="仿宋" w:hAnsi="仿宋" w:eastAsia="仿宋" w:cs="仿宋"/>
          <w:color w:val="auto"/>
          <w:spacing w:val="-2"/>
          <w:sz w:val="24"/>
          <w:szCs w:val="24"/>
          <w:highlight w:val="none"/>
        </w:rPr>
        <w:t>机构办理保证金无息退还手续。</w:t>
      </w:r>
    </w:p>
    <w:p w14:paraId="2416482F">
      <w:pPr>
        <w:keepNext w:val="0"/>
        <w:keepLines w:val="0"/>
        <w:pageBreakBefore w:val="0"/>
        <w:widowControl/>
        <w:kinsoku w:val="0"/>
        <w:wordWrap/>
        <w:overflowPunct/>
        <w:topLinePunct w:val="0"/>
        <w:autoSpaceDE w:val="0"/>
        <w:autoSpaceDN w:val="0"/>
        <w:bidi w:val="0"/>
        <w:adjustRightInd w:val="0"/>
        <w:snapToGrid w:val="0"/>
        <w:spacing w:before="26" w:line="360" w:lineRule="auto"/>
        <w:ind w:left="31" w:right="151" w:firstLine="4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12.5.2未入围供应商的保证金将在入围通知书发出之日暨入围结果公告公布之日起5个工作日内无息退还。供应商应及时联系保证金收受机构办理退还保证金手续。</w:t>
      </w:r>
    </w:p>
    <w:p w14:paraId="6F58B5C6">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12.6因供应商自身原因导致无法及时退还的，征集人将不承担相应责任。</w:t>
      </w:r>
    </w:p>
    <w:p w14:paraId="729684B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13.响应文件有效期</w:t>
      </w:r>
    </w:p>
    <w:p w14:paraId="4DFEEEE6">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13.1征集响应文件的有效期为开标之日起</w:t>
      </w:r>
      <w:r>
        <w:rPr>
          <w:rFonts w:hint="eastAsia" w:ascii="仿宋" w:hAnsi="仿宋" w:eastAsia="仿宋" w:cs="仿宋"/>
          <w:color w:val="auto"/>
          <w:spacing w:val="-2"/>
          <w:sz w:val="24"/>
          <w:szCs w:val="24"/>
          <w:highlight w:val="none"/>
        </w:rPr>
        <w:t>90天。</w:t>
      </w:r>
    </w:p>
    <w:p w14:paraId="58FAAF6D">
      <w:pPr>
        <w:keepNext w:val="0"/>
        <w:keepLines w:val="0"/>
        <w:pageBreakBefore w:val="0"/>
        <w:widowControl/>
        <w:kinsoku w:val="0"/>
        <w:wordWrap/>
        <w:overflowPunct/>
        <w:topLinePunct w:val="0"/>
        <w:autoSpaceDE w:val="0"/>
        <w:autoSpaceDN w:val="0"/>
        <w:bidi w:val="0"/>
        <w:adjustRightInd w:val="0"/>
        <w:snapToGrid w:val="0"/>
        <w:spacing w:before="22" w:line="360" w:lineRule="auto"/>
        <w:ind w:left="31" w:right="185" w:firstLine="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13.2在原定投标有效期满之前，如果出现特殊情况，经政府采购监督管理机构核准，采购人或代理机构可以跟供应商协商延长投标有效期。</w:t>
      </w:r>
    </w:p>
    <w:p w14:paraId="1E45CF3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征集响应文件授权委托书期限不得少于投标有效期。</w:t>
      </w:r>
    </w:p>
    <w:p w14:paraId="06F5D3AB">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14.响应文件的制作</w:t>
      </w:r>
    </w:p>
    <w:p w14:paraId="3875D020">
      <w:pPr>
        <w:keepNext w:val="0"/>
        <w:keepLines w:val="0"/>
        <w:pageBreakBefore w:val="0"/>
        <w:widowControl/>
        <w:kinsoku w:val="0"/>
        <w:wordWrap/>
        <w:overflowPunct/>
        <w:topLinePunct w:val="0"/>
        <w:autoSpaceDE w:val="0"/>
        <w:autoSpaceDN w:val="0"/>
        <w:bidi w:val="0"/>
        <w:adjustRightInd w:val="0"/>
        <w:snapToGrid w:val="0"/>
        <w:spacing w:before="7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14.1征集响应文件制作</w:t>
      </w:r>
    </w:p>
    <w:p w14:paraId="47FF22F2">
      <w:pPr>
        <w:keepNext w:val="0"/>
        <w:keepLines w:val="0"/>
        <w:pageBreakBefore w:val="0"/>
        <w:widowControl/>
        <w:kinsoku w:val="0"/>
        <w:wordWrap/>
        <w:overflowPunct/>
        <w:topLinePunct w:val="0"/>
        <w:autoSpaceDE w:val="0"/>
        <w:autoSpaceDN w:val="0"/>
        <w:bidi w:val="0"/>
        <w:adjustRightInd w:val="0"/>
        <w:snapToGrid w:val="0"/>
        <w:spacing w:before="55" w:line="360" w:lineRule="auto"/>
        <w:ind w:left="27" w:right="79" w:firstLine="52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1、本项目实行电子招投标响应，供应商须登录政采云平台申请获取采购文件，并需</w:t>
      </w:r>
      <w:r>
        <w:rPr>
          <w:rFonts w:hint="eastAsia" w:ascii="仿宋" w:hAnsi="仿宋" w:eastAsia="仿宋" w:cs="仿宋"/>
          <w:color w:val="auto"/>
          <w:spacing w:val="6"/>
          <w:sz w:val="24"/>
          <w:szCs w:val="24"/>
          <w:highlight w:val="none"/>
        </w:rPr>
        <w:t>要使用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锁，登录政采云电子投标客户端制作响应文件，若供应商参与投标,自行</w:t>
      </w:r>
      <w:r>
        <w:rPr>
          <w:rFonts w:hint="eastAsia" w:ascii="仿宋" w:hAnsi="仿宋" w:eastAsia="仿宋" w:cs="仿宋"/>
          <w:color w:val="auto"/>
          <w:spacing w:val="5"/>
          <w:sz w:val="24"/>
          <w:szCs w:val="24"/>
          <w:highlight w:val="none"/>
        </w:rPr>
        <w:t>承担与</w:t>
      </w:r>
      <w:r>
        <w:rPr>
          <w:rFonts w:hint="eastAsia" w:ascii="仿宋" w:hAnsi="仿宋" w:eastAsia="仿宋" w:cs="仿宋"/>
          <w:color w:val="auto"/>
          <w:spacing w:val="4"/>
          <w:sz w:val="24"/>
          <w:szCs w:val="24"/>
          <w:highlight w:val="none"/>
        </w:rPr>
        <w:t>投标有关的一切费用。</w:t>
      </w:r>
    </w:p>
    <w:p w14:paraId="6C393EFD">
      <w:pPr>
        <w:keepNext w:val="0"/>
        <w:keepLines w:val="0"/>
        <w:pageBreakBefore w:val="0"/>
        <w:widowControl/>
        <w:kinsoku w:val="0"/>
        <w:wordWrap/>
        <w:overflowPunct/>
        <w:topLinePunct w:val="0"/>
        <w:autoSpaceDE w:val="0"/>
        <w:autoSpaceDN w:val="0"/>
        <w:bidi w:val="0"/>
        <w:adjustRightInd w:val="0"/>
        <w:snapToGrid w:val="0"/>
        <w:spacing w:before="50" w:line="360" w:lineRule="auto"/>
        <w:ind w:left="27" w:right="208"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2、各供应商应在开标前确保是新疆维吾尔自治区政府采购网正式注册入库的供应</w:t>
      </w:r>
      <w:r>
        <w:rPr>
          <w:rFonts w:hint="eastAsia" w:ascii="仿宋" w:hAnsi="仿宋" w:eastAsia="仿宋" w:cs="仿宋"/>
          <w:color w:val="auto"/>
          <w:spacing w:val="8"/>
          <w:sz w:val="24"/>
          <w:szCs w:val="24"/>
          <w:highlight w:val="none"/>
        </w:rPr>
        <w:t>商，并完成</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数字证书申领。因未注册入库、未办理</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数字证书等原因造成无法投标或</w:t>
      </w:r>
      <w:r>
        <w:rPr>
          <w:rFonts w:hint="eastAsia" w:ascii="仿宋" w:hAnsi="仿宋" w:eastAsia="仿宋" w:cs="仿宋"/>
          <w:color w:val="auto"/>
          <w:spacing w:val="6"/>
          <w:sz w:val="24"/>
          <w:szCs w:val="24"/>
          <w:highlight w:val="none"/>
        </w:rPr>
        <w:t>投标失败等后果的由供应商自行承担。</w:t>
      </w:r>
    </w:p>
    <w:p w14:paraId="3AFE30BF">
      <w:pPr>
        <w:keepNext w:val="0"/>
        <w:keepLines w:val="0"/>
        <w:pageBreakBefore w:val="0"/>
        <w:widowControl/>
        <w:kinsoku w:val="0"/>
        <w:wordWrap/>
        <w:overflowPunct/>
        <w:topLinePunct w:val="0"/>
        <w:autoSpaceDE w:val="0"/>
        <w:autoSpaceDN w:val="0"/>
        <w:bidi w:val="0"/>
        <w:adjustRightInd w:val="0"/>
        <w:snapToGrid w:val="0"/>
        <w:spacing w:before="55" w:line="360" w:lineRule="auto"/>
        <w:ind w:left="28" w:right="120"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3、供应商可前往新疆政府采购网（</w:t>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/）下载专区，下载政采</w:t>
      </w:r>
      <w:r>
        <w:rPr>
          <w:rFonts w:hint="eastAsia" w:ascii="仿宋" w:hAnsi="仿宋" w:eastAsia="仿宋" w:cs="仿宋"/>
          <w:color w:val="auto"/>
          <w:spacing w:val="7"/>
          <w:sz w:val="24"/>
          <w:szCs w:val="24"/>
          <w:highlight w:val="none"/>
        </w:rPr>
        <w:t>云电子投标客户端，安装完成后，可通过账号密码或</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登录客户端进行响应文件制作。</w:t>
      </w:r>
    </w:p>
    <w:p w14:paraId="6C462E0D">
      <w:pPr>
        <w:keepNext w:val="0"/>
        <w:keepLines w:val="0"/>
        <w:pageBreakBefore w:val="0"/>
        <w:widowControl/>
        <w:kinsoku w:val="0"/>
        <w:wordWrap/>
        <w:overflowPunct/>
        <w:topLinePunct w:val="0"/>
        <w:autoSpaceDE w:val="0"/>
        <w:autoSpaceDN w:val="0"/>
        <w:bidi w:val="0"/>
        <w:adjustRightInd w:val="0"/>
        <w:snapToGrid w:val="0"/>
        <w:spacing w:before="52" w:line="360" w:lineRule="auto"/>
        <w:ind w:left="34" w:right="127"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在使用政采云电子投标客户端时，建议使用</w:t>
      </w:r>
      <w:r>
        <w:rPr>
          <w:rFonts w:hint="eastAsia" w:ascii="仿宋" w:hAnsi="仿宋" w:eastAsia="仿宋" w:cs="仿宋"/>
          <w:color w:val="auto"/>
          <w:sz w:val="24"/>
          <w:szCs w:val="24"/>
          <w:highlight w:val="none"/>
        </w:rPr>
        <w:t>WIN</w:t>
      </w:r>
      <w:r>
        <w:rPr>
          <w:rFonts w:hint="eastAsia" w:ascii="仿宋" w:hAnsi="仿宋" w:eastAsia="仿宋" w:cs="仿宋"/>
          <w:color w:val="auto"/>
          <w:spacing w:val="8"/>
          <w:sz w:val="24"/>
          <w:szCs w:val="24"/>
          <w:highlight w:val="none"/>
        </w:rPr>
        <w:t>7及以上操作系统。若对项</w:t>
      </w:r>
      <w:r>
        <w:rPr>
          <w:rFonts w:hint="eastAsia" w:ascii="仿宋" w:hAnsi="仿宋" w:eastAsia="仿宋" w:cs="仿宋"/>
          <w:color w:val="auto"/>
          <w:spacing w:val="7"/>
          <w:sz w:val="24"/>
          <w:szCs w:val="24"/>
          <w:highlight w:val="none"/>
        </w:rPr>
        <w:t>目采购电子交</w:t>
      </w:r>
      <w:r>
        <w:rPr>
          <w:rFonts w:hint="eastAsia" w:ascii="仿宋" w:hAnsi="仿宋" w:eastAsia="仿宋" w:cs="仿宋"/>
          <w:color w:val="auto"/>
          <w:spacing w:val="9"/>
          <w:sz w:val="24"/>
          <w:szCs w:val="24"/>
          <w:highlight w:val="none"/>
        </w:rPr>
        <w:t>易系统操作有疑问，可登录“政采云</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9"/>
          <w:sz w:val="24"/>
          <w:szCs w:val="24"/>
          <w:highlight w:val="none"/>
        </w:rPr>
        <w:t>”平台（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login</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点击右侧</w:t>
      </w:r>
      <w:r>
        <w:rPr>
          <w:rFonts w:hint="eastAsia" w:ascii="仿宋" w:hAnsi="仿宋" w:eastAsia="仿宋" w:cs="仿宋"/>
          <w:color w:val="auto"/>
          <w:spacing w:val="7"/>
          <w:sz w:val="24"/>
          <w:szCs w:val="24"/>
          <w:highlight w:val="none"/>
        </w:rPr>
        <w:t>咨询小采，获取采小蜜智能服务管家帮助，或拨打政采云服务热线400-881-7190获取热</w:t>
      </w:r>
      <w:r>
        <w:rPr>
          <w:rFonts w:hint="eastAsia" w:ascii="仿宋" w:hAnsi="仿宋" w:eastAsia="仿宋" w:cs="仿宋"/>
          <w:color w:val="auto"/>
          <w:spacing w:val="1"/>
          <w:sz w:val="24"/>
          <w:szCs w:val="24"/>
          <w:highlight w:val="none"/>
        </w:rPr>
        <w:t>线服务帮助。</w:t>
      </w:r>
    </w:p>
    <w:p w14:paraId="796E1DEC">
      <w:pPr>
        <w:keepNext w:val="0"/>
        <w:keepLines w:val="0"/>
        <w:pageBreakBefore w:val="0"/>
        <w:widowControl/>
        <w:kinsoku w:val="0"/>
        <w:wordWrap/>
        <w:overflowPunct/>
        <w:topLinePunct w:val="0"/>
        <w:autoSpaceDE w:val="0"/>
        <w:autoSpaceDN w:val="0"/>
        <w:bidi w:val="0"/>
        <w:adjustRightInd w:val="0"/>
        <w:snapToGrid w:val="0"/>
        <w:spacing w:before="52" w:line="360" w:lineRule="auto"/>
        <w:ind w:left="30" w:right="72" w:firstLine="49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4、供应商在开标时须携带制作加密电子响应文件所使用的</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电脑须提前配置好</w:t>
      </w:r>
      <w:r>
        <w:rPr>
          <w:rFonts w:hint="eastAsia" w:ascii="仿宋" w:hAnsi="仿宋" w:eastAsia="仿宋" w:cs="仿宋"/>
          <w:color w:val="auto"/>
          <w:spacing w:val="5"/>
          <w:sz w:val="24"/>
          <w:szCs w:val="24"/>
          <w:highlight w:val="none"/>
        </w:rPr>
        <w:t>浏览器（建议使用360浏览器或谷歌浏览器</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5"/>
          <w:sz w:val="24"/>
          <w:szCs w:val="24"/>
          <w:highlight w:val="none"/>
        </w:rPr>
        <w:t>以便开标时在线解密。</w:t>
      </w:r>
    </w:p>
    <w:p w14:paraId="3C245E59">
      <w:pPr>
        <w:keepNext w:val="0"/>
        <w:keepLines w:val="0"/>
        <w:pageBreakBefore w:val="0"/>
        <w:widowControl/>
        <w:kinsoku w:val="0"/>
        <w:wordWrap/>
        <w:overflowPunct/>
        <w:topLinePunct w:val="0"/>
        <w:autoSpaceDE w:val="0"/>
        <w:autoSpaceDN w:val="0"/>
        <w:bidi w:val="0"/>
        <w:adjustRightInd w:val="0"/>
        <w:snapToGrid w:val="0"/>
        <w:spacing w:before="54" w:line="360" w:lineRule="auto"/>
        <w:ind w:left="7" w:right="79" w:firstLine="52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5、投标供应商应当在投标截止时间前，将生成的“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5"/>
          <w:sz w:val="24"/>
          <w:szCs w:val="24"/>
          <w:highlight w:val="none"/>
        </w:rPr>
        <w:t>电子加密响应文件</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”上传</w:t>
      </w:r>
      <w:r>
        <w:rPr>
          <w:rFonts w:hint="eastAsia" w:ascii="仿宋" w:hAnsi="仿宋" w:eastAsia="仿宋" w:cs="仿宋"/>
          <w:color w:val="auto"/>
          <w:spacing w:val="4"/>
          <w:sz w:val="24"/>
          <w:szCs w:val="24"/>
          <w:highlight w:val="none"/>
        </w:rPr>
        <w:t>递交至</w:t>
      </w:r>
      <w:r>
        <w:rPr>
          <w:rFonts w:hint="eastAsia" w:ascii="仿宋" w:hAnsi="仿宋" w:eastAsia="仿宋" w:cs="仿宋"/>
          <w:color w:val="auto"/>
          <w:spacing w:val="5"/>
          <w:sz w:val="24"/>
          <w:szCs w:val="24"/>
          <w:highlight w:val="none"/>
        </w:rPr>
        <w:t>“政采云</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5"/>
          <w:sz w:val="24"/>
          <w:szCs w:val="24"/>
          <w:highlight w:val="none"/>
        </w:rPr>
        <w:t>”平台，投标截止时间以后上传递交的响应文件将被“政采云</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”平台拒收。</w:t>
      </w:r>
    </w:p>
    <w:p w14:paraId="67768BC9">
      <w:pPr>
        <w:keepNext w:val="0"/>
        <w:keepLines w:val="0"/>
        <w:pageBreakBefore w:val="0"/>
        <w:widowControl/>
        <w:kinsoku w:val="0"/>
        <w:wordWrap/>
        <w:overflowPunct/>
        <w:topLinePunct w:val="0"/>
        <w:autoSpaceDE w:val="0"/>
        <w:autoSpaceDN w:val="0"/>
        <w:bidi w:val="0"/>
        <w:adjustRightInd w:val="0"/>
        <w:snapToGrid w:val="0"/>
        <w:spacing w:before="52" w:line="360" w:lineRule="auto"/>
        <w:ind w:left="53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6、其他内容详见采购文件。</w:t>
      </w:r>
    </w:p>
    <w:p w14:paraId="523EFE70">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14.2本项目为全流程电子开评标项目，供应商须在征集响应文件递交截止时间前制作并</w:t>
      </w:r>
      <w:r>
        <w:rPr>
          <w:rFonts w:hint="eastAsia" w:ascii="仿宋" w:hAnsi="仿宋" w:eastAsia="仿宋" w:cs="仿宋"/>
          <w:color w:val="auto"/>
          <w:spacing w:val="-4"/>
          <w:sz w:val="24"/>
          <w:szCs w:val="24"/>
          <w:highlight w:val="none"/>
        </w:rPr>
        <w:t>提交：</w:t>
      </w:r>
    </w:p>
    <w:p w14:paraId="22309CD8">
      <w:pPr>
        <w:keepNext w:val="0"/>
        <w:keepLines w:val="0"/>
        <w:pageBreakBefore w:val="0"/>
        <w:widowControl/>
        <w:kinsoku w:val="0"/>
        <w:wordWrap/>
        <w:overflowPunct/>
        <w:topLinePunct w:val="0"/>
        <w:autoSpaceDE w:val="0"/>
        <w:autoSpaceDN w:val="0"/>
        <w:bidi w:val="0"/>
        <w:adjustRightInd w:val="0"/>
        <w:snapToGrid w:val="0"/>
        <w:spacing w:before="47" w:line="360" w:lineRule="auto"/>
        <w:ind w:left="27" w:right="189" w:firstLine="5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加密的征集响应文件（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
          <w:sz w:val="24"/>
          <w:szCs w:val="24"/>
          <w:highlight w:val="none"/>
        </w:rPr>
        <w:t>并在文件领取开始时间至征集响应文件递交截</w:t>
      </w:r>
      <w:r>
        <w:rPr>
          <w:rFonts w:hint="eastAsia" w:ascii="仿宋" w:hAnsi="仿宋" w:eastAsia="仿宋" w:cs="仿宋"/>
          <w:color w:val="auto"/>
          <w:spacing w:val="5"/>
          <w:sz w:val="24"/>
          <w:szCs w:val="24"/>
          <w:highlight w:val="none"/>
        </w:rPr>
        <w:t>止时间前通过“政采云平台”上传；上传时必须得到电脑“上传成功”的确认。请供应</w:t>
      </w:r>
      <w:r>
        <w:rPr>
          <w:rFonts w:hint="eastAsia" w:ascii="仿宋" w:hAnsi="仿宋" w:eastAsia="仿宋" w:cs="仿宋"/>
          <w:color w:val="auto"/>
          <w:spacing w:val="6"/>
          <w:sz w:val="24"/>
          <w:szCs w:val="24"/>
          <w:highlight w:val="none"/>
        </w:rPr>
        <w:t>商在上传时认真检查上传征集响应文件是否完整、正确。</w:t>
      </w:r>
    </w:p>
    <w:p w14:paraId="30C2EC58">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14.3征集文件格式所要求包含的全部资料应全部制作在征集响应文件内，严格按照本项</w:t>
      </w:r>
      <w:r>
        <w:rPr>
          <w:rFonts w:hint="eastAsia" w:ascii="仿宋" w:hAnsi="仿宋" w:eastAsia="仿宋" w:cs="仿宋"/>
          <w:color w:val="auto"/>
          <w:spacing w:val="6"/>
          <w:sz w:val="24"/>
          <w:szCs w:val="24"/>
          <w:highlight w:val="none"/>
        </w:rPr>
        <w:t>目征集文件所有格式如实填写（不涉及的内容除外</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
          <w:sz w:val="24"/>
          <w:szCs w:val="24"/>
          <w:highlight w:val="none"/>
        </w:rPr>
        <w:t>不应存在漏项或缺项，否则将存</w:t>
      </w:r>
      <w:r>
        <w:rPr>
          <w:rFonts w:hint="eastAsia" w:ascii="仿宋" w:hAnsi="仿宋" w:eastAsia="仿宋" w:cs="仿宋"/>
          <w:color w:val="auto"/>
          <w:spacing w:val="5"/>
          <w:sz w:val="24"/>
          <w:szCs w:val="24"/>
          <w:highlight w:val="none"/>
        </w:rPr>
        <w:t>在征集响应文件被拒绝的风险。</w:t>
      </w:r>
    </w:p>
    <w:p w14:paraId="374E37E2">
      <w:pPr>
        <w:keepNext w:val="0"/>
        <w:keepLines w:val="0"/>
        <w:pageBreakBefore w:val="0"/>
        <w:widowControl/>
        <w:kinsoku w:val="0"/>
        <w:wordWrap/>
        <w:overflowPunct/>
        <w:topLinePunct w:val="0"/>
        <w:autoSpaceDE w:val="0"/>
        <w:autoSpaceDN w:val="0"/>
        <w:bidi w:val="0"/>
        <w:adjustRightInd w:val="0"/>
        <w:snapToGrid w:val="0"/>
        <w:spacing w:before="5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14.4征集响应文件以外的任何资料采购人将拒收。</w:t>
      </w:r>
    </w:p>
    <w:p w14:paraId="29B6F014">
      <w:pPr>
        <w:keepNext w:val="0"/>
        <w:keepLines w:val="0"/>
        <w:pageBreakBefore w:val="0"/>
        <w:widowControl/>
        <w:kinsoku w:val="0"/>
        <w:wordWrap/>
        <w:overflowPunct/>
        <w:topLinePunct w:val="0"/>
        <w:autoSpaceDE w:val="0"/>
        <w:autoSpaceDN w:val="0"/>
        <w:bidi w:val="0"/>
        <w:adjustRightInd w:val="0"/>
        <w:snapToGrid w:val="0"/>
        <w:spacing w:before="53" w:line="360" w:lineRule="auto"/>
        <w:ind w:left="27" w:right="189"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14.5供应商编辑电子征集响应文件时，根据征集文件要求用法人</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秘钥和企业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秘钥进行签章制作；最后一步生成电子征集响应文件（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7"/>
          <w:sz w:val="24"/>
          <w:szCs w:val="24"/>
          <w:highlight w:val="none"/>
        </w:rPr>
        <w:t>时，只能用本单位的企业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1"/>
          <w:sz w:val="24"/>
          <w:szCs w:val="24"/>
          <w:highlight w:val="none"/>
        </w:rPr>
        <w:t>秘钥加密。</w:t>
      </w:r>
    </w:p>
    <w:p w14:paraId="442FD508">
      <w:pPr>
        <w:keepNext w:val="0"/>
        <w:keepLines w:val="0"/>
        <w:pageBreakBefore w:val="0"/>
        <w:widowControl/>
        <w:kinsoku w:val="0"/>
        <w:wordWrap/>
        <w:overflowPunct/>
        <w:topLinePunct w:val="0"/>
        <w:autoSpaceDE w:val="0"/>
        <w:autoSpaceDN w:val="0"/>
        <w:bidi w:val="0"/>
        <w:adjustRightInd w:val="0"/>
        <w:snapToGrid w:val="0"/>
        <w:spacing w:before="52" w:line="360" w:lineRule="auto"/>
        <w:ind w:left="33" w:firstLine="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14.6供应商必须按</w:t>
      </w:r>
      <w:r>
        <w:rPr>
          <w:rFonts w:hint="eastAsia" w:ascii="仿宋" w:hAnsi="仿宋" w:eastAsia="仿宋" w:cs="仿宋"/>
          <w:color w:val="auto"/>
          <w:spacing w:val="-1"/>
          <w:sz w:val="24"/>
          <w:szCs w:val="24"/>
          <w:highlight w:val="none"/>
        </w:rPr>
        <w:t>照征集文件的规定和要求在指定位置签字或盖章。使用CA锁电子签名或者亲笔签字后整页扫描上传，否则按无效投标处理。</w:t>
      </w:r>
    </w:p>
    <w:p w14:paraId="77993891">
      <w:pPr>
        <w:keepNext w:val="0"/>
        <w:keepLines w:val="0"/>
        <w:pageBreakBefore w:val="0"/>
        <w:widowControl/>
        <w:kinsoku w:val="0"/>
        <w:wordWrap/>
        <w:overflowPunct/>
        <w:topLinePunct w:val="0"/>
        <w:autoSpaceDE w:val="0"/>
        <w:autoSpaceDN w:val="0"/>
        <w:bidi w:val="0"/>
        <w:adjustRightInd w:val="0"/>
        <w:snapToGrid w:val="0"/>
        <w:spacing w:before="26" w:line="360" w:lineRule="auto"/>
        <w:ind w:left="3630"/>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四</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响应文件的递交</w:t>
      </w:r>
    </w:p>
    <w:p w14:paraId="629D7ED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15.响应文件的密封和标记</w:t>
      </w:r>
    </w:p>
    <w:p w14:paraId="3D418711">
      <w:pPr>
        <w:keepNext w:val="0"/>
        <w:keepLines w:val="0"/>
        <w:pageBreakBefore w:val="0"/>
        <w:widowControl/>
        <w:kinsoku w:val="0"/>
        <w:wordWrap/>
        <w:overflowPunct/>
        <w:topLinePunct w:val="0"/>
        <w:autoSpaceDE w:val="0"/>
        <w:autoSpaceDN w:val="0"/>
        <w:bidi w:val="0"/>
        <w:adjustRightInd w:val="0"/>
        <w:snapToGrid w:val="0"/>
        <w:spacing w:before="74" w:line="360" w:lineRule="auto"/>
        <w:ind w:left="30" w:right="38"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15.1供应商在征集响应文件规定的递交截止时间前，将征集响应文件按供应商须知规定解密递交。未按征集文件要求将加密递交的征集响应文件将被拒绝。</w:t>
      </w:r>
    </w:p>
    <w:p w14:paraId="7FCB2662">
      <w:pPr>
        <w:keepNext w:val="0"/>
        <w:keepLines w:val="0"/>
        <w:pageBreakBefore w:val="0"/>
        <w:widowControl/>
        <w:kinsoku w:val="0"/>
        <w:wordWrap/>
        <w:overflowPunct/>
        <w:topLinePunct w:val="0"/>
        <w:autoSpaceDE w:val="0"/>
        <w:autoSpaceDN w:val="0"/>
        <w:bidi w:val="0"/>
        <w:adjustRightInd w:val="0"/>
        <w:snapToGrid w:val="0"/>
        <w:spacing w:before="52"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15.2不接受邮寄的征集响应文件。</w:t>
      </w:r>
    </w:p>
    <w:p w14:paraId="29B63A6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16.征集截止</w:t>
      </w:r>
    </w:p>
    <w:p w14:paraId="5F993099">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中规定的截止时间前，将响应文件递交到政采云平台。</w:t>
      </w:r>
    </w:p>
    <w:p w14:paraId="157BF59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17.响应文件的接收、修改与撒回</w:t>
      </w:r>
    </w:p>
    <w:p w14:paraId="37B11FA5">
      <w:pPr>
        <w:keepNext w:val="0"/>
        <w:keepLines w:val="0"/>
        <w:pageBreakBefore w:val="0"/>
        <w:widowControl/>
        <w:kinsoku w:val="0"/>
        <w:wordWrap/>
        <w:overflowPunct/>
        <w:topLinePunct w:val="0"/>
        <w:autoSpaceDE w:val="0"/>
        <w:autoSpaceDN w:val="0"/>
        <w:bidi w:val="0"/>
        <w:adjustRightInd w:val="0"/>
        <w:snapToGrid w:val="0"/>
        <w:spacing w:before="47" w:line="360" w:lineRule="auto"/>
        <w:ind w:left="42" w:right="216" w:firstLine="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中规定的截止时间前，可以撤回已上传的响应文件。如要</w:t>
      </w:r>
      <w:r>
        <w:rPr>
          <w:rFonts w:hint="eastAsia" w:ascii="仿宋" w:hAnsi="仿宋" w:eastAsia="仿宋" w:cs="仿宋"/>
          <w:color w:val="auto"/>
          <w:sz w:val="24"/>
          <w:szCs w:val="24"/>
          <w:highlight w:val="none"/>
        </w:rPr>
        <w:t>修改，必须在撤回并修改后在规定的响应文件递交截</w:t>
      </w:r>
      <w:r>
        <w:rPr>
          <w:rFonts w:hint="eastAsia" w:ascii="仿宋" w:hAnsi="仿宋" w:eastAsia="仿宋" w:cs="仿宋"/>
          <w:color w:val="auto"/>
          <w:spacing w:val="-1"/>
          <w:sz w:val="24"/>
          <w:szCs w:val="24"/>
          <w:highlight w:val="none"/>
        </w:rPr>
        <w:t>止时间之前将修改后的响应文件再重新</w:t>
      </w:r>
      <w:r>
        <w:rPr>
          <w:rFonts w:hint="eastAsia" w:ascii="仿宋" w:hAnsi="仿宋" w:eastAsia="仿宋" w:cs="仿宋"/>
          <w:color w:val="auto"/>
          <w:sz w:val="24"/>
          <w:szCs w:val="24"/>
          <w:highlight w:val="none"/>
        </w:rPr>
        <w:t>上传。在响应文件递交截止时间之后，供应</w:t>
      </w:r>
      <w:r>
        <w:rPr>
          <w:rFonts w:hint="eastAsia" w:ascii="仿宋" w:hAnsi="仿宋" w:eastAsia="仿宋" w:cs="仿宋"/>
          <w:color w:val="auto"/>
          <w:spacing w:val="-1"/>
          <w:sz w:val="24"/>
          <w:szCs w:val="24"/>
          <w:highlight w:val="none"/>
        </w:rPr>
        <w:t>商不得对上传的响应文件撤销或修改。</w:t>
      </w:r>
    </w:p>
    <w:p w14:paraId="04BE24CA">
      <w:pPr>
        <w:keepNext w:val="0"/>
        <w:keepLines w:val="0"/>
        <w:pageBreakBefore w:val="0"/>
        <w:widowControl/>
        <w:kinsoku w:val="0"/>
        <w:wordWrap/>
        <w:overflowPunct/>
        <w:topLinePunct w:val="0"/>
        <w:autoSpaceDE w:val="0"/>
        <w:autoSpaceDN w:val="0"/>
        <w:bidi w:val="0"/>
        <w:adjustRightInd w:val="0"/>
        <w:snapToGrid w:val="0"/>
        <w:spacing w:before="29" w:line="360" w:lineRule="auto"/>
        <w:ind w:left="3196"/>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五</w:t>
      </w:r>
      <w:r>
        <w:rPr>
          <w:rFonts w:hint="eastAsia" w:ascii="仿宋" w:hAnsi="仿宋" w:eastAsia="仿宋" w:cs="仿宋"/>
          <w:color w:val="auto"/>
          <w:spacing w:val="16"/>
          <w:sz w:val="36"/>
          <w:szCs w:val="36"/>
          <w:highlight w:val="none"/>
        </w:rPr>
        <w:t xml:space="preserve">  </w:t>
      </w: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响应文件的开启及评审</w:t>
      </w:r>
    </w:p>
    <w:p w14:paraId="65ED8EE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18.开标</w:t>
      </w:r>
    </w:p>
    <w:p w14:paraId="7D049F56">
      <w:pPr>
        <w:keepNext w:val="0"/>
        <w:keepLines w:val="0"/>
        <w:pageBreakBefore w:val="0"/>
        <w:widowControl/>
        <w:kinsoku w:val="0"/>
        <w:wordWrap/>
        <w:overflowPunct/>
        <w:topLinePunct w:val="0"/>
        <w:autoSpaceDE w:val="0"/>
        <w:autoSpaceDN w:val="0"/>
        <w:bidi w:val="0"/>
        <w:adjustRightInd w:val="0"/>
        <w:snapToGrid w:val="0"/>
        <w:spacing w:before="49" w:line="360" w:lineRule="auto"/>
        <w:ind w:left="42" w:right="216"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中规定的开启时间和地点组织征集采购活动。提交响应文件的供应商少于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家的，不得开启。</w:t>
      </w:r>
    </w:p>
    <w:p w14:paraId="62BA108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16" w:firstLine="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18.2开启前，征集人将会同监督人员或公证人员进行验标（检查网上招标系统正常与否，检查未加密的电子响应文件，检查供应商保证金交纳情况</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1"/>
          <w:sz w:val="24"/>
          <w:szCs w:val="24"/>
          <w:highlight w:val="none"/>
        </w:rPr>
        <w:t>确认无误后开启解密。开启时，</w:t>
      </w:r>
      <w:r>
        <w:rPr>
          <w:rFonts w:hint="eastAsia" w:ascii="仿宋" w:hAnsi="仿宋" w:eastAsia="仿宋" w:cs="仿宋"/>
          <w:color w:val="auto"/>
          <w:sz w:val="24"/>
          <w:szCs w:val="24"/>
          <w:highlight w:val="none"/>
        </w:rPr>
        <w:t>各供应商应对本单位的加密的电子响应文件现场解</w:t>
      </w:r>
      <w:r>
        <w:rPr>
          <w:rFonts w:hint="eastAsia" w:ascii="仿宋" w:hAnsi="仿宋" w:eastAsia="仿宋" w:cs="仿宋"/>
          <w:color w:val="auto"/>
          <w:spacing w:val="-1"/>
          <w:sz w:val="24"/>
          <w:szCs w:val="24"/>
          <w:highlight w:val="none"/>
        </w:rPr>
        <w:t>密，征集人工作人员在监督人员或公证人</w:t>
      </w:r>
      <w:r>
        <w:rPr>
          <w:rFonts w:hint="eastAsia" w:ascii="仿宋" w:hAnsi="仿宋" w:eastAsia="仿宋" w:cs="仿宋"/>
          <w:color w:val="auto"/>
          <w:spacing w:val="-2"/>
          <w:sz w:val="24"/>
          <w:szCs w:val="24"/>
          <w:highlight w:val="none"/>
        </w:rPr>
        <w:t>员监督下解密所有响应文件。</w:t>
      </w:r>
    </w:p>
    <w:p w14:paraId="52C4A793">
      <w:pPr>
        <w:keepNext w:val="0"/>
        <w:keepLines w:val="0"/>
        <w:pageBreakBefore w:val="0"/>
        <w:widowControl/>
        <w:kinsoku w:val="0"/>
        <w:wordWrap/>
        <w:overflowPunct/>
        <w:topLinePunct w:val="0"/>
        <w:autoSpaceDE w:val="0"/>
        <w:autoSpaceDN w:val="0"/>
        <w:bidi w:val="0"/>
        <w:adjustRightInd w:val="0"/>
        <w:snapToGrid w:val="0"/>
        <w:spacing w:before="24"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18.3 征集人将对开启过程进行记录，并存档</w:t>
      </w:r>
      <w:r>
        <w:rPr>
          <w:rFonts w:hint="eastAsia" w:ascii="仿宋" w:hAnsi="仿宋" w:eastAsia="仿宋" w:cs="仿宋"/>
          <w:color w:val="auto"/>
          <w:spacing w:val="-2"/>
          <w:sz w:val="24"/>
          <w:szCs w:val="24"/>
          <w:highlight w:val="none"/>
        </w:rPr>
        <w:t>备查。</w:t>
      </w:r>
    </w:p>
    <w:p w14:paraId="24EA095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19.资格审查及组建评标委员会</w:t>
      </w:r>
    </w:p>
    <w:p w14:paraId="6E07E06D">
      <w:pPr>
        <w:keepNext w:val="0"/>
        <w:keepLines w:val="0"/>
        <w:pageBreakBefore w:val="0"/>
        <w:widowControl/>
        <w:kinsoku w:val="0"/>
        <w:wordWrap/>
        <w:overflowPunct/>
        <w:topLinePunct w:val="0"/>
        <w:autoSpaceDE w:val="0"/>
        <w:autoSpaceDN w:val="0"/>
        <w:bidi w:val="0"/>
        <w:adjustRightInd w:val="0"/>
        <w:snapToGrid w:val="0"/>
        <w:spacing w:before="46" w:line="360" w:lineRule="auto"/>
        <w:ind w:left="61" w:right="216"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19.1征集人依据法律法规和征集文件中规定的内容，对供应商的资格进行审查。未通过资格审查的供应商不进入评审。通过资格审查的供应商少于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w:t>
      </w:r>
      <w:r>
        <w:rPr>
          <w:rFonts w:hint="eastAsia" w:ascii="仿宋" w:hAnsi="仿宋" w:eastAsia="仿宋" w:cs="仿宋"/>
          <w:color w:val="auto"/>
          <w:spacing w:val="-2"/>
          <w:sz w:val="24"/>
          <w:szCs w:val="24"/>
          <w:highlight w:val="none"/>
        </w:rPr>
        <w:t>评审。</w:t>
      </w:r>
    </w:p>
    <w:p w14:paraId="71E39DDB">
      <w:pPr>
        <w:keepNext w:val="0"/>
        <w:keepLines w:val="0"/>
        <w:pageBreakBefore w:val="0"/>
        <w:widowControl/>
        <w:kinsoku w:val="0"/>
        <w:wordWrap/>
        <w:overflowPunct/>
        <w:topLinePunct w:val="0"/>
        <w:autoSpaceDE w:val="0"/>
        <w:autoSpaceDN w:val="0"/>
        <w:bidi w:val="0"/>
        <w:adjustRightInd w:val="0"/>
        <w:snapToGrid w:val="0"/>
        <w:spacing w:before="23"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中规定的时间查询供应商的信用记录。</w:t>
      </w:r>
    </w:p>
    <w:p w14:paraId="3125670A">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19.2.1 供应商在①“信用中国</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”被列</w:t>
      </w:r>
      <w:r>
        <w:rPr>
          <w:rFonts w:hint="eastAsia" w:ascii="仿宋" w:hAnsi="仿宋" w:eastAsia="仿宋" w:cs="仿宋"/>
          <w:color w:val="auto"/>
          <w:spacing w:val="-3"/>
          <w:sz w:val="24"/>
          <w:szCs w:val="24"/>
          <w:highlight w:val="none"/>
        </w:rPr>
        <w:t>入严重失信主体名单、企业经营异常名录；②“</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3"/>
          <w:sz w:val="24"/>
          <w:szCs w:val="24"/>
          <w:highlight w:val="none"/>
        </w:rPr>
        <w:t>中</w:t>
      </w:r>
      <w:r>
        <w:rPr>
          <w:rFonts w:hint="eastAsia" w:ascii="仿宋" w:hAnsi="仿宋" w:eastAsia="仿宋" w:cs="仿宋"/>
          <w:color w:val="auto"/>
          <w:spacing w:val="-1"/>
          <w:sz w:val="24"/>
          <w:szCs w:val="24"/>
          <w:highlight w:val="none"/>
        </w:rPr>
        <w:t>国政府采购网</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”被列入政府采购严重违法失信行为记录名单的；以及</w:t>
      </w:r>
      <w:r>
        <w:rPr>
          <w:rFonts w:hint="eastAsia" w:ascii="仿宋" w:hAnsi="仿宋" w:eastAsia="仿宋" w:cs="仿宋"/>
          <w:color w:val="auto"/>
          <w:spacing w:val="-2"/>
          <w:sz w:val="24"/>
          <w:szCs w:val="24"/>
          <w:highlight w:val="none"/>
        </w:rPr>
        <w:t>存在《中华人民共和国</w:t>
      </w:r>
      <w:r>
        <w:rPr>
          <w:rFonts w:hint="eastAsia" w:ascii="仿宋" w:hAnsi="仿宋" w:eastAsia="仿宋" w:cs="仿宋"/>
          <w:color w:val="auto"/>
          <w:spacing w:val="-1"/>
          <w:sz w:val="24"/>
          <w:szCs w:val="24"/>
          <w:highlight w:val="none"/>
        </w:rPr>
        <w:t>政府采购法实施条例》第十九条规定的行政处罚记录。</w:t>
      </w:r>
    </w:p>
    <w:p w14:paraId="0AD5E6E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302" w:firstLine="4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以联合体形式参加征集采购活动的，联合体任何成员存在以上不良信用记录的</w:t>
      </w:r>
      <w:r>
        <w:rPr>
          <w:rFonts w:hint="eastAsia" w:ascii="仿宋" w:hAnsi="仿宋" w:eastAsia="仿宋" w:cs="仿宋"/>
          <w:color w:val="auto"/>
          <w:spacing w:val="-2"/>
          <w:sz w:val="24"/>
          <w:szCs w:val="24"/>
          <w:highlight w:val="none"/>
        </w:rPr>
        <w:t>，响应文</w:t>
      </w:r>
      <w:r>
        <w:rPr>
          <w:rFonts w:hint="eastAsia" w:ascii="仿宋" w:hAnsi="仿宋" w:eastAsia="仿宋" w:cs="仿宋"/>
          <w:color w:val="auto"/>
          <w:spacing w:val="-1"/>
          <w:sz w:val="24"/>
          <w:szCs w:val="24"/>
          <w:highlight w:val="none"/>
        </w:rPr>
        <w:t>件将被认定为无效。</w:t>
      </w:r>
    </w:p>
    <w:p w14:paraId="0B8179E3">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征集人经办人将查询网页打印并存档备查。供应商不良信用记录以征集人查询结</w:t>
      </w:r>
      <w:r>
        <w:rPr>
          <w:rFonts w:hint="eastAsia" w:ascii="仿宋" w:hAnsi="仿宋" w:eastAsia="仿宋" w:cs="仿宋"/>
          <w:color w:val="auto"/>
          <w:sz w:val="24"/>
          <w:szCs w:val="24"/>
          <w:highlight w:val="none"/>
        </w:rPr>
        <w:t>果为准。供应商自行提供的与网站信息不一致的其</w:t>
      </w:r>
      <w:r>
        <w:rPr>
          <w:rFonts w:hint="eastAsia" w:ascii="仿宋" w:hAnsi="仿宋" w:eastAsia="仿宋" w:cs="仿宋"/>
          <w:color w:val="auto"/>
          <w:spacing w:val="-1"/>
          <w:sz w:val="24"/>
          <w:szCs w:val="24"/>
          <w:highlight w:val="none"/>
        </w:rPr>
        <w:t>他证明材料亦不作为资格审查的依据。在</w:t>
      </w:r>
      <w:r>
        <w:rPr>
          <w:rFonts w:hint="eastAsia" w:ascii="仿宋" w:hAnsi="仿宋" w:eastAsia="仿宋" w:cs="仿宋"/>
          <w:color w:val="auto"/>
          <w:sz w:val="24"/>
          <w:szCs w:val="24"/>
          <w:highlight w:val="none"/>
        </w:rPr>
        <w:t>本征集文件规定的查询时间之外，网站信息</w:t>
      </w:r>
      <w:r>
        <w:rPr>
          <w:rFonts w:hint="eastAsia" w:ascii="仿宋" w:hAnsi="仿宋" w:eastAsia="仿宋" w:cs="仿宋"/>
          <w:color w:val="auto"/>
          <w:spacing w:val="-1"/>
          <w:sz w:val="24"/>
          <w:szCs w:val="24"/>
          <w:highlight w:val="none"/>
        </w:rPr>
        <w:t>发生的任何变更均不作为资格审查依据。</w:t>
      </w:r>
    </w:p>
    <w:p w14:paraId="2F73C5E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 w:right="216" w:firstLine="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19.3  按照《中华人民共和国政府采购法》、《中华人民共和国政府采购法实施条例》及本</w:t>
      </w:r>
      <w:r>
        <w:rPr>
          <w:rFonts w:hint="eastAsia" w:ascii="仿宋" w:hAnsi="仿宋" w:eastAsia="仿宋" w:cs="仿宋"/>
          <w:color w:val="auto"/>
          <w:sz w:val="24"/>
          <w:szCs w:val="24"/>
          <w:highlight w:val="none"/>
        </w:rPr>
        <w:t>项目本级和上级财政部门的有关规定依法组建的评</w:t>
      </w:r>
      <w:r>
        <w:rPr>
          <w:rFonts w:hint="eastAsia" w:ascii="仿宋" w:hAnsi="仿宋" w:eastAsia="仿宋" w:cs="仿宋"/>
          <w:color w:val="auto"/>
          <w:spacing w:val="-1"/>
          <w:sz w:val="24"/>
          <w:szCs w:val="24"/>
          <w:highlight w:val="none"/>
        </w:rPr>
        <w:t>标委员会，负责评审工作。</w:t>
      </w:r>
    </w:p>
    <w:p w14:paraId="536C5B8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20.响应文件的符合性审查与澄清</w:t>
      </w:r>
    </w:p>
    <w:p w14:paraId="1781014E">
      <w:pPr>
        <w:keepNext w:val="0"/>
        <w:keepLines w:val="0"/>
        <w:pageBreakBefore w:val="0"/>
        <w:widowControl/>
        <w:kinsoku w:val="0"/>
        <w:wordWrap/>
        <w:overflowPunct/>
        <w:topLinePunct w:val="0"/>
        <w:autoSpaceDE w:val="0"/>
        <w:autoSpaceDN w:val="0"/>
        <w:bidi w:val="0"/>
        <w:adjustRightInd w:val="0"/>
        <w:snapToGrid w:val="0"/>
        <w:spacing w:before="44" w:line="360" w:lineRule="auto"/>
        <w:ind w:left="43" w:right="216"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20.1符合性审查是指依据征集文件的规定，对响应文件的有效</w:t>
      </w:r>
      <w:r>
        <w:rPr>
          <w:rFonts w:hint="eastAsia" w:ascii="仿宋" w:hAnsi="仿宋" w:eastAsia="仿宋" w:cs="仿宋"/>
          <w:color w:val="auto"/>
          <w:spacing w:val="-1"/>
          <w:sz w:val="24"/>
          <w:szCs w:val="24"/>
          <w:highlight w:val="none"/>
        </w:rPr>
        <w:t>性和完整性进行审查，以确定是否对征集文件的实质性要求做出响应。</w:t>
      </w:r>
    </w:p>
    <w:p w14:paraId="5CDB65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20.2响应文件的澄清</w:t>
      </w:r>
    </w:p>
    <w:p w14:paraId="1346260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20.2.1在评审期间，评标委员会将以书面方式要求供应商</w:t>
      </w:r>
      <w:r>
        <w:rPr>
          <w:rFonts w:hint="eastAsia" w:ascii="仿宋" w:hAnsi="仿宋" w:eastAsia="仿宋" w:cs="仿宋"/>
          <w:color w:val="auto"/>
          <w:spacing w:val="-1"/>
          <w:sz w:val="24"/>
          <w:szCs w:val="24"/>
          <w:highlight w:val="none"/>
        </w:rPr>
        <w:t>对其响应文件中含义不明确、</w:t>
      </w:r>
    </w:p>
    <w:p w14:paraId="18CE58AF">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对同类问题表述不一致或者有明显文字和计算错</w:t>
      </w:r>
      <w:r>
        <w:rPr>
          <w:rFonts w:hint="eastAsia" w:ascii="仿宋" w:hAnsi="仿宋" w:eastAsia="仿宋" w:cs="仿宋"/>
          <w:color w:val="auto"/>
          <w:spacing w:val="-1"/>
          <w:sz w:val="24"/>
          <w:szCs w:val="24"/>
          <w:highlight w:val="none"/>
        </w:rPr>
        <w:t>误的内容，以及评标委员会认为供应商的报</w:t>
      </w:r>
      <w:r>
        <w:rPr>
          <w:rFonts w:hint="eastAsia" w:ascii="仿宋" w:hAnsi="仿宋" w:eastAsia="仿宋" w:cs="仿宋"/>
          <w:color w:val="auto"/>
          <w:sz w:val="24"/>
          <w:szCs w:val="24"/>
          <w:highlight w:val="none"/>
        </w:rPr>
        <w:t>价明显低于其他通过符合性审查供应商的报价，有</w:t>
      </w:r>
      <w:r>
        <w:rPr>
          <w:rFonts w:hint="eastAsia" w:ascii="仿宋" w:hAnsi="仿宋" w:eastAsia="仿宋" w:cs="仿宋"/>
          <w:color w:val="auto"/>
          <w:spacing w:val="-1"/>
          <w:sz w:val="24"/>
          <w:szCs w:val="24"/>
          <w:highlight w:val="none"/>
        </w:rPr>
        <w:t>可能影响履约的情况作必要的澄清、说明</w:t>
      </w:r>
      <w:r>
        <w:rPr>
          <w:rFonts w:hint="eastAsia" w:ascii="仿宋" w:hAnsi="仿宋" w:eastAsia="仿宋" w:cs="仿宋"/>
          <w:color w:val="auto"/>
          <w:sz w:val="24"/>
          <w:szCs w:val="24"/>
          <w:highlight w:val="none"/>
        </w:rPr>
        <w:t>或补正。供应商澄清、说明或补正应在评标委员会</w:t>
      </w:r>
      <w:r>
        <w:rPr>
          <w:rFonts w:hint="eastAsia" w:ascii="仿宋" w:hAnsi="仿宋" w:eastAsia="仿宋" w:cs="仿宋"/>
          <w:color w:val="auto"/>
          <w:spacing w:val="-1"/>
          <w:sz w:val="24"/>
          <w:szCs w:val="24"/>
          <w:highlight w:val="none"/>
        </w:rPr>
        <w:t>规定的时间内以书面方式进行，并不得超出响应文件范围或者改变响应文件的实质性内容。</w:t>
      </w:r>
    </w:p>
    <w:p w14:paraId="67ED049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20.2.2 供应商澄清、说明或补正将作为响应文件的一部分。</w:t>
      </w:r>
    </w:p>
    <w:p w14:paraId="7DB3ABA8">
      <w:pPr>
        <w:keepNext w:val="0"/>
        <w:keepLines w:val="0"/>
        <w:pageBreakBefore w:val="0"/>
        <w:widowControl/>
        <w:kinsoku w:val="0"/>
        <w:wordWrap/>
        <w:overflowPunct/>
        <w:topLinePunct w:val="0"/>
        <w:autoSpaceDE w:val="0"/>
        <w:autoSpaceDN w:val="0"/>
        <w:bidi w:val="0"/>
        <w:adjustRightInd w:val="0"/>
        <w:snapToGrid w:val="0"/>
        <w:spacing w:line="360" w:lineRule="auto"/>
        <w:ind w:left="38"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20.3响应文件报价出现前后不一致的，按照下列规定修正：</w:t>
      </w:r>
    </w:p>
    <w:p w14:paraId="3FE7C39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9" w:right="182" w:firstLine="39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（1）响应文件中开标一览表（报价表）内容与响应文件中相应内容不一致的，以开标一</w:t>
      </w:r>
      <w:r>
        <w:rPr>
          <w:rFonts w:hint="eastAsia" w:ascii="仿宋" w:hAnsi="仿宋" w:eastAsia="仿宋" w:cs="仿宋"/>
          <w:color w:val="auto"/>
          <w:spacing w:val="-3"/>
          <w:sz w:val="24"/>
          <w:szCs w:val="24"/>
          <w:highlight w:val="none"/>
        </w:rPr>
        <w:t>览表（报价表）为准；</w:t>
      </w:r>
    </w:p>
    <w:p w14:paraId="29CB8B2C">
      <w:pPr>
        <w:keepNext w:val="0"/>
        <w:keepLines w:val="0"/>
        <w:pageBreakBefore w:val="0"/>
        <w:widowControl/>
        <w:kinsoku w:val="0"/>
        <w:wordWrap/>
        <w:overflowPunct/>
        <w:topLinePunct w:val="0"/>
        <w:autoSpaceDE w:val="0"/>
        <w:autoSpaceDN w:val="0"/>
        <w:bidi w:val="0"/>
        <w:adjustRightInd w:val="0"/>
        <w:snapToGrid w:val="0"/>
        <w:spacing w:before="2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64933851">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（3）单价金额小数点或者百分比有明显错位的，以开标一览表的总价为准，并修改单价；</w:t>
      </w:r>
    </w:p>
    <w:p w14:paraId="074B2460">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1F5E9737">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w:t>
      </w:r>
      <w:r>
        <w:rPr>
          <w:rFonts w:hint="eastAsia" w:ascii="仿宋" w:hAnsi="仿宋" w:eastAsia="仿宋" w:cs="仿宋"/>
          <w:color w:val="auto"/>
          <w:spacing w:val="-2"/>
          <w:sz w:val="24"/>
          <w:szCs w:val="24"/>
          <w:highlight w:val="none"/>
        </w:rPr>
        <w:t>正。修正后的报价按照第20.2条的</w:t>
      </w:r>
      <w:r>
        <w:rPr>
          <w:rFonts w:hint="eastAsia" w:ascii="仿宋" w:hAnsi="仿宋" w:eastAsia="仿宋" w:cs="仿宋"/>
          <w:color w:val="auto"/>
          <w:sz w:val="24"/>
          <w:szCs w:val="24"/>
          <w:highlight w:val="none"/>
        </w:rPr>
        <w:t>规定经供应商确认后产生约束力，供应商不确认的，</w:t>
      </w:r>
      <w:r>
        <w:rPr>
          <w:rFonts w:hint="eastAsia" w:ascii="仿宋" w:hAnsi="仿宋" w:eastAsia="仿宋" w:cs="仿宋"/>
          <w:color w:val="auto"/>
          <w:spacing w:val="-1"/>
          <w:sz w:val="24"/>
          <w:szCs w:val="24"/>
          <w:highlight w:val="none"/>
        </w:rPr>
        <w:t>其响应文件将被认定为无效。对不同文字文本响应文件的解释发生异议的，以中文文本为准。</w:t>
      </w:r>
    </w:p>
    <w:p w14:paraId="7AE96031">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20.4供应商为提供服务所伴随的货物如被列入财政部与国家主</w:t>
      </w:r>
      <w:r>
        <w:rPr>
          <w:rFonts w:hint="eastAsia" w:ascii="仿宋" w:hAnsi="仿宋" w:eastAsia="仿宋" w:cs="仿宋"/>
          <w:color w:val="auto"/>
          <w:spacing w:val="-1"/>
          <w:sz w:val="24"/>
          <w:szCs w:val="24"/>
          <w:highlight w:val="none"/>
        </w:rPr>
        <w:t>管部门颁发的节能产品或环境</w:t>
      </w:r>
      <w:r>
        <w:rPr>
          <w:rFonts w:hint="eastAsia" w:ascii="仿宋" w:hAnsi="仿宋" w:eastAsia="仿宋" w:cs="仿宋"/>
          <w:color w:val="auto"/>
          <w:sz w:val="24"/>
          <w:szCs w:val="24"/>
          <w:highlight w:val="none"/>
        </w:rPr>
        <w:t>标志产品品目清单或无线局域网产品清单，应提供处</w:t>
      </w:r>
      <w:r>
        <w:rPr>
          <w:rFonts w:hint="eastAsia" w:ascii="仿宋" w:hAnsi="仿宋" w:eastAsia="仿宋" w:cs="仿宋"/>
          <w:color w:val="auto"/>
          <w:spacing w:val="-1"/>
          <w:sz w:val="24"/>
          <w:szCs w:val="24"/>
          <w:highlight w:val="none"/>
        </w:rPr>
        <w:t>于有效期之内认证证书等相关证明，在评审时予以优先采购，具体优先采购办法见第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章评审方法和标准。</w:t>
      </w:r>
    </w:p>
    <w:p w14:paraId="6B3D177A">
      <w:pPr>
        <w:keepNext w:val="0"/>
        <w:keepLines w:val="0"/>
        <w:pageBreakBefore w:val="0"/>
        <w:widowControl/>
        <w:kinsoku w:val="0"/>
        <w:wordWrap/>
        <w:overflowPunct/>
        <w:topLinePunct w:val="0"/>
        <w:autoSpaceDE w:val="0"/>
        <w:autoSpaceDN w:val="0"/>
        <w:bidi w:val="0"/>
        <w:adjustRightInd w:val="0"/>
        <w:snapToGrid w:val="0"/>
        <w:spacing w:before="21" w:line="360" w:lineRule="auto"/>
        <w:ind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如供应商为提供服务所伴随的货物为政府强制采购的产品，供应商所投产品应属于品目</w:t>
      </w:r>
      <w:r>
        <w:rPr>
          <w:rFonts w:hint="eastAsia" w:ascii="仿宋" w:hAnsi="仿宋" w:eastAsia="仿宋" w:cs="仿宋"/>
          <w:color w:val="auto"/>
          <w:spacing w:val="-1"/>
          <w:sz w:val="24"/>
          <w:szCs w:val="24"/>
          <w:highlight w:val="none"/>
        </w:rPr>
        <w:t>清单的强制采购部分。供应商应提供有效期内的认证证书</w:t>
      </w:r>
      <w:r>
        <w:rPr>
          <w:rFonts w:hint="eastAsia" w:ascii="仿宋" w:hAnsi="仿宋" w:eastAsia="仿宋" w:cs="仿宋"/>
          <w:color w:val="auto"/>
          <w:spacing w:val="-2"/>
          <w:sz w:val="24"/>
          <w:szCs w:val="24"/>
          <w:highlight w:val="none"/>
        </w:rPr>
        <w:t>，否则其响应文件将被认定为无效。</w:t>
      </w:r>
    </w:p>
    <w:p w14:paraId="1A5D307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257"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如供应商为提供服务所伴随的货物属于信息</w:t>
      </w:r>
      <w:r>
        <w:rPr>
          <w:rFonts w:hint="eastAsia" w:ascii="仿宋" w:hAnsi="仿宋" w:eastAsia="仿宋" w:cs="仿宋"/>
          <w:color w:val="auto"/>
          <w:spacing w:val="-1"/>
          <w:sz w:val="24"/>
          <w:szCs w:val="24"/>
          <w:highlight w:val="none"/>
        </w:rPr>
        <w:t>安全产品的，供应商所投产品应为经国家认</w:t>
      </w:r>
      <w:r>
        <w:rPr>
          <w:rFonts w:hint="eastAsia" w:ascii="仿宋" w:hAnsi="仿宋" w:eastAsia="仿宋" w:cs="仿宋"/>
          <w:color w:val="auto"/>
          <w:spacing w:val="-2"/>
          <w:sz w:val="24"/>
          <w:szCs w:val="24"/>
          <w:highlight w:val="none"/>
        </w:rPr>
        <w:t>证的信息安全产品，并提供由中国信息安全认证中心按国家标准认证颁发的有效认证证书，否则其响应文件将被认定为无效。</w:t>
      </w:r>
    </w:p>
    <w:p w14:paraId="5929934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21.偏离</w:t>
      </w:r>
    </w:p>
    <w:p w14:paraId="45CB0EBB">
      <w:pPr>
        <w:keepNext w:val="0"/>
        <w:keepLines w:val="0"/>
        <w:pageBreakBefore w:val="0"/>
        <w:widowControl/>
        <w:kinsoku w:val="0"/>
        <w:wordWrap/>
        <w:overflowPunct/>
        <w:topLinePunct w:val="0"/>
        <w:autoSpaceDE w:val="0"/>
        <w:autoSpaceDN w:val="0"/>
        <w:bidi w:val="0"/>
        <w:adjustRightInd w:val="0"/>
        <w:snapToGrid w:val="0"/>
        <w:spacing w:before="47" w:line="360" w:lineRule="auto"/>
        <w:ind w:left="4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响应文件中存在对征集文件的任何负偏离，其响应文件将被认定为无效。</w:t>
      </w:r>
    </w:p>
    <w:p w14:paraId="54CEC39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22.无效响应</w:t>
      </w:r>
    </w:p>
    <w:p w14:paraId="44C51E4A">
      <w:pPr>
        <w:keepNext w:val="0"/>
        <w:keepLines w:val="0"/>
        <w:pageBreakBefore w:val="0"/>
        <w:widowControl/>
        <w:kinsoku w:val="0"/>
        <w:wordWrap/>
        <w:overflowPunct/>
        <w:topLinePunct w:val="0"/>
        <w:autoSpaceDE w:val="0"/>
        <w:autoSpaceDN w:val="0"/>
        <w:bidi w:val="0"/>
        <w:adjustRightInd w:val="0"/>
        <w:snapToGrid w:val="0"/>
        <w:spacing w:before="47"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22.1在比较与评价之前，根据征集文件的规定，评标委员会要</w:t>
      </w:r>
      <w:r>
        <w:rPr>
          <w:rFonts w:hint="eastAsia" w:ascii="仿宋" w:hAnsi="仿宋" w:eastAsia="仿宋" w:cs="仿宋"/>
          <w:color w:val="auto"/>
          <w:spacing w:val="-1"/>
          <w:sz w:val="24"/>
          <w:szCs w:val="24"/>
          <w:highlight w:val="none"/>
        </w:rPr>
        <w:t>审查每份响应文件是否响应了</w:t>
      </w:r>
      <w:r>
        <w:rPr>
          <w:rFonts w:hint="eastAsia" w:ascii="仿宋" w:hAnsi="仿宋" w:eastAsia="仿宋" w:cs="仿宋"/>
          <w:color w:val="auto"/>
          <w:sz w:val="24"/>
          <w:szCs w:val="24"/>
          <w:highlight w:val="none"/>
        </w:rPr>
        <w:t>征集文件的要求。供应商不得通过修正或撤销不符</w:t>
      </w:r>
      <w:r>
        <w:rPr>
          <w:rFonts w:hint="eastAsia" w:ascii="仿宋" w:hAnsi="仿宋" w:eastAsia="仿宋" w:cs="仿宋"/>
          <w:color w:val="auto"/>
          <w:spacing w:val="-1"/>
          <w:sz w:val="24"/>
          <w:szCs w:val="24"/>
          <w:highlight w:val="none"/>
        </w:rPr>
        <w:t>合要求的偏离，从而使其响应文件成为实</w:t>
      </w:r>
      <w:r>
        <w:rPr>
          <w:rFonts w:hint="eastAsia" w:ascii="仿宋" w:hAnsi="仿宋" w:eastAsia="仿宋" w:cs="仿宋"/>
          <w:color w:val="auto"/>
          <w:spacing w:val="-2"/>
          <w:sz w:val="24"/>
          <w:szCs w:val="24"/>
          <w:highlight w:val="none"/>
        </w:rPr>
        <w:t>质上响应的响应文件。</w:t>
      </w:r>
    </w:p>
    <w:p w14:paraId="3679321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1766"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评标委员会决定响应文件的响应性只根据征集文件要求和响应文件内容</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rPr>
        <w:t>22.2如发现下列情况之一的，其响应文件将被认定为无效：</w:t>
      </w:r>
    </w:p>
    <w:p w14:paraId="40533419">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（1）未按照征集文件规定要求签署、盖章的；</w:t>
      </w:r>
    </w:p>
    <w:p w14:paraId="1D22CA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（2）响应文件的资格证明材料不满足征集文件中的实质性要求；</w:t>
      </w:r>
    </w:p>
    <w:p w14:paraId="70A9383A">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（3）属于串通投标，或者依法被视为串通投标；</w:t>
      </w:r>
    </w:p>
    <w:p w14:paraId="7213B11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 w:right="169"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（4）投标报价不符合征集文件的框架采购协议价格或者评标委员会认为供应商的报价明</w:t>
      </w:r>
      <w:r>
        <w:rPr>
          <w:rFonts w:hint="eastAsia" w:ascii="仿宋" w:hAnsi="仿宋" w:eastAsia="仿宋" w:cs="仿宋"/>
          <w:color w:val="auto"/>
          <w:sz w:val="24"/>
          <w:szCs w:val="24"/>
          <w:highlight w:val="none"/>
        </w:rPr>
        <w:t>显低于其他通过符合性审查供应商的报价，有可能影</w:t>
      </w:r>
      <w:r>
        <w:rPr>
          <w:rFonts w:hint="eastAsia" w:ascii="仿宋" w:hAnsi="仿宋" w:eastAsia="仿宋" w:cs="仿宋"/>
          <w:color w:val="auto"/>
          <w:spacing w:val="-1"/>
          <w:sz w:val="24"/>
          <w:szCs w:val="24"/>
          <w:highlight w:val="none"/>
        </w:rPr>
        <w:t>响履约的，且供应商未按照规定证明其</w:t>
      </w:r>
      <w:r>
        <w:rPr>
          <w:rFonts w:hint="eastAsia" w:ascii="仿宋" w:hAnsi="仿宋" w:eastAsia="仿宋" w:cs="仿宋"/>
          <w:color w:val="auto"/>
          <w:spacing w:val="-3"/>
          <w:sz w:val="24"/>
          <w:szCs w:val="24"/>
          <w:highlight w:val="none"/>
        </w:rPr>
        <w:t>报价合理性的；</w:t>
      </w:r>
    </w:p>
    <w:p w14:paraId="4E9DA83C">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（5）响应文件含有征集人不能接受的附加条件的；</w:t>
      </w:r>
    </w:p>
    <w:p w14:paraId="40A8CDAD">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（6）属于征集文件规定的其他响应无效情形；</w:t>
      </w:r>
    </w:p>
    <w:p w14:paraId="44F6CFB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（7）不符合法规和征集文件中规定的其他实质性要求的。</w:t>
      </w:r>
    </w:p>
    <w:p w14:paraId="5948C23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23.比较与评价</w:t>
      </w:r>
    </w:p>
    <w:p w14:paraId="3A89D9FE">
      <w:pPr>
        <w:keepNext w:val="0"/>
        <w:keepLines w:val="0"/>
        <w:pageBreakBefore w:val="0"/>
        <w:widowControl/>
        <w:kinsoku w:val="0"/>
        <w:wordWrap/>
        <w:overflowPunct/>
        <w:topLinePunct w:val="0"/>
        <w:autoSpaceDE w:val="0"/>
        <w:autoSpaceDN w:val="0"/>
        <w:bidi w:val="0"/>
        <w:adjustRightInd w:val="0"/>
        <w:snapToGrid w:val="0"/>
        <w:spacing w:before="46" w:line="360" w:lineRule="auto"/>
        <w:ind w:left="44" w:right="203" w:hanging="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23.1经符合性审查合格的响应文件，评标委员会将根据征集文</w:t>
      </w:r>
      <w:r>
        <w:rPr>
          <w:rFonts w:hint="eastAsia" w:ascii="仿宋" w:hAnsi="仿宋" w:eastAsia="仿宋" w:cs="仿宋"/>
          <w:color w:val="auto"/>
          <w:spacing w:val="-1"/>
          <w:sz w:val="24"/>
          <w:szCs w:val="24"/>
          <w:highlight w:val="none"/>
        </w:rPr>
        <w:t>件确定的评审方法和标准，对其商务技术部分作进一步的比较和评价。</w:t>
      </w:r>
    </w:p>
    <w:p w14:paraId="2CA71BE7">
      <w:pPr>
        <w:keepNext w:val="0"/>
        <w:keepLines w:val="0"/>
        <w:pageBreakBefore w:val="0"/>
        <w:widowControl/>
        <w:kinsoku w:val="0"/>
        <w:wordWrap/>
        <w:overflowPunct/>
        <w:topLinePunct w:val="0"/>
        <w:autoSpaceDE w:val="0"/>
        <w:autoSpaceDN w:val="0"/>
        <w:bidi w:val="0"/>
        <w:adjustRightInd w:val="0"/>
        <w:snapToGrid w:val="0"/>
        <w:spacing w:before="22" w:line="360" w:lineRule="auto"/>
        <w:ind w:left="47" w:right="203" w:hanging="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23.2评审严格按照《政府采购框架协议采购方式管理暂行办法</w:t>
      </w:r>
      <w:r>
        <w:rPr>
          <w:rFonts w:hint="eastAsia" w:ascii="仿宋" w:hAnsi="仿宋" w:eastAsia="仿宋" w:cs="仿宋"/>
          <w:color w:val="auto"/>
          <w:spacing w:val="-1"/>
          <w:sz w:val="24"/>
          <w:szCs w:val="24"/>
          <w:highlight w:val="none"/>
        </w:rPr>
        <w:t>》（中华人民共和国财政部令</w:t>
      </w:r>
      <w:r>
        <w:rPr>
          <w:rFonts w:hint="eastAsia" w:ascii="仿宋" w:hAnsi="仿宋" w:eastAsia="仿宋" w:cs="仿宋"/>
          <w:color w:val="auto"/>
          <w:sz w:val="24"/>
          <w:szCs w:val="24"/>
          <w:highlight w:val="none"/>
        </w:rPr>
        <w:t>第110号）和征集文件的要求和条件进行</w:t>
      </w:r>
      <w:r>
        <w:rPr>
          <w:rFonts w:hint="eastAsia" w:ascii="仿宋" w:hAnsi="仿宋" w:eastAsia="仿宋" w:cs="仿宋"/>
          <w:color w:val="auto"/>
          <w:spacing w:val="-1"/>
          <w:sz w:val="24"/>
          <w:szCs w:val="24"/>
          <w:highlight w:val="none"/>
        </w:rPr>
        <w:t>。根据实际情况，在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中规定采用下列一种评审方法，详细评审标准见征集文件第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w:t>
      </w:r>
    </w:p>
    <w:p w14:paraId="046B54E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（1）价格优先法，是指对满足采购需求且响应报</w:t>
      </w:r>
      <w:r>
        <w:rPr>
          <w:rFonts w:hint="eastAsia" w:ascii="仿宋" w:hAnsi="仿宋" w:eastAsia="仿宋" w:cs="仿宋"/>
          <w:color w:val="auto"/>
          <w:spacing w:val="-2"/>
          <w:sz w:val="24"/>
          <w:szCs w:val="24"/>
          <w:highlight w:val="none"/>
        </w:rPr>
        <w:t>价不超过最高限制单价的货物、服务，</w:t>
      </w:r>
      <w:r>
        <w:rPr>
          <w:rFonts w:hint="eastAsia" w:ascii="仿宋" w:hAnsi="仿宋" w:eastAsia="仿宋" w:cs="仿宋"/>
          <w:color w:val="auto"/>
          <w:sz w:val="24"/>
          <w:szCs w:val="24"/>
          <w:highlight w:val="none"/>
        </w:rPr>
        <w:t>按照响应报价从低到高排序，根据征集文件规定的淘</w:t>
      </w:r>
      <w:r>
        <w:rPr>
          <w:rFonts w:hint="eastAsia" w:ascii="仿宋" w:hAnsi="仿宋" w:eastAsia="仿宋" w:cs="仿宋"/>
          <w:color w:val="auto"/>
          <w:spacing w:val="-1"/>
          <w:sz w:val="24"/>
          <w:szCs w:val="24"/>
          <w:highlight w:val="none"/>
        </w:rPr>
        <w:t>汰率或者入围供应商数量上限，确定入</w:t>
      </w:r>
      <w:r>
        <w:rPr>
          <w:rFonts w:hint="eastAsia" w:ascii="仿宋" w:hAnsi="仿宋" w:eastAsia="仿宋" w:cs="仿宋"/>
          <w:color w:val="auto"/>
          <w:spacing w:val="-2"/>
          <w:sz w:val="24"/>
          <w:szCs w:val="24"/>
          <w:highlight w:val="none"/>
        </w:rPr>
        <w:t>围供应商的评审方法。</w:t>
      </w:r>
    </w:p>
    <w:p w14:paraId="79C5E3C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169" w:firstLine="39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（2）质量优先法，是指对满足采购需求且响应报价不超过最高限制单价的货物、服务进</w:t>
      </w:r>
      <w:r>
        <w:rPr>
          <w:rFonts w:hint="eastAsia" w:ascii="仿宋" w:hAnsi="仿宋" w:eastAsia="仿宋" w:cs="仿宋"/>
          <w:color w:val="auto"/>
          <w:sz w:val="24"/>
          <w:szCs w:val="24"/>
          <w:highlight w:val="none"/>
        </w:rPr>
        <w:t>行质量综合评分，按照质量评分从高到低排序，根据</w:t>
      </w:r>
      <w:r>
        <w:rPr>
          <w:rFonts w:hint="eastAsia" w:ascii="仿宋" w:hAnsi="仿宋" w:eastAsia="仿宋" w:cs="仿宋"/>
          <w:color w:val="auto"/>
          <w:spacing w:val="-1"/>
          <w:sz w:val="24"/>
          <w:szCs w:val="24"/>
          <w:highlight w:val="none"/>
        </w:rPr>
        <w:t>征集文件规定的淘汰率或者入围供应商数量上限，确定入围供应商的评审方法。</w:t>
      </w:r>
    </w:p>
    <w:p w14:paraId="7057E253">
      <w:pPr>
        <w:keepNext w:val="0"/>
        <w:keepLines w:val="0"/>
        <w:pageBreakBefore w:val="0"/>
        <w:widowControl/>
        <w:kinsoku w:val="0"/>
        <w:wordWrap/>
        <w:overflowPunct/>
        <w:topLinePunct w:val="0"/>
        <w:autoSpaceDE w:val="0"/>
        <w:autoSpaceDN w:val="0"/>
        <w:bidi w:val="0"/>
        <w:adjustRightInd w:val="0"/>
        <w:snapToGrid w:val="0"/>
        <w:spacing w:before="21" w:line="360" w:lineRule="auto"/>
        <w:ind w:left="42" w:right="203" w:hanging="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23.3根据《关于进一步加大政府采购支持中小企业力度的通知》（财库〔2022〕19号）、《</w:t>
      </w:r>
      <w:r>
        <w:rPr>
          <w:rFonts w:hint="eastAsia" w:ascii="仿宋" w:hAnsi="仿宋" w:eastAsia="仿宋" w:cs="仿宋"/>
          <w:color w:val="auto"/>
          <w:sz w:val="24"/>
          <w:szCs w:val="24"/>
          <w:highlight w:val="none"/>
        </w:rPr>
        <w:t>政府采购促进中小企业发展管理办法》（财库[2020]4</w:t>
      </w:r>
      <w:r>
        <w:rPr>
          <w:rFonts w:hint="eastAsia" w:ascii="仿宋" w:hAnsi="仿宋" w:eastAsia="仿宋" w:cs="仿宋"/>
          <w:color w:val="auto"/>
          <w:spacing w:val="-1"/>
          <w:sz w:val="24"/>
          <w:szCs w:val="24"/>
          <w:highlight w:val="none"/>
        </w:rPr>
        <w:t>6号）、《财政部司法部关于政府采购</w:t>
      </w:r>
      <w:r>
        <w:rPr>
          <w:rFonts w:hint="eastAsia" w:ascii="仿宋" w:hAnsi="仿宋" w:eastAsia="仿宋" w:cs="仿宋"/>
          <w:color w:val="auto"/>
          <w:sz w:val="24"/>
          <w:szCs w:val="24"/>
          <w:highlight w:val="none"/>
        </w:rPr>
        <w:t>支持监狱企业发展有关问题的通知》（财库〔2014〕6</w:t>
      </w:r>
      <w:r>
        <w:rPr>
          <w:rFonts w:hint="eastAsia" w:ascii="仿宋" w:hAnsi="仿宋" w:eastAsia="仿宋" w:cs="仿宋"/>
          <w:color w:val="auto"/>
          <w:spacing w:val="-1"/>
          <w:sz w:val="24"/>
          <w:szCs w:val="24"/>
          <w:highlight w:val="none"/>
        </w:rPr>
        <w:t>8号）和《三部门联合发布关于促进残</w:t>
      </w:r>
      <w:r>
        <w:rPr>
          <w:rFonts w:hint="eastAsia" w:ascii="仿宋" w:hAnsi="仿宋" w:eastAsia="仿宋" w:cs="仿宋"/>
          <w:color w:val="auto"/>
          <w:sz w:val="24"/>
          <w:szCs w:val="24"/>
          <w:highlight w:val="none"/>
        </w:rPr>
        <w:t>疾人就业政府采购政策的通知》（财库〔2017〕141</w:t>
      </w:r>
      <w:r>
        <w:rPr>
          <w:rFonts w:hint="eastAsia" w:ascii="仿宋" w:hAnsi="仿宋" w:eastAsia="仿宋" w:cs="仿宋"/>
          <w:color w:val="auto"/>
          <w:spacing w:val="-1"/>
          <w:sz w:val="24"/>
          <w:szCs w:val="24"/>
          <w:highlight w:val="none"/>
        </w:rPr>
        <w:t>号）的规定，对满足价格扣除条件且在</w:t>
      </w:r>
      <w:r>
        <w:rPr>
          <w:rFonts w:hint="eastAsia" w:ascii="仿宋" w:hAnsi="仿宋" w:eastAsia="仿宋" w:cs="仿宋"/>
          <w:color w:val="auto"/>
          <w:sz w:val="24"/>
          <w:szCs w:val="24"/>
          <w:highlight w:val="none"/>
        </w:rPr>
        <w:t>响应文件中提交了《中小</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声明函》、《残疾人福利性</w:t>
      </w:r>
      <w:r>
        <w:rPr>
          <w:rFonts w:hint="eastAsia" w:ascii="仿宋" w:hAnsi="仿宋" w:eastAsia="仿宋" w:cs="仿宋"/>
          <w:color w:val="auto"/>
          <w:spacing w:val="-1"/>
          <w:sz w:val="24"/>
          <w:szCs w:val="24"/>
          <w:highlight w:val="none"/>
        </w:rPr>
        <w:t>单位声明函》或省级以上监狱管理局、</w:t>
      </w:r>
      <w:r>
        <w:rPr>
          <w:rFonts w:hint="eastAsia" w:ascii="仿宋" w:hAnsi="仿宋" w:eastAsia="仿宋" w:cs="仿宋"/>
          <w:color w:val="auto"/>
          <w:sz w:val="24"/>
          <w:szCs w:val="24"/>
          <w:highlight w:val="none"/>
        </w:rPr>
        <w:t>戒毒管理局（含新疆生产建设兵团）出具的</w:t>
      </w:r>
      <w:r>
        <w:rPr>
          <w:rFonts w:hint="eastAsia" w:ascii="仿宋" w:hAnsi="仿宋" w:eastAsia="仿宋" w:cs="仿宋"/>
          <w:color w:val="auto"/>
          <w:spacing w:val="-1"/>
          <w:sz w:val="24"/>
          <w:szCs w:val="24"/>
          <w:highlight w:val="none"/>
        </w:rPr>
        <w:t>属于监狱企业的证明文件的供应商，其报价扣除后参与评审。具体办法详见征集文件第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2"/>
          <w:sz w:val="24"/>
          <w:szCs w:val="24"/>
          <w:highlight w:val="none"/>
          <w:lang w:val="en-US" w:eastAsia="zh-CN"/>
        </w:rPr>
        <w:t>部分</w:t>
      </w:r>
      <w:r>
        <w:rPr>
          <w:rFonts w:hint="eastAsia" w:ascii="仿宋" w:hAnsi="仿宋" w:eastAsia="仿宋" w:cs="仿宋"/>
          <w:color w:val="auto"/>
          <w:spacing w:val="-2"/>
          <w:sz w:val="24"/>
          <w:szCs w:val="24"/>
          <w:highlight w:val="none"/>
        </w:rPr>
        <w:t>。</w:t>
      </w:r>
    </w:p>
    <w:p w14:paraId="3202323A">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23.4落实其他政府采购政策条款。具体办法详见征集文件第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lang w:val="en-US" w:eastAsia="zh-CN"/>
        </w:rPr>
        <w:t>部分</w:t>
      </w:r>
      <w:r>
        <w:rPr>
          <w:rFonts w:hint="eastAsia" w:ascii="仿宋" w:hAnsi="仿宋" w:eastAsia="仿宋" w:cs="仿宋"/>
          <w:color w:val="auto"/>
          <w:spacing w:val="-1"/>
          <w:sz w:val="24"/>
          <w:szCs w:val="24"/>
          <w:highlight w:val="none"/>
        </w:rPr>
        <w:t>。</w:t>
      </w:r>
    </w:p>
    <w:p w14:paraId="1D286B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24.确定入围供应商的数量</w:t>
      </w:r>
    </w:p>
    <w:p w14:paraId="3F618792">
      <w:pPr>
        <w:keepNext w:val="0"/>
        <w:keepLines w:val="0"/>
        <w:pageBreakBefore w:val="0"/>
        <w:widowControl/>
        <w:kinsoku w:val="0"/>
        <w:wordWrap/>
        <w:overflowPunct/>
        <w:topLinePunct w:val="0"/>
        <w:autoSpaceDE w:val="0"/>
        <w:autoSpaceDN w:val="0"/>
        <w:bidi w:val="0"/>
        <w:adjustRightInd w:val="0"/>
        <w:snapToGrid w:val="0"/>
        <w:spacing w:before="2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24.</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本项目具体入围供应商数量见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2BAF70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25.保密要求</w:t>
      </w:r>
    </w:p>
    <w:p w14:paraId="05DADD6B">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25.1评审将在严格保密的情况下进行。</w:t>
      </w:r>
    </w:p>
    <w:p w14:paraId="275B813E">
      <w:pPr>
        <w:keepNext w:val="0"/>
        <w:keepLines w:val="0"/>
        <w:pageBreakBefore w:val="0"/>
        <w:widowControl/>
        <w:kinsoku w:val="0"/>
        <w:wordWrap/>
        <w:overflowPunct/>
        <w:topLinePunct w:val="0"/>
        <w:autoSpaceDE w:val="0"/>
        <w:autoSpaceDN w:val="0"/>
        <w:bidi w:val="0"/>
        <w:adjustRightInd w:val="0"/>
        <w:snapToGrid w:val="0"/>
        <w:spacing w:before="23" w:line="360" w:lineRule="auto"/>
        <w:ind w:left="54" w:right="203" w:hanging="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25.2有关人员应当遵守评审工作纪律，不得泄露评审文件、评</w:t>
      </w:r>
      <w:r>
        <w:rPr>
          <w:rFonts w:hint="eastAsia" w:ascii="仿宋" w:hAnsi="仿宋" w:eastAsia="仿宋" w:cs="仿宋"/>
          <w:color w:val="auto"/>
          <w:spacing w:val="-1"/>
          <w:sz w:val="24"/>
          <w:szCs w:val="24"/>
          <w:highlight w:val="none"/>
        </w:rPr>
        <w:t>审情况和评审中获悉的国家秘</w:t>
      </w:r>
      <w:r>
        <w:rPr>
          <w:rFonts w:hint="eastAsia" w:ascii="仿宋" w:hAnsi="仿宋" w:eastAsia="仿宋" w:cs="仿宋"/>
          <w:color w:val="auto"/>
          <w:spacing w:val="-5"/>
          <w:sz w:val="24"/>
          <w:szCs w:val="24"/>
          <w:highlight w:val="none"/>
        </w:rPr>
        <w:t>密、商业秘密。</w:t>
      </w:r>
    </w:p>
    <w:p w14:paraId="7EE75FD1">
      <w:pPr>
        <w:keepNext w:val="0"/>
        <w:keepLines w:val="0"/>
        <w:pageBreakBefore w:val="0"/>
        <w:widowControl/>
        <w:kinsoku w:val="0"/>
        <w:wordWrap/>
        <w:overflowPunct/>
        <w:topLinePunct w:val="0"/>
        <w:autoSpaceDE w:val="0"/>
        <w:autoSpaceDN w:val="0"/>
        <w:bidi w:val="0"/>
        <w:adjustRightInd w:val="0"/>
        <w:snapToGrid w:val="0"/>
        <w:spacing w:before="27" w:line="360" w:lineRule="auto"/>
        <w:ind w:left="3755"/>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六</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签订框架协议</w:t>
      </w:r>
    </w:p>
    <w:p w14:paraId="677C8EA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26.发布入围结果公告及入围通知书</w:t>
      </w:r>
    </w:p>
    <w:p w14:paraId="25A9A664">
      <w:pPr>
        <w:keepNext w:val="0"/>
        <w:keepLines w:val="0"/>
        <w:pageBreakBefore w:val="0"/>
        <w:widowControl/>
        <w:kinsoku w:val="0"/>
        <w:wordWrap/>
        <w:overflowPunct/>
        <w:topLinePunct w:val="0"/>
        <w:autoSpaceDE w:val="0"/>
        <w:autoSpaceDN w:val="0"/>
        <w:bidi w:val="0"/>
        <w:adjustRightInd w:val="0"/>
        <w:snapToGrid w:val="0"/>
        <w:spacing w:before="43" w:line="360" w:lineRule="auto"/>
        <w:ind w:left="70" w:right="203" w:hanging="3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26.1在响应文件有效期内，入围供应商确定后，征集人将发布</w:t>
      </w:r>
      <w:r>
        <w:rPr>
          <w:rFonts w:hint="eastAsia" w:ascii="仿宋" w:hAnsi="仿宋" w:eastAsia="仿宋" w:cs="仿宋"/>
          <w:color w:val="auto"/>
          <w:spacing w:val="-1"/>
          <w:sz w:val="24"/>
          <w:szCs w:val="24"/>
          <w:highlight w:val="none"/>
        </w:rPr>
        <w:t>入围结果公告。在公告结果的</w:t>
      </w:r>
      <w:r>
        <w:rPr>
          <w:rFonts w:hint="eastAsia" w:ascii="仿宋" w:hAnsi="仿宋" w:eastAsia="仿宋" w:cs="仿宋"/>
          <w:color w:val="auto"/>
          <w:spacing w:val="-3"/>
          <w:sz w:val="24"/>
          <w:szCs w:val="24"/>
          <w:highlight w:val="none"/>
        </w:rPr>
        <w:t>同时，向入围供应商发出入围通知书。</w:t>
      </w:r>
    </w:p>
    <w:p w14:paraId="55702BEB">
      <w:pPr>
        <w:keepNext w:val="0"/>
        <w:keepLines w:val="0"/>
        <w:pageBreakBefore w:val="0"/>
        <w:widowControl/>
        <w:kinsoku w:val="0"/>
        <w:wordWrap/>
        <w:overflowPunct/>
        <w:topLinePunct w:val="0"/>
        <w:autoSpaceDE w:val="0"/>
        <w:autoSpaceDN w:val="0"/>
        <w:bidi w:val="0"/>
        <w:adjustRightInd w:val="0"/>
        <w:snapToGrid w:val="0"/>
        <w:spacing w:before="20"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26.2封闭式框架协议入围供应商无正当理由，不得主动放弃入</w:t>
      </w:r>
      <w:r>
        <w:rPr>
          <w:rFonts w:hint="eastAsia" w:ascii="仿宋" w:hAnsi="仿宋" w:eastAsia="仿宋" w:cs="仿宋"/>
          <w:color w:val="auto"/>
          <w:spacing w:val="-1"/>
          <w:sz w:val="24"/>
          <w:szCs w:val="24"/>
          <w:highlight w:val="none"/>
        </w:rPr>
        <w:t>围资格或者退出框架协议。开</w:t>
      </w:r>
      <w:r>
        <w:rPr>
          <w:rFonts w:hint="eastAsia" w:ascii="仿宋" w:hAnsi="仿宋" w:eastAsia="仿宋" w:cs="仿宋"/>
          <w:color w:val="auto"/>
          <w:sz w:val="24"/>
          <w:szCs w:val="24"/>
          <w:highlight w:val="none"/>
        </w:rPr>
        <w:t>放式框架协议入围供应商可以随时申请退出框架协</w:t>
      </w:r>
      <w:r>
        <w:rPr>
          <w:rFonts w:hint="eastAsia" w:ascii="仿宋" w:hAnsi="仿宋" w:eastAsia="仿宋" w:cs="仿宋"/>
          <w:color w:val="auto"/>
          <w:spacing w:val="-1"/>
          <w:sz w:val="24"/>
          <w:szCs w:val="24"/>
          <w:highlight w:val="none"/>
        </w:rPr>
        <w:t>议。集中采购机构或者主管预算单位应当在收到退出申请2个工作日内，发布入围供应商退出公告。</w:t>
      </w:r>
    </w:p>
    <w:p w14:paraId="39B038E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27.签订框架协议</w:t>
      </w:r>
    </w:p>
    <w:p w14:paraId="317BFDA3">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27.1征集人应当在入围通知书发出之日起30日内和入围供应商</w:t>
      </w:r>
      <w:r>
        <w:rPr>
          <w:rFonts w:hint="eastAsia" w:ascii="仿宋" w:hAnsi="仿宋" w:eastAsia="仿宋" w:cs="仿宋"/>
          <w:color w:val="auto"/>
          <w:spacing w:val="-1"/>
          <w:sz w:val="24"/>
          <w:szCs w:val="24"/>
          <w:highlight w:val="none"/>
        </w:rPr>
        <w:t>签订框架协议，并在框架协议签订后7个工作日内，将框架协议副本报本级财政部门备案。</w:t>
      </w:r>
      <w:r>
        <w:rPr>
          <w:rFonts w:hint="eastAsia" w:ascii="仿宋" w:hAnsi="仿宋" w:eastAsia="仿宋" w:cs="仿宋"/>
          <w:color w:val="auto"/>
          <w:sz w:val="24"/>
          <w:szCs w:val="24"/>
          <w:highlight w:val="none"/>
        </w:rPr>
        <w:t>框架协议不得对征集文件确定的事项以及入围供应商的响应文件作实质性修改。</w:t>
      </w:r>
    </w:p>
    <w:p w14:paraId="46279B9B">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27.2征集文件、入围供应商的响应文件及其澄清文件等，均</w:t>
      </w:r>
      <w:r>
        <w:rPr>
          <w:rFonts w:hint="eastAsia" w:ascii="仿宋" w:hAnsi="仿宋" w:eastAsia="仿宋" w:cs="仿宋"/>
          <w:color w:val="auto"/>
          <w:spacing w:val="-2"/>
          <w:sz w:val="24"/>
          <w:szCs w:val="24"/>
          <w:highlight w:val="none"/>
        </w:rPr>
        <w:t>为签订框架协议的依据。</w:t>
      </w:r>
    </w:p>
    <w:p w14:paraId="1185861C">
      <w:pPr>
        <w:keepNext w:val="0"/>
        <w:keepLines w:val="0"/>
        <w:pageBreakBefore w:val="0"/>
        <w:widowControl/>
        <w:kinsoku w:val="0"/>
        <w:wordWrap/>
        <w:overflowPunct/>
        <w:topLinePunct w:val="0"/>
        <w:autoSpaceDE w:val="0"/>
        <w:autoSpaceDN w:val="0"/>
        <w:bidi w:val="0"/>
        <w:adjustRightInd w:val="0"/>
        <w:snapToGrid w:val="0"/>
        <w:spacing w:before="25" w:line="360" w:lineRule="auto"/>
        <w:ind w:left="73" w:right="203" w:hanging="3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27.3如入围供应商拒绝与征集人签订框架协议的，入围供应商</w:t>
      </w:r>
      <w:r>
        <w:rPr>
          <w:rFonts w:hint="eastAsia" w:ascii="仿宋" w:hAnsi="仿宋" w:eastAsia="仿宋" w:cs="仿宋"/>
          <w:color w:val="auto"/>
          <w:spacing w:val="-1"/>
          <w:sz w:val="24"/>
          <w:szCs w:val="24"/>
          <w:highlight w:val="none"/>
        </w:rPr>
        <w:t>须按征集响应保证承诺书内容</w:t>
      </w:r>
      <w:r>
        <w:rPr>
          <w:rFonts w:hint="eastAsia" w:ascii="仿宋" w:hAnsi="仿宋" w:eastAsia="仿宋" w:cs="仿宋"/>
          <w:color w:val="auto"/>
          <w:spacing w:val="-6"/>
          <w:sz w:val="24"/>
          <w:szCs w:val="24"/>
          <w:highlight w:val="none"/>
        </w:rPr>
        <w:t>向征集人支付赔偿。</w:t>
      </w:r>
    </w:p>
    <w:p w14:paraId="10C8BE9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28.主管预算单位的职责</w:t>
      </w:r>
    </w:p>
    <w:p w14:paraId="50568A5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41" w:right="501" w:hanging="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28.1主管预算单位应当根据框架协议约定，组织落实框架协议的履行，并履行下列职责：（一）为第二阶段合同授予提供工作便利；</w:t>
      </w:r>
    </w:p>
    <w:p w14:paraId="6D58ED1E">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（二）对第二阶段最高限价和需求标准执行情况进行管理；</w:t>
      </w:r>
    </w:p>
    <w:p w14:paraId="0C413D71">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（三）对第二阶段确定成交供应商情况进行管理；</w:t>
      </w:r>
    </w:p>
    <w:p w14:paraId="49E204F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（四）根据框架协议约定，在质量不降低、价格不提高的前提下，对入围供应商因产品升级换代、用新产品替代原入围产品的情形进行审核；</w:t>
      </w:r>
    </w:p>
    <w:p w14:paraId="2895229F">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203"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（五）建立用户反馈和评价机制，接受采购人和服务对象对入围供应商履行框架协议和</w:t>
      </w:r>
      <w:r>
        <w:rPr>
          <w:rFonts w:hint="eastAsia" w:ascii="仿宋" w:hAnsi="仿宋" w:eastAsia="仿宋" w:cs="仿宋"/>
          <w:color w:val="auto"/>
          <w:sz w:val="24"/>
          <w:szCs w:val="24"/>
          <w:highlight w:val="none"/>
        </w:rPr>
        <w:t>采购合同情况的反馈与评价，并将用户反馈和评</w:t>
      </w:r>
      <w:r>
        <w:rPr>
          <w:rFonts w:hint="eastAsia" w:ascii="仿宋" w:hAnsi="仿宋" w:eastAsia="仿宋" w:cs="仿宋"/>
          <w:color w:val="auto"/>
          <w:spacing w:val="-1"/>
          <w:sz w:val="24"/>
          <w:szCs w:val="24"/>
          <w:highlight w:val="none"/>
        </w:rPr>
        <w:t>价情况向采购人和服务对象公开，作为第二</w:t>
      </w:r>
      <w:r>
        <w:rPr>
          <w:rFonts w:hint="eastAsia" w:ascii="仿宋" w:hAnsi="仿宋" w:eastAsia="仿宋" w:cs="仿宋"/>
          <w:color w:val="auto"/>
          <w:spacing w:val="-2"/>
          <w:sz w:val="24"/>
          <w:szCs w:val="24"/>
          <w:highlight w:val="none"/>
        </w:rPr>
        <w:t>阶段直接选定成交供应商的参考；</w:t>
      </w:r>
    </w:p>
    <w:p w14:paraId="6A43948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（六）公开封闭式框架协议的第二阶段成交结果；</w:t>
      </w:r>
    </w:p>
    <w:p w14:paraId="307B901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（七）办理入围供应商清退和补充相关事宜。</w:t>
      </w:r>
    </w:p>
    <w:p w14:paraId="7EF180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29.入围供应商不得存在的情形</w:t>
      </w:r>
    </w:p>
    <w:p w14:paraId="1E3896F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1"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29.1入围供应商有下列情形之一，尚未签订框架协议的，取消</w:t>
      </w:r>
      <w:r>
        <w:rPr>
          <w:rFonts w:hint="eastAsia" w:ascii="仿宋" w:hAnsi="仿宋" w:eastAsia="仿宋" w:cs="仿宋"/>
          <w:color w:val="auto"/>
          <w:spacing w:val="-1"/>
          <w:sz w:val="24"/>
          <w:szCs w:val="24"/>
          <w:highlight w:val="none"/>
        </w:rPr>
        <w:t>其入围资格；已经签订框架协</w:t>
      </w:r>
      <w:r>
        <w:rPr>
          <w:rFonts w:hint="eastAsia" w:ascii="仿宋" w:hAnsi="仿宋" w:eastAsia="仿宋" w:cs="仿宋"/>
          <w:color w:val="auto"/>
          <w:spacing w:val="-2"/>
          <w:sz w:val="24"/>
          <w:szCs w:val="24"/>
          <w:highlight w:val="none"/>
        </w:rPr>
        <w:t>议的，解除与其签订的框架协议：</w:t>
      </w:r>
    </w:p>
    <w:p w14:paraId="3949613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（一）恶意串通谋取入围或者合同成交的；</w:t>
      </w:r>
    </w:p>
    <w:p w14:paraId="4101232B">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（二）提供虚假材料谋取入围或者合同成交的；</w:t>
      </w:r>
    </w:p>
    <w:p w14:paraId="394CF15E">
      <w:pPr>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（三）无正当理由拒不接受合同授予的；</w:t>
      </w:r>
    </w:p>
    <w:p w14:paraId="47627615">
      <w:pPr>
        <w:keepNext w:val="0"/>
        <w:keepLines w:val="0"/>
        <w:pageBreakBefore w:val="0"/>
        <w:widowControl/>
        <w:kinsoku w:val="0"/>
        <w:wordWrap/>
        <w:overflowPunct/>
        <w:topLinePunct w:val="0"/>
        <w:autoSpaceDE w:val="0"/>
        <w:autoSpaceDN w:val="0"/>
        <w:bidi w:val="0"/>
        <w:adjustRightInd w:val="0"/>
        <w:snapToGrid w:val="0"/>
        <w:spacing w:before="21"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（四）不履行合同义务或者履行合同义务不符合约定，经采购人请求履行后仍不履行或</w:t>
      </w:r>
      <w:r>
        <w:rPr>
          <w:rFonts w:hint="eastAsia" w:ascii="仿宋" w:hAnsi="仿宋" w:eastAsia="仿宋" w:cs="仿宋"/>
          <w:color w:val="auto"/>
          <w:spacing w:val="-2"/>
          <w:sz w:val="24"/>
          <w:szCs w:val="24"/>
          <w:highlight w:val="none"/>
        </w:rPr>
        <w:t>者仍未按约定履行的；</w:t>
      </w:r>
    </w:p>
    <w:p w14:paraId="01EB14CD">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right="15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（五）框架协议有效期内，因违法行为被禁</w:t>
      </w:r>
      <w:r>
        <w:rPr>
          <w:rFonts w:hint="eastAsia" w:ascii="仿宋" w:hAnsi="仿宋" w:eastAsia="仿宋" w:cs="仿宋"/>
          <w:color w:val="auto"/>
          <w:spacing w:val="-3"/>
          <w:sz w:val="24"/>
          <w:szCs w:val="24"/>
          <w:highlight w:val="none"/>
        </w:rPr>
        <w:t>止或限制参加政府采购活动的</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（六）框架协议约定的其他情形。</w:t>
      </w:r>
    </w:p>
    <w:p w14:paraId="6103BA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46" w:right="257"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29.2被取消入围资格或者被解除框架协议的供应商不得参加同一封闭式框架协议补充征集，或者重新申请加入同一开放式框架协议。</w:t>
      </w:r>
    </w:p>
    <w:p w14:paraId="57C6CC47">
      <w:pPr>
        <w:keepNext w:val="0"/>
        <w:keepLines w:val="0"/>
        <w:pageBreakBefore w:val="0"/>
        <w:widowControl/>
        <w:kinsoku w:val="0"/>
        <w:wordWrap/>
        <w:overflowPunct/>
        <w:topLinePunct w:val="0"/>
        <w:autoSpaceDE w:val="0"/>
        <w:autoSpaceDN w:val="0"/>
        <w:bidi w:val="0"/>
        <w:adjustRightInd w:val="0"/>
        <w:snapToGrid w:val="0"/>
        <w:spacing w:before="26" w:line="360" w:lineRule="auto"/>
        <w:ind w:left="52" w:right="323" w:hanging="1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29.3供应商有《政府采购框架协议采购方式管理暂行办法》</w:t>
      </w:r>
      <w:r>
        <w:rPr>
          <w:rFonts w:hint="eastAsia" w:ascii="仿宋" w:hAnsi="仿宋" w:eastAsia="仿宋" w:cs="仿宋"/>
          <w:color w:val="auto"/>
          <w:spacing w:val="-1"/>
          <w:sz w:val="24"/>
          <w:szCs w:val="24"/>
          <w:highlight w:val="none"/>
        </w:rPr>
        <w:t>（中华人民共和国财政部令第110号）第十九条第一款第一项至三项情形之一，以及无正当理由放弃封闭式框架协议入围资格或者退出封闭式框架协议的，依照政府采购法等有关法律、行政法规追究法律责任。</w:t>
      </w:r>
    </w:p>
    <w:p w14:paraId="5C80A9B6">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17"/>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七</w:t>
      </w:r>
      <w:r>
        <w:rPr>
          <w:rFonts w:hint="eastAsia" w:ascii="仿宋" w:hAnsi="仿宋" w:eastAsia="仿宋" w:cs="仿宋"/>
          <w:color w:val="auto"/>
          <w:spacing w:val="12"/>
          <w:sz w:val="36"/>
          <w:szCs w:val="36"/>
          <w:highlight w:val="none"/>
        </w:rPr>
        <w:t xml:space="preserve">  </w:t>
      </w: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采购合同的授予</w:t>
      </w:r>
    </w:p>
    <w:p w14:paraId="7091D1F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30.采购合同的授予</w:t>
      </w:r>
    </w:p>
    <w:p w14:paraId="5622315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4" w:right="203"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30.1确定第二阶段成交供应商的方式包括直接选定、二次</w:t>
      </w:r>
      <w:r>
        <w:rPr>
          <w:rFonts w:hint="eastAsia" w:ascii="仿宋" w:hAnsi="仿宋" w:eastAsia="仿宋" w:cs="仿宋"/>
          <w:color w:val="auto"/>
          <w:spacing w:val="-1"/>
          <w:sz w:val="24"/>
          <w:szCs w:val="24"/>
          <w:highlight w:val="none"/>
        </w:rPr>
        <w:t>竞价和顺序轮候。具体见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4"/>
          <w:sz w:val="24"/>
          <w:szCs w:val="24"/>
          <w:highlight w:val="none"/>
        </w:rPr>
        <w:t>。</w:t>
      </w:r>
    </w:p>
    <w:p w14:paraId="7C40A666">
      <w:pPr>
        <w:keepNext w:val="0"/>
        <w:keepLines w:val="0"/>
        <w:pageBreakBefore w:val="0"/>
        <w:widowControl/>
        <w:kinsoku w:val="0"/>
        <w:wordWrap/>
        <w:overflowPunct/>
        <w:topLinePunct w:val="0"/>
        <w:autoSpaceDE w:val="0"/>
        <w:autoSpaceDN w:val="0"/>
        <w:bidi w:val="0"/>
        <w:adjustRightInd w:val="0"/>
        <w:snapToGrid w:val="0"/>
        <w:spacing w:before="24" w:line="360" w:lineRule="auto"/>
        <w:ind w:left="42" w:right="20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30.2采购人或者服务对象采购框架协议约定的货物、服务</w:t>
      </w:r>
      <w:r>
        <w:rPr>
          <w:rFonts w:hint="eastAsia" w:ascii="仿宋" w:hAnsi="仿宋" w:eastAsia="仿宋" w:cs="仿宋"/>
          <w:color w:val="auto"/>
          <w:spacing w:val="-1"/>
          <w:sz w:val="24"/>
          <w:szCs w:val="24"/>
          <w:highlight w:val="none"/>
        </w:rPr>
        <w:t>，应当将第二阶段的采购合同授予</w:t>
      </w:r>
      <w:r>
        <w:rPr>
          <w:rFonts w:hint="eastAsia" w:ascii="仿宋" w:hAnsi="仿宋" w:eastAsia="仿宋" w:cs="仿宋"/>
          <w:color w:val="auto"/>
          <w:sz w:val="24"/>
          <w:szCs w:val="24"/>
          <w:highlight w:val="none"/>
        </w:rPr>
        <w:t>入围供应商，但《政府采购框架协议采购方式管理暂</w:t>
      </w:r>
      <w:r>
        <w:rPr>
          <w:rFonts w:hint="eastAsia" w:ascii="仿宋" w:hAnsi="仿宋" w:eastAsia="仿宋" w:cs="仿宋"/>
          <w:color w:val="auto"/>
          <w:spacing w:val="-1"/>
          <w:sz w:val="24"/>
          <w:szCs w:val="24"/>
          <w:highlight w:val="none"/>
        </w:rPr>
        <w:t>行办法》（中华人民共和国财政部令第110号）第三十七条另有规定的除外。</w:t>
      </w:r>
    </w:p>
    <w:p w14:paraId="4588ACFA">
      <w:pPr>
        <w:keepNext w:val="0"/>
        <w:keepLines w:val="0"/>
        <w:pageBreakBefore w:val="0"/>
        <w:widowControl/>
        <w:kinsoku w:val="0"/>
        <w:wordWrap/>
        <w:overflowPunct/>
        <w:topLinePunct w:val="0"/>
        <w:autoSpaceDE w:val="0"/>
        <w:autoSpaceDN w:val="0"/>
        <w:bidi w:val="0"/>
        <w:adjustRightInd w:val="0"/>
        <w:snapToGrid w:val="0"/>
        <w:spacing w:before="20" w:line="360" w:lineRule="auto"/>
        <w:ind w:left="56" w:right="289" w:firstLine="40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同一框架协议采购应当使用统一的采购合同文本，采购人、服务对象</w:t>
      </w:r>
      <w:r>
        <w:rPr>
          <w:rFonts w:hint="eastAsia" w:ascii="仿宋" w:hAnsi="仿宋" w:eastAsia="仿宋" w:cs="仿宋"/>
          <w:color w:val="auto"/>
          <w:spacing w:val="-2"/>
          <w:sz w:val="24"/>
          <w:szCs w:val="24"/>
          <w:highlight w:val="none"/>
        </w:rPr>
        <w:t>和供应商不得擅自改变框架协议约定的合同实质性条款。</w:t>
      </w:r>
    </w:p>
    <w:p w14:paraId="094A6BDD">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 w:right="323"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30.3以二次竞价或者顺序轮候方式确定成交供应商的，征</w:t>
      </w:r>
      <w:r>
        <w:rPr>
          <w:rFonts w:hint="eastAsia" w:ascii="仿宋" w:hAnsi="仿宋" w:eastAsia="仿宋" w:cs="仿宋"/>
          <w:color w:val="auto"/>
          <w:spacing w:val="-1"/>
          <w:sz w:val="24"/>
          <w:szCs w:val="24"/>
          <w:highlight w:val="none"/>
        </w:rPr>
        <w:t>集人应当在确定成交供应商后2个</w:t>
      </w:r>
      <w:r>
        <w:rPr>
          <w:rFonts w:hint="eastAsia" w:ascii="仿宋" w:hAnsi="仿宋" w:eastAsia="仿宋" w:cs="仿宋"/>
          <w:color w:val="auto"/>
          <w:spacing w:val="-2"/>
          <w:sz w:val="24"/>
          <w:szCs w:val="24"/>
          <w:highlight w:val="none"/>
        </w:rPr>
        <w:t>工作日内逐笔发布成交结果公告。</w:t>
      </w:r>
    </w:p>
    <w:p w14:paraId="3570FCE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0"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30.4征集人应当在框架协议有效期满后5个工作日内发布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pacing w:val="-1"/>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1"/>
          <w:sz w:val="24"/>
          <w:szCs w:val="24"/>
          <w:highlight w:val="none"/>
        </w:rPr>
        <w:t>结果汇总公告。汇总公告应当</w:t>
      </w:r>
      <w:r>
        <w:rPr>
          <w:rFonts w:hint="eastAsia" w:ascii="仿宋" w:hAnsi="仿宋" w:eastAsia="仿宋" w:cs="仿宋"/>
          <w:color w:val="auto"/>
          <w:spacing w:val="-2"/>
          <w:sz w:val="24"/>
          <w:szCs w:val="24"/>
          <w:highlight w:val="none"/>
        </w:rPr>
        <w:t>包括（</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2"/>
          <w:sz w:val="24"/>
          <w:szCs w:val="24"/>
          <w:highlight w:val="none"/>
        </w:rPr>
        <w:t>一）采购人的名称、地址和联系方式</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
          <w:sz w:val="24"/>
          <w:szCs w:val="24"/>
          <w:highlight w:val="none"/>
        </w:rPr>
        <w:t>二）</w:t>
      </w:r>
      <w:r>
        <w:rPr>
          <w:rFonts w:hint="eastAsia" w:ascii="仿宋" w:hAnsi="仿宋" w:eastAsia="仿宋" w:cs="仿宋"/>
          <w:color w:val="auto"/>
          <w:spacing w:val="-3"/>
          <w:sz w:val="24"/>
          <w:szCs w:val="24"/>
          <w:highlight w:val="none"/>
        </w:rPr>
        <w:t>框架协议采购项目名称、编号内容和所</w:t>
      </w:r>
      <w:r>
        <w:rPr>
          <w:rFonts w:hint="eastAsia" w:ascii="仿宋" w:hAnsi="仿宋" w:eastAsia="仿宋" w:cs="仿宋"/>
          <w:color w:val="auto"/>
          <w:spacing w:val="-1"/>
          <w:sz w:val="24"/>
          <w:szCs w:val="24"/>
          <w:highlight w:val="none"/>
        </w:rPr>
        <w:t>有成交供应商的名称、地址及其成交合同总数和总金额。</w:t>
      </w:r>
    </w:p>
    <w:p w14:paraId="37C0DF7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3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八</w:t>
      </w:r>
      <w:r>
        <w:rPr>
          <w:rFonts w:hint="eastAsia" w:ascii="仿宋" w:hAnsi="仿宋" w:eastAsia="仿宋" w:cs="仿宋"/>
          <w:color w:val="auto"/>
          <w:spacing w:val="10"/>
          <w:sz w:val="36"/>
          <w:szCs w:val="36"/>
          <w:highlight w:val="none"/>
        </w:rPr>
        <w:t xml:space="preserve">  </w:t>
      </w: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其他</w:t>
      </w:r>
    </w:p>
    <w:p w14:paraId="69C63E6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31.履约保证金</w:t>
      </w:r>
    </w:p>
    <w:p w14:paraId="1A3C6725">
      <w:pPr>
        <w:keepNext w:val="0"/>
        <w:keepLines w:val="0"/>
        <w:pageBreakBefore w:val="0"/>
        <w:widowControl/>
        <w:kinsoku w:val="0"/>
        <w:wordWrap/>
        <w:overflowPunct/>
        <w:topLinePunct w:val="0"/>
        <w:autoSpaceDE w:val="0"/>
        <w:autoSpaceDN w:val="0"/>
        <w:bidi w:val="0"/>
        <w:adjustRightInd w:val="0"/>
        <w:snapToGrid w:val="0"/>
        <w:spacing w:before="45"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31.1如果需要履约保证金，入围供应商应按照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规定向征集人缴纳履约保证金。经征集人同意，入围供应商也可以自愿采用其他履约保证金的提供方式。</w:t>
      </w:r>
    </w:p>
    <w:p w14:paraId="1FFA465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31.2政府采购信用担保试点范围内的项目，除31.1规定的</w:t>
      </w:r>
      <w:r>
        <w:rPr>
          <w:rFonts w:hint="eastAsia" w:ascii="仿宋" w:hAnsi="仿宋" w:eastAsia="仿宋" w:cs="仿宋"/>
          <w:color w:val="auto"/>
          <w:spacing w:val="-1"/>
          <w:sz w:val="24"/>
          <w:szCs w:val="24"/>
          <w:highlight w:val="none"/>
        </w:rPr>
        <w:t>情形外，入围供应商也可以按照财政部门的规定，向征集人或采购人提供合格的履约担保函。</w:t>
      </w:r>
    </w:p>
    <w:p w14:paraId="5B6B0A0A">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31.3如果成交供应商没有按照上述履约保证金的规定执行</w:t>
      </w:r>
      <w:r>
        <w:rPr>
          <w:rFonts w:hint="eastAsia" w:ascii="仿宋" w:hAnsi="仿宋" w:eastAsia="仿宋" w:cs="仿宋"/>
          <w:color w:val="auto"/>
          <w:spacing w:val="-1"/>
          <w:sz w:val="24"/>
          <w:szCs w:val="24"/>
          <w:highlight w:val="none"/>
        </w:rPr>
        <w:t>，将被视为放弃成交资格，入围供应商须按征集响应保证承诺书的承诺向征集人赔偿。</w:t>
      </w:r>
    </w:p>
    <w:p w14:paraId="15AC261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32.预付款</w:t>
      </w:r>
    </w:p>
    <w:p w14:paraId="1FD2DD59">
      <w:pPr>
        <w:keepNext w:val="0"/>
        <w:keepLines w:val="0"/>
        <w:pageBreakBefore w:val="0"/>
        <w:widowControl/>
        <w:kinsoku w:val="0"/>
        <w:wordWrap/>
        <w:overflowPunct/>
        <w:topLinePunct w:val="0"/>
        <w:autoSpaceDE w:val="0"/>
        <w:autoSpaceDN w:val="0"/>
        <w:bidi w:val="0"/>
        <w:adjustRightInd w:val="0"/>
        <w:snapToGrid w:val="0"/>
        <w:spacing w:before="42"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32.1预付款是在指政府采购合同签订后、履行前，采购人</w:t>
      </w:r>
      <w:r>
        <w:rPr>
          <w:rFonts w:hint="eastAsia" w:ascii="仿宋" w:hAnsi="仿宋" w:eastAsia="仿宋" w:cs="仿宋"/>
          <w:color w:val="auto"/>
          <w:spacing w:val="-1"/>
          <w:sz w:val="24"/>
          <w:szCs w:val="24"/>
          <w:highlight w:val="none"/>
        </w:rPr>
        <w:t>向成交供应商预先支付部分合同款项，预付款比例按照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规定执行。</w:t>
      </w:r>
    </w:p>
    <w:p w14:paraId="395EC2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32.2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w:t>
      </w:r>
      <w:r>
        <w:rPr>
          <w:rFonts w:hint="eastAsia" w:ascii="仿宋" w:hAnsi="仿宋" w:eastAsia="仿宋" w:cs="仿宋"/>
          <w:color w:val="auto"/>
          <w:spacing w:val="-2"/>
          <w:sz w:val="24"/>
          <w:szCs w:val="24"/>
          <w:highlight w:val="none"/>
        </w:rPr>
        <w:t>行保函或者担保保函等。</w:t>
      </w:r>
      <w:r>
        <w:rPr>
          <w:rFonts w:hint="eastAsia" w:ascii="仿宋" w:hAnsi="仿宋" w:eastAsia="仿宋" w:cs="仿宋"/>
          <w:color w:val="auto"/>
          <w:spacing w:val="-1"/>
          <w:sz w:val="24"/>
          <w:szCs w:val="24"/>
          <w:highlight w:val="none"/>
        </w:rPr>
        <w:t>32.3本项目采购人不需要支付预付款的情形，见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p>
    <w:p w14:paraId="46B38A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33.代理服务费</w:t>
      </w:r>
    </w:p>
    <w:p w14:paraId="1ECB9260">
      <w:pPr>
        <w:keepNext w:val="0"/>
        <w:keepLines w:val="0"/>
        <w:pageBreakBefore w:val="0"/>
        <w:widowControl/>
        <w:kinsoku w:val="0"/>
        <w:wordWrap/>
        <w:overflowPunct/>
        <w:topLinePunct w:val="0"/>
        <w:autoSpaceDE w:val="0"/>
        <w:autoSpaceDN w:val="0"/>
        <w:bidi w:val="0"/>
        <w:adjustRightInd w:val="0"/>
        <w:snapToGrid w:val="0"/>
        <w:spacing w:before="44" w:line="360" w:lineRule="auto"/>
        <w:ind w:left="40" w:right="271"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本项目是否由入围供应商向采购代理机构支付</w:t>
      </w:r>
      <w:r>
        <w:rPr>
          <w:rFonts w:hint="eastAsia" w:ascii="仿宋" w:hAnsi="仿宋" w:eastAsia="仿宋" w:cs="仿宋"/>
          <w:color w:val="auto"/>
          <w:spacing w:val="-1"/>
          <w:sz w:val="24"/>
          <w:szCs w:val="24"/>
          <w:highlight w:val="none"/>
        </w:rPr>
        <w:t>代理服务费，按照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w:t>
      </w:r>
      <w:r>
        <w:rPr>
          <w:rFonts w:hint="eastAsia" w:ascii="仿宋" w:hAnsi="仿宋" w:eastAsia="仿宋" w:cs="仿宋"/>
          <w:color w:val="auto"/>
          <w:spacing w:val="-6"/>
          <w:sz w:val="24"/>
          <w:szCs w:val="24"/>
          <w:highlight w:val="none"/>
        </w:rPr>
        <w:t>执行。</w:t>
      </w:r>
    </w:p>
    <w:p w14:paraId="355F10D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34.政府采购信用担保</w:t>
      </w:r>
    </w:p>
    <w:p w14:paraId="00D25227">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34.1本项目是否属于信用担保试点范围见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783BE4D7">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34.2如属于政府采购信用担保试点范围内，中小型企业供应商可以自由按照财政部门的规定，采用履约担保和融资担保。</w:t>
      </w:r>
    </w:p>
    <w:p w14:paraId="648E03F0">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34.2.1 供应商递交的履约担保函应符合本征集文件的规定。</w:t>
      </w:r>
    </w:p>
    <w:p w14:paraId="4F91E8FB">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34.2.2 成交供应商可以采取融资担保的形</w:t>
      </w:r>
      <w:r>
        <w:rPr>
          <w:rFonts w:hint="eastAsia" w:ascii="仿宋" w:hAnsi="仿宋" w:eastAsia="仿宋" w:cs="仿宋"/>
          <w:color w:val="auto"/>
          <w:spacing w:val="-1"/>
          <w:sz w:val="24"/>
          <w:szCs w:val="24"/>
          <w:highlight w:val="none"/>
        </w:rPr>
        <w:t>式为政府采购项目履约进行融资。</w:t>
      </w:r>
    </w:p>
    <w:p w14:paraId="28E3BB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34.2.3 合格的政府采购专业信用担保机构见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2A278AA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35.廉洁自律规定</w:t>
      </w:r>
    </w:p>
    <w:p w14:paraId="4D499F69">
      <w:pPr>
        <w:keepNext w:val="0"/>
        <w:keepLines w:val="0"/>
        <w:pageBreakBefore w:val="0"/>
        <w:widowControl/>
        <w:kinsoku w:val="0"/>
        <w:wordWrap/>
        <w:overflowPunct/>
        <w:topLinePunct w:val="0"/>
        <w:autoSpaceDE w:val="0"/>
        <w:autoSpaceDN w:val="0"/>
        <w:bidi w:val="0"/>
        <w:adjustRightInd w:val="0"/>
        <w:snapToGrid w:val="0"/>
        <w:spacing w:before="44" w:line="360" w:lineRule="auto"/>
        <w:ind w:left="69" w:right="185" w:hanging="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35.1征集人工作人员不得以不正当手段获取政府采购代理</w:t>
      </w:r>
      <w:r>
        <w:rPr>
          <w:rFonts w:hint="eastAsia" w:ascii="仿宋" w:hAnsi="仿宋" w:eastAsia="仿宋" w:cs="仿宋"/>
          <w:color w:val="auto"/>
          <w:spacing w:val="-1"/>
          <w:sz w:val="24"/>
          <w:szCs w:val="24"/>
          <w:highlight w:val="none"/>
        </w:rPr>
        <w:t>业务，不得与采购人、供应商恶意</w:t>
      </w:r>
      <w:r>
        <w:rPr>
          <w:rFonts w:hint="eastAsia" w:ascii="仿宋" w:hAnsi="仿宋" w:eastAsia="仿宋" w:cs="仿宋"/>
          <w:color w:val="auto"/>
          <w:spacing w:val="-16"/>
          <w:sz w:val="24"/>
          <w:szCs w:val="24"/>
          <w:highlight w:val="none"/>
        </w:rPr>
        <w:t>串通。</w:t>
      </w:r>
    </w:p>
    <w:p w14:paraId="4A3BCAFE">
      <w:pPr>
        <w:keepNext w:val="0"/>
        <w:keepLines w:val="0"/>
        <w:pageBreakBefore w:val="0"/>
        <w:widowControl/>
        <w:kinsoku w:val="0"/>
        <w:wordWrap/>
        <w:overflowPunct/>
        <w:topLinePunct w:val="0"/>
        <w:autoSpaceDE w:val="0"/>
        <w:autoSpaceDN w:val="0"/>
        <w:bidi w:val="0"/>
        <w:adjustRightInd w:val="0"/>
        <w:snapToGrid w:val="0"/>
        <w:spacing w:before="27" w:line="360" w:lineRule="auto"/>
        <w:ind w:left="39" w:right="228" w:hanging="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35.2征集人工作人员不得接受采购人或者供应商组织的</w:t>
      </w:r>
      <w:r>
        <w:rPr>
          <w:rFonts w:hint="eastAsia" w:ascii="仿宋" w:hAnsi="仿宋" w:eastAsia="仿宋" w:cs="仿宋"/>
          <w:color w:val="auto"/>
          <w:spacing w:val="-2"/>
          <w:sz w:val="24"/>
          <w:szCs w:val="24"/>
          <w:highlight w:val="none"/>
        </w:rPr>
        <w:t>宴请、旅游、娱乐，不得收受礼品、</w:t>
      </w:r>
      <w:r>
        <w:rPr>
          <w:rFonts w:hint="eastAsia" w:ascii="仿宋" w:hAnsi="仿宋" w:eastAsia="仿宋" w:cs="仿宋"/>
          <w:color w:val="auto"/>
          <w:spacing w:val="-1"/>
          <w:sz w:val="24"/>
          <w:szCs w:val="24"/>
          <w:highlight w:val="none"/>
        </w:rPr>
        <w:t>现金、有价证券等，不得向采购人或者供应商报销应当由个人承担的费用。</w:t>
      </w:r>
    </w:p>
    <w:p w14:paraId="3DD8E7A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36.人员回避</w:t>
      </w:r>
    </w:p>
    <w:p w14:paraId="4E8F081A">
      <w:pPr>
        <w:keepNext w:val="0"/>
        <w:keepLines w:val="0"/>
        <w:pageBreakBefore w:val="0"/>
        <w:widowControl/>
        <w:kinsoku w:val="0"/>
        <w:wordWrap/>
        <w:overflowPunct/>
        <w:topLinePunct w:val="0"/>
        <w:autoSpaceDE w:val="0"/>
        <w:autoSpaceDN w:val="0"/>
        <w:bidi w:val="0"/>
        <w:adjustRightInd w:val="0"/>
        <w:snapToGrid w:val="0"/>
        <w:spacing w:before="46" w:line="360" w:lineRule="auto"/>
        <w:ind w:left="40" w:right="222"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供应商认为征集文件使自己的权益受到损害的</w:t>
      </w:r>
      <w:r>
        <w:rPr>
          <w:rFonts w:hint="eastAsia" w:ascii="仿宋" w:hAnsi="仿宋" w:eastAsia="仿宋" w:cs="仿宋"/>
          <w:color w:val="auto"/>
          <w:spacing w:val="-1"/>
          <w:sz w:val="24"/>
          <w:szCs w:val="24"/>
          <w:highlight w:val="none"/>
        </w:rPr>
        <w:t>，供应商认为征集人员及其相关人员有法律法规所列与其他供应商有利害关系的，均可以向征集人书</w:t>
      </w:r>
      <w:r>
        <w:rPr>
          <w:rFonts w:hint="eastAsia" w:ascii="仿宋" w:hAnsi="仿宋" w:eastAsia="仿宋" w:cs="仿宋"/>
          <w:color w:val="auto"/>
          <w:spacing w:val="-2"/>
          <w:sz w:val="24"/>
          <w:szCs w:val="24"/>
          <w:highlight w:val="none"/>
        </w:rPr>
        <w:t>面提出回避申请，并说明理由。</w:t>
      </w:r>
    </w:p>
    <w:p w14:paraId="4FD96A7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37.质疑的提出与接收</w:t>
      </w:r>
    </w:p>
    <w:p w14:paraId="611391A4">
      <w:pPr>
        <w:keepNext w:val="0"/>
        <w:keepLines w:val="0"/>
        <w:pageBreakBefore w:val="0"/>
        <w:widowControl/>
        <w:kinsoku w:val="0"/>
        <w:wordWrap/>
        <w:overflowPunct/>
        <w:topLinePunct w:val="0"/>
        <w:autoSpaceDE w:val="0"/>
        <w:autoSpaceDN w:val="0"/>
        <w:bidi w:val="0"/>
        <w:adjustRightInd w:val="0"/>
        <w:snapToGrid w:val="0"/>
        <w:spacing w:before="42"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37.1供应商认为征集文件、征集过程和入围结果使自己的</w:t>
      </w:r>
      <w:r>
        <w:rPr>
          <w:rFonts w:hint="eastAsia" w:ascii="仿宋" w:hAnsi="仿宋" w:eastAsia="仿宋" w:cs="仿宋"/>
          <w:color w:val="auto"/>
          <w:spacing w:val="-1"/>
          <w:sz w:val="24"/>
          <w:szCs w:val="24"/>
          <w:highlight w:val="none"/>
        </w:rPr>
        <w:t>权益受到损害的，可以根据《中华</w:t>
      </w:r>
      <w:r>
        <w:rPr>
          <w:rFonts w:hint="eastAsia" w:ascii="仿宋" w:hAnsi="仿宋" w:eastAsia="仿宋" w:cs="仿宋"/>
          <w:color w:val="auto"/>
          <w:sz w:val="24"/>
          <w:szCs w:val="24"/>
          <w:highlight w:val="none"/>
        </w:rPr>
        <w:t>人民共和国政府采购法》、《中华人民共和国政府采</w:t>
      </w:r>
      <w:r>
        <w:rPr>
          <w:rFonts w:hint="eastAsia" w:ascii="仿宋" w:hAnsi="仿宋" w:eastAsia="仿宋" w:cs="仿宋"/>
          <w:color w:val="auto"/>
          <w:spacing w:val="-1"/>
          <w:sz w:val="24"/>
          <w:szCs w:val="24"/>
          <w:highlight w:val="none"/>
        </w:rPr>
        <w:t>购法实施条例》和《政府采购质疑和投诉办法》的有关规定，依法向征集人提出质疑。</w:t>
      </w:r>
    </w:p>
    <w:p w14:paraId="4D9330C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37.2质疑供应商应按照财政部制定的《政府采购质疑函范</w:t>
      </w:r>
      <w:r>
        <w:rPr>
          <w:rFonts w:hint="eastAsia" w:ascii="仿宋" w:hAnsi="仿宋" w:eastAsia="仿宋" w:cs="仿宋"/>
          <w:color w:val="auto"/>
          <w:spacing w:val="-1"/>
          <w:sz w:val="24"/>
          <w:szCs w:val="24"/>
          <w:highlight w:val="none"/>
        </w:rPr>
        <w:t>本》格式（可从财政部官方网站下</w:t>
      </w:r>
      <w:r>
        <w:rPr>
          <w:rFonts w:hint="eastAsia" w:ascii="仿宋" w:hAnsi="仿宋" w:eastAsia="仿宋" w:cs="仿宋"/>
          <w:color w:val="auto"/>
          <w:sz w:val="24"/>
          <w:szCs w:val="24"/>
          <w:highlight w:val="none"/>
        </w:rPr>
        <w:t>载）和《政府采购质疑和投诉办法》的要求，在法定</w:t>
      </w:r>
      <w:r>
        <w:rPr>
          <w:rFonts w:hint="eastAsia" w:ascii="仿宋" w:hAnsi="仿宋" w:eastAsia="仿宋" w:cs="仿宋"/>
          <w:color w:val="auto"/>
          <w:spacing w:val="-1"/>
          <w:sz w:val="24"/>
          <w:szCs w:val="24"/>
          <w:highlight w:val="none"/>
        </w:rPr>
        <w:t>质疑期内以书面形式提出质疑，针对同一采购程序环节的质疑次数应符合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的规定。</w:t>
      </w:r>
    </w:p>
    <w:p w14:paraId="5EFBEE4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0" w:right="271"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超出法定质疑期提交的质疑将被拒绝。重复或</w:t>
      </w:r>
      <w:r>
        <w:rPr>
          <w:rFonts w:hint="eastAsia" w:ascii="仿宋" w:hAnsi="仿宋" w:eastAsia="仿宋" w:cs="仿宋"/>
          <w:color w:val="auto"/>
          <w:spacing w:val="-1"/>
          <w:sz w:val="24"/>
          <w:szCs w:val="24"/>
          <w:highlight w:val="none"/>
        </w:rPr>
        <w:t>分次提出的、内容或形式不符合《政府采购质疑和投诉办法》的，质疑供应商将依法承担不利后果。</w:t>
      </w:r>
    </w:p>
    <w:p w14:paraId="5DC6D5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7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37.3质疑函接收部门、联系电话和通讯地址,</w:t>
      </w:r>
    </w:p>
    <w:p w14:paraId="226A3C0E">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新疆誉诚信工程项目管理有限责任公司</w:t>
      </w:r>
    </w:p>
    <w:p w14:paraId="3DAB06A5">
      <w:pPr>
        <w:pStyle w:val="5"/>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联系电话：15209085733</w:t>
      </w:r>
    </w:p>
    <w:p w14:paraId="032DFF53">
      <w:pPr>
        <w:rPr>
          <w:rFonts w:hint="eastAsia" w:ascii="仿宋" w:hAnsi="仿宋" w:eastAsia="仿宋" w:cs="仿宋"/>
          <w:color w:val="auto"/>
          <w:sz w:val="24"/>
          <w:szCs w:val="24"/>
          <w:highlight w:val="none"/>
          <w:lang w:val="en-US" w:eastAsia="zh-CN"/>
        </w:rPr>
      </w:pPr>
    </w:p>
    <w:p w14:paraId="0B097BBC">
      <w:pPr>
        <w:pStyle w:val="11"/>
        <w:rPr>
          <w:rFonts w:hint="eastAsia" w:ascii="仿宋" w:hAnsi="仿宋" w:eastAsia="仿宋" w:cs="仿宋"/>
          <w:color w:val="auto"/>
          <w:sz w:val="24"/>
          <w:szCs w:val="24"/>
          <w:highlight w:val="none"/>
          <w:lang w:val="en-US" w:eastAsia="zh-CN"/>
        </w:rPr>
      </w:pPr>
    </w:p>
    <w:p w14:paraId="4C5461F5">
      <w:pPr>
        <w:pStyle w:val="11"/>
        <w:rPr>
          <w:rFonts w:hint="eastAsia" w:ascii="仿宋" w:hAnsi="仿宋" w:eastAsia="仿宋" w:cs="仿宋"/>
          <w:color w:val="auto"/>
          <w:sz w:val="24"/>
          <w:szCs w:val="24"/>
          <w:highlight w:val="none"/>
          <w:lang w:val="en-US" w:eastAsia="zh-CN"/>
        </w:rPr>
      </w:pPr>
    </w:p>
    <w:p w14:paraId="21A68D51">
      <w:pPr>
        <w:pStyle w:val="11"/>
        <w:rPr>
          <w:rFonts w:hint="eastAsia" w:ascii="仿宋" w:hAnsi="仿宋" w:eastAsia="仿宋" w:cs="仿宋"/>
          <w:color w:val="auto"/>
          <w:sz w:val="24"/>
          <w:szCs w:val="24"/>
          <w:highlight w:val="none"/>
          <w:lang w:val="en-US" w:eastAsia="zh-CN"/>
        </w:rPr>
      </w:pPr>
    </w:p>
    <w:p w14:paraId="3D6DCCB8">
      <w:pPr>
        <w:pStyle w:val="11"/>
        <w:rPr>
          <w:rFonts w:hint="eastAsia" w:ascii="仿宋" w:hAnsi="仿宋" w:eastAsia="仿宋" w:cs="仿宋"/>
          <w:color w:val="auto"/>
          <w:sz w:val="24"/>
          <w:szCs w:val="24"/>
          <w:highlight w:val="none"/>
          <w:lang w:val="en-US" w:eastAsia="zh-CN"/>
        </w:rPr>
      </w:pPr>
    </w:p>
    <w:p w14:paraId="4CC3AC04">
      <w:pPr>
        <w:pStyle w:val="11"/>
        <w:rPr>
          <w:rFonts w:hint="eastAsia" w:ascii="仿宋" w:hAnsi="仿宋" w:eastAsia="仿宋" w:cs="仿宋"/>
          <w:color w:val="auto"/>
          <w:sz w:val="24"/>
          <w:szCs w:val="24"/>
          <w:highlight w:val="none"/>
          <w:lang w:val="en-US" w:eastAsia="zh-CN"/>
        </w:rPr>
      </w:pPr>
    </w:p>
    <w:p w14:paraId="1E231CF7">
      <w:pPr>
        <w:pStyle w:val="11"/>
        <w:rPr>
          <w:rFonts w:hint="eastAsia" w:ascii="仿宋" w:hAnsi="仿宋" w:eastAsia="仿宋" w:cs="仿宋"/>
          <w:color w:val="auto"/>
          <w:sz w:val="24"/>
          <w:szCs w:val="24"/>
          <w:highlight w:val="none"/>
          <w:lang w:val="en-US" w:eastAsia="zh-CN"/>
        </w:rPr>
      </w:pPr>
    </w:p>
    <w:p w14:paraId="507A5568">
      <w:pPr>
        <w:pStyle w:val="11"/>
        <w:rPr>
          <w:rFonts w:hint="eastAsia" w:ascii="仿宋" w:hAnsi="仿宋" w:eastAsia="仿宋" w:cs="仿宋"/>
          <w:color w:val="auto"/>
          <w:sz w:val="24"/>
          <w:szCs w:val="24"/>
          <w:highlight w:val="none"/>
          <w:lang w:val="en-US" w:eastAsia="zh-CN"/>
        </w:rPr>
      </w:pPr>
    </w:p>
    <w:p w14:paraId="563C6FCB">
      <w:pPr>
        <w:pStyle w:val="11"/>
        <w:rPr>
          <w:rFonts w:hint="eastAsia" w:ascii="仿宋" w:hAnsi="仿宋" w:eastAsia="仿宋" w:cs="仿宋"/>
          <w:color w:val="auto"/>
          <w:sz w:val="24"/>
          <w:szCs w:val="24"/>
          <w:highlight w:val="none"/>
          <w:lang w:val="en-US" w:eastAsia="zh-CN"/>
        </w:rPr>
      </w:pPr>
    </w:p>
    <w:p w14:paraId="28101FCB">
      <w:pPr>
        <w:pStyle w:val="11"/>
        <w:rPr>
          <w:rFonts w:hint="eastAsia" w:ascii="仿宋" w:hAnsi="仿宋" w:eastAsia="仿宋" w:cs="仿宋"/>
          <w:color w:val="auto"/>
          <w:sz w:val="24"/>
          <w:szCs w:val="24"/>
          <w:highlight w:val="none"/>
          <w:lang w:val="en-US" w:eastAsia="zh-CN"/>
        </w:rPr>
      </w:pPr>
    </w:p>
    <w:p w14:paraId="7AE6E97B">
      <w:pPr>
        <w:pStyle w:val="11"/>
        <w:rPr>
          <w:rFonts w:hint="eastAsia" w:ascii="仿宋" w:hAnsi="仿宋" w:eastAsia="仿宋" w:cs="仿宋"/>
          <w:color w:val="auto"/>
          <w:sz w:val="24"/>
          <w:szCs w:val="24"/>
          <w:highlight w:val="none"/>
          <w:lang w:val="en-US" w:eastAsia="zh-CN"/>
        </w:rPr>
      </w:pPr>
    </w:p>
    <w:p w14:paraId="23F16815">
      <w:pPr>
        <w:pStyle w:val="11"/>
        <w:rPr>
          <w:rFonts w:hint="eastAsia" w:ascii="仿宋" w:hAnsi="仿宋" w:eastAsia="仿宋" w:cs="仿宋"/>
          <w:color w:val="auto"/>
          <w:sz w:val="24"/>
          <w:szCs w:val="24"/>
          <w:highlight w:val="none"/>
          <w:lang w:val="en-US" w:eastAsia="zh-CN"/>
        </w:rPr>
      </w:pPr>
    </w:p>
    <w:p w14:paraId="4CAD3F47">
      <w:pPr>
        <w:numPr>
          <w:ilvl w:val="0"/>
          <w:numId w:val="0"/>
        </w:numPr>
        <w:spacing w:before="163" w:line="389" w:lineRule="exact"/>
        <w:ind w:leftChars="0"/>
        <w:jc w:val="center"/>
        <w:outlineLvl w:val="0"/>
        <w:rPr>
          <w:rFonts w:hint="eastAsia" w:ascii="仿宋" w:hAnsi="仿宋" w:eastAsia="仿宋" w:cs="仿宋"/>
          <w:b/>
          <w:bCs/>
          <w:color w:val="auto"/>
          <w:spacing w:val="-9"/>
          <w:w w:val="96"/>
          <w:position w:val="-2"/>
          <w:sz w:val="32"/>
          <w:szCs w:val="32"/>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三</w:t>
      </w:r>
      <w:r>
        <w:rPr>
          <w:rFonts w:hint="eastAsia" w:ascii="仿宋" w:hAnsi="仿宋" w:eastAsia="仿宋" w:cs="仿宋"/>
          <w:b/>
          <w:bCs/>
          <w:color w:val="auto"/>
          <w:spacing w:val="14"/>
          <w:position w:val="-2"/>
          <w:sz w:val="36"/>
          <w:szCs w:val="36"/>
          <w:highlight w:val="none"/>
          <w:lang w:val="en-US" w:eastAsia="zh-CN"/>
        </w:rPr>
        <w:t xml:space="preserve">部分  </w:t>
      </w:r>
      <w:r>
        <w:rPr>
          <w:rFonts w:hint="eastAsia" w:ascii="仿宋" w:hAnsi="仿宋" w:eastAsia="仿宋" w:cs="仿宋"/>
          <w:b/>
          <w:bCs/>
          <w:color w:val="auto"/>
          <w:spacing w:val="14"/>
          <w:position w:val="-2"/>
          <w:sz w:val="36"/>
          <w:szCs w:val="36"/>
          <w:highlight w:val="none"/>
        </w:rPr>
        <w:t>采购需求</w:t>
      </w:r>
    </w:p>
    <w:tbl>
      <w:tblPr>
        <w:tblStyle w:val="17"/>
        <w:tblW w:w="5014"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925"/>
        <w:gridCol w:w="2733"/>
        <w:gridCol w:w="2743"/>
        <w:gridCol w:w="2728"/>
        <w:gridCol w:w="728"/>
      </w:tblGrid>
      <w:tr w14:paraId="6A36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3" w:hRule="atLeast"/>
        </w:trPr>
        <w:tc>
          <w:tcPr>
            <w:tcW w:w="469" w:type="pct"/>
            <w:shd w:val="clear" w:color="auto" w:fill="EEEEEE"/>
            <w:noWrap w:val="0"/>
            <w:tcMar>
              <w:top w:w="96" w:type="dxa"/>
              <w:left w:w="96" w:type="dxa"/>
              <w:bottom w:w="96" w:type="dxa"/>
              <w:right w:w="96" w:type="dxa"/>
            </w:tcMar>
            <w:vAlign w:val="center"/>
          </w:tcPr>
          <w:p w14:paraId="0C8561F8">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1386" w:type="pct"/>
            <w:shd w:val="clear" w:color="auto" w:fill="EEEEEE"/>
            <w:noWrap w:val="0"/>
            <w:tcMar>
              <w:top w:w="96" w:type="dxa"/>
              <w:left w:w="96" w:type="dxa"/>
              <w:bottom w:w="96" w:type="dxa"/>
              <w:right w:w="96" w:type="dxa"/>
            </w:tcMar>
            <w:vAlign w:val="center"/>
          </w:tcPr>
          <w:p w14:paraId="73406427">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1391" w:type="pct"/>
            <w:shd w:val="clear" w:color="auto" w:fill="EEEEEE"/>
            <w:noWrap w:val="0"/>
            <w:tcMar>
              <w:top w:w="96" w:type="dxa"/>
              <w:left w:w="96" w:type="dxa"/>
              <w:bottom w:w="96" w:type="dxa"/>
              <w:right w:w="96" w:type="dxa"/>
            </w:tcMar>
            <w:vAlign w:val="center"/>
          </w:tcPr>
          <w:p w14:paraId="0D2EB584">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主要技术参数</w:t>
            </w:r>
          </w:p>
        </w:tc>
        <w:tc>
          <w:tcPr>
            <w:tcW w:w="1383" w:type="pct"/>
            <w:shd w:val="clear" w:color="auto" w:fill="EEEEEE"/>
            <w:noWrap w:val="0"/>
            <w:tcMar>
              <w:top w:w="96" w:type="dxa"/>
              <w:left w:w="96" w:type="dxa"/>
              <w:bottom w:w="96" w:type="dxa"/>
              <w:right w:w="96" w:type="dxa"/>
            </w:tcMar>
            <w:vAlign w:val="center"/>
          </w:tcPr>
          <w:p w14:paraId="00A752E6">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最高限价</w:t>
            </w:r>
          </w:p>
        </w:tc>
        <w:tc>
          <w:tcPr>
            <w:tcW w:w="369" w:type="pct"/>
            <w:shd w:val="clear" w:color="auto" w:fill="EEEEEE"/>
            <w:noWrap w:val="0"/>
            <w:tcMar>
              <w:top w:w="96" w:type="dxa"/>
              <w:left w:w="96" w:type="dxa"/>
              <w:bottom w:w="96" w:type="dxa"/>
              <w:right w:w="96" w:type="dxa"/>
            </w:tcMar>
            <w:vAlign w:val="center"/>
          </w:tcPr>
          <w:p w14:paraId="5A231EE4">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1FA9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934" w:hRule="atLeast"/>
        </w:trPr>
        <w:tc>
          <w:tcPr>
            <w:tcW w:w="469" w:type="pct"/>
            <w:noWrap w:val="0"/>
            <w:tcMar>
              <w:top w:w="144" w:type="dxa"/>
              <w:left w:w="96" w:type="dxa"/>
              <w:bottom w:w="144" w:type="dxa"/>
              <w:right w:w="96" w:type="dxa"/>
            </w:tcMar>
            <w:vAlign w:val="center"/>
          </w:tcPr>
          <w:p w14:paraId="67776732">
            <w:pPr>
              <w:pStyle w:val="5"/>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p>
        </w:tc>
        <w:tc>
          <w:tcPr>
            <w:tcW w:w="1386" w:type="pct"/>
            <w:shd w:val="clear" w:color="auto" w:fill="auto"/>
            <w:noWrap w:val="0"/>
            <w:tcMar>
              <w:top w:w="144" w:type="dxa"/>
              <w:left w:w="96" w:type="dxa"/>
              <w:bottom w:w="144" w:type="dxa"/>
              <w:right w:w="96" w:type="dxa"/>
            </w:tcMar>
            <w:vAlign w:val="center"/>
          </w:tcPr>
          <w:p w14:paraId="2C452A4F">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1391" w:type="pct"/>
            <w:shd w:val="clear" w:color="auto" w:fill="auto"/>
            <w:noWrap w:val="0"/>
            <w:tcMar>
              <w:top w:w="144" w:type="dxa"/>
              <w:left w:w="96" w:type="dxa"/>
              <w:bottom w:w="144" w:type="dxa"/>
              <w:right w:w="96" w:type="dxa"/>
            </w:tcMar>
            <w:vAlign w:val="center"/>
          </w:tcPr>
          <w:p w14:paraId="5F816EBB">
            <w:pPr>
              <w:pStyle w:val="5"/>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对征收区域内的设备，按照资产的建造年代及设备的生产日期，进行市场询价，折旧，对其做出合理的估价，并出具书面评估报告。</w:t>
            </w:r>
          </w:p>
        </w:tc>
        <w:tc>
          <w:tcPr>
            <w:tcW w:w="1383" w:type="pct"/>
            <w:shd w:val="clear" w:color="auto" w:fill="auto"/>
            <w:noWrap w:val="0"/>
            <w:tcMar>
              <w:top w:w="144" w:type="dxa"/>
              <w:left w:w="96" w:type="dxa"/>
              <w:bottom w:w="144" w:type="dxa"/>
              <w:right w:w="96" w:type="dxa"/>
            </w:tcMar>
            <w:vAlign w:val="center"/>
          </w:tcPr>
          <w:p w14:paraId="50E4614A">
            <w:pPr>
              <w:pStyle w:val="5"/>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设备评估服务费（控制价）按评估资产价值的18</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收取（供应商在此控制价基础上下浮）。</w:t>
            </w:r>
          </w:p>
        </w:tc>
        <w:tc>
          <w:tcPr>
            <w:tcW w:w="369" w:type="pct"/>
            <w:shd w:val="clear" w:color="auto" w:fill="auto"/>
            <w:noWrap w:val="0"/>
            <w:tcMar>
              <w:top w:w="144" w:type="dxa"/>
              <w:left w:w="96" w:type="dxa"/>
              <w:bottom w:w="144" w:type="dxa"/>
              <w:right w:w="96" w:type="dxa"/>
            </w:tcMar>
            <w:vAlign w:val="center"/>
          </w:tcPr>
          <w:p w14:paraId="29C0F871">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638B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74" w:hRule="atLeast"/>
        </w:trPr>
        <w:tc>
          <w:tcPr>
            <w:tcW w:w="469" w:type="pct"/>
            <w:noWrap w:val="0"/>
            <w:tcMar>
              <w:top w:w="144" w:type="dxa"/>
              <w:left w:w="96" w:type="dxa"/>
              <w:bottom w:w="144" w:type="dxa"/>
              <w:right w:w="96" w:type="dxa"/>
            </w:tcMar>
            <w:vAlign w:val="center"/>
          </w:tcPr>
          <w:p w14:paraId="5778D3B9">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86" w:type="pct"/>
            <w:shd w:val="clear" w:color="auto" w:fill="auto"/>
            <w:noWrap w:val="0"/>
            <w:tcMar>
              <w:top w:w="144" w:type="dxa"/>
              <w:left w:w="96" w:type="dxa"/>
              <w:bottom w:w="144" w:type="dxa"/>
              <w:right w:w="96" w:type="dxa"/>
            </w:tcMar>
            <w:vAlign w:val="center"/>
          </w:tcPr>
          <w:p w14:paraId="415513CA">
            <w:pPr>
              <w:keepNext w:val="0"/>
              <w:keepLines w:val="0"/>
              <w:widowControl/>
              <w:suppressLineNumbers w:val="0"/>
              <w:jc w:val="center"/>
              <w:textAlignment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1391" w:type="pct"/>
            <w:shd w:val="clear" w:color="auto" w:fill="auto"/>
            <w:noWrap w:val="0"/>
            <w:tcMar>
              <w:top w:w="144" w:type="dxa"/>
              <w:left w:w="96" w:type="dxa"/>
              <w:bottom w:w="144" w:type="dxa"/>
              <w:right w:w="96" w:type="dxa"/>
            </w:tcMar>
            <w:vAlign w:val="center"/>
          </w:tcPr>
          <w:p w14:paraId="678BF064">
            <w:pPr>
              <w:pStyle w:val="5"/>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对拆迁区域内的所有可回收资源依法进行评估，评估出可回收资源的自身价值，并出具书面的可回收资源评估报告。</w:t>
            </w:r>
          </w:p>
        </w:tc>
        <w:tc>
          <w:tcPr>
            <w:tcW w:w="1383" w:type="pct"/>
            <w:shd w:val="clear" w:color="auto" w:fill="auto"/>
            <w:noWrap w:val="0"/>
            <w:tcMar>
              <w:top w:w="144" w:type="dxa"/>
              <w:left w:w="96" w:type="dxa"/>
              <w:bottom w:w="144" w:type="dxa"/>
              <w:right w:w="96" w:type="dxa"/>
            </w:tcMar>
            <w:vAlign w:val="center"/>
          </w:tcPr>
          <w:p w14:paraId="5D12852C">
            <w:pPr>
              <w:pStyle w:val="5"/>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每个征收项目的可回收资源总评估费（控制价）不超过此项目可回收资源总评估价的18</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（供应商在此控制价基础上下浮）。</w:t>
            </w:r>
          </w:p>
        </w:tc>
        <w:tc>
          <w:tcPr>
            <w:tcW w:w="369" w:type="pct"/>
            <w:shd w:val="clear" w:color="auto" w:fill="auto"/>
            <w:noWrap w:val="0"/>
            <w:tcMar>
              <w:top w:w="144" w:type="dxa"/>
              <w:left w:w="96" w:type="dxa"/>
              <w:bottom w:w="144" w:type="dxa"/>
              <w:right w:w="96" w:type="dxa"/>
            </w:tcMar>
            <w:vAlign w:val="center"/>
          </w:tcPr>
          <w:p w14:paraId="002A7995">
            <w:pPr>
              <w:pStyle w:val="5"/>
              <w:spacing w:line="301" w:lineRule="auto"/>
              <w:jc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06E0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469" w:type="pct"/>
            <w:noWrap w:val="0"/>
            <w:tcMar>
              <w:top w:w="144" w:type="dxa"/>
              <w:left w:w="96" w:type="dxa"/>
              <w:bottom w:w="144" w:type="dxa"/>
              <w:right w:w="96" w:type="dxa"/>
            </w:tcMar>
            <w:vAlign w:val="center"/>
          </w:tcPr>
          <w:p w14:paraId="03652D11">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86" w:type="pct"/>
            <w:shd w:val="clear" w:color="auto" w:fill="auto"/>
            <w:noWrap w:val="0"/>
            <w:tcMar>
              <w:top w:w="144" w:type="dxa"/>
              <w:left w:w="96" w:type="dxa"/>
              <w:bottom w:w="144" w:type="dxa"/>
              <w:right w:w="96" w:type="dxa"/>
            </w:tcMar>
            <w:vAlign w:val="center"/>
          </w:tcPr>
          <w:p w14:paraId="15D59B09">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1391" w:type="pct"/>
            <w:shd w:val="clear" w:color="auto" w:fill="auto"/>
            <w:noWrap w:val="0"/>
            <w:tcMar>
              <w:top w:w="144" w:type="dxa"/>
              <w:left w:w="96" w:type="dxa"/>
              <w:bottom w:w="144" w:type="dxa"/>
              <w:right w:w="96" w:type="dxa"/>
            </w:tcMar>
            <w:vAlign w:val="center"/>
          </w:tcPr>
          <w:p w14:paraId="53772912">
            <w:pPr>
              <w:pStyle w:val="5"/>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将征收房屋内可移动设施，财物等搬运至指定地点，沿途不得丢失或损毁，需要入库存放的按照要求入库摆放整齐，并出具书面清单。</w:t>
            </w:r>
          </w:p>
        </w:tc>
        <w:tc>
          <w:tcPr>
            <w:tcW w:w="1383" w:type="pct"/>
            <w:shd w:val="clear" w:color="auto" w:fill="auto"/>
            <w:noWrap w:val="0"/>
            <w:tcMar>
              <w:top w:w="144" w:type="dxa"/>
              <w:left w:w="96" w:type="dxa"/>
              <w:bottom w:w="144" w:type="dxa"/>
              <w:right w:w="96" w:type="dxa"/>
            </w:tcMar>
            <w:vAlign w:val="center"/>
          </w:tcPr>
          <w:p w14:paraId="56F070A2">
            <w:pPr>
              <w:pStyle w:val="5"/>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根据实际搬运量协商定价。</w:t>
            </w:r>
          </w:p>
        </w:tc>
        <w:tc>
          <w:tcPr>
            <w:tcW w:w="369" w:type="pct"/>
            <w:shd w:val="clear" w:color="auto" w:fill="auto"/>
            <w:noWrap w:val="0"/>
            <w:tcMar>
              <w:top w:w="144" w:type="dxa"/>
              <w:left w:w="96" w:type="dxa"/>
              <w:bottom w:w="144" w:type="dxa"/>
              <w:right w:w="96" w:type="dxa"/>
            </w:tcMar>
            <w:vAlign w:val="center"/>
          </w:tcPr>
          <w:p w14:paraId="6EA59935">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C72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3F2CAD72">
            <w:pPr>
              <w:pStyle w:val="5"/>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86" w:type="pct"/>
            <w:shd w:val="clear" w:color="auto" w:fill="auto"/>
            <w:noWrap w:val="0"/>
            <w:tcMar>
              <w:top w:w="144" w:type="dxa"/>
              <w:left w:w="96" w:type="dxa"/>
              <w:bottom w:w="144" w:type="dxa"/>
              <w:right w:w="96" w:type="dxa"/>
            </w:tcMar>
            <w:vAlign w:val="center"/>
          </w:tcPr>
          <w:p w14:paraId="74252F09">
            <w:pPr>
              <w:keepNext w:val="0"/>
              <w:keepLines w:val="0"/>
              <w:widowControl/>
              <w:suppressLineNumbers w:val="0"/>
              <w:jc w:val="center"/>
              <w:textAlignment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1391" w:type="pct"/>
            <w:shd w:val="clear" w:color="auto" w:fill="auto"/>
            <w:noWrap w:val="0"/>
            <w:tcMar>
              <w:top w:w="144" w:type="dxa"/>
              <w:left w:w="96" w:type="dxa"/>
              <w:bottom w:w="144" w:type="dxa"/>
              <w:right w:w="96" w:type="dxa"/>
            </w:tcMar>
            <w:vAlign w:val="center"/>
          </w:tcPr>
          <w:p w14:paraId="1B3FE06E">
            <w:pPr>
              <w:pStyle w:val="5"/>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将征收房屋内可移动设施，财物等搬运至指定地点，沿途不得丢失或损毁，需要入库存放的按照要求入库摆放整齐，并出具公证书。</w:t>
            </w:r>
          </w:p>
        </w:tc>
        <w:tc>
          <w:tcPr>
            <w:tcW w:w="1383" w:type="pct"/>
            <w:shd w:val="clear" w:color="auto" w:fill="auto"/>
            <w:noWrap w:val="0"/>
            <w:tcMar>
              <w:top w:w="144" w:type="dxa"/>
              <w:left w:w="96" w:type="dxa"/>
              <w:bottom w:w="144" w:type="dxa"/>
              <w:right w:w="96" w:type="dxa"/>
            </w:tcMar>
            <w:vAlign w:val="center"/>
          </w:tcPr>
          <w:p w14:paraId="3FE2BB48">
            <w:pPr>
              <w:pStyle w:val="5"/>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根据国家取费标准，结合实际搬运量，协商定价。</w:t>
            </w:r>
          </w:p>
        </w:tc>
        <w:tc>
          <w:tcPr>
            <w:tcW w:w="369" w:type="pct"/>
            <w:shd w:val="clear" w:color="auto" w:fill="auto"/>
            <w:noWrap w:val="0"/>
            <w:tcMar>
              <w:top w:w="144" w:type="dxa"/>
              <w:left w:w="96" w:type="dxa"/>
              <w:bottom w:w="144" w:type="dxa"/>
              <w:right w:w="96" w:type="dxa"/>
            </w:tcMar>
            <w:vAlign w:val="center"/>
          </w:tcPr>
          <w:p w14:paraId="2B38BDB0">
            <w:pPr>
              <w:pStyle w:val="5"/>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bl>
    <w:p w14:paraId="6415B60B">
      <w:pPr>
        <w:spacing w:before="51" w:line="227" w:lineRule="auto"/>
        <w:ind w:left="554"/>
        <w:outlineLvl w:val="1"/>
        <w:rPr>
          <w:rFonts w:hint="eastAsia" w:ascii="仿宋" w:hAnsi="仿宋" w:eastAsia="仿宋" w:cs="仿宋"/>
          <w:color w:val="auto"/>
          <w:spacing w:val="4"/>
          <w:sz w:val="23"/>
          <w:szCs w:val="23"/>
          <w:highlight w:val="none"/>
        </w:rPr>
      </w:pPr>
    </w:p>
    <w:p w14:paraId="07496F60">
      <w:pPr>
        <w:spacing w:before="51"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一、商务要求</w:t>
      </w:r>
    </w:p>
    <w:p w14:paraId="52625C91">
      <w:pPr>
        <w:spacing w:before="2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（一）成果交付时间：甲方指定时间</w:t>
      </w:r>
    </w:p>
    <w:p w14:paraId="3F04568B">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（二）成果交付地点：甲方指定地点</w:t>
      </w:r>
    </w:p>
    <w:p w14:paraId="486F2E6A">
      <w:pPr>
        <w:spacing w:before="182" w:line="226"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（三）报价要求</w:t>
      </w:r>
    </w:p>
    <w:p w14:paraId="4C37E653">
      <w:pPr>
        <w:spacing w:before="184" w:line="227" w:lineRule="auto"/>
        <w:ind w:firstLine="984" w:firstLineChars="400"/>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sz w:val="23"/>
          <w:szCs w:val="23"/>
          <w:highlight w:val="none"/>
        </w:rPr>
        <w:t>供应商应按</w:t>
      </w:r>
      <w:r>
        <w:rPr>
          <w:rFonts w:hint="eastAsia" w:ascii="仿宋" w:hAnsi="仿宋" w:eastAsia="仿宋" w:cs="仿宋"/>
          <w:b w:val="0"/>
          <w:bCs w:val="0"/>
          <w:color w:val="auto"/>
          <w:spacing w:val="8"/>
          <w:sz w:val="23"/>
          <w:szCs w:val="23"/>
          <w:highlight w:val="none"/>
          <w:lang w:val="en-US" w:eastAsia="zh-CN"/>
        </w:rPr>
        <w:t>征集</w:t>
      </w:r>
      <w:r>
        <w:rPr>
          <w:rFonts w:hint="eastAsia" w:ascii="仿宋" w:hAnsi="仿宋" w:eastAsia="仿宋" w:cs="仿宋"/>
          <w:b w:val="0"/>
          <w:bCs w:val="0"/>
          <w:color w:val="auto"/>
          <w:spacing w:val="8"/>
          <w:sz w:val="23"/>
          <w:szCs w:val="23"/>
          <w:highlight w:val="none"/>
        </w:rPr>
        <w:t>文件规定的服务要求、责任范围和合同条</w:t>
      </w:r>
      <w:r>
        <w:rPr>
          <w:rFonts w:hint="eastAsia" w:ascii="仿宋" w:hAnsi="仿宋" w:eastAsia="仿宋" w:cs="仿宋"/>
          <w:b w:val="0"/>
          <w:bCs w:val="0"/>
          <w:color w:val="auto"/>
          <w:spacing w:val="7"/>
          <w:sz w:val="23"/>
          <w:szCs w:val="23"/>
          <w:highlight w:val="none"/>
        </w:rPr>
        <w:t>件，进行报</w:t>
      </w:r>
      <w:r>
        <w:rPr>
          <w:rFonts w:hint="eastAsia" w:ascii="仿宋" w:hAnsi="仿宋" w:eastAsia="仿宋" w:cs="仿宋"/>
          <w:b w:val="0"/>
          <w:bCs w:val="0"/>
          <w:color w:val="auto"/>
          <w:spacing w:val="-1"/>
          <w:sz w:val="23"/>
          <w:szCs w:val="23"/>
          <w:highlight w:val="none"/>
        </w:rPr>
        <w:t>价。</w:t>
      </w:r>
    </w:p>
    <w:p w14:paraId="436AE0AB">
      <w:pPr>
        <w:spacing w:before="184" w:line="226" w:lineRule="auto"/>
        <w:ind w:left="548"/>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9"/>
          <w:sz w:val="23"/>
          <w:szCs w:val="23"/>
          <w:highlight w:val="none"/>
        </w:rPr>
        <w:t>供应商必须按报价一览表和分项价格表的内容和格式要求填写各项服务的分项价格和</w:t>
      </w:r>
    </w:p>
    <w:p w14:paraId="70CC1CFF">
      <w:pPr>
        <w:spacing w:before="169" w:line="483" w:lineRule="exact"/>
        <w:ind w:left="560"/>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position w:val="18"/>
          <w:sz w:val="23"/>
          <w:szCs w:val="23"/>
          <w:highlight w:val="none"/>
        </w:rPr>
        <w:t>总价。供应商在招标须知前附表规定的提交首次响</w:t>
      </w:r>
      <w:r>
        <w:rPr>
          <w:rFonts w:hint="eastAsia" w:ascii="仿宋" w:hAnsi="仿宋" w:eastAsia="仿宋" w:cs="仿宋"/>
          <w:b w:val="0"/>
          <w:bCs w:val="0"/>
          <w:color w:val="auto"/>
          <w:spacing w:val="7"/>
          <w:position w:val="18"/>
          <w:sz w:val="23"/>
          <w:szCs w:val="23"/>
          <w:highlight w:val="none"/>
        </w:rPr>
        <w:t>应文件截止之日前修改报价一览表中</w:t>
      </w:r>
    </w:p>
    <w:p w14:paraId="49BED626">
      <w:pPr>
        <w:spacing w:before="1" w:line="225" w:lineRule="auto"/>
        <w:ind w:left="587"/>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7"/>
          <w:sz w:val="23"/>
          <w:szCs w:val="23"/>
          <w:highlight w:val="none"/>
        </w:rPr>
        <w:t>的报价的，应同时修改其分项价格表中的报价。（报价不得超</w:t>
      </w:r>
      <w:r>
        <w:rPr>
          <w:rFonts w:hint="eastAsia" w:ascii="仿宋" w:hAnsi="仿宋" w:eastAsia="仿宋" w:cs="仿宋"/>
          <w:b w:val="0"/>
          <w:bCs w:val="0"/>
          <w:color w:val="auto"/>
          <w:spacing w:val="7"/>
          <w:sz w:val="23"/>
          <w:szCs w:val="23"/>
          <w:highlight w:val="none"/>
          <w:lang w:val="en-US" w:eastAsia="zh-CN"/>
        </w:rPr>
        <w:t>最高</w:t>
      </w:r>
      <w:r>
        <w:rPr>
          <w:rFonts w:hint="eastAsia" w:ascii="仿宋" w:hAnsi="仿宋" w:eastAsia="仿宋" w:cs="仿宋"/>
          <w:b w:val="0"/>
          <w:bCs w:val="0"/>
          <w:color w:val="auto"/>
          <w:spacing w:val="7"/>
          <w:sz w:val="23"/>
          <w:szCs w:val="23"/>
          <w:highlight w:val="none"/>
        </w:rPr>
        <w:t>限价）</w:t>
      </w:r>
    </w:p>
    <w:p w14:paraId="63A3775F">
      <w:pPr>
        <w:spacing w:before="18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（四）付款方式</w:t>
      </w:r>
    </w:p>
    <w:p w14:paraId="4E2BD0AF">
      <w:pPr>
        <w:spacing w:before="182" w:line="229" w:lineRule="auto"/>
        <w:ind w:left="558" w:firstLine="488"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具体以甲乙双方签订合同为准</w:t>
      </w:r>
    </w:p>
    <w:p w14:paraId="48E15329">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（五）知识产权</w:t>
      </w:r>
    </w:p>
    <w:p w14:paraId="158345D3">
      <w:pPr>
        <w:spacing w:before="182" w:line="227" w:lineRule="auto"/>
        <w:ind w:left="545" w:firstLine="248" w:firstLineChars="1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采购人在中华人民共和国境内使用投标人提供的服务成果时免受第三方提出的侵犯其</w:t>
      </w:r>
    </w:p>
    <w:p w14:paraId="5E78BB80">
      <w:pPr>
        <w:spacing w:before="167" w:line="482" w:lineRule="exact"/>
        <w:ind w:left="549"/>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专利权或其它知识产权的起诉。如果第三方提出侵权指控，中标人应承担由此而引起的</w:t>
      </w:r>
    </w:p>
    <w:p w14:paraId="00654DFE">
      <w:pPr>
        <w:spacing w:before="1" w:line="227" w:lineRule="auto"/>
        <w:ind w:left="55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一切法律责任和费用。</w:t>
      </w:r>
    </w:p>
    <w:p w14:paraId="1B3EC610">
      <w:pPr>
        <w:spacing w:before="184" w:line="228"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（六）其他</w:t>
      </w:r>
    </w:p>
    <w:p w14:paraId="29D91434">
      <w:pPr>
        <w:spacing w:before="181" w:line="227" w:lineRule="auto"/>
        <w:ind w:left="5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 、投标人必须在投标文件中对以上条款和服务承诺明确列</w:t>
      </w:r>
      <w:r>
        <w:rPr>
          <w:rFonts w:hint="eastAsia" w:ascii="仿宋" w:hAnsi="仿宋" w:eastAsia="仿宋" w:cs="仿宋"/>
          <w:color w:val="auto"/>
          <w:spacing w:val="6"/>
          <w:sz w:val="23"/>
          <w:szCs w:val="23"/>
          <w:highlight w:val="none"/>
        </w:rPr>
        <w:t>出，承诺内容必须达到本篇</w:t>
      </w:r>
    </w:p>
    <w:p w14:paraId="0AA3BEF1">
      <w:pPr>
        <w:spacing w:before="184" w:line="227" w:lineRule="auto"/>
        <w:ind w:left="54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及招标文件其他条款的要求。</w:t>
      </w:r>
    </w:p>
    <w:p w14:paraId="48653296">
      <w:pPr>
        <w:spacing w:before="182" w:line="227" w:lineRule="auto"/>
        <w:ind w:left="539"/>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、其他未尽事宜由供需双方在采购合同中详细约定。</w:t>
      </w:r>
    </w:p>
    <w:p w14:paraId="39289C36">
      <w:pPr>
        <w:spacing w:before="313"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二、服务要求：</w:t>
      </w:r>
    </w:p>
    <w:p w14:paraId="7E39F76E">
      <w:pPr>
        <w:spacing w:before="113" w:line="227" w:lineRule="auto"/>
        <w:ind w:left="1028"/>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5"/>
          <w:sz w:val="23"/>
          <w:szCs w:val="23"/>
          <w:highlight w:val="none"/>
        </w:rPr>
        <w:t>服务标准</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严格按照采购需求实施。</w:t>
      </w:r>
    </w:p>
    <w:p w14:paraId="0FC801F6">
      <w:pPr>
        <w:spacing w:before="175" w:line="227" w:lineRule="auto"/>
        <w:ind w:left="54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三、验收：</w:t>
      </w:r>
    </w:p>
    <w:p w14:paraId="639EBC0B">
      <w:pPr>
        <w:spacing w:before="175" w:line="227" w:lineRule="auto"/>
        <w:ind w:left="1064"/>
        <w:outlineLvl w:val="1"/>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6"/>
          <w:sz w:val="23"/>
          <w:szCs w:val="23"/>
          <w:highlight w:val="none"/>
        </w:rPr>
        <w:t>、严格按照</w:t>
      </w:r>
      <w:r>
        <w:rPr>
          <w:rFonts w:hint="eastAsia" w:ascii="仿宋" w:hAnsi="仿宋" w:eastAsia="仿宋" w:cs="仿宋"/>
          <w:color w:val="auto"/>
          <w:spacing w:val="6"/>
          <w:sz w:val="23"/>
          <w:szCs w:val="23"/>
          <w:highlight w:val="none"/>
          <w:lang w:val="en-US" w:eastAsia="zh-CN"/>
        </w:rPr>
        <w:t>征集</w:t>
      </w:r>
      <w:r>
        <w:rPr>
          <w:rFonts w:hint="eastAsia" w:ascii="仿宋" w:hAnsi="仿宋" w:eastAsia="仿宋" w:cs="仿宋"/>
          <w:color w:val="auto"/>
          <w:spacing w:val="6"/>
          <w:sz w:val="23"/>
          <w:szCs w:val="23"/>
          <w:highlight w:val="none"/>
        </w:rPr>
        <w:t>文件要求和</w:t>
      </w:r>
      <w:r>
        <w:rPr>
          <w:rFonts w:hint="eastAsia" w:ascii="仿宋" w:hAnsi="仿宋" w:eastAsia="仿宋" w:cs="仿宋"/>
          <w:color w:val="auto"/>
          <w:spacing w:val="6"/>
          <w:sz w:val="23"/>
          <w:szCs w:val="23"/>
          <w:highlight w:val="none"/>
          <w:lang w:val="en-US" w:eastAsia="zh-CN"/>
        </w:rPr>
        <w:t>入围</w:t>
      </w:r>
      <w:r>
        <w:rPr>
          <w:rFonts w:hint="eastAsia" w:ascii="仿宋" w:hAnsi="仿宋" w:eastAsia="仿宋" w:cs="仿宋"/>
          <w:color w:val="auto"/>
          <w:spacing w:val="6"/>
          <w:sz w:val="23"/>
          <w:szCs w:val="23"/>
          <w:highlight w:val="none"/>
        </w:rPr>
        <w:t>供应商投标文件内容进行验</w:t>
      </w:r>
      <w:r>
        <w:rPr>
          <w:rFonts w:hint="eastAsia" w:ascii="仿宋" w:hAnsi="仿宋" w:eastAsia="仿宋" w:cs="仿宋"/>
          <w:color w:val="auto"/>
          <w:spacing w:val="6"/>
          <w:sz w:val="23"/>
          <w:szCs w:val="23"/>
          <w:highlight w:val="none"/>
          <w:lang w:val="en-US" w:eastAsia="zh-CN"/>
        </w:rPr>
        <w:t>收</w:t>
      </w:r>
    </w:p>
    <w:p w14:paraId="060AF105">
      <w:pPr>
        <w:spacing w:before="175" w:line="227" w:lineRule="auto"/>
        <w:ind w:left="1064"/>
        <w:outlineLvl w:val="1"/>
        <w:rPr>
          <w:rFonts w:hint="eastAsia" w:ascii="仿宋" w:hAnsi="仿宋" w:eastAsia="仿宋" w:cs="仿宋"/>
          <w:color w:val="auto"/>
          <w:spacing w:val="6"/>
          <w:sz w:val="23"/>
          <w:szCs w:val="23"/>
          <w:highlight w:val="none"/>
          <w:lang w:val="en-US" w:eastAsia="zh-CN"/>
        </w:rPr>
        <w:sectPr>
          <w:headerReference r:id="rId9" w:type="default"/>
          <w:footerReference r:id="rId10" w:type="default"/>
          <w:pgSz w:w="11905" w:h="16838"/>
          <w:pgMar w:top="1020" w:right="1134" w:bottom="1020" w:left="1134" w:header="0" w:footer="573" w:gutter="0"/>
          <w:pgNumType w:fmt="decimal" w:start="1"/>
          <w:cols w:space="0" w:num="1"/>
          <w:rtlGutter w:val="0"/>
          <w:docGrid w:linePitch="0" w:charSpace="0"/>
        </w:sect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、严格按照政府采购相关法律法规的要求进行验收</w:t>
      </w:r>
    </w:p>
    <w:p w14:paraId="291F3DAD">
      <w:pPr>
        <w:pStyle w:val="5"/>
        <w:spacing w:line="308" w:lineRule="auto"/>
        <w:rPr>
          <w:rFonts w:hint="eastAsia" w:ascii="仿宋" w:hAnsi="仿宋" w:eastAsia="仿宋" w:cs="仿宋"/>
          <w:color w:val="auto"/>
          <w:highlight w:val="none"/>
        </w:rPr>
      </w:pPr>
    </w:p>
    <w:p w14:paraId="021F0DD1">
      <w:pPr>
        <w:spacing w:before="67" w:line="339" w:lineRule="exact"/>
        <w:ind w:firstLine="2726" w:firstLineChars="700"/>
        <w:outlineLvl w:val="1"/>
        <w:rPr>
          <w:rFonts w:hint="eastAsia" w:ascii="仿宋" w:hAnsi="仿宋" w:eastAsia="仿宋" w:cs="仿宋"/>
          <w:b/>
          <w:bCs/>
          <w:color w:val="auto"/>
          <w:spacing w:val="14"/>
          <w:position w:val="-2"/>
          <w:sz w:val="36"/>
          <w:szCs w:val="36"/>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四</w:t>
      </w:r>
      <w:r>
        <w:rPr>
          <w:rFonts w:hint="eastAsia" w:ascii="仿宋" w:hAnsi="仿宋" w:eastAsia="仿宋" w:cs="仿宋"/>
          <w:b/>
          <w:bCs/>
          <w:color w:val="auto"/>
          <w:spacing w:val="14"/>
          <w:position w:val="-2"/>
          <w:sz w:val="36"/>
          <w:szCs w:val="36"/>
          <w:highlight w:val="none"/>
          <w:lang w:val="en-US" w:eastAsia="zh-CN"/>
        </w:rPr>
        <w:t>部分</w:t>
      </w:r>
      <w:r>
        <w:rPr>
          <w:rFonts w:hint="eastAsia" w:ascii="仿宋" w:hAnsi="仿宋" w:eastAsia="仿宋" w:cs="仿宋"/>
          <w:b/>
          <w:bCs/>
          <w:color w:val="auto"/>
          <w:spacing w:val="14"/>
          <w:position w:val="-2"/>
          <w:sz w:val="36"/>
          <w:szCs w:val="36"/>
          <w:highlight w:val="none"/>
        </w:rPr>
        <w:t xml:space="preserve"> 评审方法和标准</w:t>
      </w:r>
    </w:p>
    <w:p w14:paraId="7CB41B93">
      <w:pPr>
        <w:spacing w:before="218" w:line="461" w:lineRule="exact"/>
        <w:ind w:left="455"/>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评标委员会将按照本项目征集文件第1章及本章</w:t>
      </w:r>
      <w:r>
        <w:rPr>
          <w:rFonts w:hint="eastAsia" w:ascii="仿宋" w:hAnsi="仿宋" w:eastAsia="仿宋" w:cs="仿宋"/>
          <w:color w:val="auto"/>
          <w:spacing w:val="8"/>
          <w:position w:val="18"/>
          <w:sz w:val="22"/>
          <w:szCs w:val="22"/>
          <w:highlight w:val="none"/>
        </w:rPr>
        <w:t>的规定进行评审工作，征集人负责评审</w:t>
      </w:r>
    </w:p>
    <w:p w14:paraId="05118D9F">
      <w:pPr>
        <w:spacing w:before="1" w:line="220"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的组织工作。工作程序如下：</w:t>
      </w:r>
    </w:p>
    <w:p w14:paraId="5D3A5DAD">
      <w:pPr>
        <w:spacing w:before="183"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w:t>
      </w:r>
      <w:r>
        <w:rPr>
          <w:rFonts w:hint="eastAsia" w:ascii="仿宋" w:hAnsi="仿宋" w:eastAsia="仿宋" w:cs="仿宋"/>
          <w:color w:val="auto"/>
          <w:spacing w:val="26"/>
          <w:sz w:val="22"/>
          <w:szCs w:val="22"/>
          <w:highlight w:val="none"/>
        </w:rPr>
        <w:t xml:space="preserve"> </w:t>
      </w:r>
      <w:r>
        <w:rPr>
          <w:rFonts w:hint="eastAsia" w:ascii="仿宋" w:hAnsi="仿宋" w:eastAsia="仿宋" w:cs="仿宋"/>
          <w:color w:val="auto"/>
          <w:sz w:val="22"/>
          <w:szCs w:val="22"/>
          <w:highlight w:val="none"/>
        </w:rPr>
        <w:t>评审准备工作，</w:t>
      </w:r>
      <w:r>
        <w:rPr>
          <w:rFonts w:hint="eastAsia" w:ascii="仿宋" w:hAnsi="仿宋" w:eastAsia="仿宋" w:cs="仿宋"/>
          <w:color w:val="auto"/>
          <w:spacing w:val="-20"/>
          <w:sz w:val="22"/>
          <w:szCs w:val="22"/>
          <w:highlight w:val="none"/>
        </w:rPr>
        <w:t xml:space="preserve"> </w:t>
      </w:r>
      <w:r>
        <w:rPr>
          <w:rFonts w:hint="eastAsia" w:ascii="仿宋" w:hAnsi="仿宋" w:eastAsia="仿宋" w:cs="仿宋"/>
          <w:color w:val="auto"/>
          <w:sz w:val="22"/>
          <w:szCs w:val="22"/>
          <w:highlight w:val="none"/>
        </w:rPr>
        <w:t>由征集人负责</w:t>
      </w:r>
    </w:p>
    <w:p w14:paraId="16D2D71B">
      <w:pPr>
        <w:spacing w:before="172" w:line="220" w:lineRule="auto"/>
        <w:ind w:left="513"/>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1、核对评审专家身份和征集人代表授权函；</w:t>
      </w:r>
    </w:p>
    <w:p w14:paraId="2F885646">
      <w:pPr>
        <w:spacing w:before="196" w:line="219" w:lineRule="auto"/>
        <w:ind w:left="482"/>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2、宣布评标纪律，集中保管通讯工具；</w:t>
      </w:r>
    </w:p>
    <w:p w14:paraId="05CA8D81">
      <w:pPr>
        <w:spacing w:before="173" w:line="460" w:lineRule="exact"/>
        <w:ind w:left="486"/>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3、公布供应商名单，告知评审专家应当回避</w:t>
      </w:r>
      <w:r>
        <w:rPr>
          <w:rFonts w:hint="eastAsia" w:ascii="仿宋" w:hAnsi="仿宋" w:eastAsia="仿宋" w:cs="仿宋"/>
          <w:color w:val="auto"/>
          <w:spacing w:val="7"/>
          <w:position w:val="18"/>
          <w:sz w:val="22"/>
          <w:szCs w:val="22"/>
          <w:highlight w:val="none"/>
        </w:rPr>
        <w:t>的情形；</w:t>
      </w:r>
    </w:p>
    <w:p w14:paraId="7C0B8E33">
      <w:pPr>
        <w:spacing w:before="1" w:line="219"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4、组织评标委员会推选评标组长；</w:t>
      </w:r>
    </w:p>
    <w:p w14:paraId="6B7A492B">
      <w:pPr>
        <w:spacing w:before="187"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二、符合性审查工作</w:t>
      </w:r>
    </w:p>
    <w:p w14:paraId="7BA17E48">
      <w:pPr>
        <w:spacing w:before="193" w:line="371" w:lineRule="auto"/>
        <w:ind w:left="129"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符合性审查是指依据征集文件的规定，从商务和技术角度对响应文件的有效性和完整</w:t>
      </w:r>
      <w:r>
        <w:rPr>
          <w:rFonts w:hint="eastAsia" w:ascii="仿宋" w:hAnsi="仿宋" w:eastAsia="仿宋" w:cs="仿宋"/>
          <w:color w:val="auto"/>
          <w:spacing w:val="11"/>
          <w:sz w:val="22"/>
          <w:szCs w:val="22"/>
          <w:highlight w:val="none"/>
        </w:rPr>
        <w:t>性进行审查，</w:t>
      </w:r>
      <w:r>
        <w:rPr>
          <w:rFonts w:hint="eastAsia" w:ascii="仿宋" w:hAnsi="仿宋" w:eastAsia="仿宋" w:cs="仿宋"/>
          <w:color w:val="auto"/>
          <w:spacing w:val="-36"/>
          <w:sz w:val="22"/>
          <w:szCs w:val="22"/>
          <w:highlight w:val="none"/>
        </w:rPr>
        <w:t xml:space="preserve"> </w:t>
      </w:r>
      <w:r>
        <w:rPr>
          <w:rFonts w:hint="eastAsia" w:ascii="仿宋" w:hAnsi="仿宋" w:eastAsia="仿宋" w:cs="仿宋"/>
          <w:color w:val="auto"/>
          <w:spacing w:val="11"/>
          <w:sz w:val="22"/>
          <w:szCs w:val="22"/>
          <w:highlight w:val="none"/>
        </w:rPr>
        <w:t>以确定是否对征集文件的实质性要求做出响应，填写“商务符合性审查表</w:t>
      </w:r>
      <w:r>
        <w:rPr>
          <w:rFonts w:hint="eastAsia" w:ascii="仿宋" w:hAnsi="仿宋" w:eastAsia="仿宋" w:cs="仿宋"/>
          <w:color w:val="auto"/>
          <w:spacing w:val="-41"/>
          <w:sz w:val="22"/>
          <w:szCs w:val="22"/>
          <w:highlight w:val="none"/>
        </w:rPr>
        <w:t xml:space="preserve"> </w:t>
      </w:r>
      <w:r>
        <w:rPr>
          <w:rFonts w:hint="eastAsia" w:ascii="仿宋" w:hAnsi="仿宋" w:eastAsia="仿宋" w:cs="仿宋"/>
          <w:color w:val="auto"/>
          <w:spacing w:val="11"/>
          <w:sz w:val="22"/>
          <w:szCs w:val="22"/>
          <w:highlight w:val="none"/>
        </w:rPr>
        <w:t>”</w:t>
      </w:r>
    </w:p>
    <w:p w14:paraId="6B0C3265">
      <w:pPr>
        <w:spacing w:line="220" w:lineRule="auto"/>
        <w:ind w:left="128"/>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和“技术符合性审查表</w:t>
      </w:r>
      <w:r>
        <w:rPr>
          <w:rFonts w:hint="eastAsia" w:ascii="仿宋" w:hAnsi="仿宋" w:eastAsia="仿宋" w:cs="仿宋"/>
          <w:color w:val="auto"/>
          <w:spacing w:val="-43"/>
          <w:sz w:val="22"/>
          <w:szCs w:val="22"/>
          <w:highlight w:val="none"/>
        </w:rPr>
        <w:t xml:space="preserve"> </w:t>
      </w:r>
      <w:r>
        <w:rPr>
          <w:rFonts w:hint="eastAsia" w:ascii="仿宋" w:hAnsi="仿宋" w:eastAsia="仿宋" w:cs="仿宋"/>
          <w:color w:val="auto"/>
          <w:spacing w:val="2"/>
          <w:sz w:val="22"/>
          <w:szCs w:val="22"/>
          <w:highlight w:val="none"/>
        </w:rPr>
        <w:t>”（如有）。</w:t>
      </w:r>
    </w:p>
    <w:p w14:paraId="606B601B">
      <w:pPr>
        <w:spacing w:before="172" w:line="459" w:lineRule="exact"/>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三、要求供应商对响应文件有关事项做出澄清或者说明（如有）</w:t>
      </w:r>
    </w:p>
    <w:p w14:paraId="4A2D00D6">
      <w:pPr>
        <w:spacing w:before="1" w:line="218" w:lineRule="auto"/>
        <w:ind w:left="39"/>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四、对响应文件进行比较和评价</w:t>
      </w:r>
    </w:p>
    <w:p w14:paraId="60FECA38">
      <w:pPr>
        <w:spacing w:before="194" w:line="371" w:lineRule="auto"/>
        <w:ind w:left="34" w:right="232" w:firstLine="454"/>
        <w:jc w:val="both"/>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1、如本项目评审方法为价格优先法，对满足采购需求且响应报价不超</w:t>
      </w:r>
      <w:r>
        <w:rPr>
          <w:rFonts w:hint="eastAsia" w:ascii="仿宋" w:hAnsi="仿宋" w:eastAsia="仿宋" w:cs="仿宋"/>
          <w:color w:val="auto"/>
          <w:spacing w:val="5"/>
          <w:sz w:val="22"/>
          <w:szCs w:val="22"/>
          <w:highlight w:val="none"/>
        </w:rPr>
        <w:t>过最高限制单价</w:t>
      </w:r>
      <w:r>
        <w:rPr>
          <w:rFonts w:hint="eastAsia" w:ascii="仿宋" w:hAnsi="仿宋" w:eastAsia="仿宋" w:cs="仿宋"/>
          <w:color w:val="auto"/>
          <w:spacing w:val="11"/>
          <w:sz w:val="22"/>
          <w:szCs w:val="22"/>
          <w:highlight w:val="none"/>
        </w:rPr>
        <w:t>的货物、服务，按照响应报价从低到高排序，根据征集文件规定的淘汰率或者入围</w:t>
      </w:r>
      <w:r>
        <w:rPr>
          <w:rFonts w:hint="eastAsia" w:ascii="仿宋" w:hAnsi="仿宋" w:eastAsia="仿宋" w:cs="仿宋"/>
          <w:color w:val="auto"/>
          <w:spacing w:val="10"/>
          <w:sz w:val="22"/>
          <w:szCs w:val="22"/>
          <w:highlight w:val="none"/>
        </w:rPr>
        <w:t>供应商</w:t>
      </w:r>
    </w:p>
    <w:p w14:paraId="44EA39D2">
      <w:pPr>
        <w:spacing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数量上限，确定入围供应商。</w:t>
      </w:r>
    </w:p>
    <w:p w14:paraId="141124DE">
      <w:pPr>
        <w:spacing w:before="173" w:line="459" w:lineRule="exact"/>
        <w:ind w:left="610"/>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除了算术修正和落实政府采购政策需进行的价格扣除外，不得对供应商的投标价格进</w:t>
      </w:r>
    </w:p>
    <w:p w14:paraId="6FFABDF3">
      <w:pPr>
        <w:spacing w:line="220" w:lineRule="auto"/>
        <w:ind w:left="133"/>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行任何调整。</w:t>
      </w:r>
    </w:p>
    <w:p w14:paraId="352267DD">
      <w:pPr>
        <w:spacing w:before="197" w:line="369" w:lineRule="auto"/>
        <w:ind w:left="34" w:right="232" w:firstLine="426"/>
        <w:jc w:val="both"/>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2、如本项目评审方法为质量优先法，对满足采购需求且响应报价不超过最高限制</w:t>
      </w:r>
      <w:r>
        <w:rPr>
          <w:rFonts w:hint="eastAsia" w:ascii="仿宋" w:hAnsi="仿宋" w:eastAsia="仿宋" w:cs="仿宋"/>
          <w:color w:val="auto"/>
          <w:spacing w:val="6"/>
          <w:sz w:val="22"/>
          <w:szCs w:val="22"/>
          <w:highlight w:val="none"/>
        </w:rPr>
        <w:t>单价</w:t>
      </w:r>
      <w:r>
        <w:rPr>
          <w:rFonts w:hint="eastAsia" w:ascii="仿宋" w:hAnsi="仿宋" w:eastAsia="仿宋" w:cs="仿宋"/>
          <w:color w:val="auto"/>
          <w:spacing w:val="11"/>
          <w:sz w:val="22"/>
          <w:szCs w:val="22"/>
          <w:highlight w:val="none"/>
        </w:rPr>
        <w:t>的货物、服务进行质量综合评分，按照质量评分从高到低排序，根据征集文件规定</w:t>
      </w:r>
      <w:r>
        <w:rPr>
          <w:rFonts w:hint="eastAsia" w:ascii="仿宋" w:hAnsi="仿宋" w:eastAsia="仿宋" w:cs="仿宋"/>
          <w:color w:val="auto"/>
          <w:spacing w:val="10"/>
          <w:sz w:val="22"/>
          <w:szCs w:val="22"/>
          <w:highlight w:val="none"/>
        </w:rPr>
        <w:t>的淘汰</w:t>
      </w:r>
    </w:p>
    <w:p w14:paraId="35CD9D98">
      <w:pPr>
        <w:spacing w:before="1"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率或者入围供应商数量上限，确定入围供应商。</w:t>
      </w:r>
    </w:p>
    <w:p w14:paraId="38D419E8">
      <w:pPr>
        <w:spacing w:before="198" w:line="370" w:lineRule="auto"/>
        <w:ind w:left="124" w:right="234"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评标委员会每位成员独立对每个有效供应商的响应文件进行评价、打</w:t>
      </w:r>
      <w:r>
        <w:rPr>
          <w:rFonts w:hint="eastAsia" w:ascii="仿宋" w:hAnsi="仿宋" w:eastAsia="仿宋" w:cs="仿宋"/>
          <w:color w:val="auto"/>
          <w:spacing w:val="8"/>
          <w:sz w:val="22"/>
          <w:szCs w:val="22"/>
          <w:highlight w:val="none"/>
        </w:rPr>
        <w:t>分；然后汇总每</w:t>
      </w:r>
      <w:r>
        <w:rPr>
          <w:rFonts w:hint="eastAsia" w:ascii="仿宋" w:hAnsi="仿宋" w:eastAsia="仿宋" w:cs="仿宋"/>
          <w:color w:val="auto"/>
          <w:spacing w:val="7"/>
          <w:sz w:val="22"/>
          <w:szCs w:val="22"/>
          <w:highlight w:val="none"/>
        </w:rPr>
        <w:t>个供应商的得分，计算得分平均值，</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7"/>
          <w:sz w:val="22"/>
          <w:szCs w:val="22"/>
          <w:highlight w:val="none"/>
        </w:rPr>
        <w:t>以平均值由高到低进行排序，按排序顺序推荐入围供</w:t>
      </w:r>
    </w:p>
    <w:p w14:paraId="26A712FA">
      <w:pPr>
        <w:spacing w:line="220" w:lineRule="auto"/>
        <w:ind w:left="12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应商。分值计算保留小数点后一位，第二位四舍五</w:t>
      </w:r>
      <w:r>
        <w:rPr>
          <w:rFonts w:hint="eastAsia" w:ascii="仿宋" w:hAnsi="仿宋" w:eastAsia="仿宋" w:cs="仿宋"/>
          <w:color w:val="auto"/>
          <w:spacing w:val="7"/>
          <w:sz w:val="22"/>
          <w:szCs w:val="22"/>
          <w:highlight w:val="none"/>
        </w:rPr>
        <w:t>入。</w:t>
      </w:r>
    </w:p>
    <w:p w14:paraId="1D3F5688">
      <w:pPr>
        <w:spacing w:before="163" w:line="470" w:lineRule="exact"/>
        <w:ind w:left="5"/>
        <w:rPr>
          <w:rFonts w:hint="eastAsia" w:ascii="仿宋" w:hAnsi="仿宋" w:eastAsia="仿宋" w:cs="仿宋"/>
          <w:color w:val="auto"/>
          <w:sz w:val="22"/>
          <w:szCs w:val="22"/>
          <w:highlight w:val="none"/>
        </w:rPr>
      </w:pPr>
      <w:r>
        <w:rPr>
          <w:rFonts w:hint="eastAsia" w:ascii="仿宋" w:hAnsi="仿宋" w:eastAsia="仿宋" w:cs="仿宋"/>
          <w:color w:val="auto"/>
          <w:spacing w:val="6"/>
          <w:position w:val="19"/>
          <w:sz w:val="22"/>
          <w:szCs w:val="22"/>
          <w:highlight w:val="none"/>
        </w:rPr>
        <w:t>五、或者根据征集人委托直接确定入围供应商。</w:t>
      </w:r>
    </w:p>
    <w:p w14:paraId="04B0B125">
      <w:pPr>
        <w:spacing w:line="220"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六、征集人核对评审结果。</w:t>
      </w:r>
    </w:p>
    <w:p w14:paraId="2AAA511A">
      <w:pPr>
        <w:spacing w:before="182" w:line="219" w:lineRule="auto"/>
        <w:ind w:left="582"/>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评审标准中应考虑下列因素：</w:t>
      </w:r>
    </w:p>
    <w:p w14:paraId="1A73C979">
      <w:pPr>
        <w:spacing w:before="186" w:line="219" w:lineRule="auto"/>
        <w:ind w:left="61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1.其他政府采购政策要求</w:t>
      </w:r>
      <w:r>
        <w:rPr>
          <w:rFonts w:hint="eastAsia" w:ascii="仿宋" w:hAnsi="仿宋" w:eastAsia="仿宋" w:cs="仿宋"/>
          <w:color w:val="auto"/>
          <w:spacing w:val="3"/>
          <w:sz w:val="22"/>
          <w:szCs w:val="22"/>
          <w:highlight w:val="none"/>
          <w:u w:val="single" w:color="auto"/>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3"/>
          <w:sz w:val="22"/>
          <w:szCs w:val="22"/>
          <w:highlight w:val="none"/>
        </w:rPr>
        <w:t>。</w:t>
      </w:r>
    </w:p>
    <w:p w14:paraId="5F023BA7">
      <w:pPr>
        <w:spacing w:before="188" w:line="219" w:lineRule="auto"/>
        <w:ind w:left="590"/>
        <w:rPr>
          <w:rFonts w:hint="eastAsia" w:ascii="仿宋" w:hAnsi="仿宋" w:eastAsia="仿宋" w:cs="仿宋"/>
          <w:color w:val="auto"/>
          <w:sz w:val="22"/>
          <w:szCs w:val="22"/>
          <w:highlight w:val="none"/>
        </w:rPr>
        <w:sectPr>
          <w:footerReference r:id="rId1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2"/>
          <w:szCs w:val="22"/>
          <w:highlight w:val="none"/>
        </w:rPr>
        <w:t>2.入围供应商并列时的处理方式：</w:t>
      </w:r>
      <w:r>
        <w:rPr>
          <w:rFonts w:hint="eastAsia" w:ascii="仿宋" w:hAnsi="仿宋" w:eastAsia="仿宋" w:cs="仿宋"/>
          <w:color w:val="auto"/>
          <w:spacing w:val="-42"/>
          <w:sz w:val="22"/>
          <w:szCs w:val="22"/>
          <w:highlight w:val="none"/>
        </w:rPr>
        <w:t xml:space="preserve"> </w:t>
      </w:r>
      <w:r>
        <w:rPr>
          <w:rFonts w:hint="eastAsia" w:ascii="仿宋" w:hAnsi="仿宋" w:eastAsia="仿宋" w:cs="仿宋"/>
          <w:color w:val="auto"/>
          <w:spacing w:val="-74"/>
          <w:sz w:val="22"/>
          <w:szCs w:val="22"/>
          <w:highlight w:val="none"/>
          <w:u w:val="single" w:color="auto"/>
        </w:rPr>
        <w:t xml:space="preserve"> </w:t>
      </w:r>
      <w:r>
        <w:rPr>
          <w:rFonts w:hint="eastAsia" w:ascii="仿宋" w:hAnsi="仿宋" w:eastAsia="仿宋" w:cs="仿宋"/>
          <w:color w:val="auto"/>
          <w:spacing w:val="4"/>
          <w:sz w:val="22"/>
          <w:szCs w:val="22"/>
          <w:highlight w:val="none"/>
          <w:u w:val="single" w:color="auto"/>
        </w:rPr>
        <w:t>由评标委员会直接选定</w:t>
      </w:r>
      <w:r>
        <w:rPr>
          <w:rFonts w:hint="eastAsia" w:ascii="仿宋" w:hAnsi="仿宋" w:eastAsia="仿宋" w:cs="仿宋"/>
          <w:color w:val="auto"/>
          <w:spacing w:val="4"/>
          <w:sz w:val="22"/>
          <w:szCs w:val="22"/>
          <w:highlight w:val="none"/>
        </w:rPr>
        <w:t>。</w:t>
      </w:r>
    </w:p>
    <w:p w14:paraId="139A3461">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rPr>
        <w:t>资格审查表</w:t>
      </w:r>
    </w:p>
    <w:p w14:paraId="3A583C8D">
      <w:pPr>
        <w:spacing w:line="111" w:lineRule="exact"/>
        <w:rPr>
          <w:rFonts w:hint="eastAsia" w:ascii="仿宋" w:hAnsi="仿宋" w:eastAsia="仿宋" w:cs="仿宋"/>
          <w:color w:val="auto"/>
          <w:sz w:val="24"/>
          <w:szCs w:val="24"/>
          <w:highlight w:val="none"/>
        </w:rPr>
      </w:pPr>
    </w:p>
    <w:tbl>
      <w:tblPr>
        <w:tblStyle w:val="1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90"/>
        <w:gridCol w:w="6936"/>
        <w:gridCol w:w="571"/>
        <w:gridCol w:w="674"/>
      </w:tblGrid>
      <w:tr w14:paraId="2796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8" w:type="dxa"/>
            <w:vMerge w:val="restart"/>
            <w:vAlign w:val="center"/>
          </w:tcPr>
          <w:p w14:paraId="6366FC5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26" w:type="dxa"/>
            <w:gridSpan w:val="2"/>
            <w:vMerge w:val="restart"/>
            <w:vAlign w:val="center"/>
          </w:tcPr>
          <w:p w14:paraId="2CFD443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45" w:type="dxa"/>
            <w:gridSpan w:val="2"/>
            <w:vAlign w:val="center"/>
          </w:tcPr>
          <w:p w14:paraId="4793DAF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0743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8" w:type="dxa"/>
            <w:vMerge w:val="continue"/>
            <w:vAlign w:val="center"/>
          </w:tcPr>
          <w:p w14:paraId="76027BDA">
            <w:pPr>
              <w:spacing w:line="360" w:lineRule="auto"/>
              <w:rPr>
                <w:rFonts w:hint="eastAsia" w:ascii="仿宋" w:hAnsi="仿宋" w:eastAsia="仿宋" w:cs="仿宋"/>
                <w:color w:val="auto"/>
                <w:sz w:val="24"/>
                <w:szCs w:val="24"/>
                <w:highlight w:val="none"/>
              </w:rPr>
            </w:pPr>
          </w:p>
        </w:tc>
        <w:tc>
          <w:tcPr>
            <w:tcW w:w="7426" w:type="dxa"/>
            <w:gridSpan w:val="2"/>
            <w:vMerge w:val="continue"/>
          </w:tcPr>
          <w:p w14:paraId="1AE9A24A">
            <w:pPr>
              <w:spacing w:line="360" w:lineRule="auto"/>
              <w:rPr>
                <w:rFonts w:hint="eastAsia" w:ascii="仿宋" w:hAnsi="仿宋" w:eastAsia="仿宋" w:cs="仿宋"/>
                <w:color w:val="auto"/>
                <w:sz w:val="24"/>
                <w:szCs w:val="24"/>
                <w:highlight w:val="none"/>
              </w:rPr>
            </w:pPr>
          </w:p>
        </w:tc>
        <w:tc>
          <w:tcPr>
            <w:tcW w:w="571" w:type="dxa"/>
            <w:vAlign w:val="center"/>
          </w:tcPr>
          <w:p w14:paraId="30A41D9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74" w:type="dxa"/>
            <w:vAlign w:val="center"/>
          </w:tcPr>
          <w:p w14:paraId="63C9AAC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06E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08" w:type="dxa"/>
            <w:vMerge w:val="continue"/>
            <w:vAlign w:val="center"/>
          </w:tcPr>
          <w:p w14:paraId="7697C3B1">
            <w:pPr>
              <w:spacing w:line="360" w:lineRule="auto"/>
              <w:jc w:val="center"/>
              <w:rPr>
                <w:rFonts w:hint="eastAsia" w:ascii="仿宋" w:hAnsi="仿宋" w:eastAsia="仿宋" w:cs="仿宋"/>
                <w:color w:val="auto"/>
                <w:sz w:val="24"/>
                <w:szCs w:val="24"/>
                <w:highlight w:val="none"/>
              </w:rPr>
            </w:pPr>
          </w:p>
        </w:tc>
        <w:tc>
          <w:tcPr>
            <w:tcW w:w="490" w:type="dxa"/>
            <w:vAlign w:val="center"/>
          </w:tcPr>
          <w:p w14:paraId="22A38675">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6936" w:type="dxa"/>
            <w:vAlign w:val="center"/>
          </w:tcPr>
          <w:p w14:paraId="7576EA0B">
            <w:pPr>
              <w:widowControl/>
              <w:spacing w:line="360" w:lineRule="auto"/>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具备三证合一营业执照副本</w:t>
            </w:r>
          </w:p>
        </w:tc>
        <w:tc>
          <w:tcPr>
            <w:tcW w:w="571" w:type="dxa"/>
          </w:tcPr>
          <w:p w14:paraId="1837B566">
            <w:pPr>
              <w:spacing w:line="360" w:lineRule="auto"/>
              <w:rPr>
                <w:rFonts w:hint="eastAsia" w:ascii="仿宋" w:hAnsi="仿宋" w:eastAsia="仿宋" w:cs="仿宋"/>
                <w:color w:val="auto"/>
                <w:sz w:val="24"/>
                <w:szCs w:val="24"/>
                <w:highlight w:val="none"/>
              </w:rPr>
            </w:pPr>
          </w:p>
        </w:tc>
        <w:tc>
          <w:tcPr>
            <w:tcW w:w="674" w:type="dxa"/>
          </w:tcPr>
          <w:p w14:paraId="23367A2B">
            <w:pPr>
              <w:spacing w:line="360" w:lineRule="auto"/>
              <w:rPr>
                <w:rFonts w:hint="eastAsia" w:ascii="仿宋" w:hAnsi="仿宋" w:eastAsia="仿宋" w:cs="仿宋"/>
                <w:color w:val="auto"/>
                <w:sz w:val="24"/>
                <w:szCs w:val="24"/>
                <w:highlight w:val="none"/>
              </w:rPr>
            </w:pPr>
          </w:p>
        </w:tc>
      </w:tr>
      <w:tr w14:paraId="18CC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5405AF04">
            <w:pPr>
              <w:spacing w:line="360" w:lineRule="auto"/>
              <w:rPr>
                <w:rFonts w:hint="eastAsia" w:ascii="仿宋" w:hAnsi="仿宋" w:eastAsia="仿宋" w:cs="仿宋"/>
                <w:color w:val="auto"/>
                <w:sz w:val="24"/>
                <w:szCs w:val="24"/>
                <w:highlight w:val="none"/>
              </w:rPr>
            </w:pPr>
          </w:p>
        </w:tc>
        <w:tc>
          <w:tcPr>
            <w:tcW w:w="490" w:type="dxa"/>
            <w:vAlign w:val="center"/>
          </w:tcPr>
          <w:p w14:paraId="5394D4F7">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36" w:type="dxa"/>
            <w:shd w:val="clear" w:color="auto" w:fill="auto"/>
            <w:vAlign w:val="center"/>
          </w:tcPr>
          <w:p w14:paraId="5E070EE9">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法定代表人投标需提供法定代表人资格证明书，委托代理人投标需提供法定代表人授权委托书</w:t>
            </w:r>
          </w:p>
        </w:tc>
        <w:tc>
          <w:tcPr>
            <w:tcW w:w="571" w:type="dxa"/>
          </w:tcPr>
          <w:p w14:paraId="65BB2281">
            <w:pPr>
              <w:spacing w:line="360" w:lineRule="auto"/>
              <w:rPr>
                <w:rFonts w:hint="eastAsia" w:ascii="仿宋" w:hAnsi="仿宋" w:eastAsia="仿宋" w:cs="仿宋"/>
                <w:color w:val="auto"/>
                <w:sz w:val="24"/>
                <w:szCs w:val="24"/>
                <w:highlight w:val="none"/>
              </w:rPr>
            </w:pPr>
          </w:p>
        </w:tc>
        <w:tc>
          <w:tcPr>
            <w:tcW w:w="674" w:type="dxa"/>
          </w:tcPr>
          <w:p w14:paraId="43B5230D">
            <w:pPr>
              <w:spacing w:line="360" w:lineRule="auto"/>
              <w:rPr>
                <w:rFonts w:hint="eastAsia" w:ascii="仿宋" w:hAnsi="仿宋" w:eastAsia="仿宋" w:cs="仿宋"/>
                <w:color w:val="auto"/>
                <w:sz w:val="24"/>
                <w:szCs w:val="24"/>
                <w:highlight w:val="none"/>
              </w:rPr>
            </w:pPr>
          </w:p>
        </w:tc>
      </w:tr>
      <w:tr w14:paraId="047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8" w:type="dxa"/>
            <w:vMerge w:val="continue"/>
            <w:vAlign w:val="center"/>
          </w:tcPr>
          <w:p w14:paraId="755C8C54">
            <w:pPr>
              <w:spacing w:line="360" w:lineRule="auto"/>
              <w:rPr>
                <w:rFonts w:hint="eastAsia" w:ascii="仿宋" w:hAnsi="仿宋" w:eastAsia="仿宋" w:cs="仿宋"/>
                <w:color w:val="auto"/>
                <w:sz w:val="24"/>
                <w:szCs w:val="24"/>
                <w:highlight w:val="none"/>
              </w:rPr>
            </w:pPr>
          </w:p>
        </w:tc>
        <w:tc>
          <w:tcPr>
            <w:tcW w:w="490" w:type="dxa"/>
            <w:vAlign w:val="center"/>
          </w:tcPr>
          <w:p w14:paraId="12958E6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936" w:type="dxa"/>
            <w:shd w:val="clear" w:color="auto" w:fill="auto"/>
            <w:vAlign w:val="center"/>
          </w:tcPr>
          <w:p w14:paraId="2B44A8A8">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投标企业须提供投标人（被授权在职人员）近6个月内任意一个月有效的社保证明</w:t>
            </w:r>
          </w:p>
        </w:tc>
        <w:tc>
          <w:tcPr>
            <w:tcW w:w="571" w:type="dxa"/>
          </w:tcPr>
          <w:p w14:paraId="3930E8FC">
            <w:pPr>
              <w:spacing w:line="360" w:lineRule="auto"/>
              <w:rPr>
                <w:rFonts w:hint="eastAsia" w:ascii="仿宋" w:hAnsi="仿宋" w:eastAsia="仿宋" w:cs="仿宋"/>
                <w:color w:val="auto"/>
                <w:sz w:val="24"/>
                <w:szCs w:val="24"/>
                <w:highlight w:val="none"/>
              </w:rPr>
            </w:pPr>
          </w:p>
        </w:tc>
        <w:tc>
          <w:tcPr>
            <w:tcW w:w="674" w:type="dxa"/>
          </w:tcPr>
          <w:p w14:paraId="399468E5">
            <w:pPr>
              <w:spacing w:line="360" w:lineRule="auto"/>
              <w:rPr>
                <w:rFonts w:hint="eastAsia" w:ascii="仿宋" w:hAnsi="仿宋" w:eastAsia="仿宋" w:cs="仿宋"/>
                <w:color w:val="auto"/>
                <w:sz w:val="24"/>
                <w:szCs w:val="24"/>
                <w:highlight w:val="none"/>
              </w:rPr>
            </w:pPr>
          </w:p>
        </w:tc>
      </w:tr>
      <w:tr w14:paraId="31C2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vAlign w:val="center"/>
          </w:tcPr>
          <w:p w14:paraId="518468BF">
            <w:pPr>
              <w:spacing w:line="360" w:lineRule="auto"/>
              <w:rPr>
                <w:rFonts w:hint="eastAsia" w:ascii="仿宋" w:hAnsi="仿宋" w:eastAsia="仿宋" w:cs="仿宋"/>
                <w:color w:val="auto"/>
                <w:sz w:val="24"/>
                <w:szCs w:val="24"/>
                <w:highlight w:val="none"/>
              </w:rPr>
            </w:pPr>
          </w:p>
        </w:tc>
        <w:tc>
          <w:tcPr>
            <w:tcW w:w="490" w:type="dxa"/>
            <w:vAlign w:val="center"/>
          </w:tcPr>
          <w:p w14:paraId="5816357F">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36" w:type="dxa"/>
            <w:shd w:val="clear" w:color="auto" w:fill="auto"/>
            <w:vAlign w:val="center"/>
          </w:tcPr>
          <w:p w14:paraId="3177EBB2">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rPr>
              <w:t>未被列入信用中国网（www.creditchina.gov.cn）及中国政府采购网(www.ccgp.gov.cn）失信被执行人名单、重大税收违法失信主体、政府采购严重违法失信行为记录名单；</w:t>
            </w:r>
          </w:p>
        </w:tc>
        <w:tc>
          <w:tcPr>
            <w:tcW w:w="571" w:type="dxa"/>
          </w:tcPr>
          <w:p w14:paraId="26F83947">
            <w:pPr>
              <w:spacing w:line="360" w:lineRule="auto"/>
              <w:rPr>
                <w:rFonts w:hint="eastAsia" w:ascii="仿宋" w:hAnsi="仿宋" w:eastAsia="仿宋" w:cs="仿宋"/>
                <w:color w:val="auto"/>
                <w:sz w:val="24"/>
                <w:szCs w:val="24"/>
                <w:highlight w:val="none"/>
              </w:rPr>
            </w:pPr>
          </w:p>
        </w:tc>
        <w:tc>
          <w:tcPr>
            <w:tcW w:w="674" w:type="dxa"/>
          </w:tcPr>
          <w:p w14:paraId="26663EC2">
            <w:pPr>
              <w:spacing w:line="360" w:lineRule="auto"/>
              <w:rPr>
                <w:rFonts w:hint="eastAsia" w:ascii="仿宋" w:hAnsi="仿宋" w:eastAsia="仿宋" w:cs="仿宋"/>
                <w:color w:val="auto"/>
                <w:sz w:val="24"/>
                <w:szCs w:val="24"/>
                <w:highlight w:val="none"/>
              </w:rPr>
            </w:pPr>
          </w:p>
        </w:tc>
      </w:tr>
      <w:tr w14:paraId="1949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8" w:type="dxa"/>
            <w:vMerge w:val="continue"/>
            <w:vAlign w:val="center"/>
          </w:tcPr>
          <w:p w14:paraId="07D85F1E">
            <w:pPr>
              <w:spacing w:line="360" w:lineRule="auto"/>
              <w:rPr>
                <w:rFonts w:hint="eastAsia" w:ascii="仿宋" w:hAnsi="仿宋" w:eastAsia="仿宋" w:cs="仿宋"/>
                <w:color w:val="auto"/>
                <w:sz w:val="24"/>
                <w:szCs w:val="24"/>
                <w:highlight w:val="none"/>
              </w:rPr>
            </w:pPr>
          </w:p>
        </w:tc>
        <w:tc>
          <w:tcPr>
            <w:tcW w:w="490" w:type="dxa"/>
            <w:vAlign w:val="center"/>
          </w:tcPr>
          <w:p w14:paraId="1D87A73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36" w:type="dxa"/>
            <w:shd w:val="clear" w:color="auto" w:fill="auto"/>
            <w:vAlign w:val="center"/>
          </w:tcPr>
          <w:p w14:paraId="6A2DBF65">
            <w:pPr>
              <w:pStyle w:val="5"/>
              <w:spacing w:line="301"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特定资质核查：</w:t>
            </w:r>
          </w:p>
          <w:p w14:paraId="5934F1EF">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【标项4】</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tc>
        <w:tc>
          <w:tcPr>
            <w:tcW w:w="571" w:type="dxa"/>
          </w:tcPr>
          <w:p w14:paraId="24CFCB7A">
            <w:pPr>
              <w:spacing w:line="360" w:lineRule="auto"/>
              <w:rPr>
                <w:rFonts w:hint="eastAsia" w:ascii="仿宋" w:hAnsi="仿宋" w:eastAsia="仿宋" w:cs="仿宋"/>
                <w:color w:val="auto"/>
                <w:sz w:val="24"/>
                <w:szCs w:val="24"/>
                <w:highlight w:val="none"/>
              </w:rPr>
            </w:pPr>
          </w:p>
        </w:tc>
        <w:tc>
          <w:tcPr>
            <w:tcW w:w="674" w:type="dxa"/>
          </w:tcPr>
          <w:p w14:paraId="3E9A95CA">
            <w:pPr>
              <w:spacing w:line="360" w:lineRule="auto"/>
              <w:rPr>
                <w:rFonts w:hint="eastAsia" w:ascii="仿宋" w:hAnsi="仿宋" w:eastAsia="仿宋" w:cs="仿宋"/>
                <w:color w:val="auto"/>
                <w:sz w:val="24"/>
                <w:szCs w:val="24"/>
                <w:highlight w:val="none"/>
              </w:rPr>
            </w:pPr>
          </w:p>
        </w:tc>
      </w:tr>
      <w:tr w14:paraId="6EB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0AEC53E6">
            <w:pPr>
              <w:spacing w:line="360" w:lineRule="auto"/>
              <w:rPr>
                <w:rFonts w:hint="eastAsia" w:ascii="仿宋" w:hAnsi="仿宋" w:eastAsia="仿宋" w:cs="仿宋"/>
                <w:color w:val="auto"/>
                <w:sz w:val="24"/>
                <w:szCs w:val="24"/>
                <w:highlight w:val="none"/>
              </w:rPr>
            </w:pPr>
          </w:p>
        </w:tc>
        <w:tc>
          <w:tcPr>
            <w:tcW w:w="490" w:type="dxa"/>
            <w:vAlign w:val="center"/>
          </w:tcPr>
          <w:p w14:paraId="43ACF7FF">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36" w:type="dxa"/>
            <w:shd w:val="clear" w:color="auto" w:fill="auto"/>
            <w:vAlign w:val="center"/>
          </w:tcPr>
          <w:p w14:paraId="171C3348">
            <w:pPr>
              <w:widowControl/>
              <w:spacing w:line="360" w:lineRule="auto"/>
              <w:jc w:val="left"/>
              <w:textAlignment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  请根据要求单独上传《中小企业声明函》。格式以采购文件要求为准。</w:t>
            </w:r>
          </w:p>
        </w:tc>
        <w:tc>
          <w:tcPr>
            <w:tcW w:w="571" w:type="dxa"/>
          </w:tcPr>
          <w:p w14:paraId="69089D67">
            <w:pPr>
              <w:spacing w:line="360" w:lineRule="auto"/>
              <w:rPr>
                <w:rFonts w:hint="eastAsia" w:ascii="仿宋" w:hAnsi="仿宋" w:eastAsia="仿宋" w:cs="仿宋"/>
                <w:color w:val="auto"/>
                <w:sz w:val="24"/>
                <w:szCs w:val="24"/>
                <w:highlight w:val="none"/>
              </w:rPr>
            </w:pPr>
          </w:p>
        </w:tc>
        <w:tc>
          <w:tcPr>
            <w:tcW w:w="674" w:type="dxa"/>
          </w:tcPr>
          <w:p w14:paraId="00582944">
            <w:pPr>
              <w:spacing w:line="360" w:lineRule="auto"/>
              <w:rPr>
                <w:rFonts w:hint="eastAsia" w:ascii="仿宋" w:hAnsi="仿宋" w:eastAsia="仿宋" w:cs="仿宋"/>
                <w:color w:val="auto"/>
                <w:sz w:val="24"/>
                <w:szCs w:val="24"/>
                <w:highlight w:val="none"/>
              </w:rPr>
            </w:pPr>
          </w:p>
        </w:tc>
      </w:tr>
      <w:tr w14:paraId="6EC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08" w:type="dxa"/>
            <w:vMerge w:val="continue"/>
            <w:vAlign w:val="center"/>
          </w:tcPr>
          <w:p w14:paraId="71ABE05F">
            <w:pPr>
              <w:spacing w:line="360" w:lineRule="auto"/>
              <w:rPr>
                <w:rFonts w:hint="eastAsia" w:ascii="仿宋" w:hAnsi="仿宋" w:eastAsia="仿宋" w:cs="仿宋"/>
                <w:color w:val="auto"/>
                <w:sz w:val="24"/>
                <w:szCs w:val="24"/>
                <w:highlight w:val="none"/>
              </w:rPr>
            </w:pPr>
          </w:p>
        </w:tc>
        <w:tc>
          <w:tcPr>
            <w:tcW w:w="490" w:type="dxa"/>
          </w:tcPr>
          <w:p w14:paraId="362FDDE5">
            <w:pPr>
              <w:spacing w:line="360" w:lineRule="auto"/>
              <w:rPr>
                <w:rFonts w:hint="eastAsia" w:ascii="仿宋" w:hAnsi="仿宋" w:eastAsia="仿宋" w:cs="仿宋"/>
                <w:color w:val="auto"/>
                <w:sz w:val="24"/>
                <w:szCs w:val="24"/>
                <w:highlight w:val="none"/>
              </w:rPr>
            </w:pPr>
          </w:p>
        </w:tc>
        <w:tc>
          <w:tcPr>
            <w:tcW w:w="6936" w:type="dxa"/>
          </w:tcPr>
          <w:p w14:paraId="234626C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结论：是否通过评审（须填写通过或不通过）</w:t>
            </w:r>
          </w:p>
          <w:p w14:paraId="7480B843">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注：如有一项不合格，作废标处理。</w:t>
            </w:r>
          </w:p>
        </w:tc>
        <w:tc>
          <w:tcPr>
            <w:tcW w:w="571" w:type="dxa"/>
          </w:tcPr>
          <w:p w14:paraId="2CD065E0">
            <w:pPr>
              <w:spacing w:line="360" w:lineRule="auto"/>
              <w:rPr>
                <w:rFonts w:hint="eastAsia" w:ascii="仿宋" w:hAnsi="仿宋" w:eastAsia="仿宋" w:cs="仿宋"/>
                <w:color w:val="auto"/>
                <w:sz w:val="24"/>
                <w:szCs w:val="24"/>
                <w:highlight w:val="none"/>
              </w:rPr>
            </w:pPr>
          </w:p>
        </w:tc>
        <w:tc>
          <w:tcPr>
            <w:tcW w:w="674" w:type="dxa"/>
          </w:tcPr>
          <w:p w14:paraId="46EBFFF1">
            <w:pPr>
              <w:spacing w:line="360" w:lineRule="auto"/>
              <w:rPr>
                <w:rFonts w:hint="eastAsia" w:ascii="仿宋" w:hAnsi="仿宋" w:eastAsia="仿宋" w:cs="仿宋"/>
                <w:color w:val="auto"/>
                <w:sz w:val="24"/>
                <w:szCs w:val="24"/>
                <w:highlight w:val="none"/>
              </w:rPr>
            </w:pPr>
          </w:p>
        </w:tc>
      </w:tr>
    </w:tbl>
    <w:p w14:paraId="28908424">
      <w:pPr>
        <w:pStyle w:val="5"/>
        <w:spacing w:line="298" w:lineRule="auto"/>
        <w:rPr>
          <w:rFonts w:hint="eastAsia" w:ascii="仿宋" w:hAnsi="仿宋" w:eastAsia="仿宋" w:cs="仿宋"/>
          <w:color w:val="auto"/>
          <w:highlight w:val="none"/>
        </w:rPr>
      </w:pPr>
    </w:p>
    <w:p w14:paraId="7207FDAB">
      <w:pPr>
        <w:rPr>
          <w:rFonts w:hint="eastAsia" w:ascii="仿宋" w:hAnsi="仿宋" w:eastAsia="仿宋" w:cs="仿宋"/>
          <w:color w:val="auto"/>
          <w:highlight w:val="none"/>
        </w:rPr>
      </w:pPr>
    </w:p>
    <w:p w14:paraId="5D5C1028">
      <w:pPr>
        <w:rPr>
          <w:rFonts w:hint="eastAsia" w:ascii="仿宋" w:hAnsi="仿宋" w:eastAsia="仿宋" w:cs="仿宋"/>
          <w:color w:val="auto"/>
          <w:highlight w:val="none"/>
        </w:rPr>
      </w:pPr>
    </w:p>
    <w:p w14:paraId="4A92F749">
      <w:pPr>
        <w:rPr>
          <w:rFonts w:hint="eastAsia" w:ascii="仿宋" w:hAnsi="仿宋" w:eastAsia="仿宋" w:cs="仿宋"/>
          <w:color w:val="auto"/>
          <w:highlight w:val="none"/>
        </w:rPr>
      </w:pPr>
    </w:p>
    <w:p w14:paraId="2C6E15DD">
      <w:pPr>
        <w:rPr>
          <w:rFonts w:hint="eastAsia" w:ascii="仿宋" w:hAnsi="仿宋" w:eastAsia="仿宋" w:cs="仿宋"/>
          <w:color w:val="auto"/>
          <w:highlight w:val="none"/>
        </w:rPr>
      </w:pPr>
    </w:p>
    <w:p w14:paraId="557E92AF">
      <w:pPr>
        <w:rPr>
          <w:rFonts w:hint="eastAsia" w:ascii="仿宋" w:hAnsi="仿宋" w:eastAsia="仿宋" w:cs="仿宋"/>
          <w:color w:val="auto"/>
          <w:highlight w:val="none"/>
        </w:rPr>
      </w:pPr>
    </w:p>
    <w:p w14:paraId="36E77617">
      <w:pPr>
        <w:rPr>
          <w:rFonts w:hint="eastAsia" w:ascii="仿宋" w:hAnsi="仿宋" w:eastAsia="仿宋" w:cs="仿宋"/>
          <w:color w:val="auto"/>
          <w:highlight w:val="none"/>
        </w:rPr>
      </w:pPr>
    </w:p>
    <w:p w14:paraId="0F013DD0">
      <w:pPr>
        <w:rPr>
          <w:rFonts w:hint="eastAsia" w:ascii="仿宋" w:hAnsi="仿宋" w:eastAsia="仿宋" w:cs="仿宋"/>
          <w:color w:val="auto"/>
          <w:highlight w:val="none"/>
        </w:rPr>
      </w:pPr>
    </w:p>
    <w:p w14:paraId="61BCDEAC">
      <w:pPr>
        <w:rPr>
          <w:rFonts w:hint="eastAsia" w:ascii="仿宋" w:hAnsi="仿宋" w:eastAsia="仿宋" w:cs="仿宋"/>
          <w:color w:val="auto"/>
          <w:highlight w:val="none"/>
        </w:rPr>
      </w:pPr>
    </w:p>
    <w:p w14:paraId="7C3D19FF">
      <w:pPr>
        <w:rPr>
          <w:rFonts w:hint="eastAsia" w:ascii="仿宋" w:hAnsi="仿宋" w:eastAsia="仿宋" w:cs="仿宋"/>
          <w:color w:val="auto"/>
          <w:highlight w:val="none"/>
        </w:rPr>
      </w:pPr>
    </w:p>
    <w:p w14:paraId="33226278">
      <w:pPr>
        <w:rPr>
          <w:rFonts w:hint="eastAsia" w:ascii="仿宋" w:hAnsi="仿宋" w:eastAsia="仿宋" w:cs="仿宋"/>
          <w:color w:val="auto"/>
          <w:highlight w:val="none"/>
        </w:rPr>
      </w:pPr>
    </w:p>
    <w:p w14:paraId="3E4236D8">
      <w:pPr>
        <w:rPr>
          <w:rFonts w:hint="eastAsia" w:ascii="仿宋" w:hAnsi="仿宋" w:eastAsia="仿宋" w:cs="仿宋"/>
          <w:color w:val="auto"/>
          <w:highlight w:val="none"/>
        </w:rPr>
      </w:pPr>
    </w:p>
    <w:p w14:paraId="26615B8D">
      <w:pPr>
        <w:rPr>
          <w:rFonts w:hint="eastAsia" w:ascii="仿宋" w:hAnsi="仿宋" w:eastAsia="仿宋" w:cs="仿宋"/>
          <w:color w:val="auto"/>
          <w:highlight w:val="none"/>
        </w:rPr>
      </w:pPr>
    </w:p>
    <w:p w14:paraId="306FD539">
      <w:pPr>
        <w:rPr>
          <w:rFonts w:hint="eastAsia" w:ascii="仿宋" w:hAnsi="仿宋" w:eastAsia="仿宋" w:cs="仿宋"/>
          <w:color w:val="auto"/>
          <w:highlight w:val="none"/>
        </w:rPr>
      </w:pPr>
    </w:p>
    <w:p w14:paraId="73BEA6CE">
      <w:pPr>
        <w:rPr>
          <w:rFonts w:hint="eastAsia" w:ascii="仿宋" w:hAnsi="仿宋" w:eastAsia="仿宋" w:cs="仿宋"/>
          <w:color w:val="auto"/>
          <w:highlight w:val="none"/>
        </w:rPr>
      </w:pPr>
    </w:p>
    <w:p w14:paraId="79B91918">
      <w:pPr>
        <w:rPr>
          <w:rFonts w:hint="eastAsia" w:ascii="仿宋" w:hAnsi="仿宋" w:eastAsia="仿宋" w:cs="仿宋"/>
          <w:color w:val="auto"/>
          <w:highlight w:val="none"/>
        </w:rPr>
      </w:pPr>
    </w:p>
    <w:p w14:paraId="70D496C2">
      <w:pPr>
        <w:rPr>
          <w:rFonts w:hint="eastAsia" w:ascii="仿宋" w:hAnsi="仿宋" w:eastAsia="仿宋" w:cs="仿宋"/>
          <w:color w:val="auto"/>
          <w:highlight w:val="none"/>
        </w:rPr>
      </w:pPr>
    </w:p>
    <w:p w14:paraId="512A57BE">
      <w:pPr>
        <w:rPr>
          <w:rFonts w:hint="eastAsia" w:ascii="仿宋" w:hAnsi="仿宋" w:eastAsia="仿宋" w:cs="仿宋"/>
          <w:color w:val="auto"/>
          <w:highlight w:val="none"/>
        </w:rPr>
      </w:pPr>
    </w:p>
    <w:p w14:paraId="498A3861">
      <w:pPr>
        <w:rPr>
          <w:rFonts w:hint="eastAsia" w:ascii="仿宋" w:hAnsi="仿宋" w:eastAsia="仿宋" w:cs="仿宋"/>
          <w:color w:val="auto"/>
          <w:highlight w:val="none"/>
        </w:rPr>
      </w:pPr>
    </w:p>
    <w:p w14:paraId="38D569B7">
      <w:pPr>
        <w:rPr>
          <w:rFonts w:hint="eastAsia" w:ascii="仿宋" w:hAnsi="仿宋" w:eastAsia="仿宋" w:cs="仿宋"/>
          <w:color w:val="auto"/>
          <w:highlight w:val="none"/>
        </w:rPr>
      </w:pPr>
    </w:p>
    <w:p w14:paraId="7C139F8D">
      <w:pPr>
        <w:rPr>
          <w:rFonts w:hint="eastAsia" w:ascii="仿宋" w:hAnsi="仿宋" w:eastAsia="仿宋" w:cs="仿宋"/>
          <w:color w:val="auto"/>
          <w:highlight w:val="none"/>
        </w:rPr>
      </w:pPr>
    </w:p>
    <w:p w14:paraId="457878BA">
      <w:pPr>
        <w:rPr>
          <w:rFonts w:hint="eastAsia" w:ascii="仿宋" w:hAnsi="仿宋" w:eastAsia="仿宋" w:cs="仿宋"/>
          <w:color w:val="auto"/>
          <w:highlight w:val="none"/>
        </w:rPr>
      </w:pPr>
    </w:p>
    <w:p w14:paraId="1E0CE019">
      <w:pPr>
        <w:rPr>
          <w:rFonts w:hint="eastAsia" w:ascii="仿宋" w:hAnsi="仿宋" w:eastAsia="仿宋" w:cs="仿宋"/>
          <w:color w:val="auto"/>
          <w:highlight w:val="none"/>
        </w:rPr>
      </w:pPr>
    </w:p>
    <w:tbl>
      <w:tblPr>
        <w:tblStyle w:val="17"/>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32F10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330E576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498B6730">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46F9C8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6373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748C4161">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651BBB52">
            <w:pPr>
              <w:shd w:val="clear" w:color="auto" w:fill="auto"/>
              <w:rPr>
                <w:rFonts w:hint="eastAsia" w:ascii="宋体" w:hAnsi="宋体" w:eastAsia="宋体" w:cs="宋体"/>
                <w:color w:val="auto"/>
                <w:highlight w:val="none"/>
              </w:rPr>
            </w:pPr>
          </w:p>
        </w:tc>
        <w:tc>
          <w:tcPr>
            <w:tcW w:w="482" w:type="dxa"/>
            <w:noWrap w:val="0"/>
            <w:vAlign w:val="center"/>
          </w:tcPr>
          <w:p w14:paraId="01EFFAC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3C61BD7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7BF1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68E4DF9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2A29A16">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核</w:t>
            </w:r>
          </w:p>
          <w:p w14:paraId="110F33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1DF4A0F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673875F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shd w:val="clear" w:color="auto" w:fill="auto"/>
            <w:noWrap w:val="0"/>
            <w:vAlign w:val="top"/>
          </w:tcPr>
          <w:p w14:paraId="3823844D">
            <w:pPr>
              <w:spacing w:before="148"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响应文件按照征集文件规定要求签署、盖章的；</w:t>
            </w:r>
          </w:p>
        </w:tc>
        <w:tc>
          <w:tcPr>
            <w:tcW w:w="482" w:type="dxa"/>
            <w:tcBorders>
              <w:left w:val="single" w:color="auto" w:sz="4" w:space="0"/>
              <w:right w:val="single" w:color="auto" w:sz="4" w:space="0"/>
            </w:tcBorders>
            <w:noWrap w:val="0"/>
            <w:vAlign w:val="top"/>
          </w:tcPr>
          <w:p w14:paraId="24E78088">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069C4A40">
            <w:pPr>
              <w:shd w:val="clear" w:color="auto" w:fill="auto"/>
              <w:jc w:val="center"/>
              <w:rPr>
                <w:rFonts w:hint="eastAsia" w:ascii="宋体" w:hAnsi="宋体" w:eastAsia="宋体" w:cs="宋体"/>
                <w:b/>
                <w:color w:val="auto"/>
                <w:szCs w:val="21"/>
                <w:highlight w:val="none"/>
              </w:rPr>
            </w:pPr>
          </w:p>
        </w:tc>
      </w:tr>
      <w:tr w14:paraId="4F797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21A1F93F">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3F9091">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5FF88E">
            <w:pPr>
              <w:spacing w:before="21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响应文件的资格证明材料满足征集文件中的实质性要求；</w:t>
            </w:r>
          </w:p>
        </w:tc>
        <w:tc>
          <w:tcPr>
            <w:tcW w:w="482" w:type="dxa"/>
            <w:tcBorders>
              <w:left w:val="single" w:color="auto" w:sz="4" w:space="0"/>
            </w:tcBorders>
            <w:noWrap w:val="0"/>
            <w:vAlign w:val="top"/>
          </w:tcPr>
          <w:p w14:paraId="748BA325">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248B50E">
            <w:pPr>
              <w:shd w:val="clear" w:color="auto" w:fill="auto"/>
              <w:rPr>
                <w:rFonts w:hint="eastAsia" w:ascii="宋体" w:hAnsi="宋体" w:eastAsia="宋体" w:cs="宋体"/>
                <w:color w:val="auto"/>
                <w:szCs w:val="21"/>
                <w:highlight w:val="none"/>
              </w:rPr>
            </w:pPr>
          </w:p>
        </w:tc>
      </w:tr>
      <w:tr w14:paraId="6A1E0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3CEF9413">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287E640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shd w:val="clear" w:color="auto" w:fill="auto"/>
            <w:noWrap w:val="0"/>
            <w:vAlign w:val="top"/>
          </w:tcPr>
          <w:p w14:paraId="2BB28DC5">
            <w:pPr>
              <w:spacing w:before="168"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不属于串通投标，或者依法不被视为串通投</w:t>
            </w:r>
            <w:r>
              <w:rPr>
                <w:rFonts w:hint="eastAsia" w:ascii="仿宋" w:hAnsi="仿宋" w:eastAsia="仿宋" w:cs="仿宋"/>
                <w:color w:val="auto"/>
                <w:spacing w:val="-2"/>
                <w:sz w:val="24"/>
                <w:szCs w:val="24"/>
                <w:highlight w:val="none"/>
              </w:rPr>
              <w:t>标；</w:t>
            </w:r>
          </w:p>
        </w:tc>
        <w:tc>
          <w:tcPr>
            <w:tcW w:w="482" w:type="dxa"/>
            <w:tcBorders>
              <w:left w:val="single" w:color="auto" w:sz="4" w:space="0"/>
            </w:tcBorders>
            <w:noWrap w:val="0"/>
            <w:vAlign w:val="top"/>
          </w:tcPr>
          <w:p w14:paraId="2696F8F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6649A48">
            <w:pPr>
              <w:shd w:val="clear" w:color="auto" w:fill="auto"/>
              <w:rPr>
                <w:rFonts w:hint="eastAsia" w:ascii="宋体" w:hAnsi="宋体" w:eastAsia="宋体" w:cs="宋体"/>
                <w:color w:val="auto"/>
                <w:szCs w:val="21"/>
                <w:highlight w:val="none"/>
              </w:rPr>
            </w:pPr>
          </w:p>
        </w:tc>
      </w:tr>
      <w:tr w14:paraId="695F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7534FB5A">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6F7E0FD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shd w:val="clear" w:color="auto" w:fill="auto"/>
            <w:noWrap w:val="0"/>
            <w:vAlign w:val="top"/>
          </w:tcPr>
          <w:p w14:paraId="0FD2CBCC">
            <w:pPr>
              <w:spacing w:before="167" w:line="360" w:lineRule="auto"/>
              <w:ind w:left="11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报价未</w:t>
            </w:r>
            <w:r>
              <w:rPr>
                <w:rFonts w:hint="eastAsia" w:ascii="仿宋" w:hAnsi="仿宋" w:eastAsia="仿宋" w:cs="仿宋"/>
                <w:color w:val="auto"/>
                <w:sz w:val="24"/>
                <w:szCs w:val="24"/>
                <w:highlight w:val="none"/>
                <w:lang w:val="en-US" w:eastAsia="zh-CN"/>
              </w:rPr>
              <w:t>超过</w:t>
            </w:r>
            <w:r>
              <w:rPr>
                <w:rFonts w:hint="eastAsia" w:ascii="仿宋" w:hAnsi="仿宋" w:eastAsia="仿宋" w:cs="仿宋"/>
                <w:color w:val="auto"/>
                <w:sz w:val="24"/>
                <w:szCs w:val="24"/>
                <w:highlight w:val="none"/>
              </w:rPr>
              <w:t>征集文件规定的</w:t>
            </w:r>
            <w:r>
              <w:rPr>
                <w:rFonts w:hint="eastAsia" w:ascii="仿宋" w:hAnsi="仿宋" w:eastAsia="仿宋" w:cs="仿宋"/>
                <w:color w:val="auto"/>
                <w:sz w:val="24"/>
                <w:szCs w:val="24"/>
                <w:highlight w:val="none"/>
                <w:lang w:val="en-US" w:eastAsia="zh-CN"/>
              </w:rPr>
              <w:t>各项最高限价</w:t>
            </w:r>
            <w:r>
              <w:rPr>
                <w:rFonts w:hint="eastAsia" w:ascii="仿宋" w:hAnsi="仿宋" w:eastAsia="仿宋" w:cs="仿宋"/>
                <w:color w:val="auto"/>
                <w:sz w:val="24"/>
                <w:szCs w:val="24"/>
                <w:highlight w:val="none"/>
              </w:rPr>
              <w:t>；</w:t>
            </w:r>
          </w:p>
        </w:tc>
        <w:tc>
          <w:tcPr>
            <w:tcW w:w="482" w:type="dxa"/>
            <w:tcBorders>
              <w:left w:val="single" w:color="auto" w:sz="4" w:space="0"/>
            </w:tcBorders>
            <w:noWrap w:val="0"/>
            <w:vAlign w:val="top"/>
          </w:tcPr>
          <w:p w14:paraId="0CB31716">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21EAFB3">
            <w:pPr>
              <w:shd w:val="clear" w:color="auto" w:fill="auto"/>
              <w:rPr>
                <w:rFonts w:hint="eastAsia" w:ascii="宋体" w:hAnsi="宋体" w:eastAsia="宋体" w:cs="宋体"/>
                <w:color w:val="auto"/>
                <w:szCs w:val="21"/>
                <w:highlight w:val="none"/>
              </w:rPr>
            </w:pPr>
          </w:p>
        </w:tc>
      </w:tr>
      <w:tr w14:paraId="7A2B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2B68A0E6">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6F52A980">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shd w:val="clear" w:color="auto" w:fill="auto"/>
            <w:noWrap w:val="0"/>
            <w:vAlign w:val="top"/>
          </w:tcPr>
          <w:p w14:paraId="3D48F267">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color w:val="auto"/>
                <w:spacing w:val="-1"/>
                <w:sz w:val="24"/>
                <w:szCs w:val="24"/>
                <w:highlight w:val="none"/>
              </w:rPr>
              <w:t>供应商对所投征集文件中所列的所有服务内容进行响应</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1EFA5A59">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37228B2B">
            <w:pPr>
              <w:shd w:val="clear" w:color="auto" w:fill="auto"/>
              <w:rPr>
                <w:rFonts w:hint="eastAsia" w:ascii="宋体" w:hAnsi="宋体" w:eastAsia="宋体" w:cs="宋体"/>
                <w:color w:val="auto"/>
                <w:szCs w:val="21"/>
                <w:highlight w:val="none"/>
              </w:rPr>
            </w:pPr>
          </w:p>
        </w:tc>
      </w:tr>
      <w:tr w14:paraId="5B816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447140F">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55061708">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6</w:t>
            </w:r>
          </w:p>
        </w:tc>
        <w:tc>
          <w:tcPr>
            <w:tcW w:w="6625" w:type="dxa"/>
            <w:tcBorders>
              <w:bottom w:val="single" w:color="auto" w:sz="4" w:space="0"/>
              <w:right w:val="single" w:color="auto" w:sz="4" w:space="0"/>
            </w:tcBorders>
            <w:shd w:val="clear" w:color="auto" w:fill="auto"/>
            <w:noWrap w:val="0"/>
            <w:vAlign w:val="top"/>
          </w:tcPr>
          <w:p w14:paraId="5E671B83">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spacing w:val="-1"/>
                <w:sz w:val="24"/>
                <w:szCs w:val="24"/>
                <w:highlight w:val="none"/>
              </w:rPr>
              <w:t>供应商在响应文件中未提出增加等调整价格的要求或情形</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0102FF2C">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501DF590">
            <w:pPr>
              <w:shd w:val="clear" w:color="auto" w:fill="auto"/>
              <w:rPr>
                <w:rFonts w:hint="eastAsia" w:ascii="宋体" w:hAnsi="宋体" w:eastAsia="宋体" w:cs="宋体"/>
                <w:color w:val="auto"/>
                <w:szCs w:val="21"/>
                <w:highlight w:val="none"/>
              </w:rPr>
            </w:pPr>
          </w:p>
        </w:tc>
      </w:tr>
      <w:tr w14:paraId="1886F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6BAEBD65">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1D71ED6E">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7</w:t>
            </w:r>
          </w:p>
        </w:tc>
        <w:tc>
          <w:tcPr>
            <w:tcW w:w="6625" w:type="dxa"/>
            <w:tcBorders>
              <w:bottom w:val="single" w:color="auto" w:sz="4" w:space="0"/>
              <w:right w:val="single" w:color="auto" w:sz="4" w:space="0"/>
            </w:tcBorders>
            <w:shd w:val="clear" w:color="auto" w:fill="auto"/>
            <w:noWrap w:val="0"/>
            <w:vAlign w:val="top"/>
          </w:tcPr>
          <w:p w14:paraId="30C1A367">
            <w:pPr>
              <w:spacing w:before="19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响应文件未含有征集人不能接受的附加条件的；</w:t>
            </w:r>
          </w:p>
        </w:tc>
        <w:tc>
          <w:tcPr>
            <w:tcW w:w="482" w:type="dxa"/>
            <w:tcBorders>
              <w:left w:val="single" w:color="auto" w:sz="4" w:space="0"/>
              <w:bottom w:val="single" w:color="auto" w:sz="4" w:space="0"/>
            </w:tcBorders>
            <w:noWrap w:val="0"/>
            <w:vAlign w:val="top"/>
          </w:tcPr>
          <w:p w14:paraId="5132E090">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1F540A1A">
            <w:pPr>
              <w:shd w:val="clear" w:color="auto" w:fill="auto"/>
              <w:rPr>
                <w:rFonts w:hint="eastAsia" w:ascii="宋体" w:hAnsi="宋体" w:eastAsia="宋体" w:cs="宋体"/>
                <w:color w:val="auto"/>
                <w:szCs w:val="21"/>
                <w:highlight w:val="none"/>
              </w:rPr>
            </w:pPr>
          </w:p>
        </w:tc>
      </w:tr>
      <w:tr w14:paraId="2C5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2301EDF8">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A25296C">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2E4BE">
            <w:pPr>
              <w:spacing w:before="134"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不属于征集文件规定的其他响应无效情形；</w:t>
            </w:r>
          </w:p>
        </w:tc>
        <w:tc>
          <w:tcPr>
            <w:tcW w:w="482" w:type="dxa"/>
            <w:tcBorders>
              <w:top w:val="single" w:color="auto" w:sz="4" w:space="0"/>
              <w:left w:val="single" w:color="auto" w:sz="4" w:space="0"/>
              <w:bottom w:val="single" w:color="auto" w:sz="4" w:space="0"/>
              <w:right w:val="single" w:color="auto" w:sz="4" w:space="0"/>
            </w:tcBorders>
            <w:noWrap w:val="0"/>
            <w:vAlign w:val="top"/>
          </w:tcPr>
          <w:p w14:paraId="50CA27B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098E126">
            <w:pPr>
              <w:shd w:val="clear" w:color="auto" w:fill="auto"/>
              <w:rPr>
                <w:rFonts w:hint="eastAsia" w:ascii="宋体" w:hAnsi="宋体" w:eastAsia="宋体" w:cs="宋体"/>
                <w:color w:val="auto"/>
                <w:szCs w:val="21"/>
                <w:highlight w:val="none"/>
              </w:rPr>
            </w:pPr>
          </w:p>
        </w:tc>
      </w:tr>
      <w:tr w14:paraId="76319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4306539A">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51CFB070">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p>
        </w:tc>
        <w:tc>
          <w:tcPr>
            <w:tcW w:w="6625" w:type="dxa"/>
            <w:tcBorders>
              <w:top w:val="single" w:color="auto" w:sz="4" w:space="0"/>
              <w:right w:val="single" w:color="auto" w:sz="4" w:space="0"/>
            </w:tcBorders>
            <w:shd w:val="clear" w:color="auto" w:fill="auto"/>
            <w:noWrap w:val="0"/>
            <w:vAlign w:val="top"/>
          </w:tcPr>
          <w:p w14:paraId="4CAF1EAC">
            <w:pPr>
              <w:spacing w:before="143"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符合法规和征集文件中规定的其他实质性要求的。</w:t>
            </w:r>
          </w:p>
        </w:tc>
        <w:tc>
          <w:tcPr>
            <w:tcW w:w="482" w:type="dxa"/>
            <w:tcBorders>
              <w:top w:val="single" w:color="auto" w:sz="4" w:space="0"/>
              <w:left w:val="single" w:color="auto" w:sz="4" w:space="0"/>
            </w:tcBorders>
            <w:noWrap w:val="0"/>
            <w:vAlign w:val="top"/>
          </w:tcPr>
          <w:p w14:paraId="13059128">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C50038F">
            <w:pPr>
              <w:shd w:val="clear" w:color="auto" w:fill="auto"/>
              <w:rPr>
                <w:rFonts w:hint="eastAsia" w:ascii="宋体" w:hAnsi="宋体" w:eastAsia="宋体" w:cs="宋体"/>
                <w:color w:val="auto"/>
                <w:szCs w:val="21"/>
                <w:highlight w:val="none"/>
              </w:rPr>
            </w:pPr>
          </w:p>
        </w:tc>
      </w:tr>
      <w:tr w14:paraId="56D0D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69" w:type="dxa"/>
            <w:tcBorders>
              <w:left w:val="single" w:color="auto" w:sz="4" w:space="0"/>
              <w:bottom w:val="single" w:color="auto" w:sz="4" w:space="0"/>
              <w:right w:val="single" w:color="auto" w:sz="4" w:space="0"/>
            </w:tcBorders>
            <w:noWrap w:val="0"/>
            <w:vAlign w:val="center"/>
          </w:tcPr>
          <w:p w14:paraId="121CEAE9">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15AA10A6">
            <w:pPr>
              <w:spacing w:before="143" w:line="360" w:lineRule="auto"/>
              <w:ind w:left="12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结论：是否通过评审（须填写通过或不通过）</w:t>
            </w:r>
          </w:p>
          <w:p w14:paraId="11E13D19">
            <w:pPr>
              <w:spacing w:before="143" w:line="360" w:lineRule="auto"/>
              <w:ind w:left="126" w:leftChars="0"/>
              <w:rPr>
                <w:rFonts w:hint="eastAsia" w:ascii="宋体" w:hAnsi="宋体" w:eastAsia="宋体" w:cs="宋体"/>
                <w:color w:val="auto"/>
                <w:sz w:val="20"/>
                <w:szCs w:val="20"/>
                <w:highlight w:val="none"/>
              </w:rPr>
            </w:pPr>
            <w:r>
              <w:rPr>
                <w:rFonts w:hint="eastAsia" w:ascii="仿宋" w:hAnsi="仿宋" w:eastAsia="仿宋" w:cs="仿宋"/>
                <w:color w:val="auto"/>
                <w:spacing w:val="-1"/>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04F8D020">
            <w:pPr>
              <w:shd w:val="clear" w:color="auto" w:fill="auto"/>
              <w:rPr>
                <w:rFonts w:hint="eastAsia" w:ascii="宋体" w:hAnsi="宋体" w:eastAsia="宋体" w:cs="宋体"/>
                <w:color w:val="auto"/>
                <w:szCs w:val="21"/>
                <w:highlight w:val="none"/>
              </w:rPr>
            </w:pPr>
          </w:p>
        </w:tc>
      </w:tr>
    </w:tbl>
    <w:p w14:paraId="33E7BC5B">
      <w:pPr>
        <w:spacing w:before="58" w:line="204" w:lineRule="auto"/>
        <w:ind w:left="3999"/>
        <w:rPr>
          <w:rFonts w:hint="eastAsia" w:ascii="仿宋" w:hAnsi="仿宋" w:eastAsia="仿宋" w:cs="仿宋"/>
          <w:b/>
          <w:bCs/>
          <w:color w:val="auto"/>
          <w:sz w:val="28"/>
          <w:szCs w:val="28"/>
          <w:highlight w:val="none"/>
        </w:rPr>
      </w:pPr>
      <w:r>
        <w:rPr>
          <w:rFonts w:hint="eastAsia" w:ascii="仿宋" w:hAnsi="仿宋" w:eastAsia="仿宋" w:cs="仿宋"/>
          <w:b/>
          <w:bCs/>
          <w:color w:val="auto"/>
          <w:spacing w:val="-4"/>
          <w:sz w:val="28"/>
          <w:szCs w:val="28"/>
          <w:highlight w:val="none"/>
        </w:rPr>
        <w:t>符合性审查表</w:t>
      </w:r>
    </w:p>
    <w:p w14:paraId="304F747F">
      <w:pPr>
        <w:spacing w:before="58" w:line="204" w:lineRule="auto"/>
        <w:ind w:left="3999"/>
        <w:rPr>
          <w:rFonts w:hint="eastAsia" w:ascii="仿宋" w:hAnsi="仿宋" w:eastAsia="仿宋" w:cs="仿宋"/>
          <w:b/>
          <w:bCs/>
          <w:color w:val="auto"/>
          <w:spacing w:val="-4"/>
          <w:sz w:val="28"/>
          <w:szCs w:val="28"/>
          <w:highlight w:val="none"/>
        </w:rPr>
      </w:pPr>
    </w:p>
    <w:p w14:paraId="41F5057B">
      <w:pPr>
        <w:spacing w:before="58" w:line="204" w:lineRule="auto"/>
        <w:ind w:left="3999"/>
        <w:rPr>
          <w:rFonts w:hint="eastAsia" w:ascii="仿宋" w:hAnsi="仿宋" w:eastAsia="仿宋" w:cs="仿宋"/>
          <w:b/>
          <w:bCs/>
          <w:color w:val="auto"/>
          <w:spacing w:val="-4"/>
          <w:sz w:val="28"/>
          <w:szCs w:val="28"/>
          <w:highlight w:val="none"/>
        </w:rPr>
      </w:pPr>
    </w:p>
    <w:p w14:paraId="5BD226AD">
      <w:pPr>
        <w:spacing w:before="52" w:line="219" w:lineRule="auto"/>
        <w:ind w:left="152"/>
        <w:outlineLvl w:val="1"/>
        <w:rPr>
          <w:rFonts w:hint="eastAsia" w:ascii="仿宋" w:hAnsi="仿宋" w:eastAsia="仿宋" w:cs="仿宋"/>
          <w:color w:val="auto"/>
          <w:spacing w:val="8"/>
          <w:sz w:val="22"/>
          <w:szCs w:val="22"/>
          <w:highlight w:val="none"/>
        </w:rPr>
      </w:pPr>
    </w:p>
    <w:p w14:paraId="7425B674">
      <w:pPr>
        <w:spacing w:before="52" w:line="219" w:lineRule="auto"/>
        <w:ind w:left="152"/>
        <w:outlineLvl w:val="1"/>
        <w:rPr>
          <w:rFonts w:hint="eastAsia" w:ascii="仿宋" w:hAnsi="仿宋" w:eastAsia="仿宋" w:cs="仿宋"/>
          <w:color w:val="auto"/>
          <w:spacing w:val="8"/>
          <w:sz w:val="22"/>
          <w:szCs w:val="22"/>
          <w:highlight w:val="none"/>
        </w:rPr>
      </w:pPr>
    </w:p>
    <w:p w14:paraId="089524DC">
      <w:pPr>
        <w:spacing w:line="219" w:lineRule="auto"/>
        <w:rPr>
          <w:rFonts w:hint="eastAsia" w:ascii="仿宋" w:hAnsi="仿宋" w:eastAsia="仿宋" w:cs="仿宋"/>
          <w:color w:val="auto"/>
          <w:sz w:val="22"/>
          <w:szCs w:val="22"/>
          <w:highlight w:val="none"/>
        </w:rPr>
        <w:sectPr>
          <w:footerReference r:id="rId12" w:type="default"/>
          <w:pgSz w:w="11905" w:h="16838"/>
          <w:pgMar w:top="1020" w:right="1134" w:bottom="1020" w:left="1134" w:header="0" w:footer="573" w:gutter="0"/>
          <w:pgNumType w:fmt="decimal"/>
          <w:cols w:space="0" w:num="1"/>
          <w:rtlGutter w:val="0"/>
          <w:docGrid w:linePitch="0" w:charSpace="0"/>
        </w:sectPr>
      </w:pPr>
    </w:p>
    <w:p w14:paraId="7634DD06">
      <w:pPr>
        <w:jc w:val="center"/>
        <w:rPr>
          <w:rFonts w:hint="eastAsia" w:ascii="仿宋" w:hAnsi="仿宋" w:eastAsia="仿宋" w:cs="仿宋"/>
          <w:b/>
          <w:bCs/>
          <w:color w:val="auto"/>
          <w:spacing w:val="-19"/>
          <w:w w:val="98"/>
          <w:position w:val="-2"/>
          <w:sz w:val="35"/>
          <w:szCs w:val="35"/>
          <w:highlight w:val="none"/>
        </w:rPr>
      </w:pPr>
      <w:r>
        <w:rPr>
          <w:rFonts w:hint="eastAsia" w:ascii="仿宋" w:hAnsi="仿宋" w:eastAsia="仿宋" w:cs="仿宋"/>
          <w:b/>
          <w:bCs/>
          <w:color w:val="auto"/>
          <w:spacing w:val="-19"/>
          <w:w w:val="98"/>
          <w:position w:val="-2"/>
          <w:sz w:val="35"/>
          <w:szCs w:val="35"/>
          <w:highlight w:val="none"/>
        </w:rPr>
        <w:t>评审因素和指标</w:t>
      </w:r>
    </w:p>
    <w:p w14:paraId="6ED396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w:t>
      </w:r>
    </w:p>
    <w:p w14:paraId="32119DF3">
      <w:pPr>
        <w:pStyle w:val="5"/>
        <w:rPr>
          <w:rFonts w:hint="eastAsia"/>
          <w:color w:val="auto"/>
          <w:highlight w:val="none"/>
          <w:lang w:val="en-US" w:eastAsia="zh-CN"/>
        </w:rPr>
      </w:pPr>
    </w:p>
    <w:tbl>
      <w:tblPr>
        <w:tblStyle w:val="21"/>
        <w:tblW w:w="98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222"/>
        <w:gridCol w:w="690"/>
        <w:gridCol w:w="6962"/>
        <w:gridCol w:w="537"/>
      </w:tblGrid>
      <w:tr w14:paraId="4FFA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83" w:type="dxa"/>
            <w:vAlign w:val="center"/>
          </w:tcPr>
          <w:p w14:paraId="4A4C30EA">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序号</w:t>
            </w:r>
          </w:p>
        </w:tc>
        <w:tc>
          <w:tcPr>
            <w:tcW w:w="1222" w:type="dxa"/>
            <w:vAlign w:val="center"/>
          </w:tcPr>
          <w:p w14:paraId="3B2ADFB3">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评分因素</w:t>
            </w:r>
          </w:p>
        </w:tc>
        <w:tc>
          <w:tcPr>
            <w:tcW w:w="690" w:type="dxa"/>
            <w:vAlign w:val="center"/>
          </w:tcPr>
          <w:p w14:paraId="6844616B">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分值</w:t>
            </w:r>
          </w:p>
        </w:tc>
        <w:tc>
          <w:tcPr>
            <w:tcW w:w="6962" w:type="dxa"/>
            <w:vAlign w:val="center"/>
          </w:tcPr>
          <w:p w14:paraId="65574F86">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评分标准</w:t>
            </w:r>
          </w:p>
        </w:tc>
        <w:tc>
          <w:tcPr>
            <w:tcW w:w="537" w:type="dxa"/>
            <w:vAlign w:val="center"/>
          </w:tcPr>
          <w:p w14:paraId="13233302">
            <w:pPr>
              <w:pStyle w:val="22"/>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F6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483" w:type="dxa"/>
            <w:vAlign w:val="center"/>
          </w:tcPr>
          <w:p w14:paraId="10FAE7A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2" w:type="dxa"/>
            <w:vAlign w:val="center"/>
          </w:tcPr>
          <w:p w14:paraId="21E64A1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690" w:type="dxa"/>
            <w:vAlign w:val="center"/>
          </w:tcPr>
          <w:p w14:paraId="4382E70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w:t>
            </w:r>
          </w:p>
        </w:tc>
        <w:tc>
          <w:tcPr>
            <w:tcW w:w="6962" w:type="dxa"/>
            <w:vAlign w:val="top"/>
          </w:tcPr>
          <w:p w14:paraId="2F9E525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采</w:t>
            </w:r>
            <w:r>
              <w:rPr>
                <w:rFonts w:hint="eastAsia" w:ascii="仿宋" w:hAnsi="仿宋" w:eastAsia="仿宋" w:cs="仿宋"/>
                <w:color w:val="auto"/>
                <w:spacing w:val="-1"/>
                <w:sz w:val="21"/>
                <w:szCs w:val="21"/>
                <w:highlight w:val="none"/>
              </w:rPr>
              <w:t>用低价优先法计算，即满足招标文件要求且投标下浮率最高的投标报价为评标基准下浮率，其价格分为满分。</w:t>
            </w:r>
          </w:p>
          <w:p w14:paraId="5B8CD971">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0%） ×100</w:t>
            </w:r>
          </w:p>
        </w:tc>
        <w:tc>
          <w:tcPr>
            <w:tcW w:w="537" w:type="dxa"/>
            <w:vAlign w:val="top"/>
          </w:tcPr>
          <w:p w14:paraId="4E06F2C4">
            <w:pPr>
              <w:rPr>
                <w:rFonts w:ascii="Arial"/>
                <w:color w:val="auto"/>
                <w:sz w:val="21"/>
                <w:highlight w:val="none"/>
              </w:rPr>
            </w:pPr>
          </w:p>
        </w:tc>
      </w:tr>
      <w:tr w14:paraId="5B44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483" w:type="dxa"/>
            <w:vAlign w:val="center"/>
          </w:tcPr>
          <w:p w14:paraId="2DEA392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2" w:type="dxa"/>
            <w:vAlign w:val="center"/>
          </w:tcPr>
          <w:p w14:paraId="15FC5A4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2E7679A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690" w:type="dxa"/>
            <w:vAlign w:val="center"/>
          </w:tcPr>
          <w:p w14:paraId="62CAEC9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tc>
        <w:tc>
          <w:tcPr>
            <w:tcW w:w="6962" w:type="dxa"/>
            <w:vAlign w:val="center"/>
          </w:tcPr>
          <w:p w14:paraId="5DD6B06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分。（业绩证明材料需提供评估咨询合同、评估报告。以上材料均须复印件加盖供应商公章，业绩证明材料提供齐全视为有效业绩，未提供或提供不齐全视为无效业绩不得分。</w:t>
            </w:r>
          </w:p>
        </w:tc>
        <w:tc>
          <w:tcPr>
            <w:tcW w:w="537" w:type="dxa"/>
            <w:vAlign w:val="top"/>
          </w:tcPr>
          <w:p w14:paraId="7B572477">
            <w:pPr>
              <w:rPr>
                <w:rFonts w:ascii="Arial"/>
                <w:color w:val="auto"/>
                <w:sz w:val="21"/>
                <w:highlight w:val="none"/>
              </w:rPr>
            </w:pPr>
          </w:p>
        </w:tc>
      </w:tr>
      <w:tr w14:paraId="58A3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jc w:val="center"/>
        </w:trPr>
        <w:tc>
          <w:tcPr>
            <w:tcW w:w="483" w:type="dxa"/>
            <w:vAlign w:val="center"/>
          </w:tcPr>
          <w:p w14:paraId="2C2B224E">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2" w:type="dxa"/>
            <w:vAlign w:val="center"/>
          </w:tcPr>
          <w:p w14:paraId="4BC6213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2217FCE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90" w:type="dxa"/>
            <w:vAlign w:val="center"/>
          </w:tcPr>
          <w:p w14:paraId="273E418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962" w:type="dxa"/>
            <w:vAlign w:val="center"/>
          </w:tcPr>
          <w:p w14:paraId="72297FD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CD13AA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3D748C0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07C4791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537" w:type="dxa"/>
            <w:vAlign w:val="top"/>
          </w:tcPr>
          <w:p w14:paraId="460CE9CA">
            <w:pPr>
              <w:rPr>
                <w:rFonts w:ascii="Arial"/>
                <w:color w:val="auto"/>
                <w:sz w:val="21"/>
                <w:highlight w:val="none"/>
              </w:rPr>
            </w:pPr>
          </w:p>
        </w:tc>
      </w:tr>
      <w:tr w14:paraId="12F4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4" w:hRule="atLeast"/>
          <w:jc w:val="center"/>
        </w:trPr>
        <w:tc>
          <w:tcPr>
            <w:tcW w:w="483" w:type="dxa"/>
            <w:vAlign w:val="center"/>
          </w:tcPr>
          <w:p w14:paraId="4826EC1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2" w:type="dxa"/>
            <w:vAlign w:val="center"/>
          </w:tcPr>
          <w:p w14:paraId="31EEDDA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FF16506">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690" w:type="dxa"/>
            <w:vAlign w:val="center"/>
          </w:tcPr>
          <w:p w14:paraId="2EC680A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0691095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169C24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65CBE9A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3、质量控制方案内容不够全面、不够详细、不够具体、不够合理,针对性有所欠缺得2分；未提供不得分。</w:t>
            </w:r>
          </w:p>
        </w:tc>
        <w:tc>
          <w:tcPr>
            <w:tcW w:w="537" w:type="dxa"/>
            <w:vAlign w:val="top"/>
          </w:tcPr>
          <w:p w14:paraId="1488DE7B">
            <w:pPr>
              <w:rPr>
                <w:rFonts w:ascii="Arial"/>
                <w:color w:val="auto"/>
                <w:sz w:val="21"/>
                <w:highlight w:val="none"/>
              </w:rPr>
            </w:pPr>
          </w:p>
        </w:tc>
      </w:tr>
      <w:tr w14:paraId="4599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jc w:val="center"/>
        </w:trPr>
        <w:tc>
          <w:tcPr>
            <w:tcW w:w="483" w:type="dxa"/>
            <w:vAlign w:val="center"/>
          </w:tcPr>
          <w:p w14:paraId="12DE4C1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2" w:type="dxa"/>
            <w:vAlign w:val="center"/>
          </w:tcPr>
          <w:p w14:paraId="034D219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690" w:type="dxa"/>
            <w:vAlign w:val="center"/>
          </w:tcPr>
          <w:p w14:paraId="0308BA67">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F4AB95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根据本项目实际需求提供服务方案：</w:t>
            </w:r>
          </w:p>
          <w:p w14:paraId="63C8A2A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2、服务方案及承诺全面、合理、科学、可行性强得10分</w:t>
            </w:r>
            <w:r>
              <w:rPr>
                <w:rFonts w:hint="eastAsia" w:ascii="仿宋" w:hAnsi="仿宋" w:eastAsia="仿宋" w:cs="仿宋"/>
                <w:color w:val="auto"/>
                <w:sz w:val="21"/>
                <w:szCs w:val="21"/>
                <w:highlight w:val="none"/>
                <w:lang w:eastAsia="zh-CN"/>
              </w:rPr>
              <w:t>；</w:t>
            </w:r>
          </w:p>
          <w:p w14:paraId="6B4E972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、服务方案及承诺较全面、比较合理、科学、但可行得5分</w:t>
            </w:r>
            <w:r>
              <w:rPr>
                <w:rFonts w:hint="eastAsia" w:ascii="仿宋" w:hAnsi="仿宋" w:eastAsia="仿宋" w:cs="仿宋"/>
                <w:color w:val="auto"/>
                <w:sz w:val="21"/>
                <w:szCs w:val="21"/>
                <w:highlight w:val="none"/>
                <w:lang w:eastAsia="zh-CN"/>
              </w:rPr>
              <w:t>；</w:t>
            </w:r>
          </w:p>
          <w:p w14:paraId="368E372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537" w:type="dxa"/>
            <w:vAlign w:val="top"/>
          </w:tcPr>
          <w:p w14:paraId="51A0B3CA">
            <w:pPr>
              <w:rPr>
                <w:rFonts w:ascii="Arial"/>
                <w:color w:val="auto"/>
                <w:sz w:val="21"/>
                <w:highlight w:val="none"/>
              </w:rPr>
            </w:pPr>
          </w:p>
        </w:tc>
      </w:tr>
      <w:tr w14:paraId="7A87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jc w:val="center"/>
        </w:trPr>
        <w:tc>
          <w:tcPr>
            <w:tcW w:w="483" w:type="dxa"/>
            <w:vAlign w:val="center"/>
          </w:tcPr>
          <w:p w14:paraId="35411F5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2" w:type="dxa"/>
            <w:vAlign w:val="center"/>
          </w:tcPr>
          <w:p w14:paraId="73E135B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690" w:type="dxa"/>
            <w:vAlign w:val="center"/>
          </w:tcPr>
          <w:p w14:paraId="4EE8A6E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4DFA554">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w:t>
            </w:r>
          </w:p>
          <w:p w14:paraId="7E6F2AFA">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能满足计划要求，切实可行进行，由评委根据投标文件情况进行打分；优秀的10分、良的6分、差的2分。</w:t>
            </w:r>
            <w:r>
              <w:rPr>
                <w:rFonts w:hint="eastAsia" w:ascii="仿宋" w:hAnsi="仿宋" w:eastAsia="仿宋" w:cs="仿宋"/>
                <w:color w:val="auto"/>
                <w:sz w:val="21"/>
                <w:szCs w:val="21"/>
                <w:highlight w:val="none"/>
                <w:lang w:val="en-US" w:eastAsia="zh-CN"/>
              </w:rPr>
              <w:t>未提供</w:t>
            </w:r>
            <w:r>
              <w:rPr>
                <w:rFonts w:hint="eastAsia" w:ascii="仿宋" w:hAnsi="仿宋" w:eastAsia="仿宋" w:cs="仿宋"/>
                <w:color w:val="auto"/>
                <w:sz w:val="21"/>
                <w:szCs w:val="21"/>
                <w:highlight w:val="none"/>
              </w:rPr>
              <w:t>不得分</w:t>
            </w:r>
            <w:r>
              <w:rPr>
                <w:rFonts w:hint="eastAsia" w:ascii="仿宋" w:hAnsi="仿宋" w:eastAsia="仿宋" w:cs="仿宋"/>
                <w:color w:val="auto"/>
                <w:sz w:val="21"/>
                <w:szCs w:val="21"/>
                <w:highlight w:val="none"/>
                <w:lang w:eastAsia="zh-CN"/>
              </w:rPr>
              <w:t>。</w:t>
            </w:r>
          </w:p>
        </w:tc>
        <w:tc>
          <w:tcPr>
            <w:tcW w:w="537" w:type="dxa"/>
            <w:vAlign w:val="top"/>
          </w:tcPr>
          <w:p w14:paraId="3157FFB2">
            <w:pPr>
              <w:pStyle w:val="22"/>
              <w:spacing w:before="75" w:line="180" w:lineRule="exact"/>
              <w:ind w:left="189" w:leftChars="0"/>
              <w:rPr>
                <w:rFonts w:ascii="Arial"/>
                <w:color w:val="auto"/>
                <w:sz w:val="21"/>
                <w:highlight w:val="none"/>
              </w:rPr>
            </w:pPr>
          </w:p>
        </w:tc>
      </w:tr>
      <w:tr w14:paraId="0431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jc w:val="center"/>
        </w:trPr>
        <w:tc>
          <w:tcPr>
            <w:tcW w:w="483" w:type="dxa"/>
            <w:vAlign w:val="center"/>
          </w:tcPr>
          <w:p w14:paraId="56DD7361">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22" w:type="dxa"/>
            <w:vAlign w:val="center"/>
          </w:tcPr>
          <w:p w14:paraId="5AC3FD8B">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690" w:type="dxa"/>
            <w:vAlign w:val="center"/>
          </w:tcPr>
          <w:p w14:paraId="5BC219AC">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6962" w:type="dxa"/>
            <w:vAlign w:val="center"/>
          </w:tcPr>
          <w:p w14:paraId="6E3EC15D">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z w:val="21"/>
                <w:szCs w:val="21"/>
                <w:highlight w:val="none"/>
                <w:lang w:val="en-US" w:eastAsia="zh-CN"/>
              </w:rPr>
              <w:t>得1</w:t>
            </w:r>
            <w:r>
              <w:rPr>
                <w:rFonts w:hint="eastAsia" w:ascii="仿宋" w:hAnsi="仿宋" w:eastAsia="仿宋" w:cs="仿宋"/>
                <w:color w:val="auto"/>
                <w:sz w:val="21"/>
                <w:szCs w:val="21"/>
                <w:highlight w:val="none"/>
              </w:rPr>
              <w:t>分，共得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lang w:eastAsia="zh-CN"/>
              </w:rPr>
              <w:t>。</w:t>
            </w:r>
          </w:p>
        </w:tc>
        <w:tc>
          <w:tcPr>
            <w:tcW w:w="537" w:type="dxa"/>
            <w:vAlign w:val="top"/>
          </w:tcPr>
          <w:p w14:paraId="4B184804">
            <w:pPr>
              <w:rPr>
                <w:rFonts w:ascii="Arial"/>
                <w:color w:val="auto"/>
                <w:sz w:val="21"/>
                <w:highlight w:val="none"/>
              </w:rPr>
            </w:pPr>
          </w:p>
        </w:tc>
      </w:tr>
      <w:tr w14:paraId="7F23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jc w:val="center"/>
        </w:trPr>
        <w:tc>
          <w:tcPr>
            <w:tcW w:w="483" w:type="dxa"/>
            <w:vAlign w:val="center"/>
          </w:tcPr>
          <w:p w14:paraId="126B6595">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22" w:type="dxa"/>
            <w:vAlign w:val="center"/>
          </w:tcPr>
          <w:p w14:paraId="3B749509">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690" w:type="dxa"/>
            <w:vAlign w:val="center"/>
          </w:tcPr>
          <w:p w14:paraId="01229AF0">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6962" w:type="dxa"/>
            <w:vAlign w:val="center"/>
          </w:tcPr>
          <w:p w14:paraId="13AAC92A">
            <w:pPr>
              <w:pStyle w:val="22"/>
              <w:keepNext w:val="0"/>
              <w:keepLines w:val="0"/>
              <w:pageBreakBefore w:val="0"/>
              <w:widowControl/>
              <w:numPr>
                <w:ilvl w:val="0"/>
                <w:numId w:val="2"/>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评估负责人执业年限3年及以上（从注册评估师初始注册计算）得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E40B754">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52B7733">
            <w:pPr>
              <w:pStyle w:val="22"/>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3、评估负责人每提供一个业绩得1分，最多得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37" w:type="dxa"/>
            <w:vAlign w:val="top"/>
          </w:tcPr>
          <w:p w14:paraId="4F4D4704">
            <w:pPr>
              <w:rPr>
                <w:rFonts w:ascii="Arial"/>
                <w:color w:val="auto"/>
                <w:sz w:val="21"/>
                <w:highlight w:val="none"/>
              </w:rPr>
            </w:pPr>
          </w:p>
        </w:tc>
      </w:tr>
    </w:tbl>
    <w:p w14:paraId="0867C64D">
      <w:pPr>
        <w:spacing w:line="195" w:lineRule="exact"/>
        <w:rPr>
          <w:color w:val="auto"/>
          <w:highlight w:val="none"/>
        </w:rPr>
      </w:pPr>
    </w:p>
    <w:p w14:paraId="4A395679">
      <w:pPr>
        <w:rPr>
          <w:rFonts w:ascii="Arial"/>
          <w:color w:val="auto"/>
          <w:sz w:val="21"/>
          <w:highlight w:val="none"/>
        </w:rPr>
      </w:pPr>
    </w:p>
    <w:p w14:paraId="3A2679F2">
      <w:pPr>
        <w:rPr>
          <w:rFonts w:hint="eastAsia" w:ascii="仿宋" w:hAnsi="仿宋" w:eastAsia="仿宋" w:cs="仿宋"/>
          <w:b/>
          <w:bCs/>
          <w:color w:val="auto"/>
          <w:sz w:val="28"/>
          <w:szCs w:val="28"/>
          <w:highlight w:val="none"/>
          <w:lang w:val="en-US" w:eastAsia="zh-CN"/>
        </w:rPr>
      </w:pPr>
    </w:p>
    <w:p w14:paraId="70CF232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标项2：</w:t>
      </w:r>
    </w:p>
    <w:p w14:paraId="0946B637">
      <w:pPr>
        <w:pStyle w:val="5"/>
        <w:rPr>
          <w:rFonts w:hint="eastAsia"/>
          <w:color w:val="auto"/>
          <w:highlight w:val="none"/>
          <w:lang w:val="en-US" w:eastAsia="zh-CN"/>
        </w:rPr>
      </w:pPr>
    </w:p>
    <w:tbl>
      <w:tblPr>
        <w:tblStyle w:val="21"/>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231"/>
        <w:gridCol w:w="601"/>
        <w:gridCol w:w="7106"/>
        <w:gridCol w:w="342"/>
      </w:tblGrid>
      <w:tr w14:paraId="7062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474" w:type="dxa"/>
            <w:vAlign w:val="center"/>
          </w:tcPr>
          <w:p w14:paraId="14CDBDB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31" w:type="dxa"/>
            <w:vAlign w:val="center"/>
          </w:tcPr>
          <w:p w14:paraId="179693ED">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601" w:type="dxa"/>
            <w:vAlign w:val="center"/>
          </w:tcPr>
          <w:p w14:paraId="3F1D99E4">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7106" w:type="dxa"/>
            <w:vAlign w:val="center"/>
          </w:tcPr>
          <w:p w14:paraId="0C45DCA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342" w:type="dxa"/>
            <w:vAlign w:val="center"/>
          </w:tcPr>
          <w:p w14:paraId="75A120C8">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368E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474" w:type="dxa"/>
            <w:vAlign w:val="center"/>
          </w:tcPr>
          <w:p w14:paraId="50F3A9E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31" w:type="dxa"/>
            <w:vAlign w:val="center"/>
          </w:tcPr>
          <w:p w14:paraId="2D504325">
            <w:pPr>
              <w:pStyle w:val="22"/>
              <w:spacing w:before="75" w:line="226" w:lineRule="auto"/>
              <w:jc w:val="center"/>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报价</w:t>
            </w:r>
          </w:p>
          <w:p w14:paraId="785D1139">
            <w:pPr>
              <w:pStyle w:val="22"/>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部</w:t>
            </w:r>
            <w:r>
              <w:rPr>
                <w:rFonts w:hint="eastAsia" w:ascii="仿宋" w:hAnsi="仿宋" w:eastAsia="仿宋" w:cs="仿宋"/>
                <w:color w:val="auto"/>
                <w:sz w:val="21"/>
                <w:szCs w:val="21"/>
                <w:highlight w:val="none"/>
              </w:rPr>
              <w:t>分</w:t>
            </w:r>
          </w:p>
        </w:tc>
        <w:tc>
          <w:tcPr>
            <w:tcW w:w="601" w:type="dxa"/>
            <w:vAlign w:val="center"/>
          </w:tcPr>
          <w:p w14:paraId="14A66042">
            <w:pPr>
              <w:pStyle w:val="22"/>
              <w:spacing w:before="74" w:line="188" w:lineRule="auto"/>
              <w:jc w:val="center"/>
              <w:rPr>
                <w:rFonts w:hint="eastAsia" w:ascii="仿宋" w:hAnsi="仿宋" w:eastAsia="仿宋" w:cs="仿宋"/>
                <w:color w:val="auto"/>
                <w:sz w:val="21"/>
                <w:szCs w:val="21"/>
                <w:highlight w:val="none"/>
              </w:rPr>
            </w:pPr>
          </w:p>
          <w:p w14:paraId="49CD4828">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0分</w:t>
            </w:r>
          </w:p>
        </w:tc>
        <w:tc>
          <w:tcPr>
            <w:tcW w:w="7106" w:type="dxa"/>
            <w:vAlign w:val="center"/>
          </w:tcPr>
          <w:p w14:paraId="643F4C3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122E14D3">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 ×100</w:t>
            </w:r>
          </w:p>
        </w:tc>
        <w:tc>
          <w:tcPr>
            <w:tcW w:w="342" w:type="dxa"/>
            <w:vAlign w:val="top"/>
          </w:tcPr>
          <w:p w14:paraId="1F05E7BA">
            <w:pPr>
              <w:rPr>
                <w:rFonts w:ascii="Arial"/>
                <w:color w:val="auto"/>
                <w:sz w:val="21"/>
                <w:highlight w:val="none"/>
              </w:rPr>
            </w:pPr>
          </w:p>
        </w:tc>
      </w:tr>
      <w:tr w14:paraId="7E92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474" w:type="dxa"/>
            <w:vAlign w:val="center"/>
          </w:tcPr>
          <w:p w14:paraId="67C6F897">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31" w:type="dxa"/>
            <w:vAlign w:val="center"/>
          </w:tcPr>
          <w:p w14:paraId="1D8732F4">
            <w:pPr>
              <w:pStyle w:val="22"/>
              <w:spacing w:before="74"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601" w:type="dxa"/>
            <w:vAlign w:val="center"/>
          </w:tcPr>
          <w:p w14:paraId="31BAEEA4">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w:t>
            </w:r>
          </w:p>
        </w:tc>
        <w:tc>
          <w:tcPr>
            <w:tcW w:w="7106" w:type="dxa"/>
            <w:vAlign w:val="center"/>
          </w:tcPr>
          <w:p w14:paraId="5D167519">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分。（业绩证明材料需提供评估咨询合同、评估报告。以上材料均须复印件加盖供应商公章，业绩证明材料提供齐全视为有效业绩，未提供或提供不齐全视为无效业绩不得分。</w:t>
            </w:r>
          </w:p>
        </w:tc>
        <w:tc>
          <w:tcPr>
            <w:tcW w:w="342" w:type="dxa"/>
            <w:vAlign w:val="top"/>
          </w:tcPr>
          <w:p w14:paraId="6E136EA2">
            <w:pPr>
              <w:rPr>
                <w:rFonts w:ascii="Arial"/>
                <w:color w:val="auto"/>
                <w:sz w:val="21"/>
                <w:highlight w:val="none"/>
              </w:rPr>
            </w:pPr>
          </w:p>
        </w:tc>
      </w:tr>
      <w:tr w14:paraId="49C8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474" w:type="dxa"/>
            <w:vAlign w:val="center"/>
          </w:tcPr>
          <w:p w14:paraId="77BC5540">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31" w:type="dxa"/>
            <w:vAlign w:val="center"/>
          </w:tcPr>
          <w:p w14:paraId="4250B032">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6CAD88A">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01" w:type="dxa"/>
            <w:vAlign w:val="center"/>
          </w:tcPr>
          <w:p w14:paraId="1E7C0E61">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7106" w:type="dxa"/>
            <w:vAlign w:val="center"/>
          </w:tcPr>
          <w:p w14:paraId="7C6DE59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7181A1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78999AC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6D6C2D6D">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342" w:type="dxa"/>
            <w:vAlign w:val="top"/>
          </w:tcPr>
          <w:p w14:paraId="5DE221F7">
            <w:pPr>
              <w:rPr>
                <w:rFonts w:ascii="Arial"/>
                <w:color w:val="auto"/>
                <w:sz w:val="21"/>
                <w:highlight w:val="none"/>
              </w:rPr>
            </w:pPr>
          </w:p>
        </w:tc>
      </w:tr>
      <w:tr w14:paraId="0789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jc w:val="center"/>
        </w:trPr>
        <w:tc>
          <w:tcPr>
            <w:tcW w:w="474" w:type="dxa"/>
            <w:vAlign w:val="center"/>
          </w:tcPr>
          <w:p w14:paraId="4021FC0D">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31" w:type="dxa"/>
            <w:vAlign w:val="center"/>
          </w:tcPr>
          <w:p w14:paraId="32609715">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00B3CC10">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601" w:type="dxa"/>
            <w:vAlign w:val="center"/>
          </w:tcPr>
          <w:p w14:paraId="17E15B26">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0BA4F3B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26B25F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46CBA8B8">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3、质量控制方案内容不够全面、不够详细、不够具体、不够合理,针对性有所欠缺得2分；未提供的不得分。</w:t>
            </w:r>
          </w:p>
        </w:tc>
        <w:tc>
          <w:tcPr>
            <w:tcW w:w="342" w:type="dxa"/>
            <w:vAlign w:val="top"/>
          </w:tcPr>
          <w:p w14:paraId="582413D0">
            <w:pPr>
              <w:rPr>
                <w:rFonts w:ascii="Arial"/>
                <w:color w:val="auto"/>
                <w:sz w:val="21"/>
                <w:highlight w:val="none"/>
              </w:rPr>
            </w:pPr>
          </w:p>
        </w:tc>
      </w:tr>
      <w:tr w14:paraId="6B34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jc w:val="center"/>
        </w:trPr>
        <w:tc>
          <w:tcPr>
            <w:tcW w:w="474" w:type="dxa"/>
            <w:vAlign w:val="center"/>
          </w:tcPr>
          <w:p w14:paraId="718716CB">
            <w:pPr>
              <w:pStyle w:val="22"/>
              <w:spacing w:before="75"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31" w:type="dxa"/>
            <w:vAlign w:val="center"/>
          </w:tcPr>
          <w:p w14:paraId="29FE6F5D">
            <w:pPr>
              <w:pStyle w:val="22"/>
              <w:spacing w:before="74" w:line="227"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服务</w:t>
            </w:r>
            <w:r>
              <w:rPr>
                <w:rFonts w:hint="eastAsia" w:ascii="仿宋" w:hAnsi="仿宋" w:eastAsia="仿宋" w:cs="仿宋"/>
                <w:color w:val="auto"/>
                <w:spacing w:val="1"/>
                <w:sz w:val="21"/>
                <w:szCs w:val="21"/>
                <w:highlight w:val="none"/>
              </w:rPr>
              <w:t>方案</w:t>
            </w:r>
          </w:p>
        </w:tc>
        <w:tc>
          <w:tcPr>
            <w:tcW w:w="601" w:type="dxa"/>
            <w:vAlign w:val="center"/>
          </w:tcPr>
          <w:p w14:paraId="109B5452">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4C9E551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1EA41A5E">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、服务方案及承诺全面、合理、科学、可行性强得10分</w:t>
            </w:r>
            <w:r>
              <w:rPr>
                <w:rFonts w:hint="eastAsia" w:ascii="仿宋" w:hAnsi="仿宋" w:eastAsia="仿宋" w:cs="仿宋"/>
                <w:color w:val="auto"/>
                <w:sz w:val="21"/>
                <w:szCs w:val="21"/>
                <w:highlight w:val="none"/>
                <w:lang w:eastAsia="zh-CN"/>
              </w:rPr>
              <w:t>；</w:t>
            </w:r>
          </w:p>
          <w:p w14:paraId="0E326B0F">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2、服务方案及承诺较全面、比较合理、科学、但可行得5分</w:t>
            </w:r>
            <w:r>
              <w:rPr>
                <w:rFonts w:hint="eastAsia" w:ascii="仿宋" w:hAnsi="仿宋" w:eastAsia="仿宋" w:cs="仿宋"/>
                <w:color w:val="auto"/>
                <w:sz w:val="21"/>
                <w:szCs w:val="21"/>
                <w:highlight w:val="none"/>
                <w:lang w:eastAsia="zh-CN"/>
              </w:rPr>
              <w:t>；</w:t>
            </w:r>
          </w:p>
          <w:p w14:paraId="5391D806">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59A9AFD1">
            <w:pPr>
              <w:rPr>
                <w:rFonts w:ascii="Arial"/>
                <w:color w:val="auto"/>
                <w:sz w:val="21"/>
                <w:highlight w:val="none"/>
              </w:rPr>
            </w:pPr>
          </w:p>
        </w:tc>
      </w:tr>
      <w:tr w14:paraId="7FE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474" w:type="dxa"/>
            <w:vAlign w:val="top"/>
          </w:tcPr>
          <w:p w14:paraId="4731AA55">
            <w:pPr>
              <w:spacing w:line="478" w:lineRule="auto"/>
              <w:jc w:val="center"/>
              <w:rPr>
                <w:rFonts w:hint="eastAsia" w:ascii="仿宋" w:hAnsi="仿宋" w:eastAsia="仿宋" w:cs="仿宋"/>
                <w:color w:val="auto"/>
                <w:sz w:val="21"/>
                <w:szCs w:val="21"/>
                <w:highlight w:val="none"/>
              </w:rPr>
            </w:pPr>
          </w:p>
          <w:p w14:paraId="0DC497E5">
            <w:pPr>
              <w:pStyle w:val="22"/>
              <w:spacing w:before="75" w:line="189" w:lineRule="auto"/>
              <w:ind w:left="13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31" w:type="dxa"/>
            <w:vAlign w:val="top"/>
          </w:tcPr>
          <w:p w14:paraId="0B62783F">
            <w:pPr>
              <w:pStyle w:val="22"/>
              <w:spacing w:before="286" w:line="228" w:lineRule="auto"/>
              <w:ind w:left="123"/>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22DD5F99">
            <w:pPr>
              <w:pStyle w:val="22"/>
              <w:spacing w:before="183" w:line="228" w:lineRule="auto"/>
              <w:ind w:left="122" w:leftChars="0"/>
              <w:jc w:val="center"/>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提交</w:t>
            </w:r>
          </w:p>
        </w:tc>
        <w:tc>
          <w:tcPr>
            <w:tcW w:w="601" w:type="dxa"/>
            <w:vAlign w:val="top"/>
          </w:tcPr>
          <w:p w14:paraId="18DBE94D">
            <w:pPr>
              <w:pStyle w:val="22"/>
              <w:spacing w:before="74" w:line="188" w:lineRule="auto"/>
              <w:jc w:val="center"/>
              <w:rPr>
                <w:rFonts w:hint="eastAsia" w:ascii="仿宋" w:hAnsi="仿宋" w:eastAsia="仿宋" w:cs="仿宋"/>
                <w:color w:val="auto"/>
                <w:sz w:val="21"/>
                <w:szCs w:val="21"/>
                <w:highlight w:val="none"/>
              </w:rPr>
            </w:pPr>
          </w:p>
          <w:p w14:paraId="177F0BCF">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9FA3575">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以评估各阶段的组织安排科学合理，能满足计划要求，切实可行进行，由评委根据投标文件情况进 行打分；优秀的10分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良的6分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差的2分。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6B69D786">
            <w:pPr>
              <w:rPr>
                <w:rFonts w:ascii="Arial"/>
                <w:color w:val="auto"/>
                <w:sz w:val="21"/>
                <w:highlight w:val="none"/>
              </w:rPr>
            </w:pPr>
          </w:p>
        </w:tc>
      </w:tr>
      <w:tr w14:paraId="0C5A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474" w:type="dxa"/>
            <w:vAlign w:val="center"/>
          </w:tcPr>
          <w:p w14:paraId="6152676C">
            <w:pPr>
              <w:pStyle w:val="22"/>
              <w:spacing w:before="74"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31" w:type="dxa"/>
            <w:vAlign w:val="center"/>
          </w:tcPr>
          <w:p w14:paraId="7DBCF5B9">
            <w:pPr>
              <w:pStyle w:val="22"/>
              <w:spacing w:before="75" w:line="229"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人员</w:t>
            </w:r>
            <w:r>
              <w:rPr>
                <w:rFonts w:hint="eastAsia" w:ascii="仿宋" w:hAnsi="仿宋" w:eastAsia="仿宋" w:cs="仿宋"/>
                <w:color w:val="auto"/>
                <w:spacing w:val="1"/>
                <w:sz w:val="21"/>
                <w:szCs w:val="21"/>
                <w:highlight w:val="none"/>
              </w:rPr>
              <w:t>情况</w:t>
            </w:r>
          </w:p>
        </w:tc>
        <w:tc>
          <w:tcPr>
            <w:tcW w:w="601" w:type="dxa"/>
            <w:vAlign w:val="center"/>
          </w:tcPr>
          <w:p w14:paraId="56FFD8BF">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7106" w:type="dxa"/>
            <w:vAlign w:val="center"/>
          </w:tcPr>
          <w:p w14:paraId="10B87E6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投标人须提供本项目服务团队人员表（附项目服务人员表包括项目负责人及其它人员信息、联系电话、社保证明）每提供一人</w:t>
            </w:r>
            <w:r>
              <w:rPr>
                <w:rFonts w:hint="eastAsia" w:ascii="仿宋" w:hAnsi="仿宋" w:eastAsia="仿宋" w:cs="仿宋"/>
                <w:color w:val="auto"/>
                <w:sz w:val="21"/>
                <w:szCs w:val="21"/>
                <w:highlight w:val="none"/>
                <w:lang w:val="en-US" w:eastAsia="zh-CN"/>
              </w:rPr>
              <w:t>得1</w:t>
            </w:r>
            <w:r>
              <w:rPr>
                <w:rFonts w:hint="eastAsia" w:ascii="仿宋" w:hAnsi="仿宋" w:eastAsia="仿宋" w:cs="仿宋"/>
                <w:color w:val="auto"/>
                <w:sz w:val="21"/>
                <w:szCs w:val="21"/>
                <w:highlight w:val="none"/>
              </w:rPr>
              <w:t>分，共得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p>
        </w:tc>
        <w:tc>
          <w:tcPr>
            <w:tcW w:w="342" w:type="dxa"/>
            <w:vAlign w:val="top"/>
          </w:tcPr>
          <w:p w14:paraId="1C69EBF4">
            <w:pPr>
              <w:rPr>
                <w:rFonts w:ascii="Arial"/>
                <w:color w:val="auto"/>
                <w:sz w:val="21"/>
                <w:highlight w:val="none"/>
              </w:rPr>
            </w:pPr>
          </w:p>
        </w:tc>
      </w:tr>
      <w:tr w14:paraId="7A9C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74" w:type="dxa"/>
            <w:vAlign w:val="center"/>
          </w:tcPr>
          <w:p w14:paraId="1CD65F02">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31" w:type="dxa"/>
            <w:vAlign w:val="center"/>
          </w:tcPr>
          <w:p w14:paraId="29F7B256">
            <w:pPr>
              <w:pStyle w:val="22"/>
              <w:spacing w:before="75" w:line="227"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项目负</w:t>
            </w:r>
            <w:r>
              <w:rPr>
                <w:rFonts w:hint="eastAsia" w:ascii="仿宋" w:hAnsi="仿宋" w:eastAsia="仿宋" w:cs="仿宋"/>
                <w:color w:val="auto"/>
                <w:spacing w:val="-4"/>
                <w:sz w:val="21"/>
                <w:szCs w:val="21"/>
                <w:highlight w:val="none"/>
              </w:rPr>
              <w:t>责人</w:t>
            </w:r>
          </w:p>
        </w:tc>
        <w:tc>
          <w:tcPr>
            <w:tcW w:w="601" w:type="dxa"/>
            <w:vAlign w:val="center"/>
          </w:tcPr>
          <w:p w14:paraId="525F792D">
            <w:pPr>
              <w:pStyle w:val="22"/>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7106" w:type="dxa"/>
            <w:vAlign w:val="center"/>
          </w:tcPr>
          <w:p w14:paraId="3EA6ECE0">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1、评估负责人执业年限3年及以上（从注册评估师初始注册计算）得3分（需提供相关证书，及近三月社保证明）</w:t>
            </w:r>
            <w:r>
              <w:rPr>
                <w:rFonts w:hint="eastAsia" w:ascii="仿宋" w:hAnsi="仿宋" w:eastAsia="仿宋" w:cs="仿宋"/>
                <w:color w:val="auto"/>
                <w:sz w:val="21"/>
                <w:szCs w:val="21"/>
                <w:highlight w:val="none"/>
                <w:lang w:eastAsia="zh-CN"/>
              </w:rPr>
              <w:t>；</w:t>
            </w:r>
          </w:p>
          <w:p w14:paraId="4266CC62">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2、每提供一名注册评估师得1分，最多得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分（需提供相关证书及近三月社保证明）</w:t>
            </w:r>
            <w:r>
              <w:rPr>
                <w:rFonts w:hint="eastAsia" w:ascii="仿宋" w:hAnsi="仿宋" w:eastAsia="仿宋" w:cs="仿宋"/>
                <w:color w:val="auto"/>
                <w:sz w:val="21"/>
                <w:szCs w:val="21"/>
                <w:highlight w:val="none"/>
                <w:lang w:eastAsia="zh-CN"/>
              </w:rPr>
              <w:t>；</w:t>
            </w:r>
          </w:p>
          <w:p w14:paraId="1B7EB13B">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3、评估负责人每提供一个业绩得1分，最多得4分（需提供评估报告）</w:t>
            </w:r>
            <w:r>
              <w:rPr>
                <w:rFonts w:hint="eastAsia" w:ascii="仿宋" w:hAnsi="仿宋" w:eastAsia="仿宋" w:cs="仿宋"/>
                <w:color w:val="auto"/>
                <w:sz w:val="21"/>
                <w:szCs w:val="21"/>
                <w:highlight w:val="none"/>
                <w:lang w:eastAsia="zh-CN"/>
              </w:rPr>
              <w:t>。</w:t>
            </w:r>
          </w:p>
        </w:tc>
        <w:tc>
          <w:tcPr>
            <w:tcW w:w="342" w:type="dxa"/>
            <w:vAlign w:val="top"/>
          </w:tcPr>
          <w:p w14:paraId="4412AF9D">
            <w:pPr>
              <w:pStyle w:val="22"/>
              <w:spacing w:before="72" w:line="319" w:lineRule="auto"/>
              <w:ind w:left="120" w:right="95" w:firstLine="35"/>
              <w:jc w:val="left"/>
              <w:rPr>
                <w:rFonts w:hint="eastAsia" w:ascii="仿宋" w:hAnsi="仿宋" w:eastAsia="仿宋" w:cs="仿宋"/>
                <w:color w:val="auto"/>
                <w:spacing w:val="7"/>
                <w:sz w:val="21"/>
                <w:szCs w:val="21"/>
                <w:highlight w:val="none"/>
              </w:rPr>
            </w:pPr>
          </w:p>
        </w:tc>
      </w:tr>
    </w:tbl>
    <w:p w14:paraId="09BC19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4355FB7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5BE474F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67C6C11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1CEF20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标项3：</w:t>
      </w:r>
    </w:p>
    <w:p w14:paraId="6EC614C4">
      <w:pPr>
        <w:pStyle w:val="5"/>
        <w:rPr>
          <w:rFonts w:hint="eastAsia"/>
          <w:color w:val="auto"/>
          <w:highlight w:val="none"/>
          <w:lang w:val="en-US" w:eastAsia="zh-CN"/>
        </w:rPr>
      </w:pPr>
    </w:p>
    <w:tbl>
      <w:tblPr>
        <w:tblStyle w:val="21"/>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32"/>
        <w:gridCol w:w="742"/>
        <w:gridCol w:w="6777"/>
        <w:gridCol w:w="530"/>
      </w:tblGrid>
      <w:tr w14:paraId="083E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73" w:type="dxa"/>
            <w:vAlign w:val="center"/>
          </w:tcPr>
          <w:p w14:paraId="0FF9E039">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132" w:type="dxa"/>
            <w:vAlign w:val="center"/>
          </w:tcPr>
          <w:p w14:paraId="72987E30">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42" w:type="dxa"/>
            <w:vAlign w:val="center"/>
          </w:tcPr>
          <w:p w14:paraId="0F7976A9">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7" w:type="dxa"/>
            <w:vAlign w:val="center"/>
          </w:tcPr>
          <w:p w14:paraId="12357362">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530" w:type="dxa"/>
            <w:vAlign w:val="center"/>
          </w:tcPr>
          <w:p w14:paraId="1B1897C5">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44E7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73" w:type="dxa"/>
            <w:vAlign w:val="center"/>
          </w:tcPr>
          <w:p w14:paraId="42547A7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2" w:type="dxa"/>
            <w:vAlign w:val="center"/>
          </w:tcPr>
          <w:p w14:paraId="05C595BB">
            <w:pPr>
              <w:pStyle w:val="22"/>
              <w:spacing w:before="280" w:line="24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742" w:type="dxa"/>
            <w:vAlign w:val="center"/>
          </w:tcPr>
          <w:p w14:paraId="57336AEE">
            <w:pPr>
              <w:pStyle w:val="22"/>
              <w:spacing w:before="74"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777" w:type="dxa"/>
            <w:vAlign w:val="center"/>
          </w:tcPr>
          <w:p w14:paraId="7C5F0747">
            <w:pPr>
              <w:pStyle w:val="22"/>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投标单位近三年（投标截止日前三年）每提供一项业绩得2分，满分为10分。（业绩证明材料需提供合同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以上材料均须复印件加盖供应商公章，业绩证明材料提供齐全视为有效业绩，未提供或提供不齐全视为无效业绩不得分。</w:t>
            </w:r>
          </w:p>
        </w:tc>
        <w:tc>
          <w:tcPr>
            <w:tcW w:w="530" w:type="dxa"/>
            <w:vAlign w:val="top"/>
          </w:tcPr>
          <w:p w14:paraId="306D2071">
            <w:pPr>
              <w:rPr>
                <w:rFonts w:ascii="Arial"/>
                <w:color w:val="auto"/>
                <w:sz w:val="21"/>
                <w:highlight w:val="none"/>
              </w:rPr>
            </w:pPr>
          </w:p>
        </w:tc>
      </w:tr>
      <w:tr w14:paraId="1DB9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573" w:type="dxa"/>
            <w:vAlign w:val="center"/>
          </w:tcPr>
          <w:p w14:paraId="18C70094">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2" w:type="dxa"/>
            <w:vAlign w:val="center"/>
          </w:tcPr>
          <w:p w14:paraId="328B5D5A">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车辆</w:t>
            </w:r>
            <w:r>
              <w:rPr>
                <w:rFonts w:hint="eastAsia" w:ascii="仿宋" w:hAnsi="仿宋" w:eastAsia="仿宋" w:cs="仿宋"/>
                <w:color w:val="auto"/>
                <w:sz w:val="21"/>
                <w:szCs w:val="21"/>
                <w:highlight w:val="none"/>
                <w:lang w:val="en-US" w:eastAsia="zh-CN"/>
              </w:rPr>
              <w:t>配</w:t>
            </w:r>
            <w:r>
              <w:rPr>
                <w:rFonts w:hint="eastAsia" w:ascii="仿宋" w:hAnsi="仿宋" w:eastAsia="仿宋" w:cs="仿宋"/>
                <w:color w:val="auto"/>
                <w:sz w:val="21"/>
                <w:szCs w:val="21"/>
                <w:highlight w:val="none"/>
              </w:rPr>
              <w:t>备</w:t>
            </w:r>
          </w:p>
        </w:tc>
        <w:tc>
          <w:tcPr>
            <w:tcW w:w="742" w:type="dxa"/>
            <w:vAlign w:val="center"/>
          </w:tcPr>
          <w:p w14:paraId="3247700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7" w:type="dxa"/>
            <w:vAlign w:val="top"/>
          </w:tcPr>
          <w:p w14:paraId="63597DDF">
            <w:pPr>
              <w:pStyle w:val="22"/>
              <w:spacing w:before="175" w:line="240" w:lineRule="auto"/>
              <w:ind w:left="119"/>
              <w:outlineLvl w:val="1"/>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供应商配备轻型或中型载货汽车一辆加2分，最多加10分。（自</w:t>
            </w:r>
            <w:r>
              <w:rPr>
                <w:rFonts w:hint="eastAsia" w:ascii="仿宋" w:hAnsi="仿宋" w:eastAsia="仿宋" w:cs="仿宋"/>
                <w:color w:val="auto"/>
                <w:spacing w:val="8"/>
                <w:sz w:val="21"/>
                <w:szCs w:val="21"/>
                <w:highlight w:val="none"/>
              </w:rPr>
              <w:t>有车辆提供相应的行车证、非公司自有车辆提供相应的行车证及车辆租赁合同为证明材料，否则不得分）</w:t>
            </w:r>
          </w:p>
        </w:tc>
        <w:tc>
          <w:tcPr>
            <w:tcW w:w="530" w:type="dxa"/>
            <w:vAlign w:val="top"/>
          </w:tcPr>
          <w:p w14:paraId="17413086">
            <w:pPr>
              <w:rPr>
                <w:rFonts w:ascii="Arial"/>
                <w:color w:val="auto"/>
                <w:sz w:val="21"/>
                <w:highlight w:val="none"/>
              </w:rPr>
            </w:pPr>
          </w:p>
        </w:tc>
      </w:tr>
      <w:tr w14:paraId="7A19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573" w:type="dxa"/>
            <w:vAlign w:val="center"/>
          </w:tcPr>
          <w:p w14:paraId="40D6D055">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32" w:type="dxa"/>
            <w:vAlign w:val="center"/>
          </w:tcPr>
          <w:p w14:paraId="188B924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42" w:type="dxa"/>
            <w:vAlign w:val="center"/>
          </w:tcPr>
          <w:p w14:paraId="7870C9BB">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7" w:type="dxa"/>
            <w:vAlign w:val="center"/>
          </w:tcPr>
          <w:p w14:paraId="3C3E8A32">
            <w:pPr>
              <w:pStyle w:val="22"/>
              <w:spacing w:before="53" w:line="240" w:lineRule="auto"/>
              <w:ind w:left="118"/>
              <w:jc w:val="left"/>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对应每辆货车应配备驾驶员1人、装卸打包人员2人。以上人员</w:t>
            </w:r>
            <w:r>
              <w:rPr>
                <w:rFonts w:hint="eastAsia" w:ascii="仿宋" w:hAnsi="仿宋" w:eastAsia="仿宋" w:cs="仿宋"/>
                <w:color w:val="auto"/>
                <w:spacing w:val="7"/>
                <w:sz w:val="21"/>
                <w:szCs w:val="21"/>
                <w:highlight w:val="none"/>
              </w:rPr>
              <w:t>配备齐全，每三人为一组，每组3分，最得15分（提供相应的身</w:t>
            </w:r>
            <w:r>
              <w:rPr>
                <w:rFonts w:hint="eastAsia" w:ascii="仿宋" w:hAnsi="仿宋" w:eastAsia="仿宋" w:cs="仿宋"/>
                <w:color w:val="auto"/>
                <w:spacing w:val="8"/>
                <w:sz w:val="21"/>
                <w:szCs w:val="21"/>
                <w:highlight w:val="none"/>
              </w:rPr>
              <w:t>份证、驾驶证作为证明材料，否则不得分</w:t>
            </w:r>
            <w:r>
              <w:rPr>
                <w:rFonts w:hint="eastAsia" w:ascii="仿宋" w:hAnsi="仿宋" w:eastAsia="仿宋" w:cs="仿宋"/>
                <w:color w:val="auto"/>
                <w:spacing w:val="8"/>
                <w:sz w:val="21"/>
                <w:szCs w:val="21"/>
                <w:highlight w:val="none"/>
                <w:lang w:eastAsia="zh-CN"/>
              </w:rPr>
              <w:t>。</w:t>
            </w:r>
            <w:r>
              <w:rPr>
                <w:rFonts w:hint="eastAsia" w:ascii="仿宋" w:hAnsi="仿宋" w:eastAsia="仿宋" w:cs="仿宋"/>
                <w:color w:val="auto"/>
                <w:spacing w:val="8"/>
                <w:sz w:val="21"/>
                <w:szCs w:val="21"/>
                <w:highlight w:val="none"/>
              </w:rPr>
              <w:t>）</w:t>
            </w:r>
          </w:p>
        </w:tc>
        <w:tc>
          <w:tcPr>
            <w:tcW w:w="530" w:type="dxa"/>
            <w:vAlign w:val="top"/>
          </w:tcPr>
          <w:p w14:paraId="0859383D">
            <w:pPr>
              <w:rPr>
                <w:rFonts w:ascii="Arial"/>
                <w:color w:val="auto"/>
                <w:sz w:val="21"/>
                <w:highlight w:val="none"/>
              </w:rPr>
            </w:pPr>
          </w:p>
        </w:tc>
      </w:tr>
      <w:tr w14:paraId="412F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0" w:hRule="atLeast"/>
          <w:jc w:val="center"/>
        </w:trPr>
        <w:tc>
          <w:tcPr>
            <w:tcW w:w="573" w:type="dxa"/>
            <w:vAlign w:val="center"/>
          </w:tcPr>
          <w:p w14:paraId="3D0241D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132" w:type="dxa"/>
            <w:vAlign w:val="center"/>
          </w:tcPr>
          <w:p w14:paraId="6B4DC219">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4C0CF33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42" w:type="dxa"/>
            <w:vAlign w:val="center"/>
          </w:tcPr>
          <w:p w14:paraId="552B1F6E">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65分</w:t>
            </w:r>
          </w:p>
        </w:tc>
        <w:tc>
          <w:tcPr>
            <w:tcW w:w="6777" w:type="dxa"/>
            <w:vAlign w:val="center"/>
          </w:tcPr>
          <w:p w14:paraId="6CF40EC7">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应包括</w:t>
            </w:r>
          </w:p>
          <w:p w14:paraId="0582C9C3">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（1）安全管理措施（20分）</w:t>
            </w:r>
            <w:r>
              <w:rPr>
                <w:rFonts w:hint="eastAsia" w:ascii="仿宋" w:hAnsi="仿宋" w:eastAsia="仿宋" w:cs="仿宋"/>
                <w:color w:val="auto"/>
                <w:spacing w:val="7"/>
                <w:sz w:val="21"/>
                <w:szCs w:val="21"/>
                <w:highlight w:val="none"/>
                <w:lang w:eastAsia="zh-CN"/>
              </w:rPr>
              <w:t>；</w:t>
            </w:r>
          </w:p>
          <w:p w14:paraId="73DCC5A0">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（2）拆装打包方案（15分）</w:t>
            </w:r>
            <w:r>
              <w:rPr>
                <w:rFonts w:hint="eastAsia" w:ascii="仿宋" w:hAnsi="仿宋" w:eastAsia="仿宋" w:cs="仿宋"/>
                <w:color w:val="auto"/>
                <w:spacing w:val="7"/>
                <w:sz w:val="21"/>
                <w:szCs w:val="21"/>
                <w:highlight w:val="none"/>
                <w:lang w:eastAsia="zh-CN"/>
              </w:rPr>
              <w:t>；</w:t>
            </w:r>
          </w:p>
          <w:p w14:paraId="2E590887">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（3）运输方案（15分）</w:t>
            </w:r>
            <w:r>
              <w:rPr>
                <w:rFonts w:hint="eastAsia" w:ascii="仿宋" w:hAnsi="仿宋" w:eastAsia="仿宋" w:cs="仿宋"/>
                <w:color w:val="auto"/>
                <w:spacing w:val="7"/>
                <w:sz w:val="21"/>
                <w:szCs w:val="21"/>
                <w:highlight w:val="none"/>
                <w:lang w:eastAsia="zh-CN"/>
              </w:rPr>
              <w:t>；</w:t>
            </w:r>
          </w:p>
          <w:p w14:paraId="44A1FD47">
            <w:pPr>
              <w:pStyle w:val="22"/>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（4）装卸方案（15分）</w:t>
            </w:r>
            <w:r>
              <w:rPr>
                <w:rFonts w:hint="eastAsia" w:ascii="仿宋" w:hAnsi="仿宋" w:eastAsia="仿宋" w:cs="仿宋"/>
                <w:color w:val="auto"/>
                <w:spacing w:val="7"/>
                <w:sz w:val="21"/>
                <w:szCs w:val="21"/>
                <w:highlight w:val="none"/>
                <w:lang w:eastAsia="zh-CN"/>
              </w:rPr>
              <w:t>；</w:t>
            </w:r>
          </w:p>
          <w:p w14:paraId="1680B5F8">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以上每项内容描述思路清晰、有针对性、内容完整、科学合理、符合本项目特点得满分。</w:t>
            </w:r>
          </w:p>
          <w:p w14:paraId="1C01E277">
            <w:pPr>
              <w:pStyle w:val="22"/>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每存在一处描述不合理或不明确或针对性不强的扣1分，扣完为止</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7"/>
                <w:sz w:val="21"/>
                <w:szCs w:val="21"/>
                <w:highlight w:val="none"/>
              </w:rPr>
              <w:t>缺项则该项不得分。</w:t>
            </w:r>
          </w:p>
        </w:tc>
        <w:tc>
          <w:tcPr>
            <w:tcW w:w="530" w:type="dxa"/>
            <w:vAlign w:val="top"/>
          </w:tcPr>
          <w:p w14:paraId="73644DAB">
            <w:pPr>
              <w:rPr>
                <w:rFonts w:ascii="Arial"/>
                <w:color w:val="auto"/>
                <w:sz w:val="21"/>
                <w:highlight w:val="none"/>
              </w:rPr>
            </w:pPr>
          </w:p>
        </w:tc>
      </w:tr>
    </w:tbl>
    <w:p w14:paraId="14737E80">
      <w:pPr>
        <w:pStyle w:val="5"/>
        <w:rPr>
          <w:rFonts w:hint="eastAsia" w:eastAsia="宋体"/>
          <w:b/>
          <w:bCs/>
          <w:color w:val="auto"/>
          <w:sz w:val="28"/>
          <w:szCs w:val="28"/>
          <w:highlight w:val="none"/>
          <w:lang w:val="en-US" w:eastAsia="zh-CN"/>
        </w:rPr>
      </w:pPr>
    </w:p>
    <w:p w14:paraId="50EEF42F">
      <w:pPr>
        <w:pStyle w:val="5"/>
        <w:rPr>
          <w:rFonts w:hint="eastAsia" w:eastAsia="宋体"/>
          <w:b/>
          <w:bCs/>
          <w:color w:val="auto"/>
          <w:sz w:val="28"/>
          <w:szCs w:val="28"/>
          <w:highlight w:val="none"/>
          <w:lang w:val="en-US" w:eastAsia="zh-CN"/>
        </w:rPr>
      </w:pPr>
    </w:p>
    <w:p w14:paraId="76A210E0">
      <w:pPr>
        <w:pStyle w:val="5"/>
        <w:rPr>
          <w:rFonts w:hint="eastAsia" w:eastAsia="宋体"/>
          <w:b/>
          <w:bCs/>
          <w:color w:val="auto"/>
          <w:sz w:val="28"/>
          <w:szCs w:val="28"/>
          <w:highlight w:val="none"/>
          <w:lang w:val="en-US" w:eastAsia="zh-CN"/>
        </w:rPr>
      </w:pPr>
    </w:p>
    <w:p w14:paraId="0CC779A9">
      <w:pPr>
        <w:pStyle w:val="5"/>
        <w:rPr>
          <w:rFonts w:hint="eastAsia" w:eastAsia="宋体"/>
          <w:b/>
          <w:bCs/>
          <w:color w:val="auto"/>
          <w:sz w:val="28"/>
          <w:szCs w:val="28"/>
          <w:highlight w:val="none"/>
          <w:lang w:val="en-US" w:eastAsia="zh-CN"/>
        </w:rPr>
      </w:pPr>
    </w:p>
    <w:p w14:paraId="54BA04AC">
      <w:pPr>
        <w:pStyle w:val="5"/>
        <w:rPr>
          <w:rFonts w:hint="eastAsia" w:eastAsia="宋体"/>
          <w:b/>
          <w:bCs/>
          <w:color w:val="auto"/>
          <w:sz w:val="28"/>
          <w:szCs w:val="28"/>
          <w:highlight w:val="none"/>
          <w:lang w:val="en-US" w:eastAsia="zh-CN"/>
        </w:rPr>
      </w:pPr>
    </w:p>
    <w:p w14:paraId="7A499BD9">
      <w:pPr>
        <w:pStyle w:val="5"/>
        <w:rPr>
          <w:rFonts w:hint="eastAsia" w:eastAsia="宋体"/>
          <w:b/>
          <w:bCs/>
          <w:color w:val="auto"/>
          <w:sz w:val="28"/>
          <w:szCs w:val="28"/>
          <w:highlight w:val="none"/>
          <w:lang w:val="en-US" w:eastAsia="zh-CN"/>
        </w:rPr>
      </w:pPr>
    </w:p>
    <w:p w14:paraId="0296CED9">
      <w:pPr>
        <w:pStyle w:val="5"/>
        <w:rPr>
          <w:rFonts w:hint="eastAsia" w:eastAsia="宋体"/>
          <w:b/>
          <w:bCs/>
          <w:color w:val="auto"/>
          <w:sz w:val="28"/>
          <w:szCs w:val="28"/>
          <w:highlight w:val="none"/>
          <w:lang w:val="en-US" w:eastAsia="zh-CN"/>
        </w:rPr>
      </w:pPr>
    </w:p>
    <w:p w14:paraId="1F38B6C8">
      <w:pPr>
        <w:pStyle w:val="5"/>
        <w:rPr>
          <w:rFonts w:hint="eastAsia" w:eastAsia="宋体"/>
          <w:b/>
          <w:bCs/>
          <w:color w:val="auto"/>
          <w:sz w:val="28"/>
          <w:szCs w:val="28"/>
          <w:highlight w:val="none"/>
          <w:lang w:val="en-US" w:eastAsia="zh-CN"/>
        </w:rPr>
      </w:pPr>
    </w:p>
    <w:p w14:paraId="10B0712B">
      <w:pPr>
        <w:pStyle w:val="5"/>
        <w:rPr>
          <w:rFonts w:hint="eastAsia" w:eastAsia="宋体"/>
          <w:b/>
          <w:bCs/>
          <w:color w:val="auto"/>
          <w:sz w:val="28"/>
          <w:szCs w:val="28"/>
          <w:highlight w:val="none"/>
          <w:lang w:val="en-US" w:eastAsia="zh-CN"/>
        </w:rPr>
      </w:pPr>
    </w:p>
    <w:p w14:paraId="41D645FE">
      <w:pPr>
        <w:pStyle w:val="5"/>
        <w:rPr>
          <w:rFonts w:hint="eastAsia" w:eastAsia="宋体"/>
          <w:b/>
          <w:bCs/>
          <w:color w:val="auto"/>
          <w:sz w:val="28"/>
          <w:szCs w:val="28"/>
          <w:highlight w:val="none"/>
          <w:lang w:val="en-US" w:eastAsia="zh-CN"/>
        </w:rPr>
      </w:pPr>
    </w:p>
    <w:p w14:paraId="63409304">
      <w:pPr>
        <w:pStyle w:val="5"/>
        <w:rPr>
          <w:rFonts w:hint="eastAsia" w:eastAsia="宋体"/>
          <w:b/>
          <w:bCs/>
          <w:color w:val="auto"/>
          <w:sz w:val="28"/>
          <w:szCs w:val="28"/>
          <w:highlight w:val="none"/>
          <w:lang w:val="en-US" w:eastAsia="zh-CN"/>
        </w:rPr>
      </w:pPr>
    </w:p>
    <w:p w14:paraId="152E3AFD">
      <w:pPr>
        <w:pStyle w:val="5"/>
        <w:rPr>
          <w:rFonts w:hint="eastAsia" w:eastAsia="宋体"/>
          <w:b/>
          <w:bCs/>
          <w:color w:val="auto"/>
          <w:sz w:val="28"/>
          <w:szCs w:val="28"/>
          <w:highlight w:val="none"/>
          <w:lang w:val="en-US" w:eastAsia="zh-CN"/>
        </w:rPr>
      </w:pPr>
    </w:p>
    <w:p w14:paraId="229F0E9F">
      <w:pPr>
        <w:pStyle w:val="5"/>
        <w:rPr>
          <w:rFonts w:hint="eastAsia" w:eastAsia="宋体"/>
          <w:b/>
          <w:bCs/>
          <w:color w:val="auto"/>
          <w:sz w:val="28"/>
          <w:szCs w:val="28"/>
          <w:highlight w:val="none"/>
          <w:lang w:val="en-US" w:eastAsia="zh-CN"/>
        </w:rPr>
      </w:pPr>
    </w:p>
    <w:p w14:paraId="3FB2971D">
      <w:pPr>
        <w:pStyle w:val="5"/>
        <w:rPr>
          <w:rFonts w:hint="eastAsia" w:eastAsia="宋体"/>
          <w:b/>
          <w:bCs/>
          <w:color w:val="auto"/>
          <w:sz w:val="28"/>
          <w:szCs w:val="28"/>
          <w:highlight w:val="none"/>
          <w:lang w:val="en-US" w:eastAsia="zh-CN"/>
        </w:rPr>
      </w:pPr>
    </w:p>
    <w:p w14:paraId="626F19F3">
      <w:pPr>
        <w:pStyle w:val="5"/>
        <w:rPr>
          <w:rFonts w:hint="eastAsia" w:eastAsia="宋体"/>
          <w:b/>
          <w:bCs/>
          <w:color w:val="auto"/>
          <w:sz w:val="28"/>
          <w:szCs w:val="28"/>
          <w:highlight w:val="none"/>
          <w:lang w:val="en-US" w:eastAsia="zh-CN"/>
        </w:rPr>
      </w:pPr>
    </w:p>
    <w:p w14:paraId="079C621E">
      <w:pPr>
        <w:pStyle w:val="5"/>
        <w:rPr>
          <w:rFonts w:hint="eastAsia" w:eastAsia="宋体"/>
          <w:b/>
          <w:bCs/>
          <w:color w:val="auto"/>
          <w:sz w:val="28"/>
          <w:szCs w:val="28"/>
          <w:highlight w:val="none"/>
          <w:lang w:val="en-US" w:eastAsia="zh-CN"/>
        </w:rPr>
      </w:pPr>
    </w:p>
    <w:p w14:paraId="68887D7E">
      <w:pPr>
        <w:pStyle w:val="5"/>
        <w:rPr>
          <w:rFonts w:hint="eastAsia" w:eastAsia="宋体"/>
          <w:b/>
          <w:bCs/>
          <w:color w:val="auto"/>
          <w:sz w:val="28"/>
          <w:szCs w:val="28"/>
          <w:highlight w:val="none"/>
          <w:lang w:val="en-US" w:eastAsia="zh-CN"/>
        </w:rPr>
      </w:pPr>
    </w:p>
    <w:p w14:paraId="116E540D">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标项4：</w:t>
      </w:r>
    </w:p>
    <w:p w14:paraId="0F0156C4">
      <w:pPr>
        <w:pStyle w:val="5"/>
        <w:rPr>
          <w:rFonts w:hint="eastAsia" w:eastAsia="宋体"/>
          <w:b/>
          <w:bCs/>
          <w:color w:val="auto"/>
          <w:sz w:val="28"/>
          <w:szCs w:val="28"/>
          <w:highlight w:val="none"/>
          <w:lang w:val="en-US" w:eastAsia="zh-CN"/>
        </w:rPr>
      </w:pPr>
    </w:p>
    <w:tbl>
      <w:tblPr>
        <w:tblStyle w:val="21"/>
        <w:tblW w:w="10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778"/>
        <w:gridCol w:w="682"/>
      </w:tblGrid>
      <w:tr w14:paraId="1EC0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646" w:type="dxa"/>
            <w:vAlign w:val="center"/>
          </w:tcPr>
          <w:p w14:paraId="401589E6">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25" w:type="dxa"/>
            <w:vAlign w:val="center"/>
          </w:tcPr>
          <w:p w14:paraId="31D07B49">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449188F7">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8" w:type="dxa"/>
            <w:vAlign w:val="center"/>
          </w:tcPr>
          <w:p w14:paraId="4466B99F">
            <w:pPr>
              <w:pStyle w:val="22"/>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682" w:type="dxa"/>
            <w:vAlign w:val="center"/>
          </w:tcPr>
          <w:p w14:paraId="2E12CC6F">
            <w:pPr>
              <w:pStyle w:val="22"/>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5369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jc w:val="center"/>
        </w:trPr>
        <w:tc>
          <w:tcPr>
            <w:tcW w:w="646" w:type="dxa"/>
            <w:vAlign w:val="top"/>
          </w:tcPr>
          <w:p w14:paraId="5E4DA8B5">
            <w:pPr>
              <w:pStyle w:val="22"/>
              <w:spacing w:before="75" w:line="189" w:lineRule="auto"/>
              <w:jc w:val="center"/>
              <w:rPr>
                <w:rFonts w:hint="eastAsia" w:ascii="仿宋" w:hAnsi="仿宋" w:eastAsia="仿宋" w:cs="仿宋"/>
                <w:color w:val="auto"/>
                <w:sz w:val="21"/>
                <w:szCs w:val="21"/>
                <w:highlight w:val="none"/>
              </w:rPr>
            </w:pPr>
          </w:p>
          <w:p w14:paraId="420AE2F7">
            <w:pPr>
              <w:pStyle w:val="22"/>
              <w:spacing w:before="75" w:line="189" w:lineRule="auto"/>
              <w:jc w:val="center"/>
              <w:rPr>
                <w:rFonts w:hint="eastAsia" w:ascii="仿宋" w:hAnsi="仿宋" w:eastAsia="仿宋" w:cs="仿宋"/>
                <w:color w:val="auto"/>
                <w:sz w:val="21"/>
                <w:szCs w:val="21"/>
                <w:highlight w:val="none"/>
              </w:rPr>
            </w:pPr>
          </w:p>
          <w:p w14:paraId="20F5A483">
            <w:pPr>
              <w:pStyle w:val="22"/>
              <w:spacing w:before="75" w:line="189" w:lineRule="auto"/>
              <w:jc w:val="center"/>
              <w:rPr>
                <w:rFonts w:hint="eastAsia" w:ascii="仿宋" w:hAnsi="仿宋" w:eastAsia="仿宋" w:cs="仿宋"/>
                <w:color w:val="auto"/>
                <w:sz w:val="21"/>
                <w:szCs w:val="21"/>
                <w:highlight w:val="none"/>
              </w:rPr>
            </w:pPr>
          </w:p>
          <w:p w14:paraId="5AF76A08">
            <w:pPr>
              <w:pStyle w:val="22"/>
              <w:spacing w:before="75" w:line="189" w:lineRule="auto"/>
              <w:jc w:val="center"/>
              <w:rPr>
                <w:rFonts w:hint="eastAsia" w:ascii="仿宋" w:hAnsi="仿宋" w:eastAsia="仿宋" w:cs="仿宋"/>
                <w:color w:val="auto"/>
                <w:sz w:val="21"/>
                <w:szCs w:val="21"/>
                <w:highlight w:val="none"/>
              </w:rPr>
            </w:pPr>
          </w:p>
          <w:p w14:paraId="29E86C0A">
            <w:pPr>
              <w:pStyle w:val="22"/>
              <w:spacing w:before="75" w:line="189" w:lineRule="auto"/>
              <w:jc w:val="center"/>
              <w:rPr>
                <w:rFonts w:hint="eastAsia" w:ascii="仿宋" w:hAnsi="仿宋" w:eastAsia="仿宋" w:cs="仿宋"/>
                <w:color w:val="auto"/>
                <w:sz w:val="21"/>
                <w:szCs w:val="21"/>
                <w:highlight w:val="none"/>
              </w:rPr>
            </w:pPr>
          </w:p>
          <w:p w14:paraId="7C140F9C">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top"/>
          </w:tcPr>
          <w:p w14:paraId="3C60C71E">
            <w:pPr>
              <w:pStyle w:val="22"/>
              <w:spacing w:before="75" w:line="189" w:lineRule="auto"/>
              <w:jc w:val="center"/>
              <w:rPr>
                <w:rFonts w:hint="eastAsia" w:ascii="仿宋" w:hAnsi="仿宋" w:eastAsia="仿宋" w:cs="仿宋"/>
                <w:color w:val="auto"/>
                <w:sz w:val="21"/>
                <w:szCs w:val="21"/>
                <w:highlight w:val="none"/>
              </w:rPr>
            </w:pPr>
          </w:p>
          <w:p w14:paraId="5F9746CC">
            <w:pPr>
              <w:pStyle w:val="22"/>
              <w:spacing w:before="75" w:line="189" w:lineRule="auto"/>
              <w:jc w:val="center"/>
              <w:rPr>
                <w:rFonts w:hint="eastAsia" w:ascii="仿宋" w:hAnsi="仿宋" w:eastAsia="仿宋" w:cs="仿宋"/>
                <w:color w:val="auto"/>
                <w:sz w:val="21"/>
                <w:szCs w:val="21"/>
                <w:highlight w:val="none"/>
              </w:rPr>
            </w:pPr>
          </w:p>
          <w:p w14:paraId="7AD63C78">
            <w:pPr>
              <w:pStyle w:val="22"/>
              <w:spacing w:before="75" w:line="189" w:lineRule="auto"/>
              <w:jc w:val="center"/>
              <w:rPr>
                <w:rFonts w:hint="eastAsia" w:ascii="仿宋" w:hAnsi="仿宋" w:eastAsia="仿宋" w:cs="仿宋"/>
                <w:color w:val="auto"/>
                <w:sz w:val="21"/>
                <w:szCs w:val="21"/>
                <w:highlight w:val="none"/>
              </w:rPr>
            </w:pPr>
          </w:p>
          <w:p w14:paraId="1F51E35C">
            <w:pPr>
              <w:pStyle w:val="22"/>
              <w:spacing w:before="75" w:line="189" w:lineRule="auto"/>
              <w:jc w:val="center"/>
              <w:rPr>
                <w:rFonts w:hint="eastAsia" w:ascii="仿宋" w:hAnsi="仿宋" w:eastAsia="仿宋" w:cs="仿宋"/>
                <w:color w:val="auto"/>
                <w:sz w:val="21"/>
                <w:szCs w:val="21"/>
                <w:highlight w:val="none"/>
              </w:rPr>
            </w:pPr>
          </w:p>
          <w:p w14:paraId="20C799C1">
            <w:pPr>
              <w:pStyle w:val="22"/>
              <w:spacing w:before="75" w:line="189" w:lineRule="auto"/>
              <w:jc w:val="center"/>
              <w:rPr>
                <w:rFonts w:hint="eastAsia" w:ascii="仿宋" w:hAnsi="仿宋" w:eastAsia="仿宋" w:cs="仿宋"/>
                <w:color w:val="auto"/>
                <w:sz w:val="21"/>
                <w:szCs w:val="21"/>
                <w:highlight w:val="none"/>
              </w:rPr>
            </w:pPr>
          </w:p>
          <w:p w14:paraId="3F3E9E6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top"/>
          </w:tcPr>
          <w:p w14:paraId="22F48E1D">
            <w:pPr>
              <w:pStyle w:val="22"/>
              <w:spacing w:before="75" w:line="189" w:lineRule="auto"/>
              <w:jc w:val="center"/>
              <w:rPr>
                <w:rFonts w:hint="eastAsia" w:ascii="仿宋" w:hAnsi="仿宋" w:eastAsia="仿宋" w:cs="仿宋"/>
                <w:color w:val="auto"/>
                <w:sz w:val="21"/>
                <w:szCs w:val="21"/>
                <w:highlight w:val="none"/>
              </w:rPr>
            </w:pPr>
          </w:p>
          <w:p w14:paraId="36F7FCDE">
            <w:pPr>
              <w:pStyle w:val="22"/>
              <w:spacing w:before="75" w:line="189" w:lineRule="auto"/>
              <w:jc w:val="center"/>
              <w:rPr>
                <w:rFonts w:hint="eastAsia" w:ascii="仿宋" w:hAnsi="仿宋" w:eastAsia="仿宋" w:cs="仿宋"/>
                <w:color w:val="auto"/>
                <w:sz w:val="21"/>
                <w:szCs w:val="21"/>
                <w:highlight w:val="none"/>
              </w:rPr>
            </w:pPr>
          </w:p>
          <w:p w14:paraId="6F6B0A04">
            <w:pPr>
              <w:pStyle w:val="22"/>
              <w:spacing w:before="75" w:line="189" w:lineRule="auto"/>
              <w:jc w:val="center"/>
              <w:rPr>
                <w:rFonts w:hint="eastAsia" w:ascii="仿宋" w:hAnsi="仿宋" w:eastAsia="仿宋" w:cs="仿宋"/>
                <w:color w:val="auto"/>
                <w:sz w:val="21"/>
                <w:szCs w:val="21"/>
                <w:highlight w:val="none"/>
              </w:rPr>
            </w:pPr>
          </w:p>
          <w:p w14:paraId="5E3DABE0">
            <w:pPr>
              <w:pStyle w:val="22"/>
              <w:spacing w:before="75" w:line="189" w:lineRule="auto"/>
              <w:jc w:val="center"/>
              <w:rPr>
                <w:rFonts w:hint="eastAsia" w:ascii="仿宋" w:hAnsi="仿宋" w:eastAsia="仿宋" w:cs="仿宋"/>
                <w:color w:val="auto"/>
                <w:sz w:val="21"/>
                <w:szCs w:val="21"/>
                <w:highlight w:val="none"/>
              </w:rPr>
            </w:pPr>
          </w:p>
          <w:p w14:paraId="33356630">
            <w:pPr>
              <w:pStyle w:val="22"/>
              <w:spacing w:before="75" w:line="189" w:lineRule="auto"/>
              <w:jc w:val="center"/>
              <w:rPr>
                <w:rFonts w:hint="eastAsia" w:ascii="仿宋" w:hAnsi="仿宋" w:eastAsia="仿宋" w:cs="仿宋"/>
                <w:color w:val="auto"/>
                <w:sz w:val="21"/>
                <w:szCs w:val="21"/>
                <w:highlight w:val="none"/>
              </w:rPr>
            </w:pPr>
          </w:p>
          <w:p w14:paraId="182D6FDA">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778" w:type="dxa"/>
            <w:vAlign w:val="center"/>
          </w:tcPr>
          <w:p w14:paraId="378FC515">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1、制度内容完整、科学合理、有针对本项目的具体描述，规范及制度非常细致、全面、完善能够保证本项目采购后的所有技术服务要求得30分；</w:t>
            </w:r>
          </w:p>
          <w:p w14:paraId="0F522046">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2、制度内容完整，但是缺乏针对本项目采购需求的具体描述，可以满足采购需求的，得20分；</w:t>
            </w:r>
          </w:p>
          <w:p w14:paraId="106424A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3、制度内容不完整，缺乏针对性的，得10分；</w:t>
            </w:r>
          </w:p>
          <w:p w14:paraId="43EEF06C">
            <w:pPr>
              <w:pStyle w:val="22"/>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4、制度内容不合理，无针对性，得5分；未提供不得分</w:t>
            </w:r>
            <w:r>
              <w:rPr>
                <w:rFonts w:hint="eastAsia" w:ascii="仿宋" w:hAnsi="仿宋" w:eastAsia="仿宋" w:cs="仿宋"/>
                <w:color w:val="auto"/>
                <w:sz w:val="21"/>
                <w:szCs w:val="21"/>
                <w:highlight w:val="none"/>
                <w:lang w:eastAsia="zh-CN"/>
              </w:rPr>
              <w:t>。</w:t>
            </w:r>
          </w:p>
        </w:tc>
        <w:tc>
          <w:tcPr>
            <w:tcW w:w="682" w:type="dxa"/>
            <w:vAlign w:val="top"/>
          </w:tcPr>
          <w:p w14:paraId="2543A1D4">
            <w:pPr>
              <w:rPr>
                <w:rFonts w:ascii="Arial"/>
                <w:color w:val="auto"/>
                <w:sz w:val="21"/>
                <w:highlight w:val="none"/>
              </w:rPr>
            </w:pPr>
          </w:p>
        </w:tc>
      </w:tr>
      <w:tr w14:paraId="3FD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jc w:val="center"/>
        </w:trPr>
        <w:tc>
          <w:tcPr>
            <w:tcW w:w="646" w:type="dxa"/>
            <w:vAlign w:val="center"/>
          </w:tcPr>
          <w:p w14:paraId="007B33AF">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08F036D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3C38ED97">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7AD9BD1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290D9274">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1、质量控制方案内容全面详细、具体、合理、针对性强得20分；</w:t>
            </w:r>
          </w:p>
          <w:p w14:paraId="2796B88F">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2、质量控制方案内容较强的得15分；</w:t>
            </w:r>
          </w:p>
          <w:p w14:paraId="29EA7E7E">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3、质量控制方案内容一般的得10分；</w:t>
            </w:r>
          </w:p>
          <w:p w14:paraId="7EF9A6EB">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4、质量控制方案内容有所欠缺的得5分；未提供的不得分。</w:t>
            </w:r>
          </w:p>
        </w:tc>
        <w:tc>
          <w:tcPr>
            <w:tcW w:w="682" w:type="dxa"/>
            <w:vAlign w:val="top"/>
          </w:tcPr>
          <w:p w14:paraId="721819EE">
            <w:pPr>
              <w:rPr>
                <w:rFonts w:ascii="Arial"/>
                <w:color w:val="auto"/>
                <w:sz w:val="21"/>
                <w:highlight w:val="none"/>
              </w:rPr>
            </w:pPr>
          </w:p>
        </w:tc>
      </w:tr>
      <w:tr w14:paraId="45B9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1CD27CE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27CA9AD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6743EBF1">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756D4065">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608A436C">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682" w:type="dxa"/>
            <w:vAlign w:val="top"/>
          </w:tcPr>
          <w:p w14:paraId="3D441AC4">
            <w:pPr>
              <w:rPr>
                <w:rFonts w:ascii="Arial"/>
                <w:color w:val="auto"/>
                <w:sz w:val="21"/>
                <w:highlight w:val="none"/>
              </w:rPr>
            </w:pPr>
          </w:p>
        </w:tc>
      </w:tr>
      <w:tr w14:paraId="63F8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6415CC6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5" w:type="dxa"/>
            <w:vAlign w:val="center"/>
          </w:tcPr>
          <w:p w14:paraId="1D3D9A45">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711" w:type="dxa"/>
            <w:vAlign w:val="center"/>
          </w:tcPr>
          <w:p w14:paraId="77690DA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8" w:type="dxa"/>
            <w:vAlign w:val="center"/>
          </w:tcPr>
          <w:p w14:paraId="1BA523E2">
            <w:pPr>
              <w:pStyle w:val="22"/>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公证书周期保证措施，以公证各阶段的组织安排科学合理，能满足计划要求，切实可行进行，由评委根据投标文件情况进行打分；优秀的10分、良的6分、差的2分。未提供的不得分。</w:t>
            </w:r>
          </w:p>
        </w:tc>
        <w:tc>
          <w:tcPr>
            <w:tcW w:w="682" w:type="dxa"/>
            <w:vAlign w:val="top"/>
          </w:tcPr>
          <w:p w14:paraId="0C5B6048">
            <w:pPr>
              <w:rPr>
                <w:rFonts w:ascii="Arial"/>
                <w:color w:val="auto"/>
                <w:sz w:val="21"/>
                <w:highlight w:val="none"/>
              </w:rPr>
            </w:pPr>
          </w:p>
        </w:tc>
      </w:tr>
      <w:tr w14:paraId="300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251FC4D7">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5" w:type="dxa"/>
            <w:vAlign w:val="center"/>
          </w:tcPr>
          <w:p w14:paraId="75A47D6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咨询服务</w:t>
            </w:r>
          </w:p>
        </w:tc>
        <w:tc>
          <w:tcPr>
            <w:tcW w:w="711" w:type="dxa"/>
            <w:vAlign w:val="center"/>
          </w:tcPr>
          <w:p w14:paraId="518351D6">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778" w:type="dxa"/>
            <w:vAlign w:val="center"/>
          </w:tcPr>
          <w:p w14:paraId="00841A99">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（1）能提供电话热线7×24小时的咨询与服务的得5分，</w:t>
            </w:r>
          </w:p>
          <w:p w14:paraId="582B2F29">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（2）能提供电子邮件等形式的法律咨询与服务的得2分。</w:t>
            </w:r>
          </w:p>
          <w:p w14:paraId="5060DD42">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（需提供对应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承诺书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rPr>
              <w:t>）</w:t>
            </w:r>
          </w:p>
        </w:tc>
        <w:tc>
          <w:tcPr>
            <w:tcW w:w="682" w:type="dxa"/>
            <w:vAlign w:val="top"/>
          </w:tcPr>
          <w:p w14:paraId="67887900">
            <w:pPr>
              <w:rPr>
                <w:rFonts w:ascii="Arial"/>
                <w:color w:val="auto"/>
                <w:sz w:val="21"/>
                <w:highlight w:val="none"/>
              </w:rPr>
            </w:pPr>
          </w:p>
        </w:tc>
      </w:tr>
      <w:tr w14:paraId="29D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6" w:hRule="atLeast"/>
          <w:jc w:val="center"/>
        </w:trPr>
        <w:tc>
          <w:tcPr>
            <w:tcW w:w="646" w:type="dxa"/>
            <w:vAlign w:val="center"/>
          </w:tcPr>
          <w:p w14:paraId="766BC153">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5" w:type="dxa"/>
            <w:vAlign w:val="center"/>
          </w:tcPr>
          <w:p w14:paraId="34997A50">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711" w:type="dxa"/>
            <w:vAlign w:val="center"/>
          </w:tcPr>
          <w:p w14:paraId="7713155D">
            <w:pPr>
              <w:pStyle w:val="22"/>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8" w:type="dxa"/>
            <w:vAlign w:val="center"/>
          </w:tcPr>
          <w:p w14:paraId="5CB688BB">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拟派项目组成人员专业水平：</w:t>
            </w:r>
          </w:p>
          <w:p w14:paraId="322B7BAA">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（1）根据拟派项目组负责人执业年限5年以上的得7分；</w:t>
            </w:r>
          </w:p>
          <w:p w14:paraId="6BF843F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（2）执业年限3（含本数）-5（不含本数）年得4分；</w:t>
            </w:r>
          </w:p>
          <w:p w14:paraId="7806B492">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（3）执业年限3（不含本数）年以下的得2分。</w:t>
            </w:r>
          </w:p>
          <w:p w14:paraId="41920158">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（4）拟派项目组的人员中（除项目负责人）至少有1名公证人员，如增加1名公证员加2分，最高8分。</w:t>
            </w:r>
          </w:p>
          <w:p w14:paraId="6814A84A">
            <w:pPr>
              <w:pStyle w:val="22"/>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提供相关证书复印件加盖公章及近三个月的社保证明。</w:t>
            </w:r>
          </w:p>
        </w:tc>
        <w:tc>
          <w:tcPr>
            <w:tcW w:w="682" w:type="dxa"/>
            <w:vAlign w:val="top"/>
          </w:tcPr>
          <w:p w14:paraId="297A8217">
            <w:pPr>
              <w:rPr>
                <w:rFonts w:ascii="Arial"/>
                <w:color w:val="auto"/>
                <w:sz w:val="21"/>
                <w:highlight w:val="none"/>
              </w:rPr>
            </w:pPr>
          </w:p>
        </w:tc>
      </w:tr>
    </w:tbl>
    <w:p w14:paraId="48A1253F">
      <w:pPr>
        <w:pStyle w:val="5"/>
        <w:rPr>
          <w:rFonts w:hint="eastAsia" w:eastAsia="宋体"/>
          <w:b/>
          <w:bCs/>
          <w:color w:val="auto"/>
          <w:sz w:val="28"/>
          <w:szCs w:val="28"/>
          <w:highlight w:val="none"/>
          <w:lang w:val="en-US" w:eastAsia="zh-CN"/>
        </w:rPr>
      </w:pPr>
    </w:p>
    <w:p w14:paraId="0C5EEF02">
      <w:pPr>
        <w:pStyle w:val="5"/>
        <w:rPr>
          <w:rFonts w:hint="eastAsia" w:eastAsia="宋体"/>
          <w:b/>
          <w:bCs/>
          <w:color w:val="auto"/>
          <w:sz w:val="28"/>
          <w:szCs w:val="28"/>
          <w:highlight w:val="none"/>
          <w:lang w:val="en-US" w:eastAsia="zh-CN"/>
        </w:rPr>
      </w:pPr>
    </w:p>
    <w:p w14:paraId="1B164BE4">
      <w:pPr>
        <w:pStyle w:val="5"/>
        <w:rPr>
          <w:rFonts w:hint="eastAsia" w:eastAsia="宋体"/>
          <w:b/>
          <w:bCs/>
          <w:color w:val="auto"/>
          <w:sz w:val="28"/>
          <w:szCs w:val="28"/>
          <w:highlight w:val="none"/>
          <w:lang w:val="en-US" w:eastAsia="zh-CN"/>
        </w:rPr>
      </w:pPr>
    </w:p>
    <w:p w14:paraId="1D297CB0">
      <w:pPr>
        <w:pStyle w:val="5"/>
        <w:rPr>
          <w:rFonts w:hint="eastAsia" w:eastAsia="宋体"/>
          <w:b/>
          <w:bCs/>
          <w:color w:val="auto"/>
          <w:sz w:val="28"/>
          <w:szCs w:val="28"/>
          <w:highlight w:val="none"/>
          <w:lang w:val="en-US" w:eastAsia="zh-CN"/>
        </w:rPr>
      </w:pPr>
    </w:p>
    <w:p w14:paraId="042E832A">
      <w:pPr>
        <w:pStyle w:val="12"/>
        <w:rPr>
          <w:rFonts w:hint="eastAsia"/>
          <w:color w:val="auto"/>
          <w:highlight w:val="none"/>
        </w:rPr>
      </w:pPr>
    </w:p>
    <w:p w14:paraId="29161AE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D05ED58">
      <w:pPr>
        <w:spacing w:before="163" w:line="389" w:lineRule="exact"/>
        <w:jc w:val="center"/>
        <w:outlineLvl w:val="0"/>
        <w:rPr>
          <w:rFonts w:hint="eastAsia" w:ascii="仿宋" w:hAnsi="仿宋" w:eastAsia="仿宋" w:cs="仿宋"/>
          <w:color w:val="auto"/>
          <w:sz w:val="38"/>
          <w:szCs w:val="38"/>
          <w:highlight w:val="none"/>
        </w:rPr>
      </w:pPr>
      <w:r>
        <w:rPr>
          <w:rFonts w:hint="eastAsia" w:ascii="仿宋" w:hAnsi="仿宋" w:eastAsia="仿宋" w:cs="仿宋"/>
          <w:color w:val="auto"/>
          <w:spacing w:val="3"/>
          <w:position w:val="-1"/>
          <w:sz w:val="38"/>
          <w:szCs w:val="38"/>
          <w:highlight w:val="none"/>
        </w:rPr>
        <w:t>第五部分 框架协议(</w:t>
      </w:r>
      <w:r>
        <w:rPr>
          <w:rFonts w:hint="eastAsia" w:ascii="仿宋" w:hAnsi="仿宋" w:eastAsia="仿宋" w:cs="仿宋"/>
          <w:color w:val="auto"/>
          <w:spacing w:val="3"/>
          <w:position w:val="-1"/>
          <w:sz w:val="38"/>
          <w:szCs w:val="38"/>
          <w:highlight w:val="none"/>
          <w:lang w:val="en-US" w:eastAsia="zh-CN"/>
        </w:rPr>
        <w:t>参考</w:t>
      </w:r>
      <w:r>
        <w:rPr>
          <w:rFonts w:hint="eastAsia" w:ascii="仿宋" w:hAnsi="仿宋" w:eastAsia="仿宋" w:cs="仿宋"/>
          <w:color w:val="auto"/>
          <w:spacing w:val="3"/>
          <w:position w:val="-1"/>
          <w:sz w:val="38"/>
          <w:szCs w:val="38"/>
          <w:highlight w:val="none"/>
        </w:rPr>
        <w:t>)</w:t>
      </w:r>
    </w:p>
    <w:p w14:paraId="6D06E16C">
      <w:pPr>
        <w:spacing w:before="121" w:line="227" w:lineRule="auto"/>
        <w:ind w:left="2281"/>
        <w:rPr>
          <w:rFonts w:hint="eastAsia" w:ascii="仿宋" w:hAnsi="仿宋" w:eastAsia="仿宋" w:cs="仿宋"/>
          <w:color w:val="auto"/>
          <w:sz w:val="19"/>
          <w:szCs w:val="19"/>
          <w:highlight w:val="none"/>
        </w:rPr>
      </w:pPr>
      <w:r>
        <w:rPr>
          <w:rFonts w:hint="eastAsia" w:ascii="仿宋" w:hAnsi="仿宋" w:eastAsia="仿宋" w:cs="仿宋"/>
          <w:color w:val="auto"/>
          <w:spacing w:val="13"/>
          <w:sz w:val="19"/>
          <w:szCs w:val="19"/>
          <w:highlight w:val="none"/>
        </w:rPr>
        <w:t>框架协议 （本协议仅供参考，</w:t>
      </w:r>
      <w:r>
        <w:rPr>
          <w:rFonts w:hint="eastAsia" w:ascii="仿宋" w:hAnsi="仿宋" w:eastAsia="仿宋" w:cs="仿宋"/>
          <w:color w:val="auto"/>
          <w:spacing w:val="-21"/>
          <w:sz w:val="19"/>
          <w:szCs w:val="19"/>
          <w:highlight w:val="none"/>
        </w:rPr>
        <w:t xml:space="preserve"> </w:t>
      </w:r>
      <w:r>
        <w:rPr>
          <w:rFonts w:hint="eastAsia" w:ascii="仿宋" w:hAnsi="仿宋" w:eastAsia="仿宋" w:cs="仿宋"/>
          <w:color w:val="auto"/>
          <w:spacing w:val="13"/>
          <w:sz w:val="19"/>
          <w:szCs w:val="19"/>
          <w:highlight w:val="none"/>
        </w:rPr>
        <w:t>以后期签订为准）</w:t>
      </w:r>
    </w:p>
    <w:p w14:paraId="0561C5CB">
      <w:pPr>
        <w:spacing w:before="172"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 xml:space="preserve">甲方 </w:t>
      </w:r>
      <w:r>
        <w:rPr>
          <w:rFonts w:hint="eastAsia" w:ascii="仿宋" w:hAnsi="仿宋" w:eastAsia="仿宋" w:cs="仿宋"/>
          <w:color w:val="auto"/>
          <w:spacing w:val="-11"/>
          <w:sz w:val="23"/>
          <w:szCs w:val="23"/>
          <w:highlight w:val="none"/>
        </w:rPr>
        <w:t>：</w:t>
      </w:r>
    </w:p>
    <w:p w14:paraId="411EF272">
      <w:pPr>
        <w:spacing w:before="181" w:line="227"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 xml:space="preserve">乙方 </w:t>
      </w:r>
      <w:r>
        <w:rPr>
          <w:rFonts w:hint="eastAsia" w:ascii="仿宋" w:hAnsi="仿宋" w:eastAsia="仿宋" w:cs="仿宋"/>
          <w:color w:val="auto"/>
          <w:spacing w:val="-11"/>
          <w:sz w:val="23"/>
          <w:szCs w:val="23"/>
          <w:highlight w:val="none"/>
        </w:rPr>
        <w:t>：</w:t>
      </w:r>
    </w:p>
    <w:p w14:paraId="7B4772CE">
      <w:pPr>
        <w:pStyle w:val="5"/>
        <w:spacing w:line="370" w:lineRule="auto"/>
        <w:rPr>
          <w:rFonts w:hint="eastAsia" w:ascii="仿宋" w:hAnsi="仿宋" w:eastAsia="仿宋" w:cs="仿宋"/>
          <w:color w:val="auto"/>
          <w:highlight w:val="none"/>
        </w:rPr>
      </w:pPr>
    </w:p>
    <w:p w14:paraId="6ABC34DA">
      <w:pPr>
        <w:spacing w:before="75" w:line="364" w:lineRule="auto"/>
        <w:ind w:left="13" w:firstLine="47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根据</w:t>
      </w:r>
      <w:r>
        <w:rPr>
          <w:rFonts w:hint="eastAsia" w:ascii="仿宋" w:hAnsi="仿宋" w:eastAsia="仿宋" w:cs="仿宋"/>
          <w:color w:val="auto"/>
          <w:spacing w:val="-23"/>
          <w:sz w:val="23"/>
          <w:szCs w:val="23"/>
          <w:highlight w:val="none"/>
        </w:rPr>
        <w:t xml:space="preserve"> </w:t>
      </w:r>
      <w:r>
        <w:rPr>
          <w:rFonts w:hint="eastAsia" w:ascii="仿宋" w:hAnsi="仿宋" w:eastAsia="仿宋" w:cs="仿宋"/>
          <w:color w:val="auto"/>
          <w:spacing w:val="5"/>
          <w:sz w:val="23"/>
          <w:szCs w:val="23"/>
          <w:highlight w:val="none"/>
        </w:rPr>
        <w:t>《中华人民共和国政府采购法》 、《政府采购框架协议采购方式管理暂行办》</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等相关法律，按照征集文件约定的事项以及协议乙方的响应文</w:t>
      </w:r>
      <w:r>
        <w:rPr>
          <w:rFonts w:hint="eastAsia" w:ascii="仿宋" w:hAnsi="仿宋" w:eastAsia="仿宋" w:cs="仿宋"/>
          <w:color w:val="auto"/>
          <w:spacing w:val="7"/>
          <w:sz w:val="23"/>
          <w:szCs w:val="23"/>
          <w:highlight w:val="none"/>
        </w:rPr>
        <w:t>件及其承诺，协议甲乙双</w:t>
      </w:r>
      <w:r>
        <w:rPr>
          <w:rFonts w:hint="eastAsia" w:ascii="仿宋" w:hAnsi="仿宋" w:eastAsia="仿宋" w:cs="仿宋"/>
          <w:color w:val="auto"/>
          <w:spacing w:val="5"/>
          <w:sz w:val="23"/>
          <w:szCs w:val="23"/>
          <w:highlight w:val="none"/>
        </w:rPr>
        <w:t>方签订框架协议。</w:t>
      </w:r>
    </w:p>
    <w:p w14:paraId="7CC093D7">
      <w:pPr>
        <w:pStyle w:val="5"/>
        <w:spacing w:line="290" w:lineRule="auto"/>
        <w:rPr>
          <w:rFonts w:hint="eastAsia" w:ascii="仿宋" w:hAnsi="仿宋" w:eastAsia="仿宋" w:cs="仿宋"/>
          <w:color w:val="auto"/>
          <w:highlight w:val="none"/>
        </w:rPr>
      </w:pPr>
    </w:p>
    <w:p w14:paraId="07A4AA28">
      <w:pPr>
        <w:spacing w:before="10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第一条</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项目基本信息</w:t>
      </w:r>
    </w:p>
    <w:p w14:paraId="4A776CC2">
      <w:pPr>
        <w:spacing w:before="179"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position w:val="18"/>
          <w:sz w:val="23"/>
          <w:szCs w:val="23"/>
          <w:highlight w:val="none"/>
        </w:rPr>
        <w:t>1.项目名称：</w:t>
      </w:r>
    </w:p>
    <w:p w14:paraId="7E1417BA">
      <w:pPr>
        <w:spacing w:line="227" w:lineRule="auto"/>
        <w:ind w:left="494"/>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3"/>
          <w:sz w:val="23"/>
          <w:szCs w:val="23"/>
          <w:highlight w:val="none"/>
        </w:rPr>
        <w:t>2.项目编号</w:t>
      </w:r>
      <w:r>
        <w:rPr>
          <w:rFonts w:hint="eastAsia" w:ascii="仿宋" w:hAnsi="仿宋" w:eastAsia="仿宋" w:cs="仿宋"/>
          <w:color w:val="auto"/>
          <w:spacing w:val="3"/>
          <w:sz w:val="23"/>
          <w:szCs w:val="23"/>
          <w:highlight w:val="none"/>
          <w:lang w:eastAsia="zh-CN"/>
        </w:rPr>
        <w:t>：</w:t>
      </w:r>
    </w:p>
    <w:p w14:paraId="1AB7488F">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3.采购需求：</w:t>
      </w:r>
    </w:p>
    <w:p w14:paraId="5AAEE218">
      <w:pPr>
        <w:spacing w:before="185" w:line="227" w:lineRule="auto"/>
        <w:ind w:left="12" w:firstLine="464" w:firstLineChars="200"/>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1"/>
          <w:sz w:val="23"/>
          <w:szCs w:val="23"/>
          <w:highlight w:val="none"/>
        </w:rPr>
        <w:t>4.框架协议期限：</w:t>
      </w:r>
      <w:r>
        <w:rPr>
          <w:rFonts w:hint="eastAsia" w:ascii="仿宋" w:hAnsi="仿宋" w:eastAsia="仿宋" w:cs="仿宋"/>
          <w:color w:val="auto"/>
          <w:spacing w:val="1"/>
          <w:sz w:val="23"/>
          <w:szCs w:val="23"/>
          <w:highlight w:val="none"/>
          <w:lang w:eastAsia="zh-CN"/>
        </w:rPr>
        <w:t>（</w:t>
      </w:r>
      <w:r>
        <w:rPr>
          <w:rFonts w:hint="eastAsia" w:ascii="仿宋" w:hAnsi="仿宋" w:eastAsia="仿宋" w:cs="仿宋"/>
          <w:color w:val="auto"/>
          <w:spacing w:val="1"/>
          <w:sz w:val="23"/>
          <w:szCs w:val="23"/>
          <w:highlight w:val="none"/>
          <w:lang w:val="en-US" w:eastAsia="zh-CN"/>
        </w:rPr>
        <w:t>具体时间以签订合同为准</w:t>
      </w:r>
      <w:r>
        <w:rPr>
          <w:rFonts w:hint="eastAsia" w:ascii="仿宋" w:hAnsi="仿宋" w:eastAsia="仿宋" w:cs="仿宋"/>
          <w:color w:val="auto"/>
          <w:spacing w:val="1"/>
          <w:sz w:val="23"/>
          <w:szCs w:val="23"/>
          <w:highlight w:val="none"/>
          <w:lang w:eastAsia="zh-CN"/>
        </w:rPr>
        <w:t>）</w:t>
      </w:r>
    </w:p>
    <w:p w14:paraId="1C3EF2A9">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8"/>
          <w:sz w:val="25"/>
          <w:szCs w:val="25"/>
          <w:highlight w:val="none"/>
        </w:rPr>
        <w:t>第二条框架协议信息</w:t>
      </w:r>
    </w:p>
    <w:p w14:paraId="39DF0E4A">
      <w:pPr>
        <w:spacing w:before="180"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1.服务内容、服务标准、协议价格</w:t>
      </w:r>
    </w:p>
    <w:p w14:paraId="7AA3DBF3">
      <w:pPr>
        <w:spacing w:before="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w:t>
      </w:r>
      <w:r>
        <w:rPr>
          <w:rFonts w:hint="eastAsia" w:ascii="仿宋" w:hAnsi="仿宋" w:eastAsia="仿宋" w:cs="仿宋"/>
          <w:color w:val="auto"/>
          <w:spacing w:val="65"/>
          <w:sz w:val="23"/>
          <w:szCs w:val="23"/>
          <w:highlight w:val="none"/>
        </w:rPr>
        <w:t xml:space="preserve"> </w:t>
      </w:r>
      <w:r>
        <w:rPr>
          <w:rFonts w:hint="eastAsia" w:ascii="仿宋" w:hAnsi="仿宋" w:eastAsia="仿宋" w:cs="仿宋"/>
          <w:color w:val="auto"/>
          <w:spacing w:val="-5"/>
          <w:sz w:val="23"/>
          <w:szCs w:val="23"/>
          <w:highlight w:val="none"/>
        </w:rPr>
        <w:t>1 服务内容：</w:t>
      </w:r>
    </w:p>
    <w:p w14:paraId="770D2A2D">
      <w:pPr>
        <w:spacing w:before="185"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w:t>
      </w:r>
      <w:r>
        <w:rPr>
          <w:rFonts w:hint="eastAsia" w:ascii="仿宋" w:hAnsi="仿宋" w:eastAsia="仿宋" w:cs="仿宋"/>
          <w:color w:val="auto"/>
          <w:spacing w:val="35"/>
          <w:sz w:val="23"/>
          <w:szCs w:val="23"/>
          <w:highlight w:val="none"/>
        </w:rPr>
        <w:t xml:space="preserve"> </w:t>
      </w:r>
      <w:r>
        <w:rPr>
          <w:rFonts w:hint="eastAsia" w:ascii="仿宋" w:hAnsi="仿宋" w:eastAsia="仿宋" w:cs="仿宋"/>
          <w:color w:val="auto"/>
          <w:spacing w:val="-2"/>
          <w:sz w:val="23"/>
          <w:szCs w:val="23"/>
          <w:highlight w:val="none"/>
        </w:rPr>
        <w:t>2 服务标准：</w:t>
      </w:r>
    </w:p>
    <w:p w14:paraId="189A97FA">
      <w:pPr>
        <w:spacing w:before="163"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（1）供应商要严格遵守国家的法律、法规和有关规章制度，严格遵守行为准则和</w:t>
      </w:r>
    </w:p>
    <w:p w14:paraId="44B7088D">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职业道德，按现行的财政项目审核操作规程及质量控制规定开展工作。</w:t>
      </w:r>
    </w:p>
    <w:p w14:paraId="2A48FF95">
      <w:pPr>
        <w:spacing w:before="166" w:line="484"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（2）供应商对成果文件应实行复核人、项目负责人、技术负责人“三级复核</w:t>
      </w:r>
      <w:r>
        <w:rPr>
          <w:rFonts w:hint="eastAsia" w:ascii="仿宋" w:hAnsi="仿宋" w:eastAsia="仿宋" w:cs="仿宋"/>
          <w:color w:val="auto"/>
          <w:spacing w:val="-36"/>
          <w:position w:val="19"/>
          <w:sz w:val="23"/>
          <w:szCs w:val="23"/>
          <w:highlight w:val="none"/>
        </w:rPr>
        <w:t xml:space="preserve"> </w:t>
      </w:r>
      <w:r>
        <w:rPr>
          <w:rFonts w:hint="eastAsia" w:ascii="仿宋" w:hAnsi="仿宋" w:eastAsia="仿宋" w:cs="仿宋"/>
          <w:color w:val="auto"/>
          <w:spacing w:val="8"/>
          <w:position w:val="19"/>
          <w:sz w:val="23"/>
          <w:szCs w:val="23"/>
          <w:highlight w:val="none"/>
        </w:rPr>
        <w:t>”。</w:t>
      </w:r>
    </w:p>
    <w:p w14:paraId="3302AA96">
      <w:pPr>
        <w:spacing w:before="1" w:line="226"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应依照相关依据发表专业意见出具成果文件，并对成果的真实性、完整性、</w:t>
      </w:r>
      <w:r>
        <w:rPr>
          <w:rFonts w:hint="eastAsia" w:ascii="仿宋" w:hAnsi="仿宋" w:eastAsia="仿宋" w:cs="仿宋"/>
          <w:color w:val="auto"/>
          <w:spacing w:val="2"/>
          <w:sz w:val="23"/>
          <w:szCs w:val="23"/>
          <w:highlight w:val="none"/>
        </w:rPr>
        <w:t>准确性负责。</w:t>
      </w:r>
    </w:p>
    <w:p w14:paraId="3927D973">
      <w:pPr>
        <w:spacing w:before="205" w:line="365" w:lineRule="auto"/>
        <w:ind w:left="13" w:right="115" w:firstLine="499"/>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（3）各类审核报告编制标准审核内容完整、数据准确、依据充分，审核</w:t>
      </w:r>
      <w:r>
        <w:rPr>
          <w:rFonts w:hint="eastAsia" w:ascii="仿宋" w:hAnsi="仿宋" w:eastAsia="仿宋" w:cs="仿宋"/>
          <w:color w:val="auto"/>
          <w:spacing w:val="4"/>
          <w:sz w:val="23"/>
          <w:szCs w:val="23"/>
          <w:highlight w:val="none"/>
        </w:rPr>
        <w:t>结论定性</w:t>
      </w:r>
      <w:r>
        <w:rPr>
          <w:rFonts w:hint="eastAsia" w:ascii="仿宋" w:hAnsi="仿宋" w:eastAsia="仿宋" w:cs="仿宋"/>
          <w:color w:val="auto"/>
          <w:spacing w:val="5"/>
          <w:sz w:val="23"/>
          <w:szCs w:val="23"/>
          <w:highlight w:val="none"/>
        </w:rPr>
        <w:t>客观、定量准确、依据充分，核增核减原因定性准</w:t>
      </w:r>
      <w:r>
        <w:rPr>
          <w:rFonts w:hint="eastAsia" w:ascii="仿宋" w:hAnsi="仿宋" w:eastAsia="仿宋" w:cs="仿宋"/>
          <w:color w:val="auto"/>
          <w:spacing w:val="4"/>
          <w:sz w:val="23"/>
          <w:szCs w:val="23"/>
          <w:highlight w:val="none"/>
        </w:rPr>
        <w:t>确、条理清晰，披露审核问题有理有</w:t>
      </w:r>
      <w:r>
        <w:rPr>
          <w:rFonts w:hint="eastAsia" w:ascii="仿宋" w:hAnsi="仿宋" w:eastAsia="仿宋" w:cs="仿宋"/>
          <w:color w:val="auto"/>
          <w:spacing w:val="7"/>
          <w:sz w:val="23"/>
          <w:szCs w:val="23"/>
          <w:highlight w:val="none"/>
        </w:rPr>
        <w:t>据、分析透彻，提出审核建议措施具体、针对性强。</w:t>
      </w:r>
    </w:p>
    <w:p w14:paraId="7A7C84C1">
      <w:pPr>
        <w:spacing w:before="204" w:line="366" w:lineRule="auto"/>
        <w:ind w:left="7" w:right="172" w:firstLine="50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（4）采购人将对供应商提交的审核意见和审核结论进行复审，复审结果</w:t>
      </w:r>
      <w:r>
        <w:rPr>
          <w:rFonts w:hint="eastAsia" w:ascii="仿宋" w:hAnsi="仿宋" w:eastAsia="仿宋" w:cs="仿宋"/>
          <w:color w:val="auto"/>
          <w:spacing w:val="4"/>
          <w:sz w:val="23"/>
          <w:szCs w:val="23"/>
          <w:highlight w:val="none"/>
        </w:rPr>
        <w:t>因供应商</w:t>
      </w:r>
      <w:r>
        <w:rPr>
          <w:rFonts w:hint="eastAsia" w:ascii="仿宋" w:hAnsi="仿宋" w:eastAsia="仿宋" w:cs="仿宋"/>
          <w:color w:val="auto"/>
          <w:spacing w:val="9"/>
          <w:sz w:val="23"/>
          <w:szCs w:val="23"/>
          <w:highlight w:val="none"/>
        </w:rPr>
        <w:t>造成严重质量问题时，采购人不支付该项目的审核费用，供应商必须承担由此造成的</w:t>
      </w:r>
      <w:r>
        <w:rPr>
          <w:rFonts w:hint="eastAsia" w:ascii="仿宋" w:hAnsi="仿宋" w:eastAsia="仿宋" w:cs="仿宋"/>
          <w:color w:val="auto"/>
          <w:spacing w:val="7"/>
          <w:sz w:val="23"/>
          <w:szCs w:val="23"/>
          <w:highlight w:val="none"/>
        </w:rPr>
        <w:t>全部经济和法律责任。</w:t>
      </w:r>
    </w:p>
    <w:p w14:paraId="2F77FCEE">
      <w:pPr>
        <w:spacing w:before="166" w:line="482"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（5）供应商提交成果误差不超过正负3%。采购人</w:t>
      </w:r>
      <w:r>
        <w:rPr>
          <w:rFonts w:hint="eastAsia" w:ascii="仿宋" w:hAnsi="仿宋" w:eastAsia="仿宋" w:cs="仿宋"/>
          <w:color w:val="auto"/>
          <w:spacing w:val="7"/>
          <w:position w:val="18"/>
          <w:sz w:val="23"/>
          <w:szCs w:val="23"/>
          <w:highlight w:val="none"/>
        </w:rPr>
        <w:t>对供应商递交的审核意见和审核</w:t>
      </w:r>
    </w:p>
    <w:p w14:paraId="3F184007">
      <w:pPr>
        <w:spacing w:before="1" w:line="226" w:lineRule="auto"/>
        <w:ind w:left="21"/>
        <w:rPr>
          <w:rFonts w:hint="eastAsia" w:ascii="仿宋" w:hAnsi="仿宋" w:eastAsia="仿宋" w:cs="仿宋"/>
          <w:color w:val="auto"/>
          <w:sz w:val="23"/>
          <w:szCs w:val="23"/>
          <w:highlight w:val="none"/>
        </w:rPr>
        <w:sectPr>
          <w:footerReference r:id="rId1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3"/>
          <w:szCs w:val="23"/>
          <w:highlight w:val="none"/>
        </w:rPr>
        <w:t>结论（以供应商盖章的定案表为准）进行复审，复审单项项目审定额结果误差超</w:t>
      </w:r>
    </w:p>
    <w:p w14:paraId="059FA407">
      <w:pPr>
        <w:spacing w:before="75" w:line="485"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造价的3%（含3%）时，供应商必须承担由此造成的全部经济</w:t>
      </w:r>
      <w:r>
        <w:rPr>
          <w:rFonts w:hint="eastAsia" w:ascii="仿宋" w:hAnsi="仿宋" w:eastAsia="仿宋" w:cs="仿宋"/>
          <w:color w:val="auto"/>
          <w:spacing w:val="7"/>
          <w:position w:val="19"/>
          <w:sz w:val="23"/>
          <w:szCs w:val="23"/>
          <w:highlight w:val="none"/>
        </w:rPr>
        <w:t>和法律责任，采购人不支</w:t>
      </w:r>
    </w:p>
    <w:p w14:paraId="7B10A33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付该单项项目的审核费用。</w:t>
      </w:r>
    </w:p>
    <w:p w14:paraId="266E2579">
      <w:pPr>
        <w:numPr>
          <w:ilvl w:val="0"/>
          <w:numId w:val="0"/>
        </w:numPr>
        <w:spacing w:before="203" w:line="370" w:lineRule="auto"/>
        <w:ind w:left="21" w:leftChars="0" w:right="2" w:rightChars="0"/>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lang w:val="en-US" w:eastAsia="zh-CN"/>
        </w:rPr>
        <w:t>6</w:t>
      </w: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rPr>
        <w:t>供应商递交的审核意见和审核结论经采购人、建设单位确</w:t>
      </w:r>
      <w:r>
        <w:rPr>
          <w:rFonts w:hint="eastAsia" w:ascii="仿宋" w:hAnsi="仿宋" w:eastAsia="仿宋" w:cs="仿宋"/>
          <w:color w:val="auto"/>
          <w:spacing w:val="10"/>
          <w:sz w:val="23"/>
          <w:szCs w:val="23"/>
          <w:highlight w:val="none"/>
        </w:rPr>
        <w:t>认后，在招标时若</w:t>
      </w:r>
      <w:r>
        <w:rPr>
          <w:rFonts w:hint="eastAsia" w:ascii="仿宋" w:hAnsi="仿宋" w:eastAsia="仿宋" w:cs="仿宋"/>
          <w:color w:val="auto"/>
          <w:spacing w:val="8"/>
          <w:sz w:val="23"/>
          <w:szCs w:val="23"/>
          <w:highlight w:val="none"/>
        </w:rPr>
        <w:t>由造价管理机构、招标代理机构或其他方发现审核结果存在严重错误（如漏项、漏计单价、由于小数点等原因造成工程量或单价误差较大或各表格之间的对应数据不一致且金额相差大等</w:t>
      </w:r>
      <w:r>
        <w:rPr>
          <w:rFonts w:hint="eastAsia" w:ascii="仿宋" w:hAnsi="仿宋" w:eastAsia="仿宋" w:cs="仿宋"/>
          <w:color w:val="auto"/>
          <w:spacing w:val="13"/>
          <w:sz w:val="23"/>
          <w:szCs w:val="23"/>
          <w:highlight w:val="none"/>
        </w:rPr>
        <w:t>），</w:t>
      </w:r>
      <w:r>
        <w:rPr>
          <w:rFonts w:hint="eastAsia" w:ascii="仿宋" w:hAnsi="仿宋" w:eastAsia="仿宋" w:cs="仿宋"/>
          <w:color w:val="auto"/>
          <w:spacing w:val="8"/>
          <w:sz w:val="23"/>
          <w:szCs w:val="23"/>
          <w:highlight w:val="none"/>
        </w:rPr>
        <w:t>供应商必须承担由此造成的全部经济和法律责任，采购人不支付该单项</w:t>
      </w:r>
      <w:r>
        <w:rPr>
          <w:rFonts w:hint="eastAsia" w:ascii="仿宋" w:hAnsi="仿宋" w:eastAsia="仿宋" w:cs="仿宋"/>
          <w:color w:val="auto"/>
          <w:spacing w:val="5"/>
          <w:sz w:val="23"/>
          <w:szCs w:val="23"/>
          <w:highlight w:val="none"/>
        </w:rPr>
        <w:t>项目的审核费用。</w:t>
      </w:r>
    </w:p>
    <w:p w14:paraId="3D782D9E">
      <w:pPr>
        <w:spacing w:before="203" w:line="365" w:lineRule="auto"/>
        <w:ind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（7）因客观原因导致己审核的项目需要重新审核的，供应商须</w:t>
      </w:r>
      <w:r>
        <w:rPr>
          <w:rFonts w:hint="eastAsia" w:ascii="仿宋" w:hAnsi="仿宋" w:eastAsia="仿宋" w:cs="仿宋"/>
          <w:color w:val="auto"/>
          <w:spacing w:val="10"/>
          <w:sz w:val="23"/>
          <w:szCs w:val="23"/>
          <w:highlight w:val="none"/>
        </w:rPr>
        <w:t>元条件配合并重新</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进行审核、出具审核成果，采购人不再另行支付供应商相关费用，供应商需充分考虑该</w:t>
      </w:r>
      <w:r>
        <w:rPr>
          <w:rFonts w:hint="eastAsia" w:ascii="仿宋" w:hAnsi="仿宋" w:eastAsia="仿宋" w:cs="仿宋"/>
          <w:color w:val="auto"/>
          <w:spacing w:val="1"/>
          <w:sz w:val="23"/>
          <w:szCs w:val="23"/>
          <w:highlight w:val="none"/>
        </w:rPr>
        <w:t>因素进行响应</w:t>
      </w:r>
      <w:r>
        <w:rPr>
          <w:rFonts w:hint="eastAsia" w:ascii="仿宋" w:hAnsi="仿宋" w:eastAsia="仿宋" w:cs="仿宋"/>
          <w:color w:val="auto"/>
          <w:spacing w:val="1"/>
          <w:sz w:val="23"/>
          <w:szCs w:val="23"/>
          <w:highlight w:val="none"/>
          <w:lang w:eastAsia="zh-CN"/>
        </w:rPr>
        <w:t>。</w:t>
      </w:r>
    </w:p>
    <w:p w14:paraId="5CD829FD">
      <w:pPr>
        <w:spacing w:before="179" w:line="226"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2.合同价格形式：固定价格。</w:t>
      </w:r>
    </w:p>
    <w:p w14:paraId="1BB1B292">
      <w:pPr>
        <w:spacing w:before="168" w:line="484" w:lineRule="exact"/>
        <w:ind w:left="498"/>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8"/>
          <w:position w:val="18"/>
          <w:sz w:val="23"/>
          <w:szCs w:val="23"/>
          <w:highlight w:val="none"/>
        </w:rPr>
        <w:t>3. 适用框架议的</w:t>
      </w:r>
      <w:r>
        <w:rPr>
          <w:rFonts w:hint="eastAsia" w:ascii="仿宋" w:hAnsi="仿宋" w:eastAsia="仿宋" w:cs="仿宋"/>
          <w:color w:val="auto"/>
          <w:spacing w:val="8"/>
          <w:position w:val="18"/>
          <w:sz w:val="23"/>
          <w:szCs w:val="23"/>
          <w:highlight w:val="none"/>
          <w:lang w:val="en-US" w:eastAsia="zh-CN"/>
        </w:rPr>
        <w:t>采购</w:t>
      </w:r>
      <w:r>
        <w:rPr>
          <w:rFonts w:hint="eastAsia" w:ascii="仿宋" w:hAnsi="仿宋" w:eastAsia="仿宋" w:cs="仿宋"/>
          <w:color w:val="auto"/>
          <w:spacing w:val="8"/>
          <w:position w:val="18"/>
          <w:sz w:val="23"/>
          <w:szCs w:val="23"/>
          <w:highlight w:val="none"/>
        </w:rPr>
        <w:t xml:space="preserve">人： </w:t>
      </w:r>
      <w:r>
        <w:rPr>
          <w:rFonts w:hint="eastAsia" w:ascii="仿宋" w:hAnsi="仿宋" w:eastAsia="仿宋" w:cs="仿宋"/>
          <w:color w:val="auto"/>
          <w:spacing w:val="8"/>
          <w:position w:val="18"/>
          <w:sz w:val="23"/>
          <w:szCs w:val="23"/>
          <w:highlight w:val="none"/>
          <w:lang w:eastAsia="zh-CN"/>
        </w:rPr>
        <w:t>阿图什市住房和城乡建设局（阿图什市国有土地上房屋征收与补偿管理办公室）</w:t>
      </w:r>
    </w:p>
    <w:p w14:paraId="6FB5C6BC">
      <w:pPr>
        <w:spacing w:before="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 履行合同的地域范围：采购人指定地点</w:t>
      </w:r>
    </w:p>
    <w:p w14:paraId="27524629">
      <w:pPr>
        <w:spacing w:before="156"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第三条确定第二阶段成交供应商约方式</w:t>
      </w:r>
    </w:p>
    <w:p w14:paraId="6FFD2EC4">
      <w:pPr>
        <w:spacing w:before="198"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 xml:space="preserve">1.  采购人在入围供应商中通过 </w:t>
      </w:r>
      <w:r>
        <w:rPr>
          <w:rFonts w:hint="eastAsia" w:ascii="仿宋" w:hAnsi="仿宋" w:eastAsia="仿宋" w:cs="仿宋"/>
          <w:color w:val="auto"/>
          <w:spacing w:val="7"/>
          <w:sz w:val="23"/>
          <w:szCs w:val="23"/>
          <w:highlight w:val="none"/>
          <w:u w:val="single" w:color="auto"/>
        </w:rPr>
        <w:t>直接选定</w:t>
      </w:r>
      <w:r>
        <w:rPr>
          <w:rFonts w:hint="eastAsia" w:ascii="仿宋" w:hAnsi="仿宋" w:eastAsia="仿宋" w:cs="仿宋"/>
          <w:color w:val="auto"/>
          <w:spacing w:val="7"/>
          <w:sz w:val="23"/>
          <w:szCs w:val="23"/>
          <w:highlight w:val="none"/>
        </w:rPr>
        <w:t>方式确定成交供应商并签订合同。</w:t>
      </w:r>
    </w:p>
    <w:p w14:paraId="3EF4C678">
      <w:pPr>
        <w:spacing w:before="167" w:line="485" w:lineRule="exact"/>
        <w:ind w:left="574"/>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(1)直接选定，依据入围产品价格、质量以及服务便利性、</w:t>
      </w:r>
      <w:r>
        <w:rPr>
          <w:rFonts w:hint="eastAsia" w:ascii="仿宋" w:hAnsi="仿宋" w:eastAsia="仿宋" w:cs="仿宋"/>
          <w:color w:val="auto"/>
          <w:spacing w:val="6"/>
          <w:position w:val="19"/>
          <w:sz w:val="23"/>
          <w:szCs w:val="23"/>
          <w:highlight w:val="none"/>
        </w:rPr>
        <w:t>用户评价等因素，从入</w:t>
      </w:r>
    </w:p>
    <w:p w14:paraId="4A3E2BFA">
      <w:pPr>
        <w:spacing w:line="226" w:lineRule="auto"/>
        <w:ind w:left="52"/>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围供商中直接选定成交供应商。</w:t>
      </w:r>
    </w:p>
    <w:p w14:paraId="43A8F312">
      <w:pPr>
        <w:spacing w:before="181" w:line="226" w:lineRule="auto"/>
        <w:ind w:left="57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(2)二次竞价</w:t>
      </w:r>
    </w:p>
    <w:p w14:paraId="362B30E7">
      <w:pPr>
        <w:spacing w:before="206" w:line="366" w:lineRule="auto"/>
        <w:ind w:left="35" w:right="14" w:firstLine="46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二次竞价规则：协议方乙方以第一阶段的响应报价（</w:t>
      </w:r>
      <w:r>
        <w:rPr>
          <w:rFonts w:hint="eastAsia" w:ascii="仿宋" w:hAnsi="仿宋" w:eastAsia="仿宋" w:cs="仿宋"/>
          <w:color w:val="auto"/>
          <w:spacing w:val="7"/>
          <w:sz w:val="23"/>
          <w:szCs w:val="23"/>
          <w:highlight w:val="none"/>
        </w:rPr>
        <w:t>协议价格）为最高限价，依照响应文件中承诺的入围产品（服务）、采购合同等事项，根据采购人明确的竞价需求，参与二次竞价，以报价最低的为成交供应商。</w:t>
      </w:r>
    </w:p>
    <w:p w14:paraId="7952D969">
      <w:pPr>
        <w:spacing w:before="167" w:line="485" w:lineRule="exact"/>
        <w:ind w:left="497"/>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二次竞价截止时间： /</w:t>
      </w:r>
    </w:p>
    <w:p w14:paraId="6EDB0F2C">
      <w:pPr>
        <w:spacing w:before="1" w:line="225"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二次竞价需求：/</w:t>
      </w:r>
    </w:p>
    <w:p w14:paraId="5703CE2A">
      <w:pPr>
        <w:spacing w:before="185"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（3）顺序轮候</w:t>
      </w:r>
    </w:p>
    <w:p w14:paraId="743CE271">
      <w:pPr>
        <w:spacing w:before="165" w:line="480" w:lineRule="exact"/>
        <w:ind w:left="492"/>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顺序轮候规则:以入围供应商从高到低排名依次进行合同授予,每个入围供应商在</w:t>
      </w:r>
    </w:p>
    <w:p w14:paraId="28BC2861">
      <w:pPr>
        <w:spacing w:before="1" w:line="224"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一个顺序轮候期内,仅能获得一次合同授予的机会。</w:t>
      </w:r>
    </w:p>
    <w:p w14:paraId="77838077">
      <w:pPr>
        <w:spacing w:before="194" w:line="227" w:lineRule="auto"/>
        <w:ind w:left="6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顺序轮候期： /</w:t>
      </w:r>
    </w:p>
    <w:p w14:paraId="6858FD42">
      <w:pPr>
        <w:spacing w:before="151"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第四条资金支付方式、时间、条件</w:t>
      </w:r>
    </w:p>
    <w:p w14:paraId="209D01D7">
      <w:pPr>
        <w:spacing w:before="181"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1.本项目无预付款。在完成项目审计项目工作后向委托人提交支付申请书，送采购</w:t>
      </w:r>
    </w:p>
    <w:p w14:paraId="5BBF3CF9">
      <w:pPr>
        <w:spacing w:before="1" w:line="226" w:lineRule="auto"/>
        <w:ind w:left="13"/>
        <w:rPr>
          <w:rFonts w:hint="eastAsia" w:ascii="仿宋" w:hAnsi="仿宋" w:eastAsia="仿宋" w:cs="仿宋"/>
          <w:color w:val="auto"/>
          <w:spacing w:val="3"/>
          <w:sz w:val="23"/>
          <w:szCs w:val="23"/>
          <w:highlight w:val="none"/>
        </w:rPr>
      </w:pPr>
      <w:r>
        <w:rPr>
          <w:rFonts w:hint="eastAsia" w:ascii="仿宋" w:hAnsi="仿宋" w:eastAsia="仿宋" w:cs="仿宋"/>
          <w:color w:val="auto"/>
          <w:spacing w:val="3"/>
          <w:sz w:val="23"/>
          <w:szCs w:val="23"/>
          <w:highlight w:val="none"/>
        </w:rPr>
        <w:t>人审核签认， 由采购人直接向成交供应商支付。双方账户信息如下：</w:t>
      </w:r>
    </w:p>
    <w:p w14:paraId="6ECC4428">
      <w:pPr>
        <w:spacing w:before="75" w:line="356" w:lineRule="auto"/>
        <w:ind w:firstLine="428"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甲方名称：</w:t>
      </w:r>
      <w:r>
        <w:rPr>
          <w:rFonts w:hint="eastAsia" w:ascii="仿宋" w:hAnsi="仿宋" w:eastAsia="仿宋" w:cs="仿宋"/>
          <w:color w:val="auto"/>
          <w:sz w:val="23"/>
          <w:szCs w:val="23"/>
          <w:highlight w:val="none"/>
          <w:u w:val="single" w:color="auto"/>
        </w:rPr>
        <w:t xml:space="preserve">                                </w:t>
      </w:r>
    </w:p>
    <w:p w14:paraId="7911D9FD">
      <w:pPr>
        <w:spacing w:line="228" w:lineRule="auto"/>
        <w:ind w:firstLine="44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国税纳税人识别号</w:t>
      </w:r>
      <w:r>
        <w:rPr>
          <w:rFonts w:hint="eastAsia" w:ascii="仿宋" w:hAnsi="仿宋" w:eastAsia="仿宋" w:cs="仿宋"/>
          <w:color w:val="auto"/>
          <w:spacing w:val="63"/>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4A8E7016">
      <w:pPr>
        <w:spacing w:before="181"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5D0FB5B">
      <w:pPr>
        <w:spacing w:before="183"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3B9BB7F">
      <w:pPr>
        <w:spacing w:before="181" w:line="229"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49AF696C">
      <w:pPr>
        <w:spacing w:before="187"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2B57BA2E">
      <w:pPr>
        <w:spacing w:before="163"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2990B47">
      <w:pPr>
        <w:pStyle w:val="5"/>
        <w:spacing w:line="364" w:lineRule="auto"/>
        <w:rPr>
          <w:rFonts w:hint="eastAsia" w:ascii="仿宋" w:hAnsi="仿宋" w:eastAsia="仿宋" w:cs="仿宋"/>
          <w:color w:val="auto"/>
          <w:highlight w:val="none"/>
        </w:rPr>
      </w:pPr>
    </w:p>
    <w:p w14:paraId="0C555156">
      <w:pPr>
        <w:spacing w:before="76" w:line="356"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乙方名称：</w:t>
      </w:r>
      <w:r>
        <w:rPr>
          <w:rFonts w:hint="eastAsia" w:ascii="仿宋" w:hAnsi="仿宋" w:eastAsia="仿宋" w:cs="仿宋"/>
          <w:color w:val="auto"/>
          <w:sz w:val="23"/>
          <w:szCs w:val="23"/>
          <w:highlight w:val="none"/>
          <w:u w:val="single" w:color="auto"/>
        </w:rPr>
        <w:t xml:space="preserve">                                 </w:t>
      </w:r>
    </w:p>
    <w:p w14:paraId="232CDDF1">
      <w:pPr>
        <w:spacing w:line="228"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国税纳税人识别号：</w:t>
      </w:r>
      <w:r>
        <w:rPr>
          <w:rFonts w:hint="eastAsia" w:ascii="仿宋" w:hAnsi="仿宋" w:eastAsia="仿宋" w:cs="仿宋"/>
          <w:color w:val="auto"/>
          <w:spacing w:val="1"/>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0E9E76F4">
      <w:pPr>
        <w:spacing w:before="184"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0D55A8E">
      <w:pPr>
        <w:spacing w:before="198" w:line="36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2DE9160">
      <w:pPr>
        <w:spacing w:before="1" w:line="228"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353B8F4F">
      <w:pPr>
        <w:spacing w:before="188"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3076862B">
      <w:pPr>
        <w:spacing w:before="165"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2A3165C4">
      <w:pPr>
        <w:spacing w:before="160" w:line="485" w:lineRule="exact"/>
        <w:ind w:left="416"/>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乙方如需改变上述账户，应提前10日以书面通</w:t>
      </w:r>
      <w:r>
        <w:rPr>
          <w:rFonts w:hint="eastAsia" w:ascii="仿宋" w:hAnsi="仿宋" w:eastAsia="仿宋" w:cs="仿宋"/>
          <w:color w:val="auto"/>
          <w:spacing w:val="4"/>
          <w:position w:val="19"/>
          <w:sz w:val="23"/>
          <w:szCs w:val="23"/>
          <w:highlight w:val="none"/>
        </w:rPr>
        <w:t>知甲方。如乙方未按本合同规定通知</w:t>
      </w:r>
    </w:p>
    <w:p w14:paraId="60E32D20">
      <w:pPr>
        <w:spacing w:before="1" w:line="227"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导致甲方逾期付款，甲方不承担任何违约责任，乙方应承担因此产生的一切费用。</w:t>
      </w:r>
    </w:p>
    <w:p w14:paraId="4035095A">
      <w:pPr>
        <w:spacing w:before="183"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z w:val="23"/>
          <w:szCs w:val="23"/>
          <w:highlight w:val="none"/>
        </w:rPr>
        <w:t>费率其他约定</w:t>
      </w:r>
    </w:p>
    <w:p w14:paraId="7E07EF2A">
      <w:pPr>
        <w:spacing w:before="179" w:line="45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6"/>
          <w:sz w:val="23"/>
          <w:szCs w:val="23"/>
          <w:highlight w:val="none"/>
        </w:rPr>
        <w:t>当成交供应商承接的项目审核存在特殊情况，采购人与成交供应商协</w:t>
      </w:r>
      <w:r>
        <w:rPr>
          <w:rFonts w:hint="eastAsia" w:ascii="仿宋" w:hAnsi="仿宋" w:eastAsia="仿宋" w:cs="仿宋"/>
          <w:color w:val="auto"/>
          <w:spacing w:val="3"/>
          <w:position w:val="16"/>
          <w:sz w:val="23"/>
          <w:szCs w:val="23"/>
          <w:highlight w:val="none"/>
        </w:rPr>
        <w:t>商确定费率后，</w:t>
      </w:r>
    </w:p>
    <w:p w14:paraId="7C5095BE">
      <w:pPr>
        <w:spacing w:line="226"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另行在采购合同中约定。</w:t>
      </w:r>
    </w:p>
    <w:p w14:paraId="71094A7B">
      <w:pPr>
        <w:spacing w:before="203" w:line="228" w:lineRule="auto"/>
        <w:ind w:left="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 履约保证金：元。</w:t>
      </w:r>
    </w:p>
    <w:p w14:paraId="2332F0EF">
      <w:pPr>
        <w:spacing w:before="151" w:line="16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第五条采购合同文本</w:t>
      </w:r>
    </w:p>
    <w:p w14:paraId="0B974136">
      <w:pPr>
        <w:spacing w:before="197"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详见采购合同（格式）。</w:t>
      </w:r>
    </w:p>
    <w:p w14:paraId="70BB4402">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第六条入围供应商清退和补充规则</w:t>
      </w:r>
    </w:p>
    <w:p w14:paraId="1ABB87C5">
      <w:pPr>
        <w:spacing w:before="197"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1.入围供应商的清退</w:t>
      </w:r>
    </w:p>
    <w:p w14:paraId="0A2AE46C">
      <w:pPr>
        <w:spacing w:before="166" w:line="480" w:lineRule="exact"/>
        <w:ind w:left="536"/>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乙方在签订本框架协议前出现以下情形之一的，甲方将取消其入围资格：乙</w:t>
      </w:r>
      <w:r>
        <w:rPr>
          <w:rFonts w:hint="eastAsia" w:ascii="仿宋" w:hAnsi="仿宋" w:eastAsia="仿宋" w:cs="仿宋"/>
          <w:color w:val="auto"/>
          <w:spacing w:val="6"/>
          <w:position w:val="18"/>
          <w:sz w:val="23"/>
          <w:szCs w:val="23"/>
          <w:highlight w:val="none"/>
        </w:rPr>
        <w:t>方在签</w:t>
      </w:r>
    </w:p>
    <w:p w14:paraId="48BB4682">
      <w:pPr>
        <w:spacing w:before="1" w:line="224"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订本框架协议后出现以下情形之一的,甲方将解除与其签订的框架协议：</w:t>
      </w:r>
    </w:p>
    <w:p w14:paraId="5C83E7BE">
      <w:pPr>
        <w:spacing w:before="193"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（1）恶意串通谋取入围或者成交的；</w:t>
      </w:r>
    </w:p>
    <w:p w14:paraId="4EBCF50D">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（2）提供虚假材料谋取入围或者成交的；</w:t>
      </w:r>
    </w:p>
    <w:p w14:paraId="7A206682">
      <w:pPr>
        <w:spacing w:line="228" w:lineRule="auto"/>
        <w:ind w:left="512"/>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（3）无正当理由拒不接受授予的；</w:t>
      </w:r>
    </w:p>
    <w:p w14:paraId="0C639F7C">
      <w:pPr>
        <w:pStyle w:val="5"/>
        <w:spacing w:line="242" w:lineRule="auto"/>
        <w:rPr>
          <w:rFonts w:hint="eastAsia" w:ascii="仿宋" w:hAnsi="仿宋" w:eastAsia="仿宋" w:cs="仿宋"/>
          <w:color w:val="auto"/>
          <w:highlight w:val="none"/>
        </w:rPr>
      </w:pPr>
    </w:p>
    <w:p w14:paraId="406DC98A">
      <w:pPr>
        <w:spacing w:before="75"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（4）不履行框架协议义务或者辰行义务不符合约定，经采购人请求履行后仍不履</w:t>
      </w:r>
    </w:p>
    <w:p w14:paraId="4F4032DF">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行或者仍未按约定履行的；</w:t>
      </w:r>
    </w:p>
    <w:p w14:paraId="5831D7E9">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（5）框架协议有效期内，因违法行为被禁止或限制参加政府采购活</w:t>
      </w:r>
      <w:r>
        <w:rPr>
          <w:rFonts w:hint="eastAsia" w:ascii="仿宋" w:hAnsi="仿宋" w:eastAsia="仿宋" w:cs="仿宋"/>
          <w:color w:val="auto"/>
          <w:spacing w:val="7"/>
          <w:sz w:val="23"/>
          <w:szCs w:val="23"/>
          <w:highlight w:val="none"/>
        </w:rPr>
        <w:t>动的；</w:t>
      </w:r>
    </w:p>
    <w:p w14:paraId="2D298E63">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（6）入围供应商的组织机构、经营、财务状况发生较大变</w:t>
      </w:r>
      <w:r>
        <w:rPr>
          <w:rFonts w:hint="eastAsia" w:ascii="仿宋" w:hAnsi="仿宋" w:eastAsia="仿宋" w:cs="仿宋"/>
          <w:color w:val="auto"/>
          <w:spacing w:val="4"/>
          <w:position w:val="19"/>
          <w:sz w:val="23"/>
          <w:szCs w:val="23"/>
          <w:highlight w:val="none"/>
        </w:rPr>
        <w:t>化， 可能造成不能履行</w:t>
      </w:r>
    </w:p>
    <w:p w14:paraId="76C5754A">
      <w:pPr>
        <w:spacing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框架协议或合同的。</w:t>
      </w:r>
    </w:p>
    <w:p w14:paraId="47B9412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2.入围供应商的补充</w:t>
      </w:r>
    </w:p>
    <w:p w14:paraId="392A0E02">
      <w:pPr>
        <w:spacing w:before="184" w:line="227" w:lineRule="auto"/>
        <w:ind w:left="55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甲方不启动补充征集程序。</w:t>
      </w:r>
    </w:p>
    <w:p w14:paraId="62B55A7C">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w:t>
      </w:r>
      <w:r>
        <w:rPr>
          <w:rFonts w:hint="eastAsia" w:ascii="仿宋" w:hAnsi="仿宋" w:eastAsia="仿宋" w:cs="仿宋"/>
          <w:color w:val="auto"/>
          <w:spacing w:val="19"/>
          <w:w w:val="101"/>
          <w:sz w:val="24"/>
          <w:szCs w:val="24"/>
          <w:highlight w:val="none"/>
        </w:rPr>
        <w:t xml:space="preserve">  </w:t>
      </w:r>
      <w:r>
        <w:rPr>
          <w:rFonts w:hint="eastAsia" w:ascii="仿宋" w:hAnsi="仿宋" w:eastAsia="仿宋" w:cs="仿宋"/>
          <w:color w:val="auto"/>
          <w:sz w:val="24"/>
          <w:szCs w:val="24"/>
          <w:highlight w:val="none"/>
        </w:rPr>
        <w:t>甲方权利和义务</w:t>
      </w:r>
    </w:p>
    <w:p w14:paraId="4700F6B3">
      <w:pPr>
        <w:spacing w:before="182" w:line="483"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1.甲方将依照有关法规、规章的规定，要求采购人按照本项目征集文件采购需求及</w:t>
      </w:r>
    </w:p>
    <w:p w14:paraId="5C01D2A6">
      <w:pPr>
        <w:spacing w:before="1" w:line="226"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本框架协议约定的事项从入围供应商中选定成交供应商。</w:t>
      </w:r>
    </w:p>
    <w:p w14:paraId="449791AB">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2.甲方负责管理乙方的服务活动，使其符合采购价格不高于响应报价的价格，采购</w:t>
      </w:r>
    </w:p>
    <w:p w14:paraId="6776B8D9">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质量优良和服务良好的要求。</w:t>
      </w:r>
    </w:p>
    <w:p w14:paraId="470986AE">
      <w:pPr>
        <w:spacing w:before="20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3.甲方有权按照本项目征集文件以及本框架协议和采购合同等文件对乙方履约行</w:t>
      </w:r>
    </w:p>
    <w:p w14:paraId="65F35156">
      <w:pPr>
        <w:spacing w:before="183" w:line="365" w:lineRule="auto"/>
        <w:ind w:left="7" w:right="2" w:firstLine="3"/>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为进行监督和检查， 收集并公开采购人对入围供应商履行框架协议和采购合同情况的反</w:t>
      </w:r>
      <w:r>
        <w:rPr>
          <w:rFonts w:hint="eastAsia" w:ascii="仿宋" w:hAnsi="仿宋" w:eastAsia="仿宋" w:cs="仿宋"/>
          <w:color w:val="auto"/>
          <w:spacing w:val="8"/>
          <w:sz w:val="23"/>
          <w:szCs w:val="23"/>
          <w:highlight w:val="none"/>
        </w:rPr>
        <w:t>馈与评价。如发现乙方违反征集文件或本协议或采购合同的有关规定和承诺，甲方有权</w:t>
      </w:r>
    </w:p>
    <w:p w14:paraId="07F6BDB4">
      <w:pPr>
        <w:spacing w:line="227" w:lineRule="auto"/>
        <w:ind w:left="2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暂停或解除乙方的框架协议。</w:t>
      </w:r>
    </w:p>
    <w:p w14:paraId="1A2F5E10">
      <w:pPr>
        <w:spacing w:before="185" w:line="227"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4.甲方有权对入围供应商进行清退或补充等相关事宜。</w:t>
      </w:r>
    </w:p>
    <w:p w14:paraId="0B6E4C22">
      <w:pPr>
        <w:spacing w:before="164"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5.如征集文件有要求需要在框架协议中另行确定的事项，甲方有权按征集文件要求</w:t>
      </w:r>
    </w:p>
    <w:p w14:paraId="7E430961">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执行。</w:t>
      </w:r>
    </w:p>
    <w:p w14:paraId="722D9CB3">
      <w:pPr>
        <w:numPr>
          <w:ilvl w:val="0"/>
          <w:numId w:val="3"/>
        </w:numPr>
        <w:spacing w:before="206" w:line="365" w:lineRule="auto"/>
        <w:ind w:left="7"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甲方有权要求乙方按时、按质、按量、按计划与合同协议约定完成本项目，并有</w:t>
      </w:r>
      <w:r>
        <w:rPr>
          <w:rFonts w:hint="eastAsia" w:ascii="仿宋" w:hAnsi="仿宋" w:eastAsia="仿宋" w:cs="仿宋"/>
          <w:color w:val="auto"/>
          <w:spacing w:val="8"/>
          <w:sz w:val="23"/>
          <w:szCs w:val="23"/>
          <w:highlight w:val="none"/>
        </w:rPr>
        <w:t>权对乙方工作情况进行监督。如发现乙方与项目有关人员有意串通增大工程量或弄虚作</w:t>
      </w:r>
      <w:r>
        <w:rPr>
          <w:rFonts w:hint="eastAsia" w:ascii="仿宋" w:hAnsi="仿宋" w:eastAsia="仿宋" w:cs="仿宋"/>
          <w:color w:val="auto"/>
          <w:spacing w:val="1"/>
          <w:sz w:val="23"/>
          <w:szCs w:val="23"/>
          <w:highlight w:val="none"/>
        </w:rPr>
        <w:t>假增加审计金额的， 经查实按违约责任处理。</w:t>
      </w:r>
    </w:p>
    <w:p w14:paraId="6BE2BA2C">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7.根据项目进度，甲方有权及时对乙方才是交的方案提出修改意见，并要求乙方按</w:t>
      </w:r>
    </w:p>
    <w:p w14:paraId="78E1BCE7">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修改意见完成服务工作。</w:t>
      </w:r>
    </w:p>
    <w:p w14:paraId="3AE29ADA">
      <w:pPr>
        <w:spacing w:before="165"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8.乙方面己备的项目投入人员应得到甲方的认可；对派遣到甲方的审核人员（包括</w:t>
      </w:r>
    </w:p>
    <w:p w14:paraId="7913443F">
      <w:pPr>
        <w:spacing w:line="227"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主审、协审人员）进行管理、考核、检查与奖惩。</w:t>
      </w:r>
    </w:p>
    <w:p w14:paraId="7FC3D3B3">
      <w:pPr>
        <w:spacing w:before="183" w:line="227"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9.甲方有权要求乙方更换不合格的工作人员。</w:t>
      </w:r>
    </w:p>
    <w:p w14:paraId="441CB143">
      <w:pPr>
        <w:spacing w:before="183"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10.按框架协议要求及时向乙方支付产品和</w:t>
      </w:r>
      <w:r>
        <w:rPr>
          <w:rFonts w:hint="eastAsia" w:ascii="仿宋" w:hAnsi="仿宋" w:eastAsia="仿宋" w:cs="仿宋"/>
          <w:color w:val="auto"/>
          <w:spacing w:val="6"/>
          <w:sz w:val="23"/>
          <w:szCs w:val="23"/>
          <w:highlight w:val="none"/>
        </w:rPr>
        <w:t>服务费用。</w:t>
      </w:r>
    </w:p>
    <w:p w14:paraId="3806806D">
      <w:pPr>
        <w:spacing w:before="184"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11.如采购项目涉及采购标的的知识产权归</w:t>
      </w:r>
      <w:r>
        <w:rPr>
          <w:rFonts w:hint="eastAsia" w:ascii="仿宋" w:hAnsi="仿宋" w:eastAsia="仿宋" w:cs="仿宋"/>
          <w:color w:val="auto"/>
          <w:spacing w:val="6"/>
          <w:sz w:val="23"/>
          <w:szCs w:val="23"/>
          <w:highlight w:val="none"/>
        </w:rPr>
        <w:t>属的，产权归属为甲方。</w:t>
      </w:r>
    </w:p>
    <w:p w14:paraId="63B0371B">
      <w:pPr>
        <w:spacing w:before="183" w:line="227" w:lineRule="auto"/>
        <w:ind w:left="525"/>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12.处理方式：采购人在中华人民共和国境内使用供应商提供的</w:t>
      </w:r>
      <w:r>
        <w:rPr>
          <w:rFonts w:hint="eastAsia" w:ascii="仿宋" w:hAnsi="仿宋" w:eastAsia="仿宋" w:cs="仿宋"/>
          <w:color w:val="auto"/>
          <w:spacing w:val="7"/>
          <w:sz w:val="23"/>
          <w:szCs w:val="23"/>
          <w:highlight w:val="none"/>
        </w:rPr>
        <w:t>产品及服务时免受</w:t>
      </w:r>
    </w:p>
    <w:p w14:paraId="51E4EF9E">
      <w:pPr>
        <w:pStyle w:val="5"/>
        <w:spacing w:line="240" w:lineRule="auto"/>
        <w:rPr>
          <w:rFonts w:hint="eastAsia" w:ascii="仿宋" w:hAnsi="仿宋" w:eastAsia="仿宋" w:cs="仿宋"/>
          <w:color w:val="auto"/>
          <w:highlight w:val="none"/>
        </w:rPr>
      </w:pPr>
    </w:p>
    <w:p w14:paraId="2D2BAF3F">
      <w:pPr>
        <w:spacing w:before="75" w:line="485" w:lineRule="exact"/>
        <w:ind w:left="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第三方提出的侵犯其专利权或其他知识产权的起诉。如果第三方提出侵权指控，乙方应</w:t>
      </w:r>
    </w:p>
    <w:p w14:paraId="0EDA36B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承担由此而引起的一切法律责任和费用。</w:t>
      </w:r>
    </w:p>
    <w:p w14:paraId="53373202">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第八条</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6"/>
          <w:sz w:val="24"/>
          <w:szCs w:val="24"/>
          <w:highlight w:val="none"/>
        </w:rPr>
        <w:t>乙方权利和义务</w:t>
      </w:r>
    </w:p>
    <w:p w14:paraId="39A833E2">
      <w:pPr>
        <w:spacing w:before="180" w:line="484"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6"/>
          <w:position w:val="19"/>
          <w:sz w:val="23"/>
          <w:szCs w:val="23"/>
          <w:highlight w:val="none"/>
        </w:rPr>
        <w:t>1.</w:t>
      </w:r>
      <w:r>
        <w:rPr>
          <w:rFonts w:hint="eastAsia" w:ascii="仿宋" w:hAnsi="仿宋" w:eastAsia="仿宋" w:cs="仿宋"/>
          <w:color w:val="auto"/>
          <w:spacing w:val="81"/>
          <w:position w:val="19"/>
          <w:sz w:val="23"/>
          <w:szCs w:val="23"/>
          <w:highlight w:val="none"/>
        </w:rPr>
        <w:t xml:space="preserve"> </w:t>
      </w:r>
      <w:r>
        <w:rPr>
          <w:rFonts w:hint="eastAsia" w:ascii="仿宋" w:hAnsi="仿宋" w:eastAsia="仿宋" w:cs="仿宋"/>
          <w:color w:val="auto"/>
          <w:spacing w:val="6"/>
          <w:position w:val="19"/>
          <w:sz w:val="23"/>
          <w:szCs w:val="23"/>
          <w:highlight w:val="none"/>
        </w:rPr>
        <w:t>乙方应当遵守采购人按照本协议规定的选定成交供应商的方式获得成交供应商</w:t>
      </w:r>
    </w:p>
    <w:p w14:paraId="2FD8E182">
      <w:pPr>
        <w:spacing w:line="227" w:lineRule="auto"/>
        <w:ind w:left="3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资格。</w:t>
      </w:r>
    </w:p>
    <w:p w14:paraId="383D6E7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2.乙方提供的产品或服务应符合国家标准和征集文件中要求的标准。</w:t>
      </w:r>
    </w:p>
    <w:p w14:paraId="3E44328D">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3.乙方应保证依据征集文件要求及响应承诺，向采购人提供质量不降低，价格不提</w:t>
      </w:r>
    </w:p>
    <w:p w14:paraId="3A6F927A">
      <w:pPr>
        <w:spacing w:before="1" w:line="226"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高的产品，以及与之配套的耗材、配件 。</w:t>
      </w:r>
    </w:p>
    <w:p w14:paraId="359AAE35">
      <w:pPr>
        <w:spacing w:before="18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4.乙方应接受并配合甲方的评价及反馈机制，严格</w:t>
      </w:r>
      <w:r>
        <w:rPr>
          <w:rFonts w:hint="eastAsia" w:ascii="仿宋" w:hAnsi="仿宋" w:eastAsia="仿宋" w:cs="仿宋"/>
          <w:color w:val="auto"/>
          <w:spacing w:val="8"/>
          <w:sz w:val="23"/>
          <w:szCs w:val="23"/>
          <w:highlight w:val="none"/>
        </w:rPr>
        <w:t>履行服务承诺。</w:t>
      </w:r>
    </w:p>
    <w:p w14:paraId="6C121274">
      <w:pPr>
        <w:spacing w:before="208" w:line="365" w:lineRule="auto"/>
        <w:ind w:left="8" w:right="63" w:firstLine="48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5.乙方无正当理由，不得主动放弃入围资格或者退出框架协议，否则，乙方不得参</w:t>
      </w:r>
      <w:r>
        <w:rPr>
          <w:rFonts w:hint="eastAsia" w:ascii="仿宋" w:hAnsi="仿宋" w:eastAsia="仿宋" w:cs="仿宋"/>
          <w:color w:val="auto"/>
          <w:spacing w:val="8"/>
          <w:sz w:val="23"/>
          <w:szCs w:val="23"/>
          <w:highlight w:val="none"/>
        </w:rPr>
        <w:t>加同一封闭式框架协议补充征集，或者重新申请加入同一开放式框架协议。甲方保留对</w:t>
      </w:r>
    </w:p>
    <w:p w14:paraId="3E999859">
      <w:pPr>
        <w:spacing w:before="1" w:line="226"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乙方追究责任的权利。</w:t>
      </w:r>
    </w:p>
    <w:p w14:paraId="1FF5EF1F">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6.乙方应按照征集文件评审办法要求提供需要核查的原件，如原件与响应文件中提</w:t>
      </w:r>
    </w:p>
    <w:p w14:paraId="70A2BBE5">
      <w:pPr>
        <w:spacing w:before="1" w:line="226"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供的不一致或虚假的或未提供的，甲方有权取消乙方入围资格</w:t>
      </w:r>
      <w:r>
        <w:rPr>
          <w:rFonts w:hint="eastAsia" w:ascii="仿宋" w:hAnsi="仿宋" w:eastAsia="仿宋" w:cs="仿宋"/>
          <w:color w:val="auto"/>
          <w:spacing w:val="8"/>
          <w:sz w:val="23"/>
          <w:szCs w:val="23"/>
          <w:highlight w:val="none"/>
        </w:rPr>
        <w:t>，另行确定入围供应商。</w:t>
      </w:r>
    </w:p>
    <w:p w14:paraId="5D5FA92A">
      <w:pPr>
        <w:pStyle w:val="5"/>
        <w:spacing w:before="166" w:line="485" w:lineRule="exact"/>
        <w:ind w:right="40"/>
        <w:jc w:val="center"/>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7. 严格履行合同文件（含征集文件、响应文件等〉约定和承诺的服务内容和质量.</w:t>
      </w:r>
    </w:p>
    <w:p w14:paraId="02D531D8">
      <w:pPr>
        <w:spacing w:line="228"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标准，保证甲方项目的相关工作质量和进度。</w:t>
      </w:r>
    </w:p>
    <w:p w14:paraId="312B3869">
      <w:pPr>
        <w:numPr>
          <w:ilvl w:val="0"/>
          <w:numId w:val="0"/>
        </w:numPr>
        <w:spacing w:before="202" w:line="370" w:lineRule="auto"/>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lang w:val="en-US" w:eastAsia="zh-CN"/>
        </w:rPr>
        <w:t>8.</w:t>
      </w:r>
      <w:r>
        <w:rPr>
          <w:rFonts w:hint="eastAsia" w:ascii="仿宋" w:hAnsi="仿宋" w:eastAsia="仿宋" w:cs="仿宋"/>
          <w:color w:val="auto"/>
          <w:spacing w:val="6"/>
          <w:sz w:val="23"/>
          <w:szCs w:val="23"/>
          <w:highlight w:val="none"/>
        </w:rPr>
        <w:t>必须严格实施乙方响应文件中承诺的人力资源配置。在必须补充或更换人员时，</w:t>
      </w:r>
      <w:r>
        <w:rPr>
          <w:rFonts w:hint="eastAsia" w:ascii="仿宋" w:hAnsi="仿宋" w:eastAsia="仿宋" w:cs="仿宋"/>
          <w:color w:val="auto"/>
          <w:spacing w:val="7"/>
          <w:sz w:val="23"/>
          <w:szCs w:val="23"/>
          <w:highlight w:val="none"/>
        </w:rPr>
        <w:t>必须补充或更换优于或等同于响应文件所承诺资质的审核人员</w:t>
      </w:r>
      <w:r>
        <w:rPr>
          <w:rFonts w:hint="eastAsia" w:ascii="仿宋" w:hAnsi="仿宋" w:eastAsia="仿宋" w:cs="仿宋"/>
          <w:color w:val="auto"/>
          <w:spacing w:val="6"/>
          <w:sz w:val="23"/>
          <w:szCs w:val="23"/>
          <w:highlight w:val="none"/>
        </w:rPr>
        <w:t>（包括主审、协审人员</w:t>
      </w:r>
      <w:r>
        <w:rPr>
          <w:rFonts w:hint="eastAsia" w:ascii="仿宋" w:hAnsi="仿宋" w:eastAsia="仿宋" w:cs="仿宋"/>
          <w:color w:val="auto"/>
          <w:spacing w:val="-52"/>
          <w:sz w:val="23"/>
          <w:szCs w:val="23"/>
          <w:highlight w:val="none"/>
        </w:rPr>
        <w:t>），</w:t>
      </w:r>
      <w:r>
        <w:rPr>
          <w:rFonts w:hint="eastAsia" w:ascii="仿宋" w:hAnsi="仿宋" w:eastAsia="仿宋" w:cs="仿宋"/>
          <w:color w:val="auto"/>
          <w:spacing w:val="7"/>
          <w:sz w:val="23"/>
          <w:szCs w:val="23"/>
          <w:highlight w:val="none"/>
        </w:rPr>
        <w:t>并须取得甲方书面同意。在框架协议有效期内，如乙方在第二阶段签订合同时需要调整</w:t>
      </w:r>
      <w:r>
        <w:rPr>
          <w:rFonts w:hint="eastAsia" w:ascii="仿宋" w:hAnsi="仿宋" w:eastAsia="仿宋" w:cs="仿宋"/>
          <w:color w:val="auto"/>
          <w:spacing w:val="8"/>
          <w:sz w:val="23"/>
          <w:szCs w:val="23"/>
          <w:highlight w:val="none"/>
        </w:rPr>
        <w:t>人员，调整的人员应当是响应文件中承诺的拟投入人员，且签</w:t>
      </w:r>
      <w:r>
        <w:rPr>
          <w:rFonts w:hint="eastAsia" w:ascii="仿宋" w:hAnsi="仿宋" w:eastAsia="仿宋" w:cs="仿宋"/>
          <w:color w:val="auto"/>
          <w:spacing w:val="7"/>
          <w:sz w:val="23"/>
          <w:szCs w:val="23"/>
          <w:highlight w:val="none"/>
        </w:rPr>
        <w:t>订合同前须提供人员名单</w:t>
      </w:r>
      <w:r>
        <w:rPr>
          <w:rFonts w:hint="eastAsia" w:ascii="仿宋" w:hAnsi="仿宋" w:eastAsia="仿宋" w:cs="仿宋"/>
          <w:color w:val="auto"/>
          <w:spacing w:val="5"/>
          <w:sz w:val="23"/>
          <w:szCs w:val="23"/>
          <w:highlight w:val="none"/>
        </w:rPr>
        <w:t>送甲方审核。</w:t>
      </w:r>
    </w:p>
    <w:p w14:paraId="7C9AC8F6">
      <w:pPr>
        <w:spacing w:before="200" w:line="365" w:lineRule="auto"/>
        <w:ind w:left="12" w:right="63" w:firstLine="47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9.乙方项目负责人及服务团队成员须与响应文件保持一致。合同存续期内，未经甲</w:t>
      </w:r>
      <w:r>
        <w:rPr>
          <w:rFonts w:hint="eastAsia" w:ascii="仿宋" w:hAnsi="仿宋" w:eastAsia="仿宋" w:cs="仿宋"/>
          <w:color w:val="auto"/>
          <w:spacing w:val="5"/>
          <w:sz w:val="23"/>
          <w:szCs w:val="23"/>
          <w:highlight w:val="none"/>
        </w:rPr>
        <w:t>方书面要求或同意， 项目负责人不应调整。项目负责人及服务团队成员必须保证在岗工</w:t>
      </w:r>
    </w:p>
    <w:p w14:paraId="3537268A">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作时间和重大活动在岗， 如有变化， 须取得甲方同意。</w:t>
      </w:r>
    </w:p>
    <w:p w14:paraId="04F67AFB">
      <w:pPr>
        <w:numPr>
          <w:ilvl w:val="0"/>
          <w:numId w:val="4"/>
        </w:numPr>
        <w:spacing w:before="203" w:line="368" w:lineRule="auto"/>
        <w:ind w:left="12" w:right="63" w:firstLine="51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乙方依本合同约定向甲方提供的报告、资料、文件等内容及服务成果后，甲方</w:t>
      </w:r>
      <w:r>
        <w:rPr>
          <w:rFonts w:hint="eastAsia" w:ascii="仿宋" w:hAnsi="仿宋" w:eastAsia="仿宋" w:cs="仿宋"/>
          <w:color w:val="auto"/>
          <w:spacing w:val="8"/>
          <w:sz w:val="23"/>
          <w:szCs w:val="23"/>
          <w:highlight w:val="none"/>
        </w:rPr>
        <w:t>即对上述内容享有充分、完整和排他的著作权和知识产权。未经甲方书面许可，乙方不得向任何第三方提供上述报告、资料、文件等内容及服务成果。</w:t>
      </w:r>
      <w:r>
        <w:rPr>
          <w:rFonts w:hint="eastAsia" w:ascii="仿宋" w:hAnsi="仿宋" w:eastAsia="仿宋" w:cs="仿宋"/>
          <w:color w:val="auto"/>
          <w:spacing w:val="7"/>
          <w:sz w:val="23"/>
          <w:szCs w:val="23"/>
          <w:highlight w:val="none"/>
        </w:rPr>
        <w:t>即使向履行本合同有关</w:t>
      </w:r>
      <w:r>
        <w:rPr>
          <w:rFonts w:hint="eastAsia" w:ascii="仿宋" w:hAnsi="仿宋" w:eastAsia="仿宋" w:cs="仿宋"/>
          <w:color w:val="auto"/>
          <w:spacing w:val="2"/>
          <w:sz w:val="23"/>
          <w:szCs w:val="23"/>
          <w:highlight w:val="none"/>
        </w:rPr>
        <w:t>的人员提供， 也应注意保密并限于履行合同的必需范围。</w:t>
      </w:r>
    </w:p>
    <w:p w14:paraId="24F80A96">
      <w:pPr>
        <w:spacing w:before="169"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11.乙方审核人员（包括主审、协审人员）应履行保密义务。如</w:t>
      </w:r>
      <w:r>
        <w:rPr>
          <w:rFonts w:hint="eastAsia" w:ascii="仿宋" w:hAnsi="仿宋" w:eastAsia="仿宋" w:cs="仿宋"/>
          <w:color w:val="auto"/>
          <w:spacing w:val="7"/>
          <w:position w:val="18"/>
          <w:sz w:val="23"/>
          <w:szCs w:val="23"/>
          <w:highlight w:val="none"/>
        </w:rPr>
        <w:t>乙方因违反本条约</w:t>
      </w:r>
    </w:p>
    <w:p w14:paraId="693AA0BC">
      <w:pPr>
        <w:spacing w:line="227" w:lineRule="auto"/>
        <w:ind w:left="2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定给甲方造成损失的，乙方应当承担相应的法律责任</w:t>
      </w:r>
      <w:r>
        <w:rPr>
          <w:rFonts w:hint="eastAsia" w:ascii="仿宋" w:hAnsi="仿宋" w:eastAsia="仿宋" w:cs="仿宋"/>
          <w:color w:val="auto"/>
          <w:spacing w:val="7"/>
          <w:sz w:val="23"/>
          <w:szCs w:val="23"/>
          <w:highlight w:val="none"/>
        </w:rPr>
        <w:t>，并赔偿由此给甲方造成的一切损</w:t>
      </w:r>
    </w:p>
    <w:p w14:paraId="22BE97DC">
      <w:pPr>
        <w:spacing w:before="75" w:line="229"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失。</w:t>
      </w:r>
    </w:p>
    <w:p w14:paraId="0B9F3A8D">
      <w:pPr>
        <w:numPr>
          <w:ilvl w:val="0"/>
          <w:numId w:val="5"/>
        </w:numPr>
        <w:spacing w:before="199" w:line="370" w:lineRule="auto"/>
        <w:ind w:left="7" w:right="2" w:firstLine="51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乙方应履行回避义务。乙方以及乙方审核人员（包括主审、协审人员）如存在</w:t>
      </w:r>
      <w:r>
        <w:rPr>
          <w:rFonts w:hint="eastAsia" w:ascii="仿宋" w:hAnsi="仿宋" w:eastAsia="仿宋" w:cs="仿宋"/>
          <w:color w:val="auto"/>
          <w:spacing w:val="5"/>
          <w:sz w:val="23"/>
          <w:szCs w:val="23"/>
          <w:highlight w:val="none"/>
        </w:rPr>
        <w:t>可能影响本合同所安排项目审核公正性的情形，应主动告知甲方，并终止本合同或更换</w:t>
      </w:r>
      <w:r>
        <w:rPr>
          <w:rFonts w:hint="eastAsia" w:ascii="仿宋" w:hAnsi="仿宋" w:eastAsia="仿宋" w:cs="仿宋"/>
          <w:color w:val="auto"/>
          <w:spacing w:val="8"/>
          <w:sz w:val="23"/>
          <w:szCs w:val="23"/>
          <w:highlight w:val="none"/>
        </w:rPr>
        <w:t>存在利益关联的审核人员。如果乙方与所审核项目（或该项目的送审单位）存在利益关</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2"/>
          <w:sz w:val="23"/>
          <w:szCs w:val="23"/>
          <w:highlight w:val="none"/>
        </w:rPr>
        <w:t>联，应主动告知甲方并终止本合同；如果所安排审核人员与所审核项目（或该项目的送</w:t>
      </w:r>
      <w:r>
        <w:rPr>
          <w:rFonts w:hint="eastAsia" w:ascii="仿宋" w:hAnsi="仿宋" w:eastAsia="仿宋" w:cs="仿宋"/>
          <w:color w:val="auto"/>
          <w:spacing w:val="-1"/>
          <w:sz w:val="23"/>
          <w:szCs w:val="23"/>
          <w:highlight w:val="none"/>
        </w:rPr>
        <w:t>审单位）存在利益关联， 应主动告知甲方并更换审核人员。</w:t>
      </w:r>
    </w:p>
    <w:p w14:paraId="44642211">
      <w:pPr>
        <w:spacing w:before="18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13.有义务要善保管甲方提供的资料，并在审核工作完成后，完整交回</w:t>
      </w:r>
      <w:r>
        <w:rPr>
          <w:rFonts w:hint="eastAsia" w:ascii="仿宋" w:hAnsi="仿宋" w:eastAsia="仿宋" w:cs="仿宋"/>
          <w:color w:val="auto"/>
          <w:spacing w:val="6"/>
          <w:sz w:val="23"/>
          <w:szCs w:val="23"/>
          <w:highlight w:val="none"/>
        </w:rPr>
        <w:t>甲方。</w:t>
      </w:r>
    </w:p>
    <w:p w14:paraId="62EBB5E2">
      <w:pPr>
        <w:spacing w:before="207" w:line="365" w:lineRule="auto"/>
        <w:ind w:left="6" w:right="2" w:firstLine="5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14.乙方应服从甲方对可能委托项目的指派及分配，并了解本项目签订框架协议后</w:t>
      </w:r>
      <w:r>
        <w:rPr>
          <w:rFonts w:hint="eastAsia" w:ascii="仿宋" w:hAnsi="仿宋" w:eastAsia="仿宋" w:cs="仿宋"/>
          <w:color w:val="auto"/>
          <w:spacing w:val="8"/>
          <w:sz w:val="23"/>
          <w:szCs w:val="23"/>
          <w:highlight w:val="none"/>
        </w:rPr>
        <w:t>仅代表取得入审核服务资格，不等问于可确保直接承接相应数量的项目审核工作并获得</w:t>
      </w:r>
      <w:r>
        <w:rPr>
          <w:rFonts w:hint="eastAsia" w:ascii="仿宋" w:hAnsi="仿宋" w:eastAsia="仿宋" w:cs="仿宋"/>
          <w:color w:val="auto"/>
          <w:spacing w:val="7"/>
          <w:sz w:val="23"/>
          <w:szCs w:val="23"/>
          <w:highlight w:val="none"/>
        </w:rPr>
        <w:t>相应项目的服务费用。</w:t>
      </w:r>
    </w:p>
    <w:p w14:paraId="0A5F444D">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第九条</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违约责任</w:t>
      </w:r>
    </w:p>
    <w:p w14:paraId="007DF44F">
      <w:pPr>
        <w:spacing w:before="223" w:line="370" w:lineRule="auto"/>
        <w:ind w:left="12" w:right="2" w:firstLine="50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l.若因乙方原因而未能履行框架协议或未达到框架协议约定的要求， 甲方</w:t>
      </w:r>
      <w:r>
        <w:rPr>
          <w:rFonts w:hint="eastAsia" w:ascii="仿宋" w:hAnsi="仿宋" w:eastAsia="仿宋" w:cs="仿宋"/>
          <w:color w:val="auto"/>
          <w:spacing w:val="3"/>
          <w:sz w:val="23"/>
          <w:szCs w:val="23"/>
          <w:highlight w:val="none"/>
        </w:rPr>
        <w:t>有权书面</w:t>
      </w:r>
      <w:r>
        <w:rPr>
          <w:rFonts w:hint="eastAsia" w:ascii="仿宋" w:hAnsi="仿宋" w:eastAsia="仿宋" w:cs="仿宋"/>
          <w:color w:val="auto"/>
          <w:spacing w:val="5"/>
          <w:sz w:val="23"/>
          <w:szCs w:val="23"/>
          <w:highlight w:val="none"/>
        </w:rPr>
        <w:t>督促乙方履行框架协议， 乙方应在收到甲方书面通知之日起七日内给予书面答复并进行</w:t>
      </w:r>
      <w:r>
        <w:rPr>
          <w:rFonts w:hint="eastAsia" w:ascii="仿宋" w:hAnsi="仿宋" w:eastAsia="仿宋" w:cs="仿宋"/>
          <w:color w:val="auto"/>
          <w:spacing w:val="8"/>
          <w:sz w:val="23"/>
          <w:szCs w:val="23"/>
          <w:highlight w:val="none"/>
        </w:rPr>
        <w:t>整改；如乙方在上述时间未答复，或无故拖延履行框架协议，或经整改后仍未达到甲方要求，甲方有权书面通知乙方解除服务框架协议，且无需支付合同解除后的框架协议后续费用。同时，乙方必须退还甲方已付出的所有服务费用，并赔偿由此给甲方造成的全</w:t>
      </w:r>
      <w:r>
        <w:rPr>
          <w:rFonts w:hint="eastAsia" w:ascii="仿宋" w:hAnsi="仿宋" w:eastAsia="仿宋" w:cs="仿宋"/>
          <w:color w:val="auto"/>
          <w:spacing w:val="2"/>
          <w:sz w:val="23"/>
          <w:szCs w:val="23"/>
          <w:highlight w:val="none"/>
        </w:rPr>
        <w:t>部损失。</w:t>
      </w:r>
    </w:p>
    <w:p w14:paraId="7B6685B2">
      <w:pPr>
        <w:spacing w:before="205" w:line="365" w:lineRule="auto"/>
        <w:ind w:left="18" w:right="16" w:firstLine="47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2.乙方未得到甲方同意，擅自更换项目负责人及服务团队成员时，甲方有权书面通</w:t>
      </w:r>
      <w:r>
        <w:rPr>
          <w:rFonts w:hint="eastAsia" w:ascii="仿宋" w:hAnsi="仿宋" w:eastAsia="仿宋" w:cs="仿宋"/>
          <w:color w:val="auto"/>
          <w:spacing w:val="8"/>
          <w:sz w:val="23"/>
          <w:szCs w:val="23"/>
          <w:highlight w:val="none"/>
        </w:rPr>
        <w:t>知乙方解除服务框架协议，且无需支付框架协议解除后</w:t>
      </w:r>
      <w:r>
        <w:rPr>
          <w:rFonts w:hint="eastAsia" w:ascii="仿宋" w:hAnsi="仿宋" w:eastAsia="仿宋" w:cs="仿宋"/>
          <w:color w:val="auto"/>
          <w:spacing w:val="7"/>
          <w:sz w:val="23"/>
          <w:szCs w:val="23"/>
          <w:highlight w:val="none"/>
        </w:rPr>
        <w:t>的框架协议后续费用。同时，乙</w:t>
      </w:r>
      <w:r>
        <w:rPr>
          <w:rFonts w:hint="eastAsia" w:ascii="仿宋" w:hAnsi="仿宋" w:eastAsia="仿宋" w:cs="仿宋"/>
          <w:color w:val="auto"/>
          <w:spacing w:val="9"/>
          <w:sz w:val="23"/>
          <w:szCs w:val="23"/>
          <w:highlight w:val="none"/>
        </w:rPr>
        <w:t>方必须退还甲方已付出的所有服务费用，并赔偿由此给甲方造成的全部损失。</w:t>
      </w:r>
    </w:p>
    <w:p w14:paraId="212A3DC4">
      <w:pPr>
        <w:spacing w:before="204" w:line="366" w:lineRule="auto"/>
        <w:ind w:left="12" w:right="2" w:firstLine="48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3.乙方或乙方人员违反保密义务时，甲方有权书面通知乙方解除咨询合同，且无需</w:t>
      </w:r>
      <w:r>
        <w:rPr>
          <w:rFonts w:hint="eastAsia" w:ascii="仿宋" w:hAnsi="仿宋" w:eastAsia="仿宋" w:cs="仿宋"/>
          <w:color w:val="auto"/>
          <w:spacing w:val="8"/>
          <w:sz w:val="23"/>
          <w:szCs w:val="23"/>
          <w:highlight w:val="none"/>
        </w:rPr>
        <w:t>支付框架协议解除后的框架协议后续费用。同时，乙方必须退还甲方已付出的所有咨询</w:t>
      </w:r>
      <w:r>
        <w:rPr>
          <w:rFonts w:hint="eastAsia" w:ascii="仿宋" w:hAnsi="仿宋" w:eastAsia="仿宋" w:cs="仿宋"/>
          <w:color w:val="auto"/>
          <w:spacing w:val="6"/>
          <w:sz w:val="23"/>
          <w:szCs w:val="23"/>
          <w:highlight w:val="none"/>
        </w:rPr>
        <w:t>费用，并赔偿由此给甲方造成的全部损失。</w:t>
      </w:r>
    </w:p>
    <w:p w14:paraId="352239FF">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4.乙方提供的服务如侵犯了第三方合法权益而引发的任何纠纷或诉讼，均由乙方负</w:t>
      </w:r>
    </w:p>
    <w:p w14:paraId="4B7A0686">
      <w:pPr>
        <w:spacing w:before="1" w:line="227" w:lineRule="auto"/>
        <w:ind w:left="2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责交涉并承担全部责任。</w:t>
      </w:r>
    </w:p>
    <w:p w14:paraId="054F5016">
      <w:pPr>
        <w:spacing w:before="168"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5.乙方出现l次损坏审核资料的，给予警告一次；出现2次损坏审核资料或次丢失审</w:t>
      </w:r>
    </w:p>
    <w:p w14:paraId="101175E5">
      <w:pPr>
        <w:spacing w:before="1" w:line="226"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核资料， 终止框架协议， 并按情节轻重</w:t>
      </w:r>
      <w:r>
        <w:rPr>
          <w:rFonts w:hint="eastAsia" w:ascii="仿宋" w:hAnsi="仿宋" w:eastAsia="仿宋" w:cs="仿宋"/>
          <w:color w:val="auto"/>
          <w:spacing w:val="-3"/>
          <w:sz w:val="23"/>
          <w:szCs w:val="23"/>
          <w:highlight w:val="none"/>
        </w:rPr>
        <w:t>究其责任。</w:t>
      </w:r>
    </w:p>
    <w:p w14:paraId="68B84CD7">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6.乙方未按本框架协议和响应文件中规定的服务承诺提供售后服务的，乙方应按本</w:t>
      </w:r>
    </w:p>
    <w:p w14:paraId="50ADE129">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合同合计金额5%向甲方支付违约金。</w:t>
      </w:r>
    </w:p>
    <w:p w14:paraId="75056C92">
      <w:pPr>
        <w:spacing w:before="182" w:line="227" w:lineRule="auto"/>
        <w:ind w:left="501"/>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7. 其他违约行为按违约服务成果费用金额 5%收取违约金并赔偿经济损失。</w:t>
      </w:r>
    </w:p>
    <w:p w14:paraId="77480440">
      <w:pPr>
        <w:spacing w:before="182" w:line="22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第十条不可抗力事件处理</w:t>
      </w:r>
    </w:p>
    <w:p w14:paraId="1F5428F6">
      <w:pPr>
        <w:spacing w:before="180"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1.在合同有效期内，任何一方因不可抗力事件导致不能履行框架协议，则框架协议</w:t>
      </w:r>
    </w:p>
    <w:p w14:paraId="00D78157">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履行期可延长，其延长期与不可抗力影响期</w:t>
      </w:r>
      <w:r>
        <w:rPr>
          <w:rFonts w:hint="eastAsia" w:ascii="仿宋" w:hAnsi="仿宋" w:eastAsia="仿宋" w:cs="仿宋"/>
          <w:color w:val="auto"/>
          <w:spacing w:val="7"/>
          <w:sz w:val="23"/>
          <w:szCs w:val="23"/>
          <w:highlight w:val="none"/>
        </w:rPr>
        <w:t>相同 。</w:t>
      </w:r>
    </w:p>
    <w:p w14:paraId="10A68298">
      <w:pPr>
        <w:spacing w:before="184"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 不可抗力事件发生后，应立即通知对方，并寄送有关权威机构出</w:t>
      </w:r>
      <w:r>
        <w:rPr>
          <w:rFonts w:hint="eastAsia" w:ascii="仿宋" w:hAnsi="仿宋" w:eastAsia="仿宋" w:cs="仿宋"/>
          <w:color w:val="auto"/>
          <w:spacing w:val="7"/>
          <w:sz w:val="23"/>
          <w:szCs w:val="23"/>
          <w:highlight w:val="none"/>
        </w:rPr>
        <w:t>具的证明。</w:t>
      </w:r>
    </w:p>
    <w:p w14:paraId="4C0A6AA2">
      <w:pPr>
        <w:spacing w:before="181"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 不可抗力事件延续三十天以上，双方应</w:t>
      </w:r>
      <w:r>
        <w:rPr>
          <w:rFonts w:hint="eastAsia" w:ascii="仿宋" w:hAnsi="仿宋" w:eastAsia="仿宋" w:cs="仿宋"/>
          <w:color w:val="auto"/>
          <w:spacing w:val="6"/>
          <w:sz w:val="23"/>
          <w:szCs w:val="23"/>
          <w:highlight w:val="none"/>
        </w:rPr>
        <w:t>通过友好协商，确定是否继续履行合同。</w:t>
      </w:r>
    </w:p>
    <w:p w14:paraId="35C6FE15">
      <w:pPr>
        <w:spacing w:before="155"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第十一条</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争议解决</w:t>
      </w:r>
    </w:p>
    <w:p w14:paraId="618E6633">
      <w:pPr>
        <w:spacing w:before="217" w:line="366" w:lineRule="auto"/>
        <w:ind w:left="18" w:right="128" w:firstLine="50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1.因服务成果质量问题发生争议的，应邀请国家认定的评估机构按照标准对服务成果质量进行验收。服务成果符合标准的，鉴定费由甲方承担；服务成果不符合标准的，</w:t>
      </w:r>
    </w:p>
    <w:p w14:paraId="1B43C54C">
      <w:pPr>
        <w:spacing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鉴定费由乙方承担。</w:t>
      </w:r>
    </w:p>
    <w:p w14:paraId="22ECD949">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5"/>
          <w:position w:val="18"/>
          <w:sz w:val="23"/>
          <w:szCs w:val="23"/>
          <w:highlight w:val="none"/>
        </w:rPr>
        <w:t>2.因履行本合同引起的或与本合同有关的争议，甲乙双方应首先通过友好</w:t>
      </w:r>
      <w:r>
        <w:rPr>
          <w:rFonts w:hint="eastAsia" w:ascii="仿宋" w:hAnsi="仿宋" w:eastAsia="仿宋" w:cs="仿宋"/>
          <w:color w:val="auto"/>
          <w:spacing w:val="4"/>
          <w:position w:val="18"/>
          <w:sz w:val="23"/>
          <w:szCs w:val="23"/>
          <w:highlight w:val="none"/>
        </w:rPr>
        <w:t>协商解决，</w:t>
      </w:r>
    </w:p>
    <w:p w14:paraId="55B2A71C">
      <w:pPr>
        <w:spacing w:before="1"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如果协商不能解决，可向甲方所在地人民法院在提起诉讼。</w:t>
      </w:r>
    </w:p>
    <w:p w14:paraId="0C02DCDC">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3.诉讼期间，本框架协议继续履行。</w:t>
      </w:r>
    </w:p>
    <w:p w14:paraId="2AC116A7">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第十二条</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其他</w:t>
      </w:r>
    </w:p>
    <w:p w14:paraId="30D6C799">
      <w:pPr>
        <w:spacing w:before="199"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1.本协议原则上由双方代表人签订并加盖单位公章后生效。</w:t>
      </w:r>
    </w:p>
    <w:p w14:paraId="32440A42">
      <w:pPr>
        <w:spacing w:before="168" w:line="483" w:lineRule="exact"/>
        <w:ind w:left="494"/>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2.本协议为框架协议，具体项目具体事宜需在采购合同中进一步予以明确。框架协</w:t>
      </w:r>
    </w:p>
    <w:p w14:paraId="30771718">
      <w:pPr>
        <w:spacing w:before="1" w:line="226"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议与采购合同构成不可分割的整体。</w:t>
      </w:r>
    </w:p>
    <w:p w14:paraId="598ABFCC">
      <w:pPr>
        <w:spacing w:before="185"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3.本协议一式五份，双方各执二份，采购代理机构一份，具有同等法律效力 。</w:t>
      </w:r>
    </w:p>
    <w:p w14:paraId="5D81426A">
      <w:pPr>
        <w:spacing w:before="78"/>
        <w:rPr>
          <w:rFonts w:hint="eastAsia" w:ascii="仿宋" w:hAnsi="仿宋" w:eastAsia="仿宋" w:cs="仿宋"/>
          <w:color w:val="auto"/>
          <w:highlight w:val="none"/>
        </w:rPr>
      </w:pPr>
    </w:p>
    <w:p w14:paraId="56693F37">
      <w:pPr>
        <w:spacing w:before="78"/>
        <w:rPr>
          <w:rFonts w:hint="eastAsia" w:ascii="仿宋" w:hAnsi="仿宋" w:eastAsia="仿宋" w:cs="仿宋"/>
          <w:color w:val="auto"/>
          <w:highlight w:val="none"/>
        </w:rPr>
      </w:pPr>
    </w:p>
    <w:p w14:paraId="4C9B12B5">
      <w:pPr>
        <w:spacing w:before="78"/>
        <w:rPr>
          <w:rFonts w:hint="eastAsia" w:ascii="仿宋" w:hAnsi="仿宋" w:eastAsia="仿宋" w:cs="仿宋"/>
          <w:color w:val="auto"/>
          <w:highlight w:val="none"/>
        </w:rPr>
      </w:pPr>
    </w:p>
    <w:tbl>
      <w:tblPr>
        <w:tblStyle w:val="21"/>
        <w:tblW w:w="869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64"/>
        <w:gridCol w:w="2639"/>
        <w:gridCol w:w="3996"/>
      </w:tblGrid>
      <w:tr w14:paraId="0D2C06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7" w:hRule="atLeast"/>
          <w:jc w:val="center"/>
        </w:trPr>
        <w:tc>
          <w:tcPr>
            <w:tcW w:w="2064" w:type="dxa"/>
            <w:vAlign w:val="top"/>
          </w:tcPr>
          <w:p w14:paraId="7EDC97E1">
            <w:pPr>
              <w:pStyle w:val="22"/>
              <w:spacing w:before="2" w:line="228" w:lineRule="auto"/>
              <w:ind w:left="4"/>
              <w:rPr>
                <w:rFonts w:hint="eastAsia" w:ascii="仿宋" w:hAnsi="仿宋" w:eastAsia="仿宋" w:cs="仿宋"/>
                <w:color w:val="auto"/>
                <w:highlight w:val="none"/>
              </w:rPr>
            </w:pPr>
            <w:r>
              <w:rPr>
                <w:rFonts w:hint="eastAsia" w:ascii="仿宋" w:hAnsi="仿宋" w:eastAsia="仿宋" w:cs="仿宋"/>
                <w:color w:val="auto"/>
                <w:spacing w:val="6"/>
                <w:highlight w:val="none"/>
              </w:rPr>
              <w:t>协议甲方名称</w:t>
            </w:r>
          </w:p>
          <w:p w14:paraId="7771872D">
            <w:pPr>
              <w:spacing w:line="425" w:lineRule="auto"/>
              <w:rPr>
                <w:rFonts w:hint="eastAsia" w:ascii="仿宋" w:hAnsi="仿宋" w:eastAsia="仿宋" w:cs="仿宋"/>
                <w:color w:val="auto"/>
                <w:sz w:val="21"/>
                <w:highlight w:val="none"/>
              </w:rPr>
            </w:pPr>
          </w:p>
          <w:p w14:paraId="23AE62F5">
            <w:pPr>
              <w:pStyle w:val="22"/>
              <w:spacing w:before="75" w:line="237" w:lineRule="auto"/>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c>
          <w:tcPr>
            <w:tcW w:w="2639" w:type="dxa"/>
            <w:vAlign w:val="top"/>
          </w:tcPr>
          <w:p w14:paraId="40C2E52D">
            <w:pPr>
              <w:pStyle w:val="22"/>
              <w:spacing w:line="226" w:lineRule="auto"/>
              <w:rPr>
                <w:rFonts w:hint="eastAsia" w:ascii="仿宋" w:hAnsi="仿宋" w:eastAsia="仿宋" w:cs="仿宋"/>
                <w:color w:val="auto"/>
                <w:highlight w:val="none"/>
              </w:rPr>
            </w:pPr>
            <w:r>
              <w:rPr>
                <w:rFonts w:hint="eastAsia" w:ascii="仿宋" w:hAnsi="仿宋" w:eastAsia="仿宋" w:cs="仿宋"/>
                <w:color w:val="auto"/>
                <w:spacing w:val="-14"/>
                <w:highlight w:val="none"/>
              </w:rPr>
              <w:t>（盖章</w:t>
            </w:r>
            <w:r>
              <w:rPr>
                <w:rFonts w:hint="eastAsia" w:ascii="仿宋" w:hAnsi="仿宋" w:eastAsia="仿宋" w:cs="仿宋"/>
                <w:color w:val="auto"/>
                <w:spacing w:val="-9"/>
                <w:highlight w:val="none"/>
              </w:rPr>
              <w:t>）：</w:t>
            </w:r>
          </w:p>
        </w:tc>
        <w:tc>
          <w:tcPr>
            <w:tcW w:w="3996" w:type="dxa"/>
            <w:vAlign w:val="top"/>
          </w:tcPr>
          <w:p w14:paraId="667AFDBF">
            <w:pPr>
              <w:pStyle w:val="22"/>
              <w:spacing w:line="226"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协议乙方</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14"/>
                <w:highlight w:val="none"/>
              </w:rPr>
              <w:t>（盖章</w:t>
            </w:r>
            <w:r>
              <w:rPr>
                <w:rFonts w:hint="eastAsia" w:ascii="仿宋" w:hAnsi="仿宋" w:eastAsia="仿宋" w:cs="仿宋"/>
                <w:color w:val="auto"/>
                <w:spacing w:val="-57"/>
                <w:highlight w:val="none"/>
              </w:rPr>
              <w:t>）：</w:t>
            </w:r>
          </w:p>
          <w:p w14:paraId="20C64D6A">
            <w:pPr>
              <w:spacing w:line="427" w:lineRule="auto"/>
              <w:jc w:val="left"/>
              <w:rPr>
                <w:rFonts w:hint="eastAsia" w:ascii="仿宋" w:hAnsi="仿宋" w:eastAsia="仿宋" w:cs="仿宋"/>
                <w:color w:val="auto"/>
                <w:sz w:val="21"/>
                <w:highlight w:val="none"/>
              </w:rPr>
            </w:pPr>
          </w:p>
          <w:p w14:paraId="1197163F">
            <w:pPr>
              <w:pStyle w:val="22"/>
              <w:spacing w:before="74" w:line="237" w:lineRule="auto"/>
              <w:jc w:val="left"/>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r>
      <w:tr w14:paraId="7FCE22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2" w:hRule="atLeast"/>
          <w:jc w:val="center"/>
        </w:trPr>
        <w:tc>
          <w:tcPr>
            <w:tcW w:w="2064" w:type="dxa"/>
            <w:vAlign w:val="top"/>
          </w:tcPr>
          <w:p w14:paraId="49C11BFA">
            <w:pPr>
              <w:pStyle w:val="22"/>
              <w:spacing w:before="265" w:line="229" w:lineRule="auto"/>
              <w:ind w:left="4"/>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c>
          <w:tcPr>
            <w:tcW w:w="2639" w:type="dxa"/>
            <w:vAlign w:val="top"/>
          </w:tcPr>
          <w:p w14:paraId="340CB738">
            <w:pPr>
              <w:rPr>
                <w:rFonts w:hint="eastAsia" w:ascii="仿宋" w:hAnsi="仿宋" w:eastAsia="仿宋" w:cs="仿宋"/>
                <w:color w:val="auto"/>
                <w:sz w:val="21"/>
                <w:highlight w:val="none"/>
              </w:rPr>
            </w:pPr>
          </w:p>
        </w:tc>
        <w:tc>
          <w:tcPr>
            <w:tcW w:w="3996" w:type="dxa"/>
            <w:vAlign w:val="top"/>
          </w:tcPr>
          <w:p w14:paraId="7F37D673">
            <w:pPr>
              <w:pStyle w:val="22"/>
              <w:spacing w:before="265" w:line="229"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r>
      <w:tr w14:paraId="08C58B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3" w:hRule="atLeast"/>
          <w:jc w:val="center"/>
        </w:trPr>
        <w:tc>
          <w:tcPr>
            <w:tcW w:w="2064" w:type="dxa"/>
            <w:vAlign w:val="top"/>
          </w:tcPr>
          <w:p w14:paraId="739D13C2">
            <w:pPr>
              <w:pStyle w:val="22"/>
              <w:spacing w:before="268" w:line="227" w:lineRule="auto"/>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c>
          <w:tcPr>
            <w:tcW w:w="2639" w:type="dxa"/>
            <w:vAlign w:val="top"/>
          </w:tcPr>
          <w:p w14:paraId="49EBA970">
            <w:pPr>
              <w:rPr>
                <w:rFonts w:hint="eastAsia" w:ascii="仿宋" w:hAnsi="仿宋" w:eastAsia="仿宋" w:cs="仿宋"/>
                <w:color w:val="auto"/>
                <w:sz w:val="21"/>
                <w:highlight w:val="none"/>
              </w:rPr>
            </w:pPr>
          </w:p>
        </w:tc>
        <w:tc>
          <w:tcPr>
            <w:tcW w:w="3996" w:type="dxa"/>
            <w:vAlign w:val="top"/>
          </w:tcPr>
          <w:p w14:paraId="11E35138">
            <w:pPr>
              <w:pStyle w:val="22"/>
              <w:spacing w:before="268" w:line="227"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r>
      <w:tr w14:paraId="7BCB2D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jc w:val="center"/>
        </w:trPr>
        <w:tc>
          <w:tcPr>
            <w:tcW w:w="4703" w:type="dxa"/>
            <w:gridSpan w:val="2"/>
            <w:vAlign w:val="top"/>
          </w:tcPr>
          <w:p w14:paraId="61E192D1">
            <w:pPr>
              <w:pStyle w:val="22"/>
              <w:spacing w:before="247" w:line="184" w:lineRule="auto"/>
              <w:ind w:left="85"/>
              <w:jc w:val="right"/>
              <w:rPr>
                <w:rFonts w:hint="eastAsia" w:ascii="仿宋" w:hAnsi="仿宋" w:eastAsia="仿宋" w:cs="仿宋"/>
                <w:color w:val="auto"/>
                <w:highlight w:val="none"/>
              </w:rPr>
            </w:pPr>
            <w:r>
              <w:rPr>
                <w:rFonts w:hint="eastAsia" w:ascii="仿宋" w:hAnsi="仿宋" w:eastAsia="仿宋" w:cs="仿宋"/>
                <w:color w:val="auto"/>
                <w:spacing w:val="-11"/>
                <w:highlight w:val="none"/>
              </w:rPr>
              <w:t>日</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11"/>
                <w:highlight w:val="none"/>
              </w:rPr>
              <w:t>期：</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11"/>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1"/>
                <w:highlight w:val="none"/>
              </w:rPr>
              <w:t>月</w:t>
            </w:r>
            <w:r>
              <w:rPr>
                <w:rFonts w:hint="eastAsia" w:ascii="仿宋" w:hAnsi="仿宋" w:eastAsia="仿宋" w:cs="仿宋"/>
                <w:color w:val="auto"/>
                <w:spacing w:val="-11"/>
                <w:highlight w:val="none"/>
                <w:lang w:val="en-US" w:eastAsia="zh-CN"/>
              </w:rPr>
              <w:t xml:space="preserve">  </w:t>
            </w:r>
            <w:r>
              <w:rPr>
                <w:rFonts w:hint="eastAsia" w:ascii="仿宋" w:hAnsi="仿宋" w:eastAsia="仿宋" w:cs="仿宋"/>
                <w:color w:val="auto"/>
                <w:highlight w:val="none"/>
              </w:rPr>
              <w:t>日</w:t>
            </w:r>
          </w:p>
        </w:tc>
        <w:tc>
          <w:tcPr>
            <w:tcW w:w="3996" w:type="dxa"/>
            <w:vAlign w:val="top"/>
          </w:tcPr>
          <w:p w14:paraId="06FE489E">
            <w:pPr>
              <w:pStyle w:val="22"/>
              <w:spacing w:before="247" w:line="184" w:lineRule="auto"/>
              <w:ind w:right="4"/>
              <w:jc w:val="right"/>
              <w:rPr>
                <w:rFonts w:hint="eastAsia" w:ascii="仿宋" w:hAnsi="仿宋" w:eastAsia="仿宋" w:cs="仿宋"/>
                <w:color w:val="auto"/>
                <w:highlight w:val="none"/>
              </w:rPr>
            </w:pPr>
            <w:r>
              <w:rPr>
                <w:rFonts w:hint="eastAsia" w:ascii="仿宋" w:hAnsi="仿宋" w:eastAsia="仿宋" w:cs="仿宋"/>
                <w:color w:val="auto"/>
                <w:spacing w:val="-10"/>
                <w:highlight w:val="none"/>
              </w:rPr>
              <w:t>日</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0"/>
                <w:highlight w:val="none"/>
              </w:rPr>
              <w:t>期：</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10"/>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0"/>
                <w:highlight w:val="none"/>
              </w:rPr>
              <w:t>月</w:t>
            </w:r>
            <w:r>
              <w:rPr>
                <w:rFonts w:hint="eastAsia" w:ascii="仿宋" w:hAnsi="仿宋" w:eastAsia="仿宋" w:cs="仿宋"/>
                <w:color w:val="auto"/>
                <w:spacing w:val="91"/>
                <w:highlight w:val="none"/>
              </w:rPr>
              <w:t xml:space="preserve"> </w:t>
            </w:r>
            <w:r>
              <w:rPr>
                <w:rFonts w:hint="eastAsia" w:ascii="仿宋" w:hAnsi="仿宋" w:eastAsia="仿宋" w:cs="仿宋"/>
                <w:color w:val="auto"/>
                <w:spacing w:val="-10"/>
                <w:highlight w:val="none"/>
              </w:rPr>
              <w:t>日</w:t>
            </w:r>
          </w:p>
        </w:tc>
      </w:tr>
    </w:tbl>
    <w:p w14:paraId="5E14EF2F">
      <w:pPr>
        <w:rPr>
          <w:rFonts w:hint="eastAsia" w:ascii="仿宋" w:hAnsi="仿宋" w:eastAsia="仿宋" w:cs="仿宋"/>
          <w:color w:val="auto"/>
          <w:highlight w:val="none"/>
        </w:rPr>
        <w:sectPr>
          <w:footerReference r:id="rId14" w:type="default"/>
          <w:pgSz w:w="11905" w:h="16838"/>
          <w:pgMar w:top="1020" w:right="1134" w:bottom="1020" w:left="1134" w:header="0" w:footer="573" w:gutter="0"/>
          <w:pgNumType w:fmt="decimal"/>
          <w:cols w:space="0" w:num="1"/>
          <w:rtlGutter w:val="0"/>
          <w:docGrid w:linePitch="0" w:charSpace="0"/>
        </w:sectPr>
      </w:pPr>
    </w:p>
    <w:p w14:paraId="50A52B23">
      <w:pPr>
        <w:spacing w:before="75"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附件</w:t>
      </w:r>
      <w:r>
        <w:rPr>
          <w:rFonts w:hint="eastAsia" w:ascii="仿宋" w:hAnsi="仿宋" w:eastAsia="仿宋" w:cs="仿宋"/>
          <w:color w:val="auto"/>
          <w:spacing w:val="42"/>
          <w:sz w:val="23"/>
          <w:szCs w:val="23"/>
          <w:highlight w:val="none"/>
        </w:rPr>
        <w:t xml:space="preserve"> </w:t>
      </w:r>
      <w:r>
        <w:rPr>
          <w:rFonts w:hint="eastAsia" w:ascii="仿宋" w:hAnsi="仿宋" w:eastAsia="仿宋" w:cs="仿宋"/>
          <w:color w:val="auto"/>
          <w:spacing w:val="-6"/>
          <w:sz w:val="23"/>
          <w:szCs w:val="23"/>
          <w:highlight w:val="none"/>
        </w:rPr>
        <w:t>l</w:t>
      </w:r>
    </w:p>
    <w:p w14:paraId="1F2A7A29">
      <w:pPr>
        <w:spacing w:before="213" w:line="225" w:lineRule="auto"/>
        <w:ind w:left="3500"/>
        <w:rPr>
          <w:rFonts w:hint="eastAsia" w:ascii="仿宋" w:hAnsi="仿宋" w:eastAsia="仿宋" w:cs="仿宋"/>
          <w:color w:val="auto"/>
          <w:sz w:val="34"/>
          <w:szCs w:val="34"/>
          <w:highlight w:val="none"/>
        </w:rPr>
      </w:pPr>
      <w:r>
        <w:rPr>
          <w:rFonts w:hint="eastAsia" w:ascii="仿宋" w:hAnsi="仿宋" w:eastAsia="仿宋" w:cs="仿宋"/>
          <w:color w:val="auto"/>
          <w:spacing w:val="13"/>
          <w:sz w:val="34"/>
          <w:szCs w:val="34"/>
          <w:highlight w:val="none"/>
        </w:rPr>
        <w:t>廉洁诚信协议</w:t>
      </w:r>
    </w:p>
    <w:p w14:paraId="0459781F">
      <w:pPr>
        <w:spacing w:before="237" w:line="485" w:lineRule="exact"/>
        <w:ind w:left="99"/>
        <w:rPr>
          <w:rFonts w:hint="eastAsia" w:ascii="仿宋" w:hAnsi="仿宋" w:eastAsia="仿宋" w:cs="仿宋"/>
          <w:color w:val="auto"/>
          <w:sz w:val="23"/>
          <w:szCs w:val="23"/>
          <w:highlight w:val="none"/>
        </w:rPr>
      </w:pPr>
      <w:r>
        <w:rPr>
          <w:rFonts w:hint="eastAsia" w:ascii="仿宋" w:hAnsi="仿宋" w:eastAsia="仿宋" w:cs="仿宋"/>
          <w:color w:val="auto"/>
          <w:spacing w:val="-12"/>
          <w:position w:val="19"/>
          <w:sz w:val="23"/>
          <w:szCs w:val="23"/>
          <w:highlight w:val="none"/>
        </w:rPr>
        <w:t>甲方：</w:t>
      </w:r>
    </w:p>
    <w:p w14:paraId="6188E724">
      <w:pPr>
        <w:spacing w:line="228"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乙方：</w:t>
      </w:r>
    </w:p>
    <w:p w14:paraId="0942CDC7">
      <w:pPr>
        <w:spacing w:before="199" w:line="365" w:lineRule="auto"/>
        <w:ind w:left="36" w:firstLine="48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为保障甲方与乙方在业务来往的合法权益， 推进甲、乙双方及其工</w:t>
      </w:r>
      <w:r>
        <w:rPr>
          <w:rFonts w:hint="eastAsia" w:ascii="仿宋" w:hAnsi="仿宋" w:eastAsia="仿宋" w:cs="仿宋"/>
          <w:color w:val="auto"/>
          <w:spacing w:val="4"/>
          <w:sz w:val="23"/>
          <w:szCs w:val="23"/>
          <w:highlight w:val="none"/>
        </w:rPr>
        <w:t>作人员的廉洁诚</w:t>
      </w:r>
      <w:r>
        <w:rPr>
          <w:rFonts w:hint="eastAsia" w:ascii="仿宋" w:hAnsi="仿宋" w:eastAsia="仿宋" w:cs="仿宋"/>
          <w:color w:val="auto"/>
          <w:spacing w:val="5"/>
          <w:sz w:val="23"/>
          <w:szCs w:val="23"/>
          <w:highlight w:val="none"/>
        </w:rPr>
        <w:t>信建设， 使甲乙双方的业务往来充分体现廉洁、诚信的原则，预防商业贿赂和不正当竞</w:t>
      </w:r>
      <w:r>
        <w:rPr>
          <w:rFonts w:hint="eastAsia" w:ascii="仿宋" w:hAnsi="仿宋" w:eastAsia="仿宋" w:cs="仿宋"/>
          <w:color w:val="auto"/>
          <w:spacing w:val="1"/>
          <w:sz w:val="23"/>
          <w:szCs w:val="23"/>
          <w:highlight w:val="none"/>
        </w:rPr>
        <w:t>争，甲乙双方在自愿的基础上签署本协议。</w:t>
      </w:r>
    </w:p>
    <w:p w14:paraId="1B509A12">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第一条</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9"/>
          <w:sz w:val="23"/>
          <w:szCs w:val="23"/>
          <w:highlight w:val="none"/>
        </w:rPr>
        <w:t>本协议作为框架协议的附件，经甲、乙双方签署后生效 。</w:t>
      </w:r>
    </w:p>
    <w:p w14:paraId="3BA45954">
      <w:pPr>
        <w:spacing w:before="109"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本协议所指利害关系人是指审核项目有关工作人员、有关工</w:t>
      </w:r>
      <w:r>
        <w:rPr>
          <w:rFonts w:hint="eastAsia" w:ascii="仿宋" w:hAnsi="仿宋" w:eastAsia="仿宋" w:cs="仿宋"/>
          <w:color w:val="auto"/>
          <w:spacing w:val="7"/>
          <w:position w:val="19"/>
          <w:sz w:val="23"/>
          <w:szCs w:val="23"/>
          <w:highlight w:val="none"/>
        </w:rPr>
        <w:t>作人员亲属及其他共同</w:t>
      </w:r>
    </w:p>
    <w:p w14:paraId="6F4A4F9C">
      <w:pPr>
        <w:spacing w:line="228"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利益关系人。</w:t>
      </w:r>
    </w:p>
    <w:p w14:paraId="2556D6B9">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第二条</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5"/>
          <w:sz w:val="23"/>
          <w:szCs w:val="23"/>
          <w:highlight w:val="none"/>
        </w:rPr>
        <w:t>甲、乙双方应共同遵守下列条款：</w:t>
      </w:r>
    </w:p>
    <w:p w14:paraId="0691A576">
      <w:pPr>
        <w:spacing w:before="103"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（一）严格遵守国家法律法规，坚持廉洁、诚信的原则，恪守公认的商业道德和职</w:t>
      </w:r>
    </w:p>
    <w:p w14:paraId="066ADD7C">
      <w:pPr>
        <w:spacing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业道德规范， 不从事并抵制不廉洁、不诚信</w:t>
      </w:r>
      <w:r>
        <w:rPr>
          <w:rFonts w:hint="eastAsia" w:ascii="仿宋" w:hAnsi="仿宋" w:eastAsia="仿宋" w:cs="仿宋"/>
          <w:color w:val="auto"/>
          <w:spacing w:val="2"/>
          <w:sz w:val="23"/>
          <w:szCs w:val="23"/>
          <w:highlight w:val="none"/>
        </w:rPr>
        <w:t>行为；</w:t>
      </w:r>
    </w:p>
    <w:p w14:paraId="27151FE2">
      <w:pPr>
        <w:spacing w:before="168" w:line="470"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（二）对各自工作人员开展廉政教育，增强相关人员廉洁自律的意识。</w:t>
      </w:r>
    </w:p>
    <w:p w14:paraId="1B8C1530">
      <w:pPr>
        <w:spacing w:before="2" w:line="21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第三条    甲方应遵守下列条款：</w:t>
      </w:r>
    </w:p>
    <w:p w14:paraId="3FA44805">
      <w:pPr>
        <w:spacing w:before="120"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（一）利害关系人不得接受或以借用等名义占用乙方或乙方工作人员的财物 ；</w:t>
      </w:r>
    </w:p>
    <w:p w14:paraId="6499E0A7">
      <w:pPr>
        <w:spacing w:before="169"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（二）利害关系人不得接受乙方提供的礼品、宴请以及旅游、健身、娱乐等活动安</w:t>
      </w:r>
    </w:p>
    <w:p w14:paraId="25E3F443">
      <w:pPr>
        <w:spacing w:before="1" w:line="229" w:lineRule="auto"/>
        <w:ind w:left="3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排；</w:t>
      </w:r>
    </w:p>
    <w:p w14:paraId="20C00E5F">
      <w:pPr>
        <w:spacing w:before="162" w:line="483"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（三）利害关系人不得接受乙方提供的礼金和各种有价证券、支付凭证 ；</w:t>
      </w:r>
    </w:p>
    <w:p w14:paraId="39E92821">
      <w:pPr>
        <w:spacing w:before="1" w:line="226"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（四）利害关系人不得要求乙方支付应由本人负担的费用或报销票据；</w:t>
      </w:r>
    </w:p>
    <w:p w14:paraId="47CB6CE2">
      <w:pPr>
        <w:spacing w:before="166" w:line="482"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（五） 利害关系人不得接受由乙方提供的其他任何可能影响本人公正执行公务的</w:t>
      </w:r>
    </w:p>
    <w:p w14:paraId="5BF83F59">
      <w:pPr>
        <w:spacing w:before="1"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财物或服务；</w:t>
      </w:r>
    </w:p>
    <w:p w14:paraId="3ADAA719">
      <w:pPr>
        <w:spacing w:before="206" w:line="365" w:lineRule="auto"/>
        <w:ind w:left="36" w:right="2" w:firstLine="503"/>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（六）当乙方提供本条第（一）至（五）款所指的内容，或实施其他不廉洁、不诚</w:t>
      </w:r>
      <w:r>
        <w:rPr>
          <w:rFonts w:hint="eastAsia" w:ascii="仿宋" w:hAnsi="仿宋" w:eastAsia="仿宋" w:cs="仿宋"/>
          <w:color w:val="auto"/>
          <w:spacing w:val="5"/>
          <w:sz w:val="23"/>
          <w:szCs w:val="23"/>
          <w:highlight w:val="none"/>
        </w:rPr>
        <w:t>信行为时，利害关系人应予以拒绝； 对于无法拒绝的，应及时向甲方或监督检查部门举</w:t>
      </w:r>
    </w:p>
    <w:p w14:paraId="70BFFF28">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报并上缴相关财物。</w:t>
      </w:r>
    </w:p>
    <w:p w14:paraId="09E60A28">
      <w:pPr>
        <w:spacing w:before="155"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第四条    乙方应遵守下列条款：</w:t>
      </w:r>
    </w:p>
    <w:p w14:paraId="7DE9ACB2">
      <w:pPr>
        <w:spacing w:before="121"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（一） 不得给予或以借用等名义向利害关系人提供财物；</w:t>
      </w:r>
    </w:p>
    <w:p w14:paraId="6BD78C4C">
      <w:pPr>
        <w:spacing w:before="18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w:t>
      </w:r>
      <w:r>
        <w:rPr>
          <w:rFonts w:hint="eastAsia" w:ascii="仿宋" w:hAnsi="仿宋" w:eastAsia="仿宋" w:cs="仿宋"/>
          <w:color w:val="auto"/>
          <w:spacing w:val="41"/>
          <w:sz w:val="23"/>
          <w:szCs w:val="23"/>
          <w:highlight w:val="none"/>
        </w:rPr>
        <w:t xml:space="preserve"> </w:t>
      </w:r>
      <w:r>
        <w:rPr>
          <w:rFonts w:hint="eastAsia" w:ascii="仿宋" w:hAnsi="仿宋" w:eastAsia="仿宋" w:cs="仿宋"/>
          <w:color w:val="auto"/>
          <w:spacing w:val="7"/>
          <w:sz w:val="23"/>
          <w:szCs w:val="23"/>
          <w:highlight w:val="none"/>
        </w:rPr>
        <w:t>不得向利害关系人提供礼品、宴请以及旅游、健身、娱乐等活动安排；</w:t>
      </w:r>
    </w:p>
    <w:p w14:paraId="2B400168">
      <w:pPr>
        <w:spacing w:before="181" w:line="226" w:lineRule="auto"/>
        <w:ind w:left="540"/>
        <w:rPr>
          <w:rFonts w:hint="eastAsia" w:ascii="仿宋" w:hAnsi="仿宋" w:eastAsia="仿宋" w:cs="仿宋"/>
          <w:color w:val="auto"/>
          <w:sz w:val="23"/>
          <w:szCs w:val="23"/>
          <w:highlight w:val="none"/>
        </w:rPr>
        <w:sectPr>
          <w:footerReference r:id="rId15"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rPr>
        <w:t>（三） 不得向利害关系人提供礼金和各种有</w:t>
      </w:r>
      <w:r>
        <w:rPr>
          <w:rFonts w:hint="eastAsia" w:ascii="仿宋" w:hAnsi="仿宋" w:eastAsia="仿宋" w:cs="仿宋"/>
          <w:color w:val="auto"/>
          <w:spacing w:val="6"/>
          <w:sz w:val="23"/>
          <w:szCs w:val="23"/>
          <w:highlight w:val="none"/>
        </w:rPr>
        <w:t>价证券、支付凭证；</w:t>
      </w:r>
    </w:p>
    <w:p w14:paraId="10223315">
      <w:pPr>
        <w:pStyle w:val="5"/>
        <w:spacing w:line="247" w:lineRule="auto"/>
        <w:rPr>
          <w:rFonts w:hint="eastAsia" w:ascii="仿宋" w:hAnsi="仿宋" w:eastAsia="仿宋" w:cs="仿宋"/>
          <w:color w:val="auto"/>
          <w:highlight w:val="none"/>
        </w:rPr>
      </w:pPr>
    </w:p>
    <w:p w14:paraId="4BBECD15">
      <w:pPr>
        <w:spacing w:before="7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（四〉</w:t>
      </w:r>
      <w:r>
        <w:rPr>
          <w:rFonts w:hint="eastAsia" w:ascii="仿宋" w:hAnsi="仿宋" w:eastAsia="仿宋" w:cs="仿宋"/>
          <w:color w:val="auto"/>
          <w:spacing w:val="49"/>
          <w:sz w:val="23"/>
          <w:szCs w:val="23"/>
          <w:highlight w:val="none"/>
        </w:rPr>
        <w:t xml:space="preserve"> </w:t>
      </w:r>
      <w:r>
        <w:rPr>
          <w:rFonts w:hint="eastAsia" w:ascii="仿宋" w:hAnsi="仿宋" w:eastAsia="仿宋" w:cs="仿宋"/>
          <w:color w:val="auto"/>
          <w:spacing w:val="5"/>
          <w:sz w:val="23"/>
          <w:szCs w:val="23"/>
          <w:highlight w:val="none"/>
        </w:rPr>
        <w:t>不得为利害关系人支付应由其本人承担的费用或报销票据；</w:t>
      </w:r>
    </w:p>
    <w:p w14:paraId="367879BF">
      <w:pPr>
        <w:spacing w:before="180"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（五） 不得向和利害关系人提供其他任何可能影响其公正执行公务的财物或服务；</w:t>
      </w:r>
    </w:p>
    <w:p w14:paraId="4596F569">
      <w:pPr>
        <w:spacing w:before="207" w:line="364" w:lineRule="auto"/>
        <w:ind w:left="36" w:right="82" w:firstLine="503"/>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（六）</w:t>
      </w:r>
      <w:r>
        <w:rPr>
          <w:rFonts w:hint="eastAsia" w:ascii="仿宋" w:hAnsi="仿宋" w:eastAsia="仿宋" w:cs="仿宋"/>
          <w:color w:val="auto"/>
          <w:spacing w:val="30"/>
          <w:sz w:val="23"/>
          <w:szCs w:val="23"/>
          <w:highlight w:val="none"/>
        </w:rPr>
        <w:t xml:space="preserve"> </w:t>
      </w:r>
      <w:r>
        <w:rPr>
          <w:rFonts w:hint="eastAsia" w:ascii="仿宋" w:hAnsi="仿宋" w:eastAsia="仿宋" w:cs="仿宋"/>
          <w:color w:val="auto"/>
          <w:spacing w:val="1"/>
          <w:sz w:val="23"/>
          <w:szCs w:val="23"/>
          <w:highlight w:val="none"/>
        </w:rPr>
        <w:t>利害关系人主动索取和要求本条（一）至（五） 款所指的内容， 或实施其</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他不廉洁、不诚信行为时，乙方应拒绝，并有义务向甲方或监督检查部门举报或投诉，</w:t>
      </w:r>
    </w:p>
    <w:p w14:paraId="5B4B636D">
      <w:pPr>
        <w:spacing w:line="226" w:lineRule="auto"/>
        <w:ind w:left="4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也可向有关部门举报。甲方应保护乙方当事人的合法权益。</w:t>
      </w:r>
    </w:p>
    <w:p w14:paraId="2436AD1E">
      <w:pPr>
        <w:spacing w:before="156"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第五条</w:t>
      </w:r>
      <w:r>
        <w:rPr>
          <w:rFonts w:hint="eastAsia" w:ascii="仿宋" w:hAnsi="仿宋" w:eastAsia="仿宋" w:cs="仿宋"/>
          <w:color w:val="auto"/>
          <w:spacing w:val="43"/>
          <w:sz w:val="23"/>
          <w:szCs w:val="23"/>
          <w:highlight w:val="none"/>
        </w:rPr>
        <w:t xml:space="preserve"> </w:t>
      </w:r>
      <w:r>
        <w:rPr>
          <w:rFonts w:hint="eastAsia" w:ascii="仿宋" w:hAnsi="仿宋" w:eastAsia="仿宋" w:cs="仿宋"/>
          <w:color w:val="auto"/>
          <w:spacing w:val="10"/>
          <w:sz w:val="23"/>
          <w:szCs w:val="23"/>
          <w:highlight w:val="none"/>
        </w:rPr>
        <w:t>违约责任</w:t>
      </w:r>
    </w:p>
    <w:p w14:paraId="4A042DA7">
      <w:pPr>
        <w:spacing w:before="106" w:line="483" w:lineRule="exact"/>
        <w:ind w:right="3"/>
        <w:jc w:val="center"/>
        <w:rPr>
          <w:rFonts w:hint="eastAsia" w:ascii="仿宋" w:hAnsi="仿宋" w:eastAsia="仿宋" w:cs="仿宋"/>
          <w:color w:val="auto"/>
          <w:sz w:val="23"/>
          <w:szCs w:val="23"/>
          <w:highlight w:val="none"/>
        </w:rPr>
      </w:pPr>
      <w:r>
        <w:rPr>
          <w:rFonts w:hint="eastAsia" w:ascii="仿宋" w:hAnsi="仿宋" w:eastAsia="仿宋" w:cs="仿宋"/>
          <w:color w:val="auto"/>
          <w:spacing w:val="6"/>
          <w:position w:val="18"/>
          <w:sz w:val="23"/>
          <w:szCs w:val="23"/>
          <w:highlight w:val="none"/>
        </w:rPr>
        <w:t>甲、乙双方工作人员如违反本协议规定，由甲、乙双方依据有关规定严肃处理。如</w:t>
      </w:r>
    </w:p>
    <w:p w14:paraId="7FECC9B0">
      <w:pPr>
        <w:spacing w:before="1" w:line="226"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乙方违反本协议规定，甲方有权依据征集文</w:t>
      </w:r>
      <w:r>
        <w:rPr>
          <w:rFonts w:hint="eastAsia" w:ascii="仿宋" w:hAnsi="仿宋" w:eastAsia="仿宋" w:cs="仿宋"/>
          <w:color w:val="auto"/>
          <w:spacing w:val="4"/>
          <w:sz w:val="23"/>
          <w:szCs w:val="23"/>
          <w:highlight w:val="none"/>
        </w:rPr>
        <w:t>件及相关规定， 对乙方进行严肃处理。</w:t>
      </w:r>
    </w:p>
    <w:p w14:paraId="2F6C9FA1">
      <w:pPr>
        <w:spacing w:before="168"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乙方不廉洁、不诚信行为造成甲方经济损失或有损甲方形象和声誉的</w:t>
      </w:r>
      <w:r>
        <w:rPr>
          <w:rFonts w:hint="eastAsia" w:ascii="仿宋" w:hAnsi="仿宋" w:eastAsia="仿宋" w:cs="仿宋"/>
          <w:color w:val="auto"/>
          <w:spacing w:val="6"/>
          <w:sz w:val="23"/>
          <w:szCs w:val="23"/>
          <w:highlight w:val="none"/>
        </w:rPr>
        <w:t>，由乙方予以</w:t>
      </w:r>
    </w:p>
    <w:p w14:paraId="3E9E6F24">
      <w:pPr>
        <w:spacing w:before="203" w:line="227"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赔偿。</w:t>
      </w:r>
    </w:p>
    <w:p w14:paraId="410D742D">
      <w:pPr>
        <w:spacing w:before="134" w:line="514"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第六条</w:t>
      </w:r>
      <w:r>
        <w:rPr>
          <w:rFonts w:hint="eastAsia" w:ascii="仿宋" w:hAnsi="仿宋" w:eastAsia="仿宋" w:cs="仿宋"/>
          <w:color w:val="auto"/>
          <w:spacing w:val="25"/>
          <w:w w:val="101"/>
          <w:position w:val="18"/>
          <w:sz w:val="23"/>
          <w:szCs w:val="23"/>
          <w:highlight w:val="none"/>
        </w:rPr>
        <w:t xml:space="preserve">  </w:t>
      </w:r>
      <w:r>
        <w:rPr>
          <w:rFonts w:hint="eastAsia" w:ascii="仿宋" w:hAnsi="仿宋" w:eastAsia="仿宋" w:cs="仿宋"/>
          <w:color w:val="auto"/>
          <w:spacing w:val="8"/>
          <w:position w:val="18"/>
          <w:sz w:val="23"/>
          <w:szCs w:val="23"/>
          <w:highlight w:val="none"/>
        </w:rPr>
        <w:t>甲、乙双方的监督检查部门对本廉洁诚信协议的执行情况进行监督检查，接受</w:t>
      </w:r>
    </w:p>
    <w:p w14:paraId="13C602DF">
      <w:pPr>
        <w:spacing w:line="226"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有关投诉和举报。</w:t>
      </w:r>
    </w:p>
    <w:p w14:paraId="33D5B9B3">
      <w:pPr>
        <w:spacing w:before="205" w:line="366" w:lineRule="auto"/>
        <w:ind w:left="45" w:firstLine="533"/>
        <w:jc w:val="both"/>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甲、乙双方监督检查部门应当认真履行职责，</w:t>
      </w:r>
      <w:r>
        <w:rPr>
          <w:rFonts w:hint="eastAsia" w:ascii="仿宋" w:hAnsi="仿宋" w:eastAsia="仿宋" w:cs="仿宋"/>
          <w:color w:val="auto"/>
          <w:spacing w:val="6"/>
          <w:sz w:val="23"/>
          <w:szCs w:val="23"/>
          <w:highlight w:val="none"/>
        </w:rPr>
        <w:t>在监督检查、处理投诉和举报过程中</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发现存在本协议所禁止的行为时，可以向对方单位相关人</w:t>
      </w:r>
      <w:r>
        <w:rPr>
          <w:rFonts w:hint="eastAsia" w:ascii="仿宋" w:hAnsi="仿宋" w:eastAsia="仿宋" w:cs="仿宋"/>
          <w:color w:val="auto"/>
          <w:spacing w:val="7"/>
          <w:sz w:val="23"/>
          <w:szCs w:val="23"/>
          <w:highlight w:val="none"/>
        </w:rPr>
        <w:t>员询问情况，必要时可以请求</w:t>
      </w:r>
    </w:p>
    <w:p w14:paraId="38F0ABC9">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对方监督检查部门予以协助，对方应予积极配合。</w:t>
      </w:r>
    </w:p>
    <w:p w14:paraId="21C3338F">
      <w:pPr>
        <w:spacing w:before="137" w:line="499"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3"/>
          <w:position w:val="17"/>
          <w:sz w:val="23"/>
          <w:szCs w:val="23"/>
          <w:highlight w:val="none"/>
        </w:rPr>
        <w:t>第七条</w:t>
      </w:r>
      <w:r>
        <w:rPr>
          <w:rFonts w:hint="eastAsia" w:ascii="仿宋" w:hAnsi="仿宋" w:eastAsia="仿宋" w:cs="仿宋"/>
          <w:color w:val="auto"/>
          <w:spacing w:val="40"/>
          <w:position w:val="17"/>
          <w:sz w:val="23"/>
          <w:szCs w:val="23"/>
          <w:highlight w:val="none"/>
        </w:rPr>
        <w:t xml:space="preserve"> </w:t>
      </w:r>
      <w:r>
        <w:rPr>
          <w:rFonts w:hint="eastAsia" w:ascii="仿宋" w:hAnsi="仿宋" w:eastAsia="仿宋" w:cs="仿宋"/>
          <w:color w:val="auto"/>
          <w:spacing w:val="3"/>
          <w:position w:val="17"/>
          <w:sz w:val="23"/>
          <w:szCs w:val="23"/>
          <w:highlight w:val="none"/>
        </w:rPr>
        <w:t>本协议为采购合同附件， 与采购合同一并签署。</w:t>
      </w:r>
    </w:p>
    <w:p w14:paraId="4352406E">
      <w:pPr>
        <w:spacing w:before="1" w:line="202"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5"/>
          <w:szCs w:val="25"/>
          <w:highlight w:val="none"/>
        </w:rPr>
        <w:t>第八条</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6"/>
          <w:sz w:val="23"/>
          <w:szCs w:val="23"/>
          <w:highlight w:val="none"/>
        </w:rPr>
        <w:t>本协议由甲方负责解释。</w:t>
      </w:r>
    </w:p>
    <w:p w14:paraId="1329BB44">
      <w:pPr>
        <w:spacing w:before="69" w:line="522"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第九条</w:t>
      </w:r>
      <w:r>
        <w:rPr>
          <w:rFonts w:hint="eastAsia" w:ascii="仿宋" w:hAnsi="仿宋" w:eastAsia="仿宋" w:cs="仿宋"/>
          <w:color w:val="auto"/>
          <w:spacing w:val="49"/>
          <w:position w:val="19"/>
          <w:sz w:val="23"/>
          <w:szCs w:val="23"/>
          <w:highlight w:val="none"/>
        </w:rPr>
        <w:t xml:space="preserve"> </w:t>
      </w:r>
      <w:r>
        <w:rPr>
          <w:rFonts w:hint="eastAsia" w:ascii="仿宋" w:hAnsi="仿宋" w:eastAsia="仿宋" w:cs="仿宋"/>
          <w:color w:val="auto"/>
          <w:spacing w:val="7"/>
          <w:position w:val="19"/>
          <w:sz w:val="23"/>
          <w:szCs w:val="23"/>
          <w:highlight w:val="none"/>
        </w:rPr>
        <w:t>监督检查部门举报及投诉渠道名称：</w:t>
      </w:r>
    </w:p>
    <w:p w14:paraId="21A1040B">
      <w:pPr>
        <w:spacing w:line="236"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地址：</w:t>
      </w:r>
    </w:p>
    <w:p w14:paraId="2F41B4D7">
      <w:pPr>
        <w:spacing w:before="147" w:line="485" w:lineRule="exact"/>
        <w:ind w:left="93"/>
        <w:rPr>
          <w:rFonts w:hint="eastAsia" w:ascii="仿宋" w:hAnsi="仿宋" w:eastAsia="仿宋" w:cs="仿宋"/>
          <w:color w:val="auto"/>
          <w:sz w:val="23"/>
          <w:szCs w:val="23"/>
          <w:highlight w:val="none"/>
        </w:rPr>
      </w:pPr>
      <w:r>
        <w:rPr>
          <w:rFonts w:hint="eastAsia" w:ascii="仿宋" w:hAnsi="仿宋" w:eastAsia="仿宋" w:cs="仿宋"/>
          <w:color w:val="auto"/>
          <w:spacing w:val="-10"/>
          <w:position w:val="18"/>
          <w:sz w:val="23"/>
          <w:szCs w:val="23"/>
          <w:highlight w:val="none"/>
        </w:rPr>
        <w:t>电话：</w:t>
      </w:r>
    </w:p>
    <w:p w14:paraId="2D0A74C5">
      <w:pPr>
        <w:spacing w:line="228"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邮箱：</w:t>
      </w:r>
    </w:p>
    <w:p w14:paraId="4FED719D">
      <w:pPr>
        <w:pStyle w:val="5"/>
        <w:spacing w:line="285" w:lineRule="auto"/>
        <w:rPr>
          <w:rFonts w:hint="eastAsia" w:ascii="仿宋" w:hAnsi="仿宋" w:eastAsia="仿宋" w:cs="仿宋"/>
          <w:color w:val="auto"/>
          <w:highlight w:val="none"/>
        </w:rPr>
      </w:pPr>
    </w:p>
    <w:p w14:paraId="3DD1CEC7">
      <w:pPr>
        <w:pStyle w:val="5"/>
        <w:spacing w:line="285" w:lineRule="auto"/>
        <w:rPr>
          <w:rFonts w:hint="eastAsia" w:ascii="仿宋" w:hAnsi="仿宋" w:eastAsia="仿宋" w:cs="仿宋"/>
          <w:color w:val="auto"/>
          <w:highlight w:val="none"/>
        </w:rPr>
      </w:pPr>
    </w:p>
    <w:p w14:paraId="3FDD6624">
      <w:pPr>
        <w:spacing w:before="75" w:line="227" w:lineRule="auto"/>
        <w:ind w:left="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   方 （盖章</w:t>
      </w:r>
      <w:r>
        <w:rPr>
          <w:rFonts w:hint="eastAsia" w:ascii="仿宋" w:hAnsi="仿宋" w:eastAsia="仿宋" w:cs="仿宋"/>
          <w:color w:val="auto"/>
          <w:spacing w:val="-26"/>
          <w:sz w:val="23"/>
          <w:szCs w:val="23"/>
          <w:highlight w:val="none"/>
        </w:rPr>
        <w:t>）：</w:t>
      </w:r>
      <w:r>
        <w:rPr>
          <w:rFonts w:hint="eastAsia" w:ascii="仿宋" w:hAnsi="仿宋" w:eastAsia="仿宋" w:cs="仿宋"/>
          <w:color w:val="auto"/>
          <w:spacing w:val="2"/>
          <w:sz w:val="23"/>
          <w:szCs w:val="23"/>
          <w:highlight w:val="none"/>
        </w:rPr>
        <w:t xml:space="preserve">                             </w:t>
      </w:r>
      <w:r>
        <w:rPr>
          <w:rFonts w:hint="eastAsia" w:ascii="仿宋" w:hAnsi="仿宋" w:eastAsia="仿宋" w:cs="仿宋"/>
          <w:color w:val="auto"/>
          <w:spacing w:val="-2"/>
          <w:sz w:val="23"/>
          <w:szCs w:val="23"/>
          <w:highlight w:val="none"/>
        </w:rPr>
        <w:t>乙</w:t>
      </w:r>
      <w:r>
        <w:rPr>
          <w:rFonts w:hint="eastAsia" w:ascii="仿宋" w:hAnsi="仿宋" w:eastAsia="仿宋" w:cs="仿宋"/>
          <w:color w:val="auto"/>
          <w:spacing w:val="12"/>
          <w:sz w:val="23"/>
          <w:szCs w:val="23"/>
          <w:highlight w:val="none"/>
        </w:rPr>
        <w:t xml:space="preserve">   </w:t>
      </w:r>
      <w:r>
        <w:rPr>
          <w:rFonts w:hint="eastAsia" w:ascii="仿宋" w:hAnsi="仿宋" w:eastAsia="仿宋" w:cs="仿宋"/>
          <w:color w:val="auto"/>
          <w:spacing w:val="-2"/>
          <w:sz w:val="23"/>
          <w:szCs w:val="23"/>
          <w:highlight w:val="none"/>
        </w:rPr>
        <w:t>方 （盖章</w:t>
      </w:r>
      <w:r>
        <w:rPr>
          <w:rFonts w:hint="eastAsia" w:ascii="仿宋" w:hAnsi="仿宋" w:eastAsia="仿宋" w:cs="仿宋"/>
          <w:color w:val="auto"/>
          <w:spacing w:val="-26"/>
          <w:sz w:val="23"/>
          <w:szCs w:val="23"/>
          <w:highlight w:val="none"/>
        </w:rPr>
        <w:t>）：</w:t>
      </w:r>
    </w:p>
    <w:p w14:paraId="18B0E042">
      <w:pPr>
        <w:spacing w:before="38"/>
        <w:rPr>
          <w:rFonts w:hint="eastAsia" w:ascii="仿宋" w:hAnsi="仿宋" w:eastAsia="仿宋" w:cs="仿宋"/>
          <w:color w:val="auto"/>
          <w:highlight w:val="none"/>
        </w:rPr>
      </w:pPr>
    </w:p>
    <w:p w14:paraId="36B7D42F">
      <w:pPr>
        <w:rPr>
          <w:rFonts w:hint="eastAsia" w:ascii="仿宋" w:hAnsi="仿宋" w:eastAsia="仿宋" w:cs="仿宋"/>
          <w:color w:val="auto"/>
          <w:highlight w:val="none"/>
        </w:rPr>
        <w:sectPr>
          <w:footerReference r:id="rId16" w:type="default"/>
          <w:pgSz w:w="11905" w:h="16838"/>
          <w:pgMar w:top="1020" w:right="1134" w:bottom="1020" w:left="1134" w:header="0" w:footer="573" w:gutter="0"/>
          <w:pgNumType w:fmt="decimal"/>
          <w:cols w:space="0" w:num="1"/>
          <w:rtlGutter w:val="0"/>
          <w:docGrid w:linePitch="0" w:charSpace="0"/>
        </w:sectPr>
      </w:pPr>
    </w:p>
    <w:p w14:paraId="1C8D4004">
      <w:pPr>
        <w:spacing w:before="48" w:line="600" w:lineRule="exact"/>
        <w:ind w:left="40"/>
        <w:rPr>
          <w:rFonts w:hint="eastAsia" w:ascii="仿宋" w:hAnsi="仿宋" w:eastAsia="仿宋" w:cs="仿宋"/>
          <w:color w:val="auto"/>
          <w:sz w:val="23"/>
          <w:szCs w:val="23"/>
          <w:highlight w:val="none"/>
        </w:rPr>
      </w:pPr>
      <w:r>
        <w:rPr>
          <w:rFonts w:hint="eastAsia" w:ascii="仿宋" w:hAnsi="仿宋" w:eastAsia="仿宋" w:cs="仿宋"/>
          <w:color w:val="auto"/>
          <w:spacing w:val="6"/>
          <w:position w:val="28"/>
          <w:sz w:val="23"/>
          <w:szCs w:val="23"/>
          <w:highlight w:val="none"/>
        </w:rPr>
        <w:t>法定代表（委托）人：</w:t>
      </w:r>
    </w:p>
    <w:p w14:paraId="064E3293">
      <w:pPr>
        <w:spacing w:before="1" w:line="192" w:lineRule="auto"/>
        <w:ind w:left="121"/>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t>日期：</w:t>
      </w:r>
      <w:r>
        <w:rPr>
          <w:rFonts w:hint="eastAsia" w:ascii="仿宋" w:hAnsi="仿宋" w:eastAsia="仿宋" w:cs="仿宋"/>
          <w:color w:val="auto"/>
          <w:spacing w:val="14"/>
          <w:sz w:val="23"/>
          <w:szCs w:val="23"/>
          <w:highlight w:val="none"/>
        </w:rPr>
        <w:t xml:space="preserve">  </w:t>
      </w:r>
      <w:r>
        <w:rPr>
          <w:rFonts w:hint="eastAsia" w:ascii="仿宋" w:hAnsi="仿宋" w:eastAsia="仿宋" w:cs="仿宋"/>
          <w:color w:val="auto"/>
          <w:spacing w:val="-9"/>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9"/>
          <w:sz w:val="23"/>
          <w:szCs w:val="23"/>
          <w:highlight w:val="none"/>
        </w:rPr>
        <w:t>月</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9"/>
          <w:sz w:val="23"/>
          <w:szCs w:val="23"/>
          <w:highlight w:val="none"/>
        </w:rPr>
        <w:t>日</w:t>
      </w:r>
    </w:p>
    <w:p w14:paraId="48812E56">
      <w:pPr>
        <w:bidi w:val="0"/>
        <w:jc w:val="left"/>
        <w:rPr>
          <w:rFonts w:hint="eastAsia" w:ascii="仿宋" w:hAnsi="仿宋" w:eastAsia="仿宋" w:cs="仿宋"/>
          <w:color w:val="auto"/>
          <w:highlight w:val="none"/>
        </w:rPr>
      </w:pPr>
    </w:p>
    <w:p w14:paraId="4EBDB7B0">
      <w:pPr>
        <w:spacing w:before="5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法定代表（委托）人：</w:t>
      </w:r>
    </w:p>
    <w:p w14:paraId="19413749">
      <w:pPr>
        <w:spacing w:before="303" w:line="194" w:lineRule="auto"/>
        <w:ind w:left="81"/>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日</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8"/>
          <w:sz w:val="23"/>
          <w:szCs w:val="23"/>
          <w:highlight w:val="none"/>
        </w:rPr>
        <w:t>期：</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8"/>
          <w:sz w:val="23"/>
          <w:szCs w:val="23"/>
          <w:highlight w:val="none"/>
        </w:rPr>
        <w:t>月    日</w:t>
      </w:r>
    </w:p>
    <w:p w14:paraId="5FC1035D">
      <w:pPr>
        <w:pStyle w:val="5"/>
        <w:spacing w:line="245" w:lineRule="auto"/>
        <w:rPr>
          <w:rFonts w:hint="eastAsia" w:ascii="仿宋" w:hAnsi="仿宋" w:eastAsia="仿宋" w:cs="仿宋"/>
          <w:color w:val="auto"/>
          <w:highlight w:val="none"/>
        </w:rPr>
      </w:pPr>
    </w:p>
    <w:p w14:paraId="73FDCFE8">
      <w:pPr>
        <w:pStyle w:val="5"/>
        <w:spacing w:line="246" w:lineRule="auto"/>
        <w:rPr>
          <w:rFonts w:hint="eastAsia" w:ascii="仿宋" w:hAnsi="仿宋" w:eastAsia="仿宋" w:cs="仿宋"/>
          <w:color w:val="auto"/>
          <w:highlight w:val="none"/>
        </w:rPr>
      </w:pPr>
    </w:p>
    <w:p w14:paraId="4DA036ED">
      <w:pPr>
        <w:spacing w:before="163" w:line="389" w:lineRule="exact"/>
        <w:ind w:left="1959"/>
        <w:outlineLvl w:val="1"/>
        <w:rPr>
          <w:rFonts w:hint="eastAsia" w:ascii="仿宋" w:hAnsi="仿宋" w:eastAsia="仿宋" w:cs="仿宋"/>
          <w:color w:val="auto"/>
          <w:sz w:val="38"/>
          <w:szCs w:val="38"/>
          <w:highlight w:val="none"/>
        </w:rPr>
      </w:pPr>
      <w:r>
        <w:rPr>
          <w:rFonts w:hint="eastAsia" w:ascii="仿宋" w:hAnsi="仿宋" w:eastAsia="仿宋" w:cs="仿宋"/>
          <w:color w:val="auto"/>
          <w:spacing w:val="-10"/>
          <w:position w:val="-1"/>
          <w:sz w:val="38"/>
          <w:szCs w:val="38"/>
          <w:highlight w:val="none"/>
        </w:rPr>
        <w:t>第六部分 采购合同</w:t>
      </w:r>
      <w:r>
        <w:rPr>
          <w:rFonts w:hint="eastAsia" w:ascii="仿宋" w:hAnsi="仿宋" w:eastAsia="仿宋" w:cs="仿宋"/>
          <w:color w:val="auto"/>
          <w:spacing w:val="34"/>
          <w:position w:val="-1"/>
          <w:sz w:val="38"/>
          <w:szCs w:val="38"/>
          <w:highlight w:val="none"/>
        </w:rPr>
        <w:t xml:space="preserve"> </w:t>
      </w:r>
      <w:r>
        <w:rPr>
          <w:rFonts w:hint="eastAsia" w:ascii="仿宋" w:hAnsi="仿宋" w:eastAsia="仿宋" w:cs="仿宋"/>
          <w:color w:val="auto"/>
          <w:spacing w:val="-10"/>
          <w:position w:val="-1"/>
          <w:sz w:val="38"/>
          <w:szCs w:val="38"/>
          <w:highlight w:val="none"/>
        </w:rPr>
        <w:t>(格式)</w:t>
      </w:r>
    </w:p>
    <w:p w14:paraId="04591BFE">
      <w:pPr>
        <w:pStyle w:val="5"/>
        <w:spacing w:line="276" w:lineRule="auto"/>
        <w:rPr>
          <w:rFonts w:hint="eastAsia" w:ascii="仿宋" w:hAnsi="仿宋" w:eastAsia="仿宋" w:cs="仿宋"/>
          <w:color w:val="auto"/>
          <w:highlight w:val="none"/>
        </w:rPr>
      </w:pPr>
    </w:p>
    <w:p w14:paraId="4511E22F">
      <w:pPr>
        <w:spacing w:before="124" w:line="296" w:lineRule="exact"/>
        <w:ind w:left="3245"/>
        <w:rPr>
          <w:rFonts w:hint="eastAsia" w:ascii="仿宋" w:hAnsi="仿宋" w:eastAsia="仿宋" w:cs="仿宋"/>
          <w:color w:val="auto"/>
          <w:sz w:val="29"/>
          <w:szCs w:val="29"/>
          <w:highlight w:val="none"/>
        </w:rPr>
      </w:pPr>
      <w:r>
        <w:rPr>
          <w:rFonts w:hint="eastAsia" w:ascii="仿宋" w:hAnsi="仿宋" w:eastAsia="仿宋" w:cs="仿宋"/>
          <w:color w:val="auto"/>
          <w:spacing w:val="-13"/>
          <w:w w:val="96"/>
          <w:position w:val="-1"/>
          <w:sz w:val="29"/>
          <w:szCs w:val="29"/>
          <w:highlight w:val="none"/>
        </w:rPr>
        <w:t>第一部分合同书</w:t>
      </w:r>
    </w:p>
    <w:p w14:paraId="38AECC44">
      <w:pPr>
        <w:pStyle w:val="5"/>
        <w:spacing w:line="283" w:lineRule="auto"/>
        <w:rPr>
          <w:rFonts w:hint="eastAsia" w:ascii="仿宋" w:hAnsi="仿宋" w:eastAsia="仿宋" w:cs="仿宋"/>
          <w:color w:val="auto"/>
          <w:highlight w:val="none"/>
        </w:rPr>
      </w:pPr>
    </w:p>
    <w:p w14:paraId="0710BF4E">
      <w:pPr>
        <w:pStyle w:val="5"/>
        <w:spacing w:line="283" w:lineRule="auto"/>
        <w:rPr>
          <w:rFonts w:hint="eastAsia" w:ascii="仿宋" w:hAnsi="仿宋" w:eastAsia="仿宋" w:cs="仿宋"/>
          <w:color w:val="auto"/>
          <w:highlight w:val="none"/>
        </w:rPr>
      </w:pPr>
    </w:p>
    <w:p w14:paraId="163AA9BB">
      <w:pPr>
        <w:pStyle w:val="5"/>
        <w:spacing w:line="283" w:lineRule="auto"/>
        <w:rPr>
          <w:rFonts w:hint="eastAsia" w:ascii="仿宋" w:hAnsi="仿宋" w:eastAsia="仿宋" w:cs="仿宋"/>
          <w:color w:val="auto"/>
          <w:highlight w:val="none"/>
        </w:rPr>
      </w:pPr>
    </w:p>
    <w:p w14:paraId="088C4762">
      <w:pPr>
        <w:pStyle w:val="5"/>
        <w:spacing w:line="284" w:lineRule="auto"/>
        <w:rPr>
          <w:rFonts w:hint="eastAsia" w:ascii="仿宋" w:hAnsi="仿宋" w:eastAsia="仿宋" w:cs="仿宋"/>
          <w:color w:val="auto"/>
          <w:highlight w:val="none"/>
        </w:rPr>
      </w:pPr>
    </w:p>
    <w:p w14:paraId="34F700D5">
      <w:pPr>
        <w:spacing w:before="75" w:line="228" w:lineRule="auto"/>
        <w:ind w:left="9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项目名称：</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BBA9478">
      <w:pPr>
        <w:pStyle w:val="5"/>
        <w:spacing w:line="247" w:lineRule="auto"/>
        <w:rPr>
          <w:rFonts w:hint="eastAsia" w:ascii="仿宋" w:hAnsi="仿宋" w:eastAsia="仿宋" w:cs="仿宋"/>
          <w:color w:val="auto"/>
          <w:highlight w:val="none"/>
        </w:rPr>
      </w:pPr>
    </w:p>
    <w:p w14:paraId="01BC8296">
      <w:pPr>
        <w:pStyle w:val="5"/>
        <w:spacing w:line="247" w:lineRule="auto"/>
        <w:rPr>
          <w:rFonts w:hint="eastAsia" w:ascii="仿宋" w:hAnsi="仿宋" w:eastAsia="仿宋" w:cs="仿宋"/>
          <w:color w:val="auto"/>
          <w:highlight w:val="none"/>
        </w:rPr>
      </w:pPr>
    </w:p>
    <w:p w14:paraId="28EE8A62">
      <w:pPr>
        <w:pStyle w:val="5"/>
        <w:spacing w:line="248" w:lineRule="auto"/>
        <w:rPr>
          <w:rFonts w:hint="eastAsia" w:ascii="仿宋" w:hAnsi="仿宋" w:eastAsia="仿宋" w:cs="仿宋"/>
          <w:color w:val="auto"/>
          <w:highlight w:val="none"/>
        </w:rPr>
      </w:pPr>
    </w:p>
    <w:p w14:paraId="25E7F99C">
      <w:pPr>
        <w:pStyle w:val="5"/>
        <w:spacing w:line="248" w:lineRule="auto"/>
        <w:rPr>
          <w:rFonts w:hint="eastAsia" w:ascii="仿宋" w:hAnsi="仿宋" w:eastAsia="仿宋" w:cs="仿宋"/>
          <w:color w:val="auto"/>
          <w:highlight w:val="none"/>
        </w:rPr>
      </w:pPr>
    </w:p>
    <w:p w14:paraId="2EA1B756">
      <w:pPr>
        <w:pStyle w:val="5"/>
        <w:spacing w:line="248" w:lineRule="auto"/>
        <w:rPr>
          <w:rFonts w:hint="eastAsia" w:ascii="仿宋" w:hAnsi="仿宋" w:eastAsia="仿宋" w:cs="仿宋"/>
          <w:color w:val="auto"/>
          <w:highlight w:val="none"/>
        </w:rPr>
      </w:pPr>
    </w:p>
    <w:p w14:paraId="7C11EDB3">
      <w:pPr>
        <w:spacing w:before="75" w:line="229" w:lineRule="auto"/>
        <w:ind w:left="1055"/>
        <w:rPr>
          <w:rFonts w:hint="eastAsia" w:ascii="仿宋" w:hAnsi="仿宋" w:eastAsia="仿宋" w:cs="仿宋"/>
          <w:color w:val="auto"/>
          <w:sz w:val="23"/>
          <w:szCs w:val="23"/>
          <w:highlight w:val="none"/>
        </w:rPr>
      </w:pPr>
      <w:r>
        <w:rPr>
          <w:rFonts w:hint="eastAsia" w:ascii="仿宋" w:hAnsi="仿宋" w:eastAsia="仿宋" w:cs="仿宋"/>
          <w:color w:val="auto"/>
          <w:spacing w:val="-19"/>
          <w:sz w:val="23"/>
          <w:szCs w:val="23"/>
          <w:highlight w:val="none"/>
        </w:rPr>
        <w:t>甲方：</w:t>
      </w:r>
      <w:r>
        <w:rPr>
          <w:rFonts w:hint="eastAsia" w:ascii="仿宋" w:hAnsi="仿宋" w:eastAsia="仿宋" w:cs="仿宋"/>
          <w:color w:val="auto"/>
          <w:sz w:val="23"/>
          <w:szCs w:val="23"/>
          <w:highlight w:val="none"/>
          <w:u w:val="single" w:color="auto"/>
        </w:rPr>
        <w:t xml:space="preserve">                                         </w:t>
      </w:r>
    </w:p>
    <w:p w14:paraId="2448525A">
      <w:pPr>
        <w:pStyle w:val="5"/>
        <w:spacing w:line="248" w:lineRule="auto"/>
        <w:rPr>
          <w:rFonts w:hint="eastAsia" w:ascii="仿宋" w:hAnsi="仿宋" w:eastAsia="仿宋" w:cs="仿宋"/>
          <w:color w:val="auto"/>
          <w:highlight w:val="none"/>
        </w:rPr>
      </w:pPr>
    </w:p>
    <w:p w14:paraId="5383D5C1">
      <w:pPr>
        <w:pStyle w:val="5"/>
        <w:spacing w:line="248" w:lineRule="auto"/>
        <w:rPr>
          <w:rFonts w:hint="eastAsia" w:ascii="仿宋" w:hAnsi="仿宋" w:eastAsia="仿宋" w:cs="仿宋"/>
          <w:color w:val="auto"/>
          <w:highlight w:val="none"/>
        </w:rPr>
      </w:pPr>
    </w:p>
    <w:p w14:paraId="2606A40D">
      <w:pPr>
        <w:spacing w:before="75" w:line="229" w:lineRule="auto"/>
        <w:ind w:left="103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乙方：</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p>
    <w:p w14:paraId="18ADBB54">
      <w:pPr>
        <w:pStyle w:val="5"/>
        <w:spacing w:line="251" w:lineRule="auto"/>
        <w:rPr>
          <w:rFonts w:hint="eastAsia" w:ascii="仿宋" w:hAnsi="仿宋" w:eastAsia="仿宋" w:cs="仿宋"/>
          <w:color w:val="auto"/>
          <w:highlight w:val="none"/>
        </w:rPr>
      </w:pPr>
    </w:p>
    <w:p w14:paraId="0CF9727A">
      <w:pPr>
        <w:pStyle w:val="5"/>
        <w:spacing w:line="252" w:lineRule="auto"/>
        <w:rPr>
          <w:rFonts w:hint="eastAsia" w:ascii="仿宋" w:hAnsi="仿宋" w:eastAsia="仿宋" w:cs="仿宋"/>
          <w:color w:val="auto"/>
          <w:highlight w:val="none"/>
        </w:rPr>
      </w:pPr>
    </w:p>
    <w:p w14:paraId="7D19A6C8">
      <w:pPr>
        <w:spacing w:before="76" w:line="230"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签订地：</w:t>
      </w:r>
      <w:r>
        <w:rPr>
          <w:rFonts w:hint="eastAsia" w:ascii="仿宋" w:hAnsi="仿宋" w:eastAsia="仿宋" w:cs="仿宋"/>
          <w:color w:val="auto"/>
          <w:spacing w:val="2"/>
          <w:sz w:val="23"/>
          <w:szCs w:val="23"/>
          <w:highlight w:val="none"/>
          <w:u w:val="single" w:color="auto"/>
        </w:rPr>
        <w:t xml:space="preserve">                                      </w:t>
      </w:r>
    </w:p>
    <w:p w14:paraId="7E4DA509">
      <w:pPr>
        <w:pStyle w:val="5"/>
        <w:spacing w:line="246" w:lineRule="auto"/>
        <w:rPr>
          <w:rFonts w:hint="eastAsia" w:ascii="仿宋" w:hAnsi="仿宋" w:eastAsia="仿宋" w:cs="仿宋"/>
          <w:color w:val="auto"/>
          <w:highlight w:val="none"/>
        </w:rPr>
      </w:pPr>
    </w:p>
    <w:p w14:paraId="4FEC2065">
      <w:pPr>
        <w:pStyle w:val="5"/>
        <w:spacing w:line="246" w:lineRule="auto"/>
        <w:rPr>
          <w:rFonts w:hint="eastAsia" w:ascii="仿宋" w:hAnsi="仿宋" w:eastAsia="仿宋" w:cs="仿宋"/>
          <w:color w:val="auto"/>
          <w:highlight w:val="none"/>
        </w:rPr>
      </w:pPr>
    </w:p>
    <w:p w14:paraId="28E5D878">
      <w:pPr>
        <w:spacing w:before="75" w:line="227"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签订日期：</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10"/>
          <w:sz w:val="23"/>
          <w:szCs w:val="23"/>
          <w:highlight w:val="none"/>
        </w:rPr>
        <w:t>年</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10"/>
          <w:sz w:val="23"/>
          <w:szCs w:val="23"/>
          <w:highlight w:val="none"/>
        </w:rPr>
        <w:t>月</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10"/>
          <w:sz w:val="23"/>
          <w:szCs w:val="23"/>
          <w:highlight w:val="none"/>
        </w:rPr>
        <w:t xml:space="preserve"> 日</w:t>
      </w:r>
    </w:p>
    <w:p w14:paraId="18D5AB4C">
      <w:pPr>
        <w:spacing w:line="227" w:lineRule="auto"/>
        <w:rPr>
          <w:rFonts w:hint="eastAsia" w:ascii="仿宋" w:hAnsi="仿宋" w:eastAsia="仿宋" w:cs="仿宋"/>
          <w:color w:val="auto"/>
          <w:sz w:val="23"/>
          <w:szCs w:val="23"/>
          <w:highlight w:val="none"/>
        </w:rPr>
      </w:pPr>
    </w:p>
    <w:p w14:paraId="7A37DAC7">
      <w:pPr>
        <w:bidi w:val="0"/>
        <w:rPr>
          <w:rFonts w:hint="eastAsia" w:ascii="仿宋" w:hAnsi="仿宋" w:eastAsia="仿宋" w:cs="仿宋"/>
          <w:snapToGrid w:val="0"/>
          <w:color w:val="auto"/>
          <w:kern w:val="0"/>
          <w:sz w:val="21"/>
          <w:szCs w:val="21"/>
          <w:highlight w:val="none"/>
          <w:lang w:val="en-US" w:eastAsia="en-US" w:bidi="ar-SA"/>
        </w:rPr>
      </w:pPr>
    </w:p>
    <w:p w14:paraId="723B99BC">
      <w:pPr>
        <w:bidi w:val="0"/>
        <w:rPr>
          <w:rFonts w:hint="eastAsia" w:ascii="仿宋" w:hAnsi="仿宋" w:eastAsia="仿宋" w:cs="仿宋"/>
          <w:color w:val="auto"/>
          <w:highlight w:val="none"/>
          <w:lang w:val="en-US" w:eastAsia="en-US"/>
        </w:rPr>
      </w:pPr>
    </w:p>
    <w:p w14:paraId="1692A596">
      <w:pPr>
        <w:bidi w:val="0"/>
        <w:jc w:val="left"/>
        <w:rPr>
          <w:rFonts w:hint="eastAsia" w:ascii="仿宋" w:hAnsi="仿宋" w:eastAsia="仿宋" w:cs="仿宋"/>
          <w:color w:val="auto"/>
          <w:highlight w:val="none"/>
          <w:lang w:val="en-US" w:eastAsia="en-US"/>
        </w:rPr>
        <w:sectPr>
          <w:footerReference r:id="rId17" w:type="default"/>
          <w:pgSz w:w="11905" w:h="16838"/>
          <w:pgMar w:top="1020" w:right="1134" w:bottom="1020" w:left="1134" w:header="0" w:footer="573" w:gutter="0"/>
          <w:pgNumType w:fmt="decimal"/>
          <w:cols w:space="0" w:num="1"/>
          <w:rtlGutter w:val="0"/>
          <w:docGrid w:linePitch="0" w:charSpace="0"/>
        </w:sectPr>
      </w:pPr>
    </w:p>
    <w:p w14:paraId="2D713D7E">
      <w:pPr>
        <w:spacing w:before="75" w:line="439" w:lineRule="auto"/>
        <w:ind w:right="2" w:firstLine="726" w:firstLineChars="300"/>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ab/>
      </w:r>
      <w:r>
        <w:rPr>
          <w:rFonts w:hint="eastAsia" w:ascii="仿宋" w:hAnsi="仿宋" w:eastAsia="仿宋" w:cs="仿宋"/>
          <w:color w:val="auto"/>
          <w:spacing w:val="6"/>
          <w:sz w:val="23"/>
          <w:szCs w:val="23"/>
          <w:highlight w:val="none"/>
          <w:u w:val="single" w:color="auto"/>
        </w:rPr>
        <w:t xml:space="preserve"> 年    月    日，  （采购人名称）   以  （政府采购方式）  对  （同前页项目名称）     项目进行了采购。经    （相关评定主体名称）    评定，   （中标 供应商名称）</w:t>
      </w:r>
      <w:r>
        <w:rPr>
          <w:rFonts w:hint="eastAsia" w:ascii="仿宋" w:hAnsi="仿宋" w:eastAsia="仿宋" w:cs="仿宋"/>
          <w:color w:val="auto"/>
          <w:spacing w:val="91"/>
          <w:sz w:val="23"/>
          <w:szCs w:val="23"/>
          <w:highlight w:val="none"/>
          <w:u w:val="single" w:color="auto"/>
        </w:rPr>
        <w:t xml:space="preserve"> </w:t>
      </w:r>
      <w:r>
        <w:rPr>
          <w:rFonts w:hint="eastAsia" w:ascii="仿宋" w:hAnsi="仿宋" w:eastAsia="仿宋" w:cs="仿宋"/>
          <w:color w:val="auto"/>
          <w:spacing w:val="-76"/>
          <w:sz w:val="23"/>
          <w:szCs w:val="23"/>
          <w:highlight w:val="none"/>
        </w:rPr>
        <w:t xml:space="preserve"> </w:t>
      </w:r>
      <w:r>
        <w:rPr>
          <w:rFonts w:hint="eastAsia" w:ascii="仿宋" w:hAnsi="仿宋" w:eastAsia="仿宋" w:cs="仿宋"/>
          <w:color w:val="auto"/>
          <w:spacing w:val="6"/>
          <w:sz w:val="23"/>
          <w:szCs w:val="23"/>
          <w:highlight w:val="none"/>
        </w:rPr>
        <w:t>为该项目中标供应商。现于中标通知书发出之日起三十日内，按照采购</w:t>
      </w:r>
    </w:p>
    <w:p w14:paraId="269722FF">
      <w:pPr>
        <w:spacing w:line="226"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文件确定的事项签订本合同。</w:t>
      </w:r>
    </w:p>
    <w:p w14:paraId="76A48B23">
      <w:pPr>
        <w:spacing w:before="276"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根据《中华人民共和国合同法》、《中华人民共和国政府采购</w:t>
      </w:r>
      <w:r>
        <w:rPr>
          <w:rFonts w:hint="eastAsia" w:ascii="仿宋" w:hAnsi="仿宋" w:eastAsia="仿宋" w:cs="仿宋"/>
          <w:color w:val="auto"/>
          <w:spacing w:val="7"/>
          <w:sz w:val="23"/>
          <w:szCs w:val="23"/>
          <w:highlight w:val="none"/>
        </w:rPr>
        <w:t>法》等相关法律法规</w:t>
      </w:r>
    </w:p>
    <w:p w14:paraId="06A0D667">
      <w:pPr>
        <w:spacing w:before="298" w:line="440" w:lineRule="auto"/>
        <w:ind w:right="71" w:firstLine="5"/>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之规定，按照平等、 自愿、公平和诚实信用的原则，经</w:t>
      </w:r>
      <w:r>
        <w:rPr>
          <w:rFonts w:hint="eastAsia" w:ascii="仿宋" w:hAnsi="仿宋" w:eastAsia="仿宋" w:cs="仿宋"/>
          <w:color w:val="auto"/>
          <w:spacing w:val="3"/>
          <w:sz w:val="23"/>
          <w:szCs w:val="23"/>
          <w:highlight w:val="none"/>
          <w:u w:val="single" w:color="auto"/>
        </w:rPr>
        <w:t xml:space="preserve">   （采购人名称）   </w:t>
      </w:r>
      <w:r>
        <w:rPr>
          <w:rFonts w:hint="eastAsia" w:ascii="仿宋" w:hAnsi="仿宋" w:eastAsia="仿宋" w:cs="仿宋"/>
          <w:color w:val="auto"/>
          <w:spacing w:val="3"/>
          <w:sz w:val="23"/>
          <w:szCs w:val="23"/>
          <w:highlight w:val="none"/>
        </w:rPr>
        <w:t xml:space="preserve"> (以</w:t>
      </w:r>
      <w:r>
        <w:rPr>
          <w:rFonts w:hint="eastAsia" w:ascii="仿宋" w:hAnsi="仿宋" w:eastAsia="仿宋" w:cs="仿宋"/>
          <w:color w:val="auto"/>
          <w:spacing w:val="2"/>
          <w:sz w:val="23"/>
          <w:szCs w:val="23"/>
          <w:highlight w:val="none"/>
        </w:rPr>
        <w:t>下简</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称： 甲方)和</w:t>
      </w:r>
      <w:r>
        <w:rPr>
          <w:rFonts w:hint="eastAsia" w:ascii="仿宋" w:hAnsi="仿宋" w:eastAsia="仿宋" w:cs="仿宋"/>
          <w:color w:val="auto"/>
          <w:spacing w:val="30"/>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rPr>
        <w:t xml:space="preserve">（中标供应商名称）    </w:t>
      </w:r>
      <w:r>
        <w:rPr>
          <w:rFonts w:hint="eastAsia" w:ascii="仿宋" w:hAnsi="仿宋" w:eastAsia="仿宋" w:cs="仿宋"/>
          <w:color w:val="auto"/>
          <w:spacing w:val="-7"/>
          <w:sz w:val="23"/>
          <w:szCs w:val="23"/>
          <w:highlight w:val="none"/>
        </w:rPr>
        <w:t xml:space="preserve"> (以下简称： 乙方)协商一致， 约定以下合同条</w:t>
      </w:r>
    </w:p>
    <w:p w14:paraId="23CBA1C6">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款， 以兹共同遵守、全面履行。</w:t>
      </w:r>
    </w:p>
    <w:p w14:paraId="22DDEDF2">
      <w:pPr>
        <w:pStyle w:val="5"/>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合同组成部分</w:t>
      </w:r>
    </w:p>
    <w:p w14:paraId="4858068D">
      <w:pPr>
        <w:spacing w:before="289" w:line="227" w:lineRule="auto"/>
        <w:jc w:val="center"/>
        <w:outlineLvl w:val="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下列文件为本合同的组成部分，并构成一个整</w:t>
      </w:r>
      <w:r>
        <w:rPr>
          <w:rFonts w:hint="eastAsia" w:ascii="仿宋" w:hAnsi="仿宋" w:eastAsia="仿宋" w:cs="仿宋"/>
          <w:color w:val="auto"/>
          <w:spacing w:val="7"/>
          <w:sz w:val="23"/>
          <w:szCs w:val="23"/>
          <w:highlight w:val="none"/>
        </w:rPr>
        <w:t>体，需综合解释、相互补充。如果下</w:t>
      </w:r>
    </w:p>
    <w:p w14:paraId="4BA960ED">
      <w:pPr>
        <w:spacing w:before="267" w:line="572"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列文件内容出现不一致的情形，那么在保证</w:t>
      </w:r>
      <w:r>
        <w:rPr>
          <w:rFonts w:hint="eastAsia" w:ascii="仿宋" w:hAnsi="仿宋" w:eastAsia="仿宋" w:cs="仿宋"/>
          <w:color w:val="auto"/>
          <w:spacing w:val="4"/>
          <w:position w:val="25"/>
          <w:sz w:val="23"/>
          <w:szCs w:val="23"/>
          <w:highlight w:val="none"/>
        </w:rPr>
        <w:t>按照采购文件确定的事项的前提下， 组成本</w:t>
      </w:r>
    </w:p>
    <w:p w14:paraId="32BE9505">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合同的多个文件的优先适用顺序如下：</w:t>
      </w:r>
    </w:p>
    <w:p w14:paraId="3FA63DD4">
      <w:pPr>
        <w:spacing w:before="273"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1.1.1 本合同及其补充合同、变更协</w:t>
      </w:r>
      <w:r>
        <w:rPr>
          <w:rFonts w:hint="eastAsia" w:ascii="仿宋" w:hAnsi="仿宋" w:eastAsia="仿宋" w:cs="仿宋"/>
          <w:color w:val="auto"/>
          <w:spacing w:val="4"/>
          <w:sz w:val="23"/>
          <w:szCs w:val="23"/>
          <w:highlight w:val="none"/>
        </w:rPr>
        <w:t>议；</w:t>
      </w:r>
    </w:p>
    <w:p w14:paraId="41EE60B2">
      <w:pPr>
        <w:spacing w:before="279"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1.1.2</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4"/>
          <w:sz w:val="23"/>
          <w:szCs w:val="23"/>
          <w:highlight w:val="none"/>
        </w:rPr>
        <w:t>中标通知书；</w:t>
      </w:r>
    </w:p>
    <w:p w14:paraId="447C086A">
      <w:pPr>
        <w:spacing w:before="280"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1.1.3 响应文件（含澄清或者说明文件</w:t>
      </w:r>
      <w:r>
        <w:rPr>
          <w:rFonts w:hint="eastAsia" w:ascii="仿宋" w:hAnsi="仿宋" w:eastAsia="仿宋" w:cs="仿宋"/>
          <w:color w:val="auto"/>
          <w:spacing w:val="1"/>
          <w:sz w:val="23"/>
          <w:szCs w:val="23"/>
          <w:highlight w:val="none"/>
        </w:rPr>
        <w:t>）；</w:t>
      </w:r>
    </w:p>
    <w:p w14:paraId="33DC461F">
      <w:pPr>
        <w:spacing w:before="274"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1.1.4 征集文件（含澄清或者修改文件</w:t>
      </w:r>
      <w:r>
        <w:rPr>
          <w:rFonts w:hint="eastAsia" w:ascii="仿宋" w:hAnsi="仿宋" w:eastAsia="仿宋" w:cs="仿宋"/>
          <w:color w:val="auto"/>
          <w:spacing w:val="1"/>
          <w:sz w:val="23"/>
          <w:szCs w:val="23"/>
          <w:highlight w:val="none"/>
        </w:rPr>
        <w:t>）；</w:t>
      </w:r>
    </w:p>
    <w:p w14:paraId="45AFAB98">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1.1.5 其他相关采购文件。</w:t>
      </w:r>
    </w:p>
    <w:p w14:paraId="1514D054">
      <w:pPr>
        <w:pStyle w:val="5"/>
        <w:spacing w:before="250" w:line="295" w:lineRule="exact"/>
        <w:ind w:left="501"/>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6"/>
          <w:position w:val="-1"/>
          <w:sz w:val="27"/>
          <w:szCs w:val="27"/>
          <w:highlight w:val="none"/>
        </w:rPr>
        <w:t>1.2</w:t>
      </w:r>
      <w:r>
        <w:rPr>
          <w:rFonts w:hint="eastAsia" w:ascii="仿宋" w:hAnsi="仿宋" w:eastAsia="仿宋" w:cs="仿宋"/>
          <w:color w:val="auto"/>
          <w:spacing w:val="45"/>
          <w:position w:val="-1"/>
          <w:sz w:val="27"/>
          <w:szCs w:val="27"/>
          <w:highlight w:val="none"/>
        </w:rPr>
        <w:t xml:space="preserve"> </w:t>
      </w:r>
      <w:r>
        <w:rPr>
          <w:rFonts w:hint="eastAsia" w:ascii="仿宋" w:hAnsi="仿宋" w:eastAsia="仿宋" w:cs="仿宋"/>
          <w:color w:val="auto"/>
          <w:spacing w:val="-16"/>
          <w:position w:val="-1"/>
          <w:sz w:val="27"/>
          <w:szCs w:val="27"/>
          <w:highlight w:val="none"/>
        </w:rPr>
        <w:t>标的</w:t>
      </w:r>
    </w:p>
    <w:p w14:paraId="2716825E">
      <w:pPr>
        <w:spacing w:before="291"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1.2.1 标的名称</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12F9EDAD">
      <w:pPr>
        <w:spacing w:before="278"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1.2.2 标的数量</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6A7DB39">
      <w:pPr>
        <w:spacing w:before="276"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1.2.3 标的质量：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7A33EC7">
      <w:pPr>
        <w:pStyle w:val="5"/>
        <w:spacing w:before="244" w:line="166"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1.3</w:t>
      </w:r>
      <w:r>
        <w:rPr>
          <w:rFonts w:hint="eastAsia" w:ascii="仿宋" w:hAnsi="仿宋" w:eastAsia="仿宋" w:cs="仿宋"/>
          <w:color w:val="auto"/>
          <w:spacing w:val="51"/>
          <w:w w:val="101"/>
          <w:sz w:val="25"/>
          <w:szCs w:val="25"/>
          <w:highlight w:val="none"/>
        </w:rPr>
        <w:t xml:space="preserve"> </w:t>
      </w:r>
      <w:r>
        <w:rPr>
          <w:rFonts w:hint="eastAsia" w:ascii="仿宋" w:hAnsi="仿宋" w:eastAsia="仿宋" w:cs="仿宋"/>
          <w:color w:val="auto"/>
          <w:spacing w:val="2"/>
          <w:sz w:val="25"/>
          <w:szCs w:val="25"/>
          <w:highlight w:val="none"/>
        </w:rPr>
        <w:t>价款</w:t>
      </w:r>
    </w:p>
    <w:p w14:paraId="7FC59272">
      <w:pPr>
        <w:spacing w:before="294" w:line="226"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本合同总价为：</w:t>
      </w:r>
      <w:r>
        <w:rPr>
          <w:rFonts w:hint="eastAsia" w:ascii="仿宋" w:hAnsi="仿宋" w:eastAsia="仿宋" w:cs="仿宋"/>
          <w:color w:val="auto"/>
          <w:spacing w:val="-77"/>
          <w:sz w:val="23"/>
          <w:szCs w:val="23"/>
          <w:highlight w:val="none"/>
        </w:rPr>
        <w:t xml:space="preserve"> </w:t>
      </w:r>
      <w:r>
        <w:rPr>
          <w:rFonts w:hint="eastAsia" w:ascii="仿宋" w:hAnsi="仿宋" w:eastAsia="仿宋" w:cs="仿宋"/>
          <w:color w:val="auto"/>
          <w:spacing w:val="-7"/>
          <w:sz w:val="23"/>
          <w:szCs w:val="23"/>
          <w:highlight w:val="none"/>
        </w:rPr>
        <w:t>￥</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 xml:space="preserve">元（大写： </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元人民币）</w:t>
      </w:r>
      <w:r>
        <w:rPr>
          <w:rFonts w:hint="eastAsia" w:ascii="仿宋" w:hAnsi="仿宋" w:eastAsia="仿宋" w:cs="仿宋"/>
          <w:color w:val="auto"/>
          <w:spacing w:val="-39"/>
          <w:sz w:val="23"/>
          <w:szCs w:val="23"/>
          <w:highlight w:val="none"/>
        </w:rPr>
        <w:t xml:space="preserve"> </w:t>
      </w:r>
      <w:r>
        <w:rPr>
          <w:rFonts w:hint="eastAsia" w:ascii="仿宋" w:hAnsi="仿宋" w:eastAsia="仿宋" w:cs="仿宋"/>
          <w:color w:val="auto"/>
          <w:spacing w:val="-7"/>
          <w:sz w:val="23"/>
          <w:szCs w:val="23"/>
          <w:highlight w:val="none"/>
        </w:rPr>
        <w:t>。</w:t>
      </w:r>
    </w:p>
    <w:p w14:paraId="3815A55A">
      <w:pPr>
        <w:spacing w:before="275" w:line="226" w:lineRule="auto"/>
        <w:ind w:left="486"/>
        <w:outlineLvl w:val="1"/>
        <w:rPr>
          <w:rFonts w:hint="eastAsia" w:ascii="仿宋" w:hAnsi="仿宋" w:eastAsia="仿宋" w:cs="仿宋"/>
          <w:color w:val="auto"/>
          <w:spacing w:val="3"/>
          <w:sz w:val="23"/>
          <w:szCs w:val="23"/>
          <w:highlight w:val="none"/>
        </w:rPr>
      </w:pPr>
    </w:p>
    <w:p w14:paraId="63351E9A">
      <w:pPr>
        <w:spacing w:before="275" w:line="226" w:lineRule="auto"/>
        <w:ind w:left="486"/>
        <w:outlineLvl w:val="1"/>
        <w:rPr>
          <w:rFonts w:hint="eastAsia" w:ascii="仿宋" w:hAnsi="仿宋" w:eastAsia="仿宋" w:cs="仿宋"/>
          <w:color w:val="auto"/>
          <w:spacing w:val="3"/>
          <w:sz w:val="23"/>
          <w:szCs w:val="23"/>
          <w:highlight w:val="none"/>
        </w:rPr>
      </w:pPr>
    </w:p>
    <w:p w14:paraId="625B6A6D">
      <w:pPr>
        <w:spacing w:before="275" w:line="226" w:lineRule="auto"/>
        <w:ind w:left="486"/>
        <w:outlineLvl w:val="1"/>
        <w:rPr>
          <w:rFonts w:hint="eastAsia" w:ascii="仿宋" w:hAnsi="仿宋" w:eastAsia="仿宋" w:cs="仿宋"/>
          <w:color w:val="auto"/>
          <w:spacing w:val="3"/>
          <w:sz w:val="23"/>
          <w:szCs w:val="23"/>
          <w:highlight w:val="none"/>
        </w:rPr>
      </w:pPr>
    </w:p>
    <w:p w14:paraId="1E9752F3">
      <w:pPr>
        <w:spacing w:before="275" w:line="226" w:lineRule="auto"/>
        <w:ind w:left="486"/>
        <w:outlineLvl w:val="1"/>
        <w:rPr>
          <w:rFonts w:hint="eastAsia" w:ascii="仿宋" w:hAnsi="仿宋" w:eastAsia="仿宋" w:cs="仿宋"/>
          <w:color w:val="auto"/>
          <w:spacing w:val="3"/>
          <w:sz w:val="23"/>
          <w:szCs w:val="23"/>
          <w:highlight w:val="none"/>
        </w:rPr>
      </w:pPr>
    </w:p>
    <w:p w14:paraId="29ED8071">
      <w:pPr>
        <w:spacing w:before="275" w:line="226" w:lineRule="auto"/>
        <w:ind w:left="486"/>
        <w:outlineLvl w:val="1"/>
        <w:rPr>
          <w:rFonts w:hint="eastAsia" w:ascii="仿宋" w:hAnsi="仿宋" w:eastAsia="仿宋" w:cs="仿宋"/>
          <w:color w:val="auto"/>
          <w:highlight w:val="none"/>
        </w:rPr>
      </w:pPr>
      <w:r>
        <w:rPr>
          <w:rFonts w:hint="eastAsia" w:ascii="仿宋" w:hAnsi="仿宋" w:eastAsia="仿宋" w:cs="仿宋"/>
          <w:color w:val="auto"/>
          <w:spacing w:val="3"/>
          <w:sz w:val="23"/>
          <w:szCs w:val="23"/>
          <w:highlight w:val="none"/>
        </w:rPr>
        <w:t>分项价格：</w:t>
      </w:r>
    </w:p>
    <w:p w14:paraId="01593C31">
      <w:pPr>
        <w:spacing w:before="13"/>
        <w:rPr>
          <w:rFonts w:hint="eastAsia" w:ascii="仿宋" w:hAnsi="仿宋" w:eastAsia="仿宋" w:cs="仿宋"/>
          <w:color w:val="auto"/>
          <w:highlight w:val="none"/>
        </w:rPr>
      </w:pPr>
    </w:p>
    <w:tbl>
      <w:tblPr>
        <w:tblStyle w:val="21"/>
        <w:tblW w:w="7158" w:type="dxa"/>
        <w:tblInd w:w="9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6"/>
        <w:gridCol w:w="2556"/>
      </w:tblGrid>
      <w:tr w14:paraId="0378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vAlign w:val="top"/>
          </w:tcPr>
          <w:p w14:paraId="3F6CA884">
            <w:pPr>
              <w:pStyle w:val="22"/>
              <w:spacing w:before="261" w:line="229" w:lineRule="auto"/>
              <w:ind w:left="373"/>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396" w:type="dxa"/>
            <w:vAlign w:val="top"/>
          </w:tcPr>
          <w:p w14:paraId="3122B64D">
            <w:pPr>
              <w:pStyle w:val="22"/>
              <w:spacing w:before="262" w:line="228" w:lineRule="auto"/>
              <w:ind w:left="1338"/>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分项名称</w:t>
            </w:r>
          </w:p>
        </w:tc>
        <w:tc>
          <w:tcPr>
            <w:tcW w:w="2556" w:type="dxa"/>
            <w:vAlign w:val="top"/>
          </w:tcPr>
          <w:p w14:paraId="33DC071A">
            <w:pPr>
              <w:pStyle w:val="22"/>
              <w:spacing w:before="259" w:line="226" w:lineRule="auto"/>
              <w:ind w:left="820"/>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分项价格</w:t>
            </w:r>
          </w:p>
        </w:tc>
      </w:tr>
      <w:tr w14:paraId="00BE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415370F3">
            <w:pPr>
              <w:rPr>
                <w:rFonts w:hint="eastAsia" w:ascii="仿宋" w:hAnsi="仿宋" w:eastAsia="仿宋" w:cs="仿宋"/>
                <w:color w:val="auto"/>
                <w:sz w:val="21"/>
                <w:highlight w:val="none"/>
              </w:rPr>
            </w:pPr>
          </w:p>
        </w:tc>
        <w:tc>
          <w:tcPr>
            <w:tcW w:w="3396" w:type="dxa"/>
            <w:vAlign w:val="top"/>
          </w:tcPr>
          <w:p w14:paraId="59ED468D">
            <w:pPr>
              <w:rPr>
                <w:rFonts w:hint="eastAsia" w:ascii="仿宋" w:hAnsi="仿宋" w:eastAsia="仿宋" w:cs="仿宋"/>
                <w:color w:val="auto"/>
                <w:sz w:val="21"/>
                <w:highlight w:val="none"/>
              </w:rPr>
            </w:pPr>
          </w:p>
        </w:tc>
        <w:tc>
          <w:tcPr>
            <w:tcW w:w="2556" w:type="dxa"/>
            <w:vAlign w:val="top"/>
          </w:tcPr>
          <w:p w14:paraId="235F371B">
            <w:pPr>
              <w:rPr>
                <w:rFonts w:hint="eastAsia" w:ascii="仿宋" w:hAnsi="仿宋" w:eastAsia="仿宋" w:cs="仿宋"/>
                <w:color w:val="auto"/>
                <w:sz w:val="21"/>
                <w:highlight w:val="none"/>
              </w:rPr>
            </w:pPr>
          </w:p>
        </w:tc>
      </w:tr>
      <w:tr w14:paraId="02660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91A37F">
            <w:pPr>
              <w:rPr>
                <w:rFonts w:hint="eastAsia" w:ascii="仿宋" w:hAnsi="仿宋" w:eastAsia="仿宋" w:cs="仿宋"/>
                <w:color w:val="auto"/>
                <w:sz w:val="21"/>
                <w:highlight w:val="none"/>
              </w:rPr>
            </w:pPr>
          </w:p>
        </w:tc>
        <w:tc>
          <w:tcPr>
            <w:tcW w:w="3396" w:type="dxa"/>
            <w:vAlign w:val="top"/>
          </w:tcPr>
          <w:p w14:paraId="60E0F05A">
            <w:pPr>
              <w:rPr>
                <w:rFonts w:hint="eastAsia" w:ascii="仿宋" w:hAnsi="仿宋" w:eastAsia="仿宋" w:cs="仿宋"/>
                <w:color w:val="auto"/>
                <w:sz w:val="21"/>
                <w:highlight w:val="none"/>
              </w:rPr>
            </w:pPr>
          </w:p>
        </w:tc>
        <w:tc>
          <w:tcPr>
            <w:tcW w:w="2556" w:type="dxa"/>
            <w:vAlign w:val="top"/>
          </w:tcPr>
          <w:p w14:paraId="045227B0">
            <w:pPr>
              <w:rPr>
                <w:rFonts w:hint="eastAsia" w:ascii="仿宋" w:hAnsi="仿宋" w:eastAsia="仿宋" w:cs="仿宋"/>
                <w:color w:val="auto"/>
                <w:sz w:val="21"/>
                <w:highlight w:val="none"/>
              </w:rPr>
            </w:pPr>
          </w:p>
        </w:tc>
      </w:tr>
      <w:tr w14:paraId="3B85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823CAAE">
            <w:pPr>
              <w:rPr>
                <w:rFonts w:hint="eastAsia" w:ascii="仿宋" w:hAnsi="仿宋" w:eastAsia="仿宋" w:cs="仿宋"/>
                <w:color w:val="auto"/>
                <w:sz w:val="21"/>
                <w:highlight w:val="none"/>
              </w:rPr>
            </w:pPr>
          </w:p>
        </w:tc>
        <w:tc>
          <w:tcPr>
            <w:tcW w:w="3396" w:type="dxa"/>
            <w:vAlign w:val="top"/>
          </w:tcPr>
          <w:p w14:paraId="09D2A742">
            <w:pPr>
              <w:rPr>
                <w:rFonts w:hint="eastAsia" w:ascii="仿宋" w:hAnsi="仿宋" w:eastAsia="仿宋" w:cs="仿宋"/>
                <w:color w:val="auto"/>
                <w:sz w:val="21"/>
                <w:highlight w:val="none"/>
              </w:rPr>
            </w:pPr>
          </w:p>
        </w:tc>
        <w:tc>
          <w:tcPr>
            <w:tcW w:w="2556" w:type="dxa"/>
            <w:vAlign w:val="top"/>
          </w:tcPr>
          <w:p w14:paraId="3625FAD1">
            <w:pPr>
              <w:rPr>
                <w:rFonts w:hint="eastAsia" w:ascii="仿宋" w:hAnsi="仿宋" w:eastAsia="仿宋" w:cs="仿宋"/>
                <w:color w:val="auto"/>
                <w:sz w:val="21"/>
                <w:highlight w:val="none"/>
              </w:rPr>
            </w:pPr>
          </w:p>
        </w:tc>
      </w:tr>
      <w:tr w14:paraId="1BDE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06B71C">
            <w:pPr>
              <w:rPr>
                <w:rFonts w:hint="eastAsia" w:ascii="仿宋" w:hAnsi="仿宋" w:eastAsia="仿宋" w:cs="仿宋"/>
                <w:color w:val="auto"/>
                <w:sz w:val="21"/>
                <w:highlight w:val="none"/>
              </w:rPr>
            </w:pPr>
          </w:p>
        </w:tc>
        <w:tc>
          <w:tcPr>
            <w:tcW w:w="3396" w:type="dxa"/>
            <w:vAlign w:val="top"/>
          </w:tcPr>
          <w:p w14:paraId="4A2DD6A1">
            <w:pPr>
              <w:rPr>
                <w:rFonts w:hint="eastAsia" w:ascii="仿宋" w:hAnsi="仿宋" w:eastAsia="仿宋" w:cs="仿宋"/>
                <w:color w:val="auto"/>
                <w:sz w:val="21"/>
                <w:highlight w:val="none"/>
              </w:rPr>
            </w:pPr>
          </w:p>
        </w:tc>
        <w:tc>
          <w:tcPr>
            <w:tcW w:w="2556" w:type="dxa"/>
            <w:vAlign w:val="top"/>
          </w:tcPr>
          <w:p w14:paraId="4F09C7B0">
            <w:pPr>
              <w:rPr>
                <w:rFonts w:hint="eastAsia" w:ascii="仿宋" w:hAnsi="仿宋" w:eastAsia="仿宋" w:cs="仿宋"/>
                <w:color w:val="auto"/>
                <w:sz w:val="21"/>
                <w:highlight w:val="none"/>
              </w:rPr>
            </w:pPr>
          </w:p>
        </w:tc>
      </w:tr>
      <w:tr w14:paraId="1B81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602" w:type="dxa"/>
            <w:gridSpan w:val="2"/>
            <w:vAlign w:val="top"/>
          </w:tcPr>
          <w:p w14:paraId="0FF0450B">
            <w:pPr>
              <w:pStyle w:val="22"/>
              <w:spacing w:before="260" w:line="226" w:lineRule="auto"/>
              <w:ind w:left="2192"/>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总价</w:t>
            </w:r>
          </w:p>
        </w:tc>
        <w:tc>
          <w:tcPr>
            <w:tcW w:w="2556" w:type="dxa"/>
            <w:vAlign w:val="top"/>
          </w:tcPr>
          <w:p w14:paraId="34A6D367">
            <w:pPr>
              <w:rPr>
                <w:rFonts w:hint="eastAsia" w:ascii="仿宋" w:hAnsi="仿宋" w:eastAsia="仿宋" w:cs="仿宋"/>
                <w:color w:val="auto"/>
                <w:sz w:val="21"/>
                <w:highlight w:val="none"/>
              </w:rPr>
            </w:pPr>
          </w:p>
        </w:tc>
      </w:tr>
    </w:tbl>
    <w:p w14:paraId="2C03D024">
      <w:pPr>
        <w:spacing w:before="227" w:line="166" w:lineRule="auto"/>
        <w:ind w:left="497"/>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1.4付款方式和发票开具方式</w:t>
      </w:r>
    </w:p>
    <w:p w14:paraId="55736939">
      <w:pPr>
        <w:spacing w:before="290"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1.4.1付款方式</w:t>
      </w:r>
      <w:r>
        <w:rPr>
          <w:rFonts w:hint="eastAsia" w:ascii="仿宋" w:hAnsi="仿宋" w:eastAsia="仿宋" w:cs="仿宋"/>
          <w:color w:val="auto"/>
          <w:spacing w:val="6"/>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6"/>
          <w:sz w:val="23"/>
          <w:szCs w:val="23"/>
          <w:highlight w:val="none"/>
        </w:rPr>
        <w:t>；</w:t>
      </w:r>
    </w:p>
    <w:p w14:paraId="5755B7F8">
      <w:pPr>
        <w:spacing w:before="274"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1.4.2 发票开具方式：</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w:t>
      </w:r>
    </w:p>
    <w:p w14:paraId="7DF668EF">
      <w:pPr>
        <w:pStyle w:val="5"/>
        <w:spacing w:before="252" w:line="171"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履行期限、地点和方式</w:t>
      </w:r>
    </w:p>
    <w:p w14:paraId="3F3D288E">
      <w:pPr>
        <w:spacing w:before="292"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1.5.1</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履行期限</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9D24D59">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履行地点</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4C6CC4B1">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1.5.3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5"/>
          <w:sz w:val="23"/>
          <w:szCs w:val="23"/>
          <w:highlight w:val="none"/>
        </w:rPr>
        <w:t>履行方式：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2444A8BA">
      <w:pPr>
        <w:pStyle w:val="5"/>
        <w:spacing w:before="247" w:line="172"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违约责任</w:t>
      </w:r>
    </w:p>
    <w:p w14:paraId="1BAE31AB">
      <w:pPr>
        <w:spacing w:before="289"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1.6.1 除不可抗力外，如果乙方没有按</w:t>
      </w:r>
      <w:r>
        <w:rPr>
          <w:rFonts w:hint="eastAsia" w:ascii="仿宋" w:hAnsi="仿宋" w:eastAsia="仿宋" w:cs="仿宋"/>
          <w:color w:val="auto"/>
          <w:spacing w:val="6"/>
          <w:sz w:val="23"/>
          <w:szCs w:val="23"/>
          <w:highlight w:val="none"/>
        </w:rPr>
        <w:t>照本合同约定的期限、地点和方式履行，那</w:t>
      </w:r>
    </w:p>
    <w:p w14:paraId="04F6903E">
      <w:pPr>
        <w:spacing w:before="302" w:line="439" w:lineRule="auto"/>
        <w:ind w:left="36" w:right="90" w:hanging="29"/>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么甲方可要求乙方支付违约金，违约金按每迟延履行一 日的应提供而未提供服</w:t>
      </w:r>
      <w:r>
        <w:rPr>
          <w:rFonts w:hint="eastAsia" w:ascii="仿宋" w:hAnsi="仿宋" w:eastAsia="仿宋" w:cs="仿宋"/>
          <w:color w:val="auto"/>
          <w:spacing w:val="5"/>
          <w:sz w:val="23"/>
          <w:szCs w:val="23"/>
          <w:highlight w:val="none"/>
        </w:rPr>
        <w:t>务价格</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3"/>
          <w:sz w:val="23"/>
          <w:szCs w:val="23"/>
          <w:highlight w:val="none"/>
        </w:rPr>
        <w:t xml:space="preserve"> </w:t>
      </w:r>
      <w:r>
        <w:rPr>
          <w:rFonts w:hint="eastAsia" w:ascii="仿宋" w:hAnsi="仿宋" w:eastAsia="仿宋" w:cs="仿宋"/>
          <w:color w:val="auto"/>
          <w:spacing w:val="7"/>
          <w:sz w:val="23"/>
          <w:szCs w:val="23"/>
          <w:highlight w:val="none"/>
        </w:rPr>
        <w:t>%计算，最高限额为本合同总价的</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104"/>
          <w:sz w:val="23"/>
          <w:szCs w:val="23"/>
          <w:highlight w:val="none"/>
        </w:rPr>
        <w:t xml:space="preserve"> </w:t>
      </w:r>
      <w:r>
        <w:rPr>
          <w:rFonts w:hint="eastAsia" w:ascii="仿宋" w:hAnsi="仿宋" w:eastAsia="仿宋" w:cs="仿宋"/>
          <w:color w:val="auto"/>
          <w:spacing w:val="7"/>
          <w:sz w:val="23"/>
          <w:szCs w:val="23"/>
          <w:highlight w:val="none"/>
        </w:rPr>
        <w:t>%；迟延履行的违约金计算数额达到前述</w:t>
      </w:r>
    </w:p>
    <w:p w14:paraId="7F767BBB">
      <w:pPr>
        <w:spacing w:before="1" w:line="226" w:lineRule="auto"/>
        <w:ind w:left="2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最高限额之日起，甲方有权在要求乙方支付违约金的同时，书面通知乙方解除本合同；</w:t>
      </w:r>
    </w:p>
    <w:p w14:paraId="18D75547">
      <w:pPr>
        <w:spacing w:before="276"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1.6.2 除不可抗力外，如果甲方没有按</w:t>
      </w:r>
      <w:r>
        <w:rPr>
          <w:rFonts w:hint="eastAsia" w:ascii="仿宋" w:hAnsi="仿宋" w:eastAsia="仿宋" w:cs="仿宋"/>
          <w:color w:val="auto"/>
          <w:spacing w:val="6"/>
          <w:sz w:val="23"/>
          <w:szCs w:val="23"/>
          <w:highlight w:val="none"/>
        </w:rPr>
        <w:t>照本合同约定的付款方式付款，那么乙方可</w:t>
      </w:r>
    </w:p>
    <w:p w14:paraId="2E05D6C7">
      <w:pPr>
        <w:spacing w:before="299" w:line="440"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要求甲方支付违约金，违约金按每迟延付款一</w:t>
      </w:r>
      <w:r>
        <w:rPr>
          <w:rFonts w:hint="eastAsia" w:ascii="仿宋" w:hAnsi="仿宋" w:eastAsia="仿宋" w:cs="仿宋"/>
          <w:color w:val="auto"/>
          <w:spacing w:val="7"/>
          <w:sz w:val="23"/>
          <w:szCs w:val="23"/>
          <w:highlight w:val="none"/>
        </w:rPr>
        <w:t xml:space="preserve"> 日的应付而未付款的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7"/>
          <w:sz w:val="23"/>
          <w:szCs w:val="23"/>
          <w:highlight w:val="none"/>
        </w:rPr>
        <w:t xml:space="preserve"> </w:t>
      </w:r>
      <w:r>
        <w:rPr>
          <w:rFonts w:hint="eastAsia" w:ascii="仿宋" w:hAnsi="仿宋" w:eastAsia="仿宋" w:cs="仿宋"/>
          <w:color w:val="auto"/>
          <w:spacing w:val="7"/>
          <w:sz w:val="23"/>
          <w:szCs w:val="23"/>
          <w:highlight w:val="none"/>
        </w:rPr>
        <w:t>%计算，最高限</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5"/>
          <w:sz w:val="23"/>
          <w:szCs w:val="23"/>
          <w:highlight w:val="none"/>
        </w:rPr>
        <w:t>额为本合同总价的</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%；迟延付款的违约</w:t>
      </w:r>
      <w:r>
        <w:rPr>
          <w:rFonts w:hint="eastAsia" w:ascii="仿宋" w:hAnsi="仿宋" w:eastAsia="仿宋" w:cs="仿宋"/>
          <w:color w:val="auto"/>
          <w:spacing w:val="4"/>
          <w:sz w:val="23"/>
          <w:szCs w:val="23"/>
          <w:highlight w:val="none"/>
        </w:rPr>
        <w:t>金计算数额达到前述最高限额之日起， 乙方</w:t>
      </w:r>
    </w:p>
    <w:p w14:paraId="02E9EE5E">
      <w:pPr>
        <w:spacing w:before="1"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有权在要求甲方支付违约金的同时， 书面通知甲方解除本合同；</w:t>
      </w:r>
    </w:p>
    <w:p w14:paraId="24A0DAB0">
      <w:pPr>
        <w:spacing w:before="274" w:line="56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25"/>
          <w:sz w:val="23"/>
          <w:szCs w:val="23"/>
          <w:highlight w:val="none"/>
        </w:rPr>
        <w:t>1.6.3 除不可抗力外，任何一方未能履</w:t>
      </w:r>
      <w:r>
        <w:rPr>
          <w:rFonts w:hint="eastAsia" w:ascii="仿宋" w:hAnsi="仿宋" w:eastAsia="仿宋" w:cs="仿宋"/>
          <w:color w:val="auto"/>
          <w:spacing w:val="6"/>
          <w:position w:val="25"/>
          <w:sz w:val="23"/>
          <w:szCs w:val="23"/>
          <w:highlight w:val="none"/>
        </w:rPr>
        <w:t>行本合同约定的其他主要义务，经催告后在</w:t>
      </w:r>
    </w:p>
    <w:p w14:paraId="2646C7E8">
      <w:pPr>
        <w:spacing w:line="227"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合理期限内仍未履行的， 或者任何一方有其他违约行为致使不能实现合同目的的， 或者</w:t>
      </w:r>
    </w:p>
    <w:p w14:paraId="618BBF45">
      <w:pPr>
        <w:spacing w:line="227" w:lineRule="auto"/>
        <w:rPr>
          <w:rFonts w:hint="eastAsia" w:ascii="仿宋" w:hAnsi="仿宋" w:eastAsia="仿宋" w:cs="仿宋"/>
          <w:color w:val="auto"/>
          <w:sz w:val="23"/>
          <w:szCs w:val="23"/>
          <w:highlight w:val="none"/>
        </w:rPr>
        <w:sectPr>
          <w:headerReference r:id="rId18" w:type="default"/>
          <w:footerReference r:id="rId19" w:type="default"/>
          <w:pgSz w:w="11905" w:h="16838"/>
          <w:pgMar w:top="1020" w:right="1134" w:bottom="1020" w:left="1134" w:header="0" w:footer="573" w:gutter="0"/>
          <w:pgNumType w:fmt="decimal"/>
          <w:cols w:space="0" w:num="1"/>
          <w:rtlGutter w:val="0"/>
          <w:docGrid w:linePitch="0" w:charSpace="0"/>
        </w:sectPr>
      </w:pPr>
    </w:p>
    <w:p w14:paraId="76FB9DC8">
      <w:pPr>
        <w:pStyle w:val="5"/>
        <w:spacing w:line="242" w:lineRule="auto"/>
        <w:rPr>
          <w:rFonts w:hint="eastAsia" w:ascii="仿宋" w:hAnsi="仿宋" w:eastAsia="仿宋" w:cs="仿宋"/>
          <w:color w:val="auto"/>
          <w:highlight w:val="none"/>
        </w:rPr>
      </w:pPr>
    </w:p>
    <w:p w14:paraId="51761C1B">
      <w:pPr>
        <w:spacing w:before="75" w:line="443"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任何一方有腐败行为（即：提供或给予或接受或索取任何财物或其他好处或者采取其他</w:t>
      </w:r>
      <w:r>
        <w:rPr>
          <w:rFonts w:hint="eastAsia" w:ascii="仿宋" w:hAnsi="仿宋" w:eastAsia="仿宋" w:cs="仿宋"/>
          <w:color w:val="auto"/>
          <w:spacing w:val="16"/>
          <w:sz w:val="23"/>
          <w:szCs w:val="23"/>
          <w:highlight w:val="none"/>
        </w:rPr>
        <w:t xml:space="preserve"> </w:t>
      </w:r>
      <w:r>
        <w:rPr>
          <w:rFonts w:hint="eastAsia" w:ascii="仿宋" w:hAnsi="仿宋" w:eastAsia="仿宋" w:cs="仿宋"/>
          <w:color w:val="auto"/>
          <w:spacing w:val="8"/>
          <w:sz w:val="23"/>
          <w:szCs w:val="23"/>
          <w:highlight w:val="none"/>
        </w:rPr>
        <w:t>不正当手段来影响对方当事人在合同签订、履行过程中的行为）或者欺</w:t>
      </w:r>
      <w:r>
        <w:rPr>
          <w:rFonts w:hint="eastAsia" w:ascii="仿宋" w:hAnsi="仿宋" w:eastAsia="仿宋" w:cs="仿宋"/>
          <w:color w:val="auto"/>
          <w:spacing w:val="7"/>
          <w:sz w:val="23"/>
          <w:szCs w:val="23"/>
          <w:highlight w:val="none"/>
        </w:rPr>
        <w:t>诈行为（即：以</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谎报事实或隐瞒真相的方法来影响对方当事人在合同签订、履行过程中的行为）的</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27"/>
          <w:sz w:val="23"/>
          <w:szCs w:val="23"/>
          <w:highlight w:val="none"/>
        </w:rPr>
        <w:t xml:space="preserve"> </w:t>
      </w:r>
      <w:r>
        <w:rPr>
          <w:rFonts w:hint="eastAsia" w:ascii="仿宋" w:hAnsi="仿宋" w:eastAsia="仿宋" w:cs="仿宋"/>
          <w:color w:val="auto"/>
          <w:spacing w:val="5"/>
          <w:sz w:val="23"/>
          <w:szCs w:val="23"/>
          <w:highlight w:val="none"/>
        </w:rPr>
        <w:t>对</w:t>
      </w:r>
      <w:r>
        <w:rPr>
          <w:rFonts w:hint="eastAsia" w:ascii="仿宋" w:hAnsi="仿宋" w:eastAsia="仿宋" w:cs="仿宋"/>
          <w:color w:val="auto"/>
          <w:spacing w:val="8"/>
          <w:sz w:val="23"/>
          <w:szCs w:val="23"/>
          <w:highlight w:val="none"/>
        </w:rPr>
        <w:t>方当事人可以书面通知违约方解除本合同；</w:t>
      </w:r>
    </w:p>
    <w:p w14:paraId="089C4083">
      <w:pPr>
        <w:spacing w:before="277"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1.6.4 任何一方按照前述约定要求违约</w:t>
      </w:r>
      <w:r>
        <w:rPr>
          <w:rFonts w:hint="eastAsia" w:ascii="仿宋" w:hAnsi="仿宋" w:eastAsia="仿宋" w:cs="仿宋"/>
          <w:color w:val="auto"/>
          <w:spacing w:val="6"/>
          <w:sz w:val="23"/>
          <w:szCs w:val="23"/>
          <w:highlight w:val="none"/>
        </w:rPr>
        <w:t>方支付违约金的同时，仍有权要求违约方继</w:t>
      </w:r>
    </w:p>
    <w:p w14:paraId="27F6B4AC">
      <w:pPr>
        <w:spacing w:before="295" w:line="443" w:lineRule="auto"/>
        <w:ind w:left="6"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续履行合同、采取补救措施， 并有权按照己方实际损失情况要求违约方赔偿损失； 任何</w:t>
      </w:r>
      <w:r>
        <w:rPr>
          <w:rFonts w:hint="eastAsia" w:ascii="仿宋" w:hAnsi="仿宋" w:eastAsia="仿宋" w:cs="仿宋"/>
          <w:color w:val="auto"/>
          <w:spacing w:val="1"/>
          <w:sz w:val="23"/>
          <w:szCs w:val="23"/>
          <w:highlight w:val="none"/>
        </w:rPr>
        <w:t xml:space="preserve"> </w:t>
      </w:r>
      <w:r>
        <w:rPr>
          <w:rFonts w:hint="eastAsia" w:ascii="仿宋" w:hAnsi="仿宋" w:eastAsia="仿宋" w:cs="仿宋"/>
          <w:color w:val="auto"/>
          <w:spacing w:val="8"/>
          <w:sz w:val="23"/>
          <w:szCs w:val="23"/>
          <w:highlight w:val="none"/>
        </w:rPr>
        <w:t>一方按照前述约定要求解除本合同的同时，仍有权要求违约方支付违约金和按照己方实</w:t>
      </w:r>
      <w:r>
        <w:rPr>
          <w:rFonts w:hint="eastAsia" w:ascii="仿宋" w:hAnsi="仿宋" w:eastAsia="仿宋" w:cs="仿宋"/>
          <w:color w:val="auto"/>
          <w:spacing w:val="6"/>
          <w:sz w:val="23"/>
          <w:szCs w:val="23"/>
          <w:highlight w:val="none"/>
        </w:rPr>
        <w:t xml:space="preserve"> </w:t>
      </w:r>
      <w:r>
        <w:rPr>
          <w:rFonts w:hint="eastAsia" w:ascii="仿宋" w:hAnsi="仿宋" w:eastAsia="仿宋" w:cs="仿宋"/>
          <w:color w:val="auto"/>
          <w:spacing w:val="8"/>
          <w:sz w:val="23"/>
          <w:szCs w:val="23"/>
          <w:highlight w:val="none"/>
        </w:rPr>
        <w:t>际损失情况要求违约方赔偿损失；且守约方行使的任何权</w:t>
      </w:r>
      <w:r>
        <w:rPr>
          <w:rFonts w:hint="eastAsia" w:ascii="仿宋" w:hAnsi="仿宋" w:eastAsia="仿宋" w:cs="仿宋"/>
          <w:color w:val="auto"/>
          <w:spacing w:val="7"/>
          <w:sz w:val="23"/>
          <w:szCs w:val="23"/>
          <w:highlight w:val="none"/>
        </w:rPr>
        <w:t>利救济方式均不视为其放弃了</w:t>
      </w:r>
    </w:p>
    <w:p w14:paraId="79080791">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其他法定或者约定的权利救济方式；</w:t>
      </w:r>
    </w:p>
    <w:p w14:paraId="3E56B2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1.6.5 除前述约定外，除不可抗力外，</w:t>
      </w:r>
      <w:r>
        <w:rPr>
          <w:rFonts w:hint="eastAsia" w:ascii="仿宋" w:hAnsi="仿宋" w:eastAsia="仿宋" w:cs="仿宋"/>
          <w:color w:val="auto"/>
          <w:spacing w:val="6"/>
          <w:sz w:val="23"/>
          <w:szCs w:val="23"/>
          <w:highlight w:val="none"/>
        </w:rPr>
        <w:t>任何一方未能履行本合同约定的义务，对方</w:t>
      </w:r>
    </w:p>
    <w:p w14:paraId="392BB790">
      <w:pPr>
        <w:spacing w:before="267"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当事人均有权要求继续履行、采取补救措施或者赔偿损失等，且对方当事人行使的任何</w:t>
      </w:r>
    </w:p>
    <w:p w14:paraId="7A25E79F">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权利救济方式均不视为其放弃了其他法定或者约定的权利救济方式；</w:t>
      </w:r>
    </w:p>
    <w:p w14:paraId="4626EC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1.6.6 如果出现政府采购监督管理部门</w:t>
      </w:r>
      <w:r>
        <w:rPr>
          <w:rFonts w:hint="eastAsia" w:ascii="仿宋" w:hAnsi="仿宋" w:eastAsia="仿宋" w:cs="仿宋"/>
          <w:color w:val="auto"/>
          <w:spacing w:val="6"/>
          <w:sz w:val="23"/>
          <w:szCs w:val="23"/>
          <w:highlight w:val="none"/>
        </w:rPr>
        <w:t>在处理投诉事项期间，书面通知甲方暂停采</w:t>
      </w:r>
    </w:p>
    <w:p w14:paraId="4481C076">
      <w:pPr>
        <w:spacing w:before="265"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5"/>
          <w:position w:val="26"/>
          <w:sz w:val="23"/>
          <w:szCs w:val="23"/>
          <w:highlight w:val="none"/>
        </w:rPr>
        <w:t>购活动的情形，或者询问或质疑事项可能影响中标结果的， 导致甲方中止履行合同的情</w:t>
      </w:r>
    </w:p>
    <w:p w14:paraId="08F3DDF8">
      <w:pPr>
        <w:spacing w:line="228" w:lineRule="auto"/>
        <w:ind w:left="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形，均不视为甲方违约。</w:t>
      </w:r>
    </w:p>
    <w:p w14:paraId="26E8D9E5">
      <w:pPr>
        <w:spacing w:before="248" w:line="165"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1.7合同争议的解决</w:t>
      </w:r>
    </w:p>
    <w:p w14:paraId="33B826E6">
      <w:pPr>
        <w:spacing w:before="291"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本合同履行过程中发生的任何争议，双方当事人均可通过和</w:t>
      </w:r>
      <w:r>
        <w:rPr>
          <w:rFonts w:hint="eastAsia" w:ascii="仿宋" w:hAnsi="仿宋" w:eastAsia="仿宋" w:cs="仿宋"/>
          <w:color w:val="auto"/>
          <w:spacing w:val="7"/>
          <w:sz w:val="23"/>
          <w:szCs w:val="23"/>
          <w:highlight w:val="none"/>
        </w:rPr>
        <w:t>解或者调解解决；不愿</w:t>
      </w:r>
    </w:p>
    <w:p w14:paraId="59F35702">
      <w:pPr>
        <w:spacing w:before="277"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和解、调解或者和解、调解不成的， 可以选择下列第</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84"/>
          <w:sz w:val="23"/>
          <w:szCs w:val="23"/>
          <w:highlight w:val="none"/>
        </w:rPr>
        <w:t xml:space="preserve"> </w:t>
      </w:r>
      <w:r>
        <w:rPr>
          <w:rFonts w:hint="eastAsia" w:ascii="仿宋" w:hAnsi="仿宋" w:eastAsia="仿宋" w:cs="仿宋"/>
          <w:color w:val="auto"/>
          <w:spacing w:val="3"/>
          <w:sz w:val="23"/>
          <w:szCs w:val="23"/>
          <w:highlight w:val="none"/>
        </w:rPr>
        <w:t>种方式解决：</w:t>
      </w:r>
    </w:p>
    <w:p w14:paraId="1261555E">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1.7.1 将争议提交</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90"/>
          <w:sz w:val="23"/>
          <w:szCs w:val="23"/>
          <w:highlight w:val="none"/>
        </w:rPr>
        <w:t xml:space="preserve"> </w:t>
      </w:r>
      <w:r>
        <w:rPr>
          <w:rFonts w:hint="eastAsia" w:ascii="仿宋" w:hAnsi="仿宋" w:eastAsia="仿宋" w:cs="仿宋"/>
          <w:color w:val="auto"/>
          <w:spacing w:val="6"/>
          <w:sz w:val="23"/>
          <w:szCs w:val="23"/>
          <w:highlight w:val="none"/>
        </w:rPr>
        <w:t>仲裁委员会依申请仲裁时其现行有效的</w:t>
      </w:r>
      <w:r>
        <w:rPr>
          <w:rFonts w:hint="eastAsia" w:ascii="仿宋" w:hAnsi="仿宋" w:eastAsia="仿宋" w:cs="仿宋"/>
          <w:color w:val="auto"/>
          <w:spacing w:val="5"/>
          <w:sz w:val="23"/>
          <w:szCs w:val="23"/>
          <w:highlight w:val="none"/>
        </w:rPr>
        <w:t>仲裁规</w:t>
      </w:r>
    </w:p>
    <w:p w14:paraId="3216BEFC">
      <w:pPr>
        <w:spacing w:before="280" w:line="227" w:lineRule="auto"/>
        <w:ind w:left="1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则裁决；</w:t>
      </w:r>
    </w:p>
    <w:p w14:paraId="43541F03">
      <w:pPr>
        <w:spacing w:before="273" w:line="226"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1.7.2</w:t>
      </w:r>
      <w:r>
        <w:rPr>
          <w:rFonts w:hint="eastAsia" w:ascii="仿宋" w:hAnsi="仿宋" w:eastAsia="仿宋" w:cs="仿宋"/>
          <w:color w:val="auto"/>
          <w:spacing w:val="97"/>
          <w:sz w:val="23"/>
          <w:szCs w:val="23"/>
          <w:highlight w:val="none"/>
        </w:rPr>
        <w:t xml:space="preserve"> </w:t>
      </w:r>
      <w:r>
        <w:rPr>
          <w:rFonts w:hint="eastAsia" w:ascii="仿宋" w:hAnsi="仿宋" w:eastAsia="仿宋" w:cs="仿宋"/>
          <w:color w:val="auto"/>
          <w:spacing w:val="5"/>
          <w:sz w:val="23"/>
          <w:szCs w:val="23"/>
          <w:highlight w:val="none"/>
        </w:rPr>
        <w:t>向</w:t>
      </w:r>
      <w:r>
        <w:rPr>
          <w:rFonts w:hint="eastAsia" w:ascii="仿宋" w:hAnsi="仿宋" w:eastAsia="仿宋" w:cs="仿宋"/>
          <w:color w:val="auto"/>
          <w:spacing w:val="5"/>
          <w:sz w:val="23"/>
          <w:szCs w:val="23"/>
          <w:highlight w:val="none"/>
          <w:u w:val="single" w:color="auto"/>
        </w:rPr>
        <w:t xml:space="preserve">   （被告住所地、合同履行地、合同签订地、原告住所地、标的物所在</w:t>
      </w:r>
    </w:p>
    <w:p w14:paraId="6E8272A2">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u w:val="single" w:color="auto"/>
        </w:rPr>
        <w:t xml:space="preserve">地等与争议有实际联系的地点中选出的人民法院名称）    </w:t>
      </w:r>
      <w:r>
        <w:rPr>
          <w:rFonts w:hint="eastAsia" w:ascii="仿宋" w:hAnsi="仿宋" w:eastAsia="仿宋" w:cs="仿宋"/>
          <w:color w:val="auto"/>
          <w:spacing w:val="-61"/>
          <w:sz w:val="23"/>
          <w:szCs w:val="23"/>
          <w:highlight w:val="none"/>
        </w:rPr>
        <w:t xml:space="preserve"> </w:t>
      </w:r>
      <w:r>
        <w:rPr>
          <w:rFonts w:hint="eastAsia" w:ascii="仿宋" w:hAnsi="仿宋" w:eastAsia="仿宋" w:cs="仿宋"/>
          <w:color w:val="auto"/>
          <w:spacing w:val="7"/>
          <w:sz w:val="23"/>
          <w:szCs w:val="23"/>
          <w:highlight w:val="none"/>
        </w:rPr>
        <w:t>人民法院起诉。</w:t>
      </w:r>
    </w:p>
    <w:p w14:paraId="7EACC753">
      <w:pPr>
        <w:pStyle w:val="5"/>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5"/>
          <w:sz w:val="24"/>
          <w:szCs w:val="24"/>
          <w:highlight w:val="none"/>
        </w:rPr>
        <w:t>合同生效</w:t>
      </w:r>
    </w:p>
    <w:p w14:paraId="05D43787">
      <w:pPr>
        <w:spacing w:before="291" w:line="227" w:lineRule="auto"/>
        <w:ind w:left="484"/>
        <w:outlineLvl w:val="1"/>
        <w:rPr>
          <w:rFonts w:hint="eastAsia" w:ascii="仿宋" w:hAnsi="仿宋" w:eastAsia="仿宋" w:cs="仿宋"/>
          <w:color w:val="auto"/>
          <w:sz w:val="23"/>
          <w:szCs w:val="23"/>
          <w:highlight w:val="none"/>
        </w:rPr>
        <w:sectPr>
          <w:footerReference r:id="rId2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本合同自双方当事人盖章或者签字时生效。</w:t>
      </w:r>
    </w:p>
    <w:p w14:paraId="20FA7475">
      <w:pPr>
        <w:spacing w:before="10"/>
        <w:rPr>
          <w:rFonts w:hint="eastAsia" w:ascii="仿宋" w:hAnsi="仿宋" w:eastAsia="仿宋" w:cs="仿宋"/>
          <w:color w:val="auto"/>
          <w:highlight w:val="none"/>
        </w:rPr>
      </w:pPr>
    </w:p>
    <w:tbl>
      <w:tblPr>
        <w:tblStyle w:val="21"/>
        <w:tblW w:w="81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3"/>
        <w:gridCol w:w="4725"/>
      </w:tblGrid>
      <w:tr w14:paraId="171F3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3443" w:type="dxa"/>
            <w:vAlign w:val="top"/>
          </w:tcPr>
          <w:p w14:paraId="3447ED54">
            <w:pPr>
              <w:pStyle w:val="22"/>
              <w:spacing w:line="216" w:lineRule="auto"/>
              <w:ind w:left="47"/>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w:t>
            </w:r>
          </w:p>
        </w:tc>
        <w:tc>
          <w:tcPr>
            <w:tcW w:w="4725" w:type="dxa"/>
            <w:vAlign w:val="top"/>
          </w:tcPr>
          <w:p w14:paraId="03B0D0A1">
            <w:pPr>
              <w:pStyle w:val="22"/>
              <w:spacing w:line="216" w:lineRule="auto"/>
              <w:ind w:left="1510"/>
              <w:rPr>
                <w:rFonts w:hint="eastAsia" w:ascii="仿宋" w:hAnsi="仿宋" w:eastAsia="仿宋" w:cs="仿宋"/>
                <w:color w:val="auto"/>
                <w:highlight w:val="none"/>
              </w:rPr>
            </w:pPr>
            <w:r>
              <w:rPr>
                <w:rFonts w:hint="eastAsia" w:ascii="仿宋" w:hAnsi="仿宋" w:eastAsia="仿宋" w:cs="仿宋"/>
                <w:color w:val="auto"/>
                <w:spacing w:val="-2"/>
                <w:highlight w:val="none"/>
              </w:rPr>
              <w:t>乙方：</w:t>
            </w:r>
          </w:p>
        </w:tc>
      </w:tr>
      <w:tr w14:paraId="76FD6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6" w:hRule="atLeast"/>
        </w:trPr>
        <w:tc>
          <w:tcPr>
            <w:tcW w:w="3443" w:type="dxa"/>
            <w:vAlign w:val="top"/>
          </w:tcPr>
          <w:p w14:paraId="5848992A">
            <w:pPr>
              <w:pStyle w:val="22"/>
              <w:spacing w:before="146" w:line="227" w:lineRule="auto"/>
              <w:ind w:left="14"/>
              <w:rPr>
                <w:rFonts w:hint="eastAsia" w:ascii="仿宋" w:hAnsi="仿宋" w:eastAsia="仿宋" w:cs="仿宋"/>
                <w:color w:val="auto"/>
                <w:highlight w:val="none"/>
              </w:rPr>
            </w:pPr>
            <w:r>
              <w:rPr>
                <w:rFonts w:hint="eastAsia" w:ascii="仿宋" w:hAnsi="仿宋" w:eastAsia="仿宋" w:cs="仿宋"/>
                <w:color w:val="auto"/>
                <w:spacing w:val="5"/>
                <w:highlight w:val="none"/>
              </w:rPr>
              <w:t>统一社会信用代码：</w:t>
            </w:r>
          </w:p>
        </w:tc>
        <w:tc>
          <w:tcPr>
            <w:tcW w:w="4725" w:type="dxa"/>
            <w:vAlign w:val="top"/>
          </w:tcPr>
          <w:p w14:paraId="0610F455">
            <w:pPr>
              <w:pStyle w:val="22"/>
              <w:spacing w:before="146" w:line="227" w:lineRule="auto"/>
              <w:jc w:val="right"/>
              <w:outlineLvl w:val="1"/>
              <w:rPr>
                <w:rFonts w:hint="eastAsia" w:ascii="仿宋" w:hAnsi="仿宋" w:eastAsia="仿宋" w:cs="仿宋"/>
                <w:color w:val="auto"/>
                <w:highlight w:val="none"/>
              </w:rPr>
            </w:pPr>
            <w:r>
              <w:rPr>
                <w:rFonts w:hint="eastAsia" w:ascii="仿宋" w:hAnsi="仿宋" w:eastAsia="仿宋" w:cs="仿宋"/>
                <w:color w:val="auto"/>
                <w:spacing w:val="-15"/>
                <w:highlight w:val="none"/>
              </w:rPr>
              <w:t>统一社会信用代码或身份证号码：</w:t>
            </w:r>
          </w:p>
        </w:tc>
      </w:tr>
      <w:tr w14:paraId="18BBA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3" w:type="dxa"/>
            <w:vAlign w:val="top"/>
          </w:tcPr>
          <w:p w14:paraId="5C0065B8">
            <w:pPr>
              <w:spacing w:line="362" w:lineRule="auto"/>
              <w:rPr>
                <w:rFonts w:hint="eastAsia" w:ascii="仿宋" w:hAnsi="仿宋" w:eastAsia="仿宋" w:cs="仿宋"/>
                <w:color w:val="auto"/>
                <w:sz w:val="21"/>
                <w:highlight w:val="none"/>
              </w:rPr>
            </w:pPr>
          </w:p>
          <w:p w14:paraId="010A7136">
            <w:pPr>
              <w:pStyle w:val="22"/>
              <w:spacing w:before="74" w:line="228" w:lineRule="auto"/>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c>
          <w:tcPr>
            <w:tcW w:w="4725" w:type="dxa"/>
            <w:vAlign w:val="top"/>
          </w:tcPr>
          <w:p w14:paraId="06BB35B1">
            <w:pPr>
              <w:spacing w:line="362" w:lineRule="auto"/>
              <w:rPr>
                <w:rFonts w:hint="eastAsia" w:ascii="仿宋" w:hAnsi="仿宋" w:eastAsia="仿宋" w:cs="仿宋"/>
                <w:color w:val="auto"/>
                <w:sz w:val="21"/>
                <w:highlight w:val="none"/>
              </w:rPr>
            </w:pPr>
          </w:p>
          <w:p w14:paraId="4A789651">
            <w:pPr>
              <w:pStyle w:val="22"/>
              <w:spacing w:before="74" w:line="228" w:lineRule="auto"/>
              <w:ind w:left="1477"/>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r>
      <w:tr w14:paraId="63868A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3" w:type="dxa"/>
            <w:vAlign w:val="top"/>
          </w:tcPr>
          <w:p w14:paraId="1E2B848B">
            <w:pPr>
              <w:pStyle w:val="22"/>
              <w:spacing w:before="161" w:line="227"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法定代表人或</w:t>
            </w:r>
          </w:p>
        </w:tc>
        <w:tc>
          <w:tcPr>
            <w:tcW w:w="4725" w:type="dxa"/>
            <w:vAlign w:val="top"/>
          </w:tcPr>
          <w:p w14:paraId="6BA95AC3">
            <w:pPr>
              <w:pStyle w:val="22"/>
              <w:spacing w:before="161" w:line="227" w:lineRule="auto"/>
              <w:ind w:left="1482"/>
              <w:rPr>
                <w:rFonts w:hint="eastAsia" w:ascii="仿宋" w:hAnsi="仿宋" w:eastAsia="仿宋" w:cs="仿宋"/>
                <w:color w:val="auto"/>
                <w:highlight w:val="none"/>
              </w:rPr>
            </w:pPr>
            <w:r>
              <w:rPr>
                <w:rFonts w:hint="eastAsia" w:ascii="仿宋" w:hAnsi="仿宋" w:eastAsia="仿宋" w:cs="仿宋"/>
                <w:color w:val="auto"/>
                <w:spacing w:val="5"/>
                <w:highlight w:val="none"/>
              </w:rPr>
              <w:t>法定代表人</w:t>
            </w:r>
          </w:p>
        </w:tc>
      </w:tr>
      <w:tr w14:paraId="3BD010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678693E">
            <w:pPr>
              <w:pStyle w:val="22"/>
              <w:spacing w:before="159" w:line="227" w:lineRule="auto"/>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授权代表（签字</w:t>
            </w:r>
            <w:r>
              <w:rPr>
                <w:rFonts w:hint="eastAsia" w:ascii="仿宋" w:hAnsi="仿宋" w:eastAsia="仿宋" w:cs="仿宋"/>
                <w:color w:val="auto"/>
                <w:highlight w:val="none"/>
              </w:rPr>
              <w:t>）：</w:t>
            </w:r>
          </w:p>
        </w:tc>
        <w:tc>
          <w:tcPr>
            <w:tcW w:w="4725" w:type="dxa"/>
            <w:vAlign w:val="top"/>
          </w:tcPr>
          <w:p w14:paraId="12F294A1">
            <w:pPr>
              <w:pStyle w:val="22"/>
              <w:spacing w:before="159" w:line="227" w:lineRule="auto"/>
              <w:ind w:left="1604"/>
              <w:rPr>
                <w:rFonts w:hint="eastAsia" w:ascii="仿宋" w:hAnsi="仿宋" w:eastAsia="仿宋" w:cs="仿宋"/>
                <w:color w:val="auto"/>
                <w:highlight w:val="none"/>
              </w:rPr>
            </w:pPr>
            <w:r>
              <w:rPr>
                <w:rFonts w:hint="eastAsia" w:ascii="仿宋" w:hAnsi="仿宋" w:eastAsia="仿宋" w:cs="仿宋"/>
                <w:color w:val="auto"/>
                <w:spacing w:val="8"/>
                <w:highlight w:val="none"/>
              </w:rPr>
              <w:t>或授权代表（签字）</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8"/>
                <w:highlight w:val="none"/>
              </w:rPr>
              <w:t>:</w:t>
            </w:r>
          </w:p>
        </w:tc>
      </w:tr>
      <w:tr w14:paraId="2E71AE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633188CD">
            <w:pPr>
              <w:pStyle w:val="22"/>
              <w:spacing w:before="159" w:line="230"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c>
          <w:tcPr>
            <w:tcW w:w="4725" w:type="dxa"/>
            <w:vAlign w:val="top"/>
          </w:tcPr>
          <w:p w14:paraId="3F28841E">
            <w:pPr>
              <w:pStyle w:val="22"/>
              <w:spacing w:before="159" w:line="230" w:lineRule="auto"/>
              <w:ind w:left="1482"/>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r>
      <w:tr w14:paraId="221A03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249ABC3C">
            <w:pPr>
              <w:pStyle w:val="22"/>
              <w:spacing w:before="159" w:line="228" w:lineRule="auto"/>
              <w:ind w:left="14"/>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c>
          <w:tcPr>
            <w:tcW w:w="4725" w:type="dxa"/>
            <w:vAlign w:val="top"/>
          </w:tcPr>
          <w:p w14:paraId="125F621C">
            <w:pPr>
              <w:pStyle w:val="22"/>
              <w:spacing w:before="159" w:line="228" w:lineRule="auto"/>
              <w:ind w:left="149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r>
      <w:tr w14:paraId="69FAD0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A973E12">
            <w:pPr>
              <w:pStyle w:val="22"/>
              <w:spacing w:before="160" w:line="227" w:lineRule="auto"/>
              <w:ind w:left="38"/>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c>
          <w:tcPr>
            <w:tcW w:w="4725" w:type="dxa"/>
            <w:vAlign w:val="top"/>
          </w:tcPr>
          <w:p w14:paraId="03A1169E">
            <w:pPr>
              <w:pStyle w:val="22"/>
              <w:spacing w:before="160" w:line="227" w:lineRule="auto"/>
              <w:ind w:left="1515"/>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r>
      <w:tr w14:paraId="243176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4C9BF743">
            <w:pPr>
              <w:pStyle w:val="22"/>
              <w:spacing w:before="160" w:line="230"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c>
          <w:tcPr>
            <w:tcW w:w="4725" w:type="dxa"/>
            <w:vAlign w:val="top"/>
          </w:tcPr>
          <w:p w14:paraId="26E57276">
            <w:pPr>
              <w:pStyle w:val="22"/>
              <w:spacing w:before="160" w:line="230" w:lineRule="auto"/>
              <w:ind w:left="1535"/>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r>
      <w:tr w14:paraId="39B3CB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66179A1">
            <w:pPr>
              <w:pStyle w:val="22"/>
              <w:spacing w:before="160" w:line="227" w:lineRule="auto"/>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c>
          <w:tcPr>
            <w:tcW w:w="4725" w:type="dxa"/>
            <w:vAlign w:val="top"/>
          </w:tcPr>
          <w:p w14:paraId="66BEEEE0">
            <w:pPr>
              <w:pStyle w:val="22"/>
              <w:spacing w:before="160" w:line="227" w:lineRule="auto"/>
              <w:ind w:left="1476"/>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r>
      <w:tr w14:paraId="18397D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3449C32">
            <w:pPr>
              <w:pStyle w:val="22"/>
              <w:spacing w:before="160" w:line="228"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c>
          <w:tcPr>
            <w:tcW w:w="4725" w:type="dxa"/>
            <w:vAlign w:val="top"/>
          </w:tcPr>
          <w:p w14:paraId="6E9FBF1C">
            <w:pPr>
              <w:pStyle w:val="22"/>
              <w:spacing w:before="160" w:line="228" w:lineRule="auto"/>
              <w:ind w:left="1535"/>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r>
      <w:tr w14:paraId="567D65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13E77610">
            <w:pPr>
              <w:pStyle w:val="22"/>
              <w:spacing w:before="161"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c>
          <w:tcPr>
            <w:tcW w:w="4725" w:type="dxa"/>
            <w:vAlign w:val="top"/>
          </w:tcPr>
          <w:p w14:paraId="772314DA">
            <w:pPr>
              <w:pStyle w:val="22"/>
              <w:spacing w:before="161"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r>
      <w:tr w14:paraId="0E26E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43" w:type="dxa"/>
            <w:vAlign w:val="top"/>
          </w:tcPr>
          <w:p w14:paraId="38DF45C2">
            <w:pPr>
              <w:pStyle w:val="22"/>
              <w:spacing w:before="162"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c>
          <w:tcPr>
            <w:tcW w:w="4725" w:type="dxa"/>
            <w:vAlign w:val="top"/>
          </w:tcPr>
          <w:p w14:paraId="156DC921">
            <w:pPr>
              <w:pStyle w:val="22"/>
              <w:spacing w:before="162"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r>
      <w:tr w14:paraId="4D5175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3443" w:type="dxa"/>
            <w:vAlign w:val="top"/>
          </w:tcPr>
          <w:p w14:paraId="0F7FDA4F">
            <w:pPr>
              <w:pStyle w:val="22"/>
              <w:spacing w:before="137" w:line="184"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c>
          <w:tcPr>
            <w:tcW w:w="4725" w:type="dxa"/>
            <w:vAlign w:val="top"/>
          </w:tcPr>
          <w:p w14:paraId="6D5817D5">
            <w:pPr>
              <w:pStyle w:val="22"/>
              <w:spacing w:before="137" w:line="184"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r>
    </w:tbl>
    <w:p w14:paraId="242BF1DC">
      <w:pPr>
        <w:rPr>
          <w:rFonts w:hint="eastAsia" w:ascii="仿宋" w:hAnsi="仿宋" w:eastAsia="仿宋" w:cs="仿宋"/>
          <w:color w:val="auto"/>
          <w:highlight w:val="none"/>
        </w:rPr>
        <w:sectPr>
          <w:footerReference r:id="rId21" w:type="default"/>
          <w:pgSz w:w="11905" w:h="16838"/>
          <w:pgMar w:top="1020" w:right="1134" w:bottom="1020" w:left="1134" w:header="0" w:footer="573" w:gutter="0"/>
          <w:pgNumType w:fmt="decimal"/>
          <w:cols w:space="0" w:num="1"/>
          <w:rtlGutter w:val="0"/>
          <w:docGrid w:linePitch="0" w:charSpace="0"/>
        </w:sectPr>
      </w:pPr>
    </w:p>
    <w:p w14:paraId="5912406B">
      <w:pPr>
        <w:pStyle w:val="5"/>
        <w:spacing w:line="284" w:lineRule="auto"/>
        <w:rPr>
          <w:rFonts w:hint="eastAsia" w:ascii="仿宋" w:hAnsi="仿宋" w:eastAsia="仿宋" w:cs="仿宋"/>
          <w:color w:val="auto"/>
          <w:highlight w:val="none"/>
        </w:rPr>
      </w:pPr>
    </w:p>
    <w:p w14:paraId="75804975">
      <w:pPr>
        <w:spacing w:before="103" w:line="173" w:lineRule="auto"/>
        <w:ind w:left="33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第二部分</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合同一般条款</w:t>
      </w:r>
    </w:p>
    <w:p w14:paraId="7D155531">
      <w:pPr>
        <w:pStyle w:val="5"/>
        <w:spacing w:before="267" w:line="293" w:lineRule="exact"/>
        <w:ind w:left="469"/>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1"/>
          <w:position w:val="-1"/>
          <w:sz w:val="27"/>
          <w:szCs w:val="27"/>
          <w:highlight w:val="none"/>
        </w:rPr>
        <w:t>2.1  定义</w:t>
      </w:r>
    </w:p>
    <w:p w14:paraId="2998AC7F">
      <w:pPr>
        <w:spacing w:before="287" w:line="227"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本合同中的下列词语应按以下内容进行解释：</w:t>
      </w:r>
    </w:p>
    <w:p w14:paraId="136C94EE">
      <w:pPr>
        <w:spacing w:before="276"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“合同</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”系指采购人和中标供应商签订的载明双</w:t>
      </w:r>
      <w:r>
        <w:rPr>
          <w:rFonts w:hint="eastAsia" w:ascii="仿宋" w:hAnsi="仿宋" w:eastAsia="仿宋" w:cs="仿宋"/>
          <w:color w:val="auto"/>
          <w:spacing w:val="6"/>
          <w:sz w:val="23"/>
          <w:szCs w:val="23"/>
          <w:highlight w:val="none"/>
        </w:rPr>
        <w:t>方当事人所达成的协议，并</w:t>
      </w:r>
    </w:p>
    <w:p w14:paraId="234C0843">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包括所有的附件、附录和构成合同的其他文件。</w:t>
      </w:r>
    </w:p>
    <w:p w14:paraId="669EEE01">
      <w:pPr>
        <w:spacing w:before="274" w:line="226"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z w:val="23"/>
          <w:szCs w:val="23"/>
          <w:highlight w:val="none"/>
        </w:rPr>
        <w:t>“合同价</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z w:val="23"/>
          <w:szCs w:val="23"/>
          <w:highlight w:val="none"/>
        </w:rPr>
        <w:t>”系指根据合同约定，</w:t>
      </w:r>
      <w:r>
        <w:rPr>
          <w:rFonts w:hint="eastAsia" w:ascii="仿宋" w:hAnsi="仿宋" w:eastAsia="仿宋" w:cs="仿宋"/>
          <w:color w:val="auto"/>
          <w:spacing w:val="40"/>
          <w:sz w:val="23"/>
          <w:szCs w:val="23"/>
          <w:highlight w:val="none"/>
        </w:rPr>
        <w:t xml:space="preserve"> </w:t>
      </w:r>
      <w:r>
        <w:rPr>
          <w:rFonts w:hint="eastAsia" w:ascii="仿宋" w:hAnsi="仿宋" w:eastAsia="仿宋" w:cs="仿宋"/>
          <w:color w:val="auto"/>
          <w:sz w:val="23"/>
          <w:szCs w:val="23"/>
          <w:highlight w:val="none"/>
        </w:rPr>
        <w:t>中标供应</w:t>
      </w:r>
      <w:r>
        <w:rPr>
          <w:rFonts w:hint="eastAsia" w:ascii="仿宋" w:hAnsi="仿宋" w:eastAsia="仿宋" w:cs="仿宋"/>
          <w:color w:val="auto"/>
          <w:spacing w:val="-1"/>
          <w:sz w:val="23"/>
          <w:szCs w:val="23"/>
          <w:highlight w:val="none"/>
        </w:rPr>
        <w:t>商在完全履行合同义务后， 采购人</w:t>
      </w:r>
    </w:p>
    <w:p w14:paraId="7CB1C313">
      <w:pPr>
        <w:spacing w:before="278"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应支付给中标供应商的价格。</w:t>
      </w:r>
    </w:p>
    <w:p w14:paraId="73D0DFE8">
      <w:pPr>
        <w:spacing w:before="27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“服务</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”系指中标供应商根据合同约定应向采购</w:t>
      </w:r>
      <w:r>
        <w:rPr>
          <w:rFonts w:hint="eastAsia" w:ascii="仿宋" w:hAnsi="仿宋" w:eastAsia="仿宋" w:cs="仿宋"/>
          <w:color w:val="auto"/>
          <w:spacing w:val="6"/>
          <w:sz w:val="23"/>
          <w:szCs w:val="23"/>
          <w:highlight w:val="none"/>
        </w:rPr>
        <w:t>人履行的除货物和工程以外</w:t>
      </w:r>
    </w:p>
    <w:p w14:paraId="4BD3BD8F">
      <w:pPr>
        <w:spacing w:before="277"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的其他政府采购对象，包括采购人自身需要的服务和向社会公众提供的公共服</w:t>
      </w:r>
      <w:r>
        <w:rPr>
          <w:rFonts w:hint="eastAsia" w:ascii="仿宋" w:hAnsi="仿宋" w:eastAsia="仿宋" w:cs="仿宋"/>
          <w:color w:val="auto"/>
          <w:spacing w:val="7"/>
          <w:sz w:val="23"/>
          <w:szCs w:val="23"/>
          <w:highlight w:val="none"/>
        </w:rPr>
        <w:t>务。</w:t>
      </w:r>
    </w:p>
    <w:p w14:paraId="647B4D40">
      <w:pPr>
        <w:spacing w:before="274"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2.1.4</w:t>
      </w:r>
      <w:r>
        <w:rPr>
          <w:rFonts w:hint="eastAsia" w:ascii="仿宋" w:hAnsi="仿宋" w:eastAsia="仿宋" w:cs="仿宋"/>
          <w:color w:val="auto"/>
          <w:spacing w:val="-33"/>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2"/>
          <w:sz w:val="23"/>
          <w:szCs w:val="23"/>
          <w:highlight w:val="none"/>
        </w:rPr>
        <w:t>甲方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2"/>
          <w:sz w:val="23"/>
          <w:szCs w:val="23"/>
          <w:highlight w:val="none"/>
        </w:rPr>
        <w:t>”系指与中标供应商签署合同的采购人；采</w:t>
      </w:r>
      <w:r>
        <w:rPr>
          <w:rFonts w:hint="eastAsia" w:ascii="仿宋" w:hAnsi="仿宋" w:eastAsia="仿宋" w:cs="仿宋"/>
          <w:color w:val="auto"/>
          <w:spacing w:val="1"/>
          <w:sz w:val="23"/>
          <w:szCs w:val="23"/>
          <w:highlight w:val="none"/>
        </w:rPr>
        <w:t>购人委托采购代理机构代</w:t>
      </w:r>
    </w:p>
    <w:p w14:paraId="4F0EFA15">
      <w:pPr>
        <w:spacing w:before="278"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表其与乙方签订合同的，采购人的授权委托书作为合同附件。</w:t>
      </w:r>
    </w:p>
    <w:p w14:paraId="43B3FB97">
      <w:pPr>
        <w:spacing w:before="277"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2.1.5</w:t>
      </w:r>
      <w:r>
        <w:rPr>
          <w:rFonts w:hint="eastAsia" w:ascii="仿宋" w:hAnsi="仿宋" w:eastAsia="仿宋" w:cs="仿宋"/>
          <w:color w:val="auto"/>
          <w:spacing w:val="-26"/>
          <w:sz w:val="23"/>
          <w:szCs w:val="23"/>
          <w:highlight w:val="none"/>
        </w:rPr>
        <w:t xml:space="preserve"> </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5"/>
          <w:sz w:val="23"/>
          <w:szCs w:val="23"/>
          <w:highlight w:val="none"/>
        </w:rPr>
        <w:t>乙方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”系指根据合同约定提供服务的中标供应商；两个以上的自然人、法</w:t>
      </w:r>
    </w:p>
    <w:p w14:paraId="49954E1A">
      <w:pPr>
        <w:spacing w:before="296" w:line="441" w:lineRule="auto"/>
        <w:ind w:left="4"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人或者其他组织组成一个联合体，以一个供应商的身份共同参加政府采购的，联合体各</w:t>
      </w:r>
      <w:r>
        <w:rPr>
          <w:rFonts w:hint="eastAsia" w:ascii="仿宋" w:hAnsi="仿宋" w:eastAsia="仿宋" w:cs="仿宋"/>
          <w:color w:val="auto"/>
          <w:spacing w:val="8"/>
          <w:sz w:val="23"/>
          <w:szCs w:val="23"/>
          <w:highlight w:val="none"/>
        </w:rPr>
        <w:t>方均应为乙方或者与乙方相同地位的合同当事人，并就合同约定的事项对甲方承担连带</w:t>
      </w:r>
      <w:r>
        <w:rPr>
          <w:rFonts w:hint="eastAsia" w:ascii="仿宋" w:hAnsi="仿宋" w:eastAsia="仿宋" w:cs="仿宋"/>
          <w:color w:val="auto"/>
          <w:spacing w:val="-2"/>
          <w:sz w:val="23"/>
          <w:szCs w:val="23"/>
          <w:highlight w:val="none"/>
        </w:rPr>
        <w:t>责任。</w:t>
      </w:r>
    </w:p>
    <w:p w14:paraId="1CE30AFF">
      <w:pPr>
        <w:spacing w:before="273" w:line="227" w:lineRule="auto"/>
        <w:ind w:left="486" w:firstLine="476"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 “现场</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4"/>
          <w:sz w:val="23"/>
          <w:szCs w:val="23"/>
          <w:highlight w:val="none"/>
        </w:rPr>
        <w:t>”系指合同约定提供服务的地点。</w:t>
      </w:r>
    </w:p>
    <w:p w14:paraId="0750051D">
      <w:pPr>
        <w:pStyle w:val="5"/>
        <w:spacing w:before="252"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2.2</w:t>
      </w:r>
      <w:r>
        <w:rPr>
          <w:rFonts w:hint="eastAsia" w:ascii="仿宋" w:hAnsi="仿宋" w:eastAsia="仿宋" w:cs="仿宋"/>
          <w:color w:val="auto"/>
          <w:spacing w:val="57"/>
          <w:sz w:val="25"/>
          <w:szCs w:val="25"/>
          <w:highlight w:val="none"/>
        </w:rPr>
        <w:t xml:space="preserve"> </w:t>
      </w:r>
      <w:r>
        <w:rPr>
          <w:rFonts w:hint="eastAsia" w:ascii="仿宋" w:hAnsi="仿宋" w:eastAsia="仿宋" w:cs="仿宋"/>
          <w:color w:val="auto"/>
          <w:sz w:val="25"/>
          <w:szCs w:val="25"/>
          <w:highlight w:val="none"/>
        </w:rPr>
        <w:t>技术规范</w:t>
      </w:r>
    </w:p>
    <w:p w14:paraId="47F3FFA7">
      <w:pPr>
        <w:spacing w:before="288" w:line="227" w:lineRule="auto"/>
        <w:ind w:left="48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服务所应遵守的技术规范应与采购文件规定的技术规范和技术规范附件(如果有的</w:t>
      </w:r>
    </w:p>
    <w:p w14:paraId="02A44EFA">
      <w:pPr>
        <w:spacing w:before="268" w:line="571" w:lineRule="exact"/>
        <w:rPr>
          <w:rFonts w:hint="eastAsia" w:ascii="仿宋" w:hAnsi="仿宋" w:eastAsia="仿宋" w:cs="仿宋"/>
          <w:color w:val="auto"/>
          <w:sz w:val="23"/>
          <w:szCs w:val="23"/>
          <w:highlight w:val="none"/>
        </w:rPr>
      </w:pPr>
      <w:r>
        <w:rPr>
          <w:rFonts w:hint="eastAsia" w:ascii="仿宋" w:hAnsi="仿宋" w:eastAsia="仿宋" w:cs="仿宋"/>
          <w:color w:val="auto"/>
          <w:spacing w:val="9"/>
          <w:position w:val="25"/>
          <w:sz w:val="23"/>
          <w:szCs w:val="23"/>
          <w:highlight w:val="none"/>
        </w:rPr>
        <w:t>话)及其技术规范偏差表(如果被甲方接受的话)相一致；如果采购文件中没有技术规范</w:t>
      </w:r>
    </w:p>
    <w:p w14:paraId="21542F1C">
      <w:pPr>
        <w:spacing w:before="1" w:line="226"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的相应说明， 那么应以国家有关部门最新颁布的相应标准和规范</w:t>
      </w:r>
      <w:r>
        <w:rPr>
          <w:rFonts w:hint="eastAsia" w:ascii="仿宋" w:hAnsi="仿宋" w:eastAsia="仿宋" w:cs="仿宋"/>
          <w:color w:val="auto"/>
          <w:spacing w:val="3"/>
          <w:sz w:val="23"/>
          <w:szCs w:val="23"/>
          <w:highlight w:val="none"/>
        </w:rPr>
        <w:t>为准。</w:t>
      </w:r>
    </w:p>
    <w:p w14:paraId="3D1D04A6">
      <w:pPr>
        <w:pStyle w:val="5"/>
        <w:spacing w:before="249"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2.3</w:t>
      </w:r>
      <w:r>
        <w:rPr>
          <w:rFonts w:hint="eastAsia" w:ascii="仿宋" w:hAnsi="仿宋" w:eastAsia="仿宋" w:cs="仿宋"/>
          <w:color w:val="auto"/>
          <w:spacing w:val="56"/>
          <w:sz w:val="25"/>
          <w:szCs w:val="25"/>
          <w:highlight w:val="none"/>
        </w:rPr>
        <w:t xml:space="preserve"> </w:t>
      </w:r>
      <w:r>
        <w:rPr>
          <w:rFonts w:hint="eastAsia" w:ascii="仿宋" w:hAnsi="仿宋" w:eastAsia="仿宋" w:cs="仿宋"/>
          <w:color w:val="auto"/>
          <w:spacing w:val="1"/>
          <w:sz w:val="25"/>
          <w:szCs w:val="25"/>
          <w:highlight w:val="none"/>
        </w:rPr>
        <w:t>知识产权</w:t>
      </w:r>
    </w:p>
    <w:p w14:paraId="315F3DA5">
      <w:pPr>
        <w:spacing w:before="28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2.3.1</w:t>
      </w:r>
      <w:r>
        <w:rPr>
          <w:rFonts w:hint="eastAsia" w:ascii="仿宋" w:hAnsi="仿宋" w:eastAsia="仿宋" w:cs="仿宋"/>
          <w:color w:val="auto"/>
          <w:spacing w:val="69"/>
          <w:sz w:val="23"/>
          <w:szCs w:val="23"/>
          <w:highlight w:val="none"/>
        </w:rPr>
        <w:t xml:space="preserve"> </w:t>
      </w:r>
      <w:r>
        <w:rPr>
          <w:rFonts w:hint="eastAsia" w:ascii="仿宋" w:hAnsi="仿宋" w:eastAsia="仿宋" w:cs="仿宋"/>
          <w:color w:val="auto"/>
          <w:spacing w:val="6"/>
          <w:sz w:val="23"/>
          <w:szCs w:val="23"/>
          <w:highlight w:val="none"/>
        </w:rPr>
        <w:t>乙方应保证其提供的服务不受任何第三方提出的侵犯其</w:t>
      </w:r>
      <w:r>
        <w:rPr>
          <w:rFonts w:hint="eastAsia" w:ascii="仿宋" w:hAnsi="仿宋" w:eastAsia="仿宋" w:cs="仿宋"/>
          <w:color w:val="auto"/>
          <w:spacing w:val="5"/>
          <w:sz w:val="23"/>
          <w:szCs w:val="23"/>
          <w:highlight w:val="none"/>
        </w:rPr>
        <w:t>著作权、商标权、专</w:t>
      </w:r>
    </w:p>
    <w:p w14:paraId="679F5B71">
      <w:pPr>
        <w:spacing w:before="267" w:line="571" w:lineRule="exact"/>
        <w:ind w:left="6"/>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利权等知识产权方面的起诉；如果任何第三方提出侵权指控，那么乙方须与该第三方交</w:t>
      </w:r>
    </w:p>
    <w:p w14:paraId="4A94C8C6">
      <w:pPr>
        <w:spacing w:before="1" w:line="227"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涉并承担由此发生的一切责任、费用和赔偿；</w:t>
      </w:r>
    </w:p>
    <w:p w14:paraId="5C6F88D7">
      <w:pPr>
        <w:spacing w:before="248" w:line="225" w:lineRule="auto"/>
        <w:ind w:left="486" w:firstLine="504" w:firstLineChars="200"/>
        <w:outlineLvl w:val="1"/>
        <w:rPr>
          <w:rFonts w:hint="eastAsia" w:ascii="仿宋" w:hAnsi="仿宋" w:eastAsia="仿宋" w:cs="仿宋"/>
          <w:color w:val="auto"/>
          <w:sz w:val="23"/>
          <w:szCs w:val="23"/>
          <w:highlight w:val="none"/>
        </w:rPr>
        <w:sectPr>
          <w:footerReference r:id="rId2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11"/>
          <w:sz w:val="23"/>
          <w:szCs w:val="23"/>
          <w:highlight w:val="none"/>
        </w:rPr>
        <w:t>2.3.2 合同涉及技术成果的归属和收益的分成办法的，详见合同专用条款。</w:t>
      </w:r>
    </w:p>
    <w:p w14:paraId="5A6FA6D3">
      <w:pPr>
        <w:pStyle w:val="5"/>
        <w:spacing w:line="283" w:lineRule="auto"/>
        <w:rPr>
          <w:rFonts w:hint="eastAsia" w:ascii="仿宋" w:hAnsi="仿宋" w:eastAsia="仿宋" w:cs="仿宋"/>
          <w:color w:val="auto"/>
          <w:highlight w:val="none"/>
        </w:rPr>
      </w:pPr>
    </w:p>
    <w:p w14:paraId="6A5F6461">
      <w:pPr>
        <w:spacing w:before="107"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2.4履约检查和问题反馈</w:t>
      </w:r>
    </w:p>
    <w:p w14:paraId="2CA87DEF">
      <w:pPr>
        <w:spacing w:before="291"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2.4.1甲方有权在其认为必要时，对乙方是否能够按</w:t>
      </w:r>
      <w:r>
        <w:rPr>
          <w:rFonts w:hint="eastAsia" w:ascii="仿宋" w:hAnsi="仿宋" w:eastAsia="仿宋" w:cs="仿宋"/>
          <w:color w:val="auto"/>
          <w:spacing w:val="8"/>
          <w:sz w:val="23"/>
          <w:szCs w:val="23"/>
          <w:highlight w:val="none"/>
        </w:rPr>
        <w:t>照合同约定提供服务进行履约</w:t>
      </w:r>
    </w:p>
    <w:p w14:paraId="57772208">
      <w:pPr>
        <w:spacing w:before="262" w:line="574" w:lineRule="exact"/>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检查，以确保乙方所提供的服务能够依约满足甲方之项目需求，但不得因履约检查妨碍</w:t>
      </w:r>
    </w:p>
    <w:p w14:paraId="5ABBDB72">
      <w:pPr>
        <w:spacing w:line="228" w:lineRule="auto"/>
        <w:ind w:left="4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乙方的正常工作，乙方应予积极配合；</w:t>
      </w:r>
    </w:p>
    <w:p w14:paraId="37A124BD">
      <w:pPr>
        <w:spacing w:before="275"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2.4.2 合同履行期间，甲方有权将履行过程中出现的问题反馈给乙方，双方当事人</w:t>
      </w:r>
    </w:p>
    <w:p w14:paraId="459170D2">
      <w:pPr>
        <w:spacing w:before="273"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应以书面形式约定需要完善和改进的内容。</w:t>
      </w:r>
    </w:p>
    <w:p w14:paraId="021C56E9">
      <w:pPr>
        <w:spacing w:before="250"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2.5结算方式和付款条件</w:t>
      </w:r>
    </w:p>
    <w:p w14:paraId="1B42526C">
      <w:pPr>
        <w:spacing w:before="265" w:line="20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详</w:t>
      </w:r>
      <w:r>
        <w:rPr>
          <w:rFonts w:hint="eastAsia" w:ascii="仿宋" w:hAnsi="仿宋" w:eastAsia="仿宋" w:cs="仿宋"/>
          <w:color w:val="auto"/>
          <w:spacing w:val="7"/>
          <w:sz w:val="23"/>
          <w:szCs w:val="23"/>
          <w:highlight w:val="none"/>
        </w:rPr>
        <w:t>见合同专用条款</w:t>
      </w:r>
      <w:r>
        <w:rPr>
          <w:rFonts w:hint="eastAsia" w:ascii="仿宋" w:hAnsi="仿宋" w:eastAsia="仿宋" w:cs="仿宋"/>
          <w:color w:val="auto"/>
          <w:spacing w:val="16"/>
          <w:position w:val="-6"/>
          <w:sz w:val="23"/>
          <w:szCs w:val="23"/>
          <w:highlight w:val="none"/>
        </w:rPr>
        <w:t>。</w:t>
      </w:r>
    </w:p>
    <w:p w14:paraId="6EE76574">
      <w:pPr>
        <w:pStyle w:val="5"/>
        <w:spacing w:before="196"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2.6</w:t>
      </w:r>
      <w:r>
        <w:rPr>
          <w:rFonts w:hint="eastAsia" w:ascii="仿宋" w:hAnsi="仿宋" w:eastAsia="仿宋" w:cs="仿宋"/>
          <w:color w:val="auto"/>
          <w:spacing w:val="21"/>
          <w:w w:val="101"/>
          <w:sz w:val="25"/>
          <w:szCs w:val="25"/>
          <w:highlight w:val="none"/>
        </w:rPr>
        <w:t xml:space="preserve"> </w:t>
      </w:r>
      <w:r>
        <w:rPr>
          <w:rFonts w:hint="eastAsia" w:ascii="仿宋" w:hAnsi="仿宋" w:eastAsia="仿宋" w:cs="仿宋"/>
          <w:color w:val="auto"/>
          <w:spacing w:val="1"/>
          <w:sz w:val="25"/>
          <w:szCs w:val="25"/>
          <w:highlight w:val="none"/>
        </w:rPr>
        <w:t>技术资料和保密义务</w:t>
      </w:r>
    </w:p>
    <w:p w14:paraId="006389F5">
      <w:pPr>
        <w:spacing w:before="290"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2.6.1</w:t>
      </w:r>
      <w:r>
        <w:rPr>
          <w:rFonts w:hint="eastAsia" w:ascii="仿宋" w:hAnsi="仿宋" w:eastAsia="仿宋" w:cs="仿宋"/>
          <w:color w:val="auto"/>
          <w:spacing w:val="67"/>
          <w:sz w:val="23"/>
          <w:szCs w:val="23"/>
          <w:highlight w:val="none"/>
        </w:rPr>
        <w:t xml:space="preserve"> </w:t>
      </w:r>
      <w:r>
        <w:rPr>
          <w:rFonts w:hint="eastAsia" w:ascii="仿宋" w:hAnsi="仿宋" w:eastAsia="仿宋" w:cs="仿宋"/>
          <w:color w:val="auto"/>
          <w:sz w:val="23"/>
          <w:szCs w:val="23"/>
          <w:highlight w:val="none"/>
        </w:rPr>
        <w:t>乙方有权依据合同约定和项目需要，向甲方了解有关情况，调阅有关资料等，</w:t>
      </w:r>
    </w:p>
    <w:p w14:paraId="509B2A36">
      <w:pPr>
        <w:spacing w:before="279" w:line="228" w:lineRule="auto"/>
        <w:ind w:left="59"/>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甲方应予积极配合；</w:t>
      </w:r>
    </w:p>
    <w:p w14:paraId="0829E26D">
      <w:pPr>
        <w:spacing w:before="272"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2.6.2</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乙方有义务妥善保管和保护由甲方提供的前款信息和资料等；</w:t>
      </w:r>
    </w:p>
    <w:p w14:paraId="3949B210">
      <w:pPr>
        <w:spacing w:before="277"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2.6.3 除非依照法律规定或者对方当事人的书面同意，任何一方均应保证不向任何</w:t>
      </w:r>
    </w:p>
    <w:p w14:paraId="26790918">
      <w:pPr>
        <w:spacing w:before="301" w:line="438" w:lineRule="auto"/>
        <w:ind w:left="18" w:right="20" w:hanging="1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第三方提供或披露有关合同的或者履行合同过程中知悉的对方当事人任何未公开的信</w:t>
      </w:r>
      <w:r>
        <w:rPr>
          <w:rFonts w:hint="eastAsia" w:ascii="仿宋" w:hAnsi="仿宋" w:eastAsia="仿宋" w:cs="仿宋"/>
          <w:color w:val="auto"/>
          <w:spacing w:val="4"/>
          <w:sz w:val="23"/>
          <w:szCs w:val="23"/>
          <w:highlight w:val="none"/>
        </w:rPr>
        <w:t>息和资料， 包括但不限于技术情报、技术资料、商业秘密和商业信息等，并采取一切合</w:t>
      </w:r>
    </w:p>
    <w:p w14:paraId="58A7547B">
      <w:pPr>
        <w:spacing w:before="1" w:line="227" w:lineRule="auto"/>
        <w:ind w:left="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理和必要措施和方式防止任何第三方接触到对方当事人的上述保密信息和资料。</w:t>
      </w:r>
    </w:p>
    <w:p w14:paraId="1241C64A">
      <w:pPr>
        <w:pStyle w:val="5"/>
        <w:spacing w:before="251"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2.7</w:t>
      </w:r>
      <w:r>
        <w:rPr>
          <w:rFonts w:hint="eastAsia" w:ascii="仿宋" w:hAnsi="仿宋" w:eastAsia="仿宋" w:cs="仿宋"/>
          <w:color w:val="auto"/>
          <w:spacing w:val="43"/>
          <w:w w:val="101"/>
          <w:sz w:val="25"/>
          <w:szCs w:val="25"/>
          <w:highlight w:val="none"/>
        </w:rPr>
        <w:t xml:space="preserve"> </w:t>
      </w:r>
      <w:r>
        <w:rPr>
          <w:rFonts w:hint="eastAsia" w:ascii="仿宋" w:hAnsi="仿宋" w:eastAsia="仿宋" w:cs="仿宋"/>
          <w:color w:val="auto"/>
          <w:spacing w:val="2"/>
          <w:sz w:val="25"/>
          <w:szCs w:val="25"/>
          <w:highlight w:val="none"/>
        </w:rPr>
        <w:t>质量保证</w:t>
      </w:r>
    </w:p>
    <w:p w14:paraId="04EEF53B">
      <w:pPr>
        <w:spacing w:before="291" w:line="227" w:lineRule="auto"/>
        <w:ind w:right="11"/>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2.7.1</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6"/>
          <w:sz w:val="23"/>
          <w:szCs w:val="23"/>
          <w:highlight w:val="none"/>
        </w:rPr>
        <w:t>乙方应建立和完善履行合同的内部质量保证体系，并提</w:t>
      </w:r>
      <w:r>
        <w:rPr>
          <w:rFonts w:hint="eastAsia" w:ascii="仿宋" w:hAnsi="仿宋" w:eastAsia="仿宋" w:cs="仿宋"/>
          <w:color w:val="auto"/>
          <w:spacing w:val="5"/>
          <w:sz w:val="23"/>
          <w:szCs w:val="23"/>
          <w:highlight w:val="none"/>
        </w:rPr>
        <w:t>供相关内部规章制度</w:t>
      </w:r>
    </w:p>
    <w:p w14:paraId="11561FE9">
      <w:pPr>
        <w:spacing w:before="277" w:line="227"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给甲方， 以便甲方进行监督检查；</w:t>
      </w:r>
    </w:p>
    <w:p w14:paraId="652900D4">
      <w:pPr>
        <w:spacing w:before="277" w:line="227" w:lineRule="auto"/>
        <w:ind w:right="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2.7.2</w:t>
      </w:r>
      <w:r>
        <w:rPr>
          <w:rFonts w:hint="eastAsia" w:ascii="仿宋" w:hAnsi="仿宋" w:eastAsia="仿宋" w:cs="仿宋"/>
          <w:color w:val="auto"/>
          <w:spacing w:val="71"/>
          <w:sz w:val="23"/>
          <w:szCs w:val="23"/>
          <w:highlight w:val="none"/>
        </w:rPr>
        <w:t xml:space="preserve"> </w:t>
      </w:r>
      <w:r>
        <w:rPr>
          <w:rFonts w:hint="eastAsia" w:ascii="仿宋" w:hAnsi="仿宋" w:eastAsia="仿宋" w:cs="仿宋"/>
          <w:color w:val="auto"/>
          <w:spacing w:val="6"/>
          <w:sz w:val="23"/>
          <w:szCs w:val="23"/>
          <w:highlight w:val="none"/>
        </w:rPr>
        <w:t>乙方应保证履行合同的人员数量和素质、软件和硬件设备的配置、场地、环</w:t>
      </w:r>
    </w:p>
    <w:p w14:paraId="2B57B5AB">
      <w:pPr>
        <w:spacing w:before="276"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境和设施等满足全面履行合同的要求，并应接受甲方的监督检查。</w:t>
      </w:r>
    </w:p>
    <w:p w14:paraId="5A7AD5C4">
      <w:pPr>
        <w:pStyle w:val="5"/>
        <w:spacing w:before="251" w:line="165" w:lineRule="auto"/>
        <w:ind w:left="466"/>
        <w:outlineLvl w:val="1"/>
        <w:rPr>
          <w:rFonts w:hint="eastAsia" w:ascii="仿宋" w:hAnsi="仿宋" w:eastAsia="仿宋" w:cs="仿宋"/>
          <w:color w:val="auto"/>
          <w:spacing w:val="2"/>
          <w:sz w:val="25"/>
          <w:szCs w:val="25"/>
          <w:highlight w:val="none"/>
        </w:rPr>
      </w:pPr>
      <w:r>
        <w:rPr>
          <w:rFonts w:hint="eastAsia" w:ascii="仿宋" w:hAnsi="仿宋" w:eastAsia="仿宋" w:cs="仿宋"/>
          <w:color w:val="auto"/>
          <w:spacing w:val="2"/>
          <w:sz w:val="25"/>
          <w:szCs w:val="25"/>
          <w:highlight w:val="none"/>
        </w:rPr>
        <w:t>2.8 延迟履行</w:t>
      </w:r>
    </w:p>
    <w:p w14:paraId="36F1A0B7">
      <w:pPr>
        <w:spacing w:before="292" w:line="449" w:lineRule="auto"/>
        <w:ind w:left="6" w:right="27" w:firstLine="470"/>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在合同履行过程中，如果乙方遇到不能按时提供服务的情况，应</w:t>
      </w:r>
      <w:r>
        <w:rPr>
          <w:rFonts w:hint="eastAsia" w:ascii="仿宋" w:hAnsi="仿宋" w:eastAsia="仿宋" w:cs="仿宋"/>
          <w:color w:val="auto"/>
          <w:spacing w:val="7"/>
          <w:sz w:val="23"/>
          <w:szCs w:val="23"/>
          <w:highlight w:val="none"/>
        </w:rPr>
        <w:t>及时以书面形式将</w:t>
      </w:r>
      <w:r>
        <w:rPr>
          <w:rFonts w:hint="eastAsia" w:ascii="仿宋" w:hAnsi="仿宋" w:eastAsia="仿宋" w:cs="仿宋"/>
          <w:color w:val="auto"/>
          <w:spacing w:val="5"/>
          <w:sz w:val="23"/>
          <w:szCs w:val="23"/>
          <w:highlight w:val="none"/>
        </w:rPr>
        <w:t>不能按时提供服务的理由、预期延误时间通知</w:t>
      </w:r>
      <w:r>
        <w:rPr>
          <w:rFonts w:hint="eastAsia" w:ascii="仿宋" w:hAnsi="仿宋" w:eastAsia="仿宋" w:cs="仿宋"/>
          <w:color w:val="auto"/>
          <w:spacing w:val="4"/>
          <w:sz w:val="23"/>
          <w:szCs w:val="23"/>
          <w:highlight w:val="none"/>
        </w:rPr>
        <w:t>甲方； 甲方收到乙方通知后，认为其理由</w:t>
      </w:r>
    </w:p>
    <w:p w14:paraId="1362CB4A">
      <w:pPr>
        <w:spacing w:line="226" w:lineRule="auto"/>
        <w:ind w:left="7"/>
        <w:rPr>
          <w:rFonts w:hint="eastAsia" w:ascii="仿宋" w:hAnsi="仿宋" w:eastAsia="仿宋" w:cs="仿宋"/>
          <w:color w:val="auto"/>
          <w:sz w:val="23"/>
          <w:szCs w:val="23"/>
          <w:highlight w:val="none"/>
        </w:rPr>
        <w:sectPr>
          <w:footerReference r:id="rId2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正当的， 可以书面形式酌情同意乙方可以延长履行的具体时间。</w:t>
      </w:r>
    </w:p>
    <w:p w14:paraId="4F95CE79">
      <w:pPr>
        <w:pStyle w:val="5"/>
        <w:spacing w:line="283" w:lineRule="auto"/>
        <w:rPr>
          <w:rFonts w:hint="eastAsia" w:ascii="仿宋" w:hAnsi="仿宋" w:eastAsia="仿宋" w:cs="仿宋"/>
          <w:color w:val="auto"/>
          <w:highlight w:val="none"/>
        </w:rPr>
      </w:pPr>
    </w:p>
    <w:p w14:paraId="705F8CA5">
      <w:pPr>
        <w:pStyle w:val="5"/>
        <w:spacing w:before="107" w:line="165" w:lineRule="auto"/>
        <w:ind w:left="47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2.9</w:t>
      </w:r>
      <w:r>
        <w:rPr>
          <w:rFonts w:hint="eastAsia" w:ascii="仿宋" w:hAnsi="仿宋" w:eastAsia="仿宋" w:cs="仿宋"/>
          <w:color w:val="auto"/>
          <w:spacing w:val="47"/>
          <w:sz w:val="25"/>
          <w:szCs w:val="25"/>
          <w:highlight w:val="none"/>
        </w:rPr>
        <w:t xml:space="preserve"> </w:t>
      </w:r>
      <w:r>
        <w:rPr>
          <w:rFonts w:hint="eastAsia" w:ascii="仿宋" w:hAnsi="仿宋" w:eastAsia="仿宋" w:cs="仿宋"/>
          <w:color w:val="auto"/>
          <w:spacing w:val="2"/>
          <w:sz w:val="25"/>
          <w:szCs w:val="25"/>
          <w:highlight w:val="none"/>
        </w:rPr>
        <w:t>合同变更</w:t>
      </w:r>
    </w:p>
    <w:p w14:paraId="453BE267">
      <w:pPr>
        <w:spacing w:before="290"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2.9.1 双方当事人协商一致，可以签订书面补充合同的形式变更合同，但不得违背</w:t>
      </w:r>
    </w:p>
    <w:p w14:paraId="445EC056">
      <w:pPr>
        <w:spacing w:before="264" w:line="572" w:lineRule="exact"/>
        <w:ind w:left="3"/>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采购文件确定的事项，且如果系追加与合同标的相同的服务的，那么所有补充合同的采</w:t>
      </w:r>
    </w:p>
    <w:p w14:paraId="416491EC">
      <w:pPr>
        <w:spacing w:before="1" w:line="225"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购金额不得超过原合同价的10%；</w:t>
      </w:r>
    </w:p>
    <w:p w14:paraId="1B7A8284">
      <w:pPr>
        <w:spacing w:before="277"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2.9.2 合同继续履行将损害国家利益和社会公共利益的，双方当事人应当以书面形</w:t>
      </w:r>
    </w:p>
    <w:p w14:paraId="4C6AFE43">
      <w:pPr>
        <w:spacing w:before="264" w:line="572" w:lineRule="exact"/>
        <w:ind w:right="2"/>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式变更合同。有过错的一方应当承担赔偿责任，双方当</w:t>
      </w:r>
      <w:r>
        <w:rPr>
          <w:rFonts w:hint="eastAsia" w:ascii="仿宋" w:hAnsi="仿宋" w:eastAsia="仿宋" w:cs="仿宋"/>
          <w:color w:val="auto"/>
          <w:spacing w:val="7"/>
          <w:position w:val="25"/>
          <w:sz w:val="23"/>
          <w:szCs w:val="23"/>
          <w:highlight w:val="none"/>
        </w:rPr>
        <w:t>事人都有过错的，各自承担相应</w:t>
      </w:r>
    </w:p>
    <w:p w14:paraId="12F98AC9">
      <w:pPr>
        <w:spacing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的责任。</w:t>
      </w:r>
    </w:p>
    <w:p w14:paraId="7E71AAA8">
      <w:pPr>
        <w:spacing w:before="250"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2.10合同转让和分包</w:t>
      </w:r>
    </w:p>
    <w:p w14:paraId="55700AEB">
      <w:pPr>
        <w:spacing w:before="289"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合同的权利义务依法不得转让，但经甲方同意，乙方可以依</w:t>
      </w:r>
      <w:r>
        <w:rPr>
          <w:rFonts w:hint="eastAsia" w:ascii="仿宋" w:hAnsi="仿宋" w:eastAsia="仿宋" w:cs="仿宋"/>
          <w:color w:val="auto"/>
          <w:spacing w:val="7"/>
          <w:sz w:val="23"/>
          <w:szCs w:val="23"/>
          <w:highlight w:val="none"/>
        </w:rPr>
        <w:t>法采取分包方式履行合</w:t>
      </w:r>
    </w:p>
    <w:p w14:paraId="010174D3">
      <w:pPr>
        <w:spacing w:before="299" w:line="440" w:lineRule="auto"/>
        <w:ind w:left="40" w:right="2" w:firstLine="8"/>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同，即：</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5"/>
          <w:sz w:val="23"/>
          <w:szCs w:val="23"/>
          <w:highlight w:val="none"/>
        </w:rPr>
        <w:t>依法可以将合同项下的部分非主体、非关键性工作</w:t>
      </w:r>
      <w:r>
        <w:rPr>
          <w:rFonts w:hint="eastAsia" w:ascii="仿宋" w:hAnsi="仿宋" w:eastAsia="仿宋" w:cs="仿宋"/>
          <w:color w:val="auto"/>
          <w:spacing w:val="4"/>
          <w:sz w:val="23"/>
          <w:szCs w:val="23"/>
          <w:highlight w:val="none"/>
        </w:rPr>
        <w:t>分包给他人完成，接受分包</w:t>
      </w:r>
      <w:r>
        <w:rPr>
          <w:rFonts w:hint="eastAsia" w:ascii="仿宋" w:hAnsi="仿宋" w:eastAsia="仿宋" w:cs="仿宋"/>
          <w:color w:val="auto"/>
          <w:spacing w:val="7"/>
          <w:sz w:val="23"/>
          <w:szCs w:val="23"/>
          <w:highlight w:val="none"/>
        </w:rPr>
        <w:t>的人应当具备相应的资格条件，并不得再次分包，且乙方应就分包项目向甲方负责，并</w:t>
      </w:r>
    </w:p>
    <w:p w14:paraId="7E439776">
      <w:pPr>
        <w:spacing w:before="1" w:line="226"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与分包供应商就分包项目向甲方承担连带责任。</w:t>
      </w:r>
    </w:p>
    <w:p w14:paraId="15706F21">
      <w:pPr>
        <w:pStyle w:val="5"/>
        <w:spacing w:before="247" w:line="173"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2.11</w:t>
      </w:r>
      <w:r>
        <w:rPr>
          <w:rFonts w:hint="eastAsia" w:ascii="仿宋" w:hAnsi="仿宋" w:eastAsia="仿宋" w:cs="仿宋"/>
          <w:color w:val="auto"/>
          <w:spacing w:val="59"/>
          <w:w w:val="101"/>
          <w:sz w:val="24"/>
          <w:szCs w:val="24"/>
          <w:highlight w:val="none"/>
        </w:rPr>
        <w:t xml:space="preserve"> </w:t>
      </w:r>
      <w:r>
        <w:rPr>
          <w:rFonts w:hint="eastAsia" w:ascii="仿宋" w:hAnsi="仿宋" w:eastAsia="仿宋" w:cs="仿宋"/>
          <w:color w:val="auto"/>
          <w:spacing w:val="4"/>
          <w:sz w:val="24"/>
          <w:szCs w:val="24"/>
          <w:highlight w:val="none"/>
        </w:rPr>
        <w:t>不可抗力</w:t>
      </w:r>
    </w:p>
    <w:p w14:paraId="605F2C11">
      <w:pPr>
        <w:spacing w:before="293"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2.11.1如果任何一方遭遇法律规定的不可抗力， 致使合同履行受阻时，履行合同的</w:t>
      </w:r>
    </w:p>
    <w:p w14:paraId="534FCFD8">
      <w:pPr>
        <w:spacing w:before="276"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期限应予延长，延长的期限应相当于不可抗力所影响的时间；</w:t>
      </w:r>
    </w:p>
    <w:p w14:paraId="78AF7F77">
      <w:pPr>
        <w:spacing w:before="276" w:line="227"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2.11.2</w:t>
      </w:r>
      <w:r>
        <w:rPr>
          <w:rFonts w:hint="eastAsia" w:ascii="仿宋" w:hAnsi="仿宋" w:eastAsia="仿宋" w:cs="仿宋"/>
          <w:color w:val="auto"/>
          <w:spacing w:val="46"/>
          <w:sz w:val="23"/>
          <w:szCs w:val="23"/>
          <w:highlight w:val="none"/>
        </w:rPr>
        <w:t xml:space="preserve"> </w:t>
      </w:r>
      <w:r>
        <w:rPr>
          <w:rFonts w:hint="eastAsia" w:ascii="仿宋" w:hAnsi="仿宋" w:eastAsia="仿宋" w:cs="仿宋"/>
          <w:color w:val="auto"/>
          <w:spacing w:val="2"/>
          <w:sz w:val="23"/>
          <w:szCs w:val="23"/>
          <w:highlight w:val="none"/>
        </w:rPr>
        <w:t>因不可抗力致使不能实现合同目的的， 当事人可以解除合同；</w:t>
      </w:r>
    </w:p>
    <w:p w14:paraId="50199309">
      <w:pPr>
        <w:spacing w:before="249" w:line="225"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2.11.3 因不可抗力致使合同有变更必要的，双方当事人应在合同专用条款约定时</w:t>
      </w:r>
    </w:p>
    <w:p w14:paraId="53AC0999">
      <w:pPr>
        <w:spacing w:before="216"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间内以书面形式变更合同；</w:t>
      </w:r>
    </w:p>
    <w:p w14:paraId="34225E12">
      <w:pPr>
        <w:spacing w:before="248" w:line="225"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2.11.4受不可抗力影响的一方在不可抗力发生后，应在合同专用条款约定时间内以</w:t>
      </w:r>
    </w:p>
    <w:p w14:paraId="1DF569A6">
      <w:pPr>
        <w:spacing w:before="223" w:line="557"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2"/>
          <w:sz w:val="23"/>
          <w:szCs w:val="23"/>
          <w:highlight w:val="none"/>
        </w:rPr>
        <w:t>书面形式通知对方当事人，并在合同专用条款约定时间内，将有关部门出具的证明文件</w:t>
      </w:r>
    </w:p>
    <w:p w14:paraId="379DE7F3">
      <w:pPr>
        <w:spacing w:line="228"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送达对方当事人。</w:t>
      </w:r>
    </w:p>
    <w:p w14:paraId="4474D21E">
      <w:pPr>
        <w:pStyle w:val="5"/>
        <w:spacing w:before="246" w:line="294" w:lineRule="exact"/>
        <w:ind w:left="470"/>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2"/>
          <w:sz w:val="27"/>
          <w:szCs w:val="27"/>
          <w:highlight w:val="none"/>
        </w:rPr>
        <w:t>2.12</w:t>
      </w:r>
      <w:r>
        <w:rPr>
          <w:rFonts w:hint="eastAsia" w:ascii="仿宋" w:hAnsi="仿宋" w:eastAsia="仿宋" w:cs="仿宋"/>
          <w:color w:val="auto"/>
          <w:spacing w:val="36"/>
          <w:sz w:val="27"/>
          <w:szCs w:val="27"/>
          <w:highlight w:val="none"/>
        </w:rPr>
        <w:t xml:space="preserve"> </w:t>
      </w:r>
      <w:r>
        <w:rPr>
          <w:rFonts w:hint="eastAsia" w:ascii="仿宋" w:hAnsi="仿宋" w:eastAsia="仿宋" w:cs="仿宋"/>
          <w:color w:val="auto"/>
          <w:spacing w:val="-12"/>
          <w:sz w:val="27"/>
          <w:szCs w:val="27"/>
          <w:highlight w:val="none"/>
        </w:rPr>
        <w:t>税费</w:t>
      </w:r>
    </w:p>
    <w:p w14:paraId="4D63924B">
      <w:pPr>
        <w:spacing w:before="295" w:line="227" w:lineRule="auto"/>
        <w:ind w:left="491"/>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与合同有关的一切税费， 均按照中华人民共和国法律的相关规定缴纳。</w:t>
      </w:r>
    </w:p>
    <w:p w14:paraId="479C246C">
      <w:pPr>
        <w:pStyle w:val="5"/>
        <w:spacing w:before="246" w:line="171"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乙方破产</w:t>
      </w:r>
    </w:p>
    <w:p w14:paraId="3752E33B">
      <w:pPr>
        <w:spacing w:before="292" w:line="227" w:lineRule="auto"/>
        <w:ind w:right="2"/>
        <w:jc w:val="center"/>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如果乙方破产导致合同无法履行时，甲方可以书面形</w:t>
      </w:r>
      <w:r>
        <w:rPr>
          <w:rFonts w:hint="eastAsia" w:ascii="仿宋" w:hAnsi="仿宋" w:eastAsia="仿宋" w:cs="仿宋"/>
          <w:color w:val="auto"/>
          <w:spacing w:val="7"/>
          <w:sz w:val="23"/>
          <w:szCs w:val="23"/>
          <w:highlight w:val="none"/>
        </w:rPr>
        <w:t>式通知乙方终止合同且不给予</w:t>
      </w:r>
    </w:p>
    <w:p w14:paraId="7F4268B8">
      <w:pPr>
        <w:spacing w:line="227" w:lineRule="auto"/>
        <w:rPr>
          <w:rFonts w:hint="eastAsia" w:ascii="仿宋" w:hAnsi="仿宋" w:eastAsia="仿宋" w:cs="仿宋"/>
          <w:color w:val="auto"/>
          <w:sz w:val="23"/>
          <w:szCs w:val="23"/>
          <w:highlight w:val="none"/>
        </w:rPr>
        <w:sectPr>
          <w:footerReference r:id="rId24" w:type="default"/>
          <w:pgSz w:w="11905" w:h="16838"/>
          <w:pgMar w:top="1020" w:right="1134" w:bottom="1020" w:left="1134" w:header="0" w:footer="573" w:gutter="0"/>
          <w:pgNumType w:fmt="decimal"/>
          <w:cols w:space="0" w:num="1"/>
          <w:rtlGutter w:val="0"/>
          <w:docGrid w:linePitch="0" w:charSpace="0"/>
        </w:sectPr>
      </w:pPr>
    </w:p>
    <w:p w14:paraId="74CA4DB1">
      <w:pPr>
        <w:pStyle w:val="5"/>
        <w:spacing w:line="295" w:lineRule="auto"/>
        <w:rPr>
          <w:rFonts w:hint="eastAsia" w:ascii="仿宋" w:hAnsi="仿宋" w:eastAsia="仿宋" w:cs="仿宋"/>
          <w:color w:val="auto"/>
          <w:highlight w:val="none"/>
        </w:rPr>
      </w:pPr>
    </w:p>
    <w:p w14:paraId="2A81AB74">
      <w:pPr>
        <w:spacing w:before="75" w:line="573" w:lineRule="exact"/>
        <w:ind w:left="105"/>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乙方任何补偿和赔偿，但合同的终止不损害或不影响甲方已经采取或将要采取的任何要</w:t>
      </w:r>
    </w:p>
    <w:p w14:paraId="5A78597D">
      <w:pPr>
        <w:spacing w:line="227" w:lineRule="auto"/>
        <w:ind w:left="5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求乙方支付违约金、赔偿损失等的行动或补救措施的权利。</w:t>
      </w:r>
    </w:p>
    <w:p w14:paraId="776D8B76">
      <w:pPr>
        <w:spacing w:before="249" w:line="164"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2.14合同中止、终止</w:t>
      </w:r>
    </w:p>
    <w:p w14:paraId="7B1F25F6">
      <w:pPr>
        <w:spacing w:before="290"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2.14.1 双方当事人不得擅自中止或者终止合同；</w:t>
      </w:r>
    </w:p>
    <w:p w14:paraId="7351A23C">
      <w:pPr>
        <w:spacing w:before="275"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2.14.2合同继续履行将损害国家利益和社会公共利益的，双方当事人应当中止或者</w:t>
      </w:r>
    </w:p>
    <w:p w14:paraId="1072DCDF">
      <w:pPr>
        <w:spacing w:before="263" w:line="573" w:lineRule="exact"/>
        <w:ind w:left="83"/>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终止合同。有过错的一方应当承担赔偿责任，双方当事人</w:t>
      </w:r>
      <w:r>
        <w:rPr>
          <w:rFonts w:hint="eastAsia" w:ascii="仿宋" w:hAnsi="仿宋" w:eastAsia="仿宋" w:cs="仿宋"/>
          <w:color w:val="auto"/>
          <w:spacing w:val="7"/>
          <w:position w:val="26"/>
          <w:sz w:val="23"/>
          <w:szCs w:val="23"/>
          <w:highlight w:val="none"/>
        </w:rPr>
        <w:t>都有过错的，各自承担相应的</w:t>
      </w:r>
    </w:p>
    <w:p w14:paraId="4E9AEAB8">
      <w:pPr>
        <w:spacing w:before="1" w:line="227"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责任。</w:t>
      </w:r>
    </w:p>
    <w:p w14:paraId="7CF038C2">
      <w:pPr>
        <w:pStyle w:val="5"/>
        <w:spacing w:before="248" w:line="166"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2.15</w:t>
      </w:r>
      <w:r>
        <w:rPr>
          <w:rFonts w:hint="eastAsia" w:ascii="仿宋" w:hAnsi="仿宋" w:eastAsia="仿宋" w:cs="仿宋"/>
          <w:color w:val="auto"/>
          <w:spacing w:val="38"/>
          <w:sz w:val="25"/>
          <w:szCs w:val="25"/>
          <w:highlight w:val="none"/>
        </w:rPr>
        <w:t xml:space="preserve"> </w:t>
      </w:r>
      <w:r>
        <w:rPr>
          <w:rFonts w:hint="eastAsia" w:ascii="仿宋" w:hAnsi="仿宋" w:eastAsia="仿宋" w:cs="仿宋"/>
          <w:color w:val="auto"/>
          <w:sz w:val="25"/>
          <w:szCs w:val="25"/>
          <w:highlight w:val="none"/>
        </w:rPr>
        <w:t>检验和验收</w:t>
      </w:r>
    </w:p>
    <w:p w14:paraId="5ACB1395">
      <w:pPr>
        <w:spacing w:before="262" w:line="225" w:lineRule="auto"/>
        <w:ind w:right="12"/>
        <w:jc w:val="center"/>
        <w:outlineLvl w:val="1"/>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2.15.1</w:t>
      </w:r>
      <w:r>
        <w:rPr>
          <w:rFonts w:hint="eastAsia" w:ascii="仿宋" w:hAnsi="仿宋" w:eastAsia="仿宋" w:cs="仿宋"/>
          <w:color w:val="auto"/>
          <w:spacing w:val="86"/>
          <w:sz w:val="23"/>
          <w:szCs w:val="23"/>
          <w:highlight w:val="none"/>
        </w:rPr>
        <w:t xml:space="preserve"> </w:t>
      </w:r>
      <w:r>
        <w:rPr>
          <w:rFonts w:hint="eastAsia" w:ascii="仿宋" w:hAnsi="仿宋" w:eastAsia="仿宋" w:cs="仿宋"/>
          <w:color w:val="auto"/>
          <w:spacing w:val="9"/>
          <w:sz w:val="23"/>
          <w:szCs w:val="23"/>
          <w:highlight w:val="none"/>
        </w:rPr>
        <w:t>乙方按照合同专用条款的约定，定期提交服务报告，甲方按照</w:t>
      </w:r>
      <w:r>
        <w:rPr>
          <w:rFonts w:hint="eastAsia" w:ascii="仿宋" w:hAnsi="仿宋" w:eastAsia="仿宋" w:cs="仿宋"/>
          <w:color w:val="auto"/>
          <w:spacing w:val="8"/>
          <w:sz w:val="23"/>
          <w:szCs w:val="23"/>
          <w:highlight w:val="none"/>
        </w:rPr>
        <w:t>合同专用条</w:t>
      </w:r>
    </w:p>
    <w:p w14:paraId="16A759FA">
      <w:pPr>
        <w:spacing w:before="190" w:line="307" w:lineRule="exact"/>
        <w:rPr>
          <w:rFonts w:hint="eastAsia" w:ascii="仿宋" w:hAnsi="仿宋" w:eastAsia="仿宋" w:cs="仿宋"/>
          <w:color w:val="auto"/>
          <w:sz w:val="23"/>
          <w:szCs w:val="23"/>
          <w:highlight w:val="none"/>
        </w:rPr>
      </w:pPr>
      <w:r>
        <w:rPr>
          <w:rFonts w:hint="eastAsia" w:ascii="仿宋" w:hAnsi="仿宋" w:eastAsia="仿宋" w:cs="仿宋"/>
          <w:color w:val="auto"/>
          <w:spacing w:val="2"/>
          <w:position w:val="1"/>
          <w:sz w:val="23"/>
          <w:szCs w:val="23"/>
          <w:highlight w:val="none"/>
          <w:lang w:val="en-US" w:eastAsia="zh-CN"/>
        </w:rPr>
        <w:t>款</w:t>
      </w:r>
      <w:r>
        <w:rPr>
          <w:rFonts w:hint="eastAsia" w:ascii="仿宋" w:hAnsi="仿宋" w:eastAsia="仿宋" w:cs="仿宋"/>
          <w:color w:val="auto"/>
          <w:spacing w:val="2"/>
          <w:position w:val="1"/>
          <w:sz w:val="23"/>
          <w:szCs w:val="23"/>
          <w:highlight w:val="none"/>
        </w:rPr>
        <w:t>的约定进行定期验收；</w:t>
      </w:r>
    </w:p>
    <w:p w14:paraId="6AA1CD77">
      <w:pPr>
        <w:spacing w:before="279"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2.15.2 合同期满或者履行完毕后，甲方有权组织（包括依法邀请国家认可的质量</w:t>
      </w:r>
    </w:p>
    <w:p w14:paraId="0314C8DB">
      <w:pPr>
        <w:spacing w:before="299" w:line="440" w:lineRule="auto"/>
        <w:ind w:left="54" w:right="36"/>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检测机构参加）</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3"/>
          <w:sz w:val="23"/>
          <w:szCs w:val="23"/>
          <w:highlight w:val="none"/>
        </w:rPr>
        <w:t>对乙方履约的验收，即： 按照合同约定的标准，组织对乙方履约情况的</w:t>
      </w:r>
      <w:r>
        <w:rPr>
          <w:rFonts w:hint="eastAsia" w:ascii="仿宋" w:hAnsi="仿宋" w:eastAsia="仿宋" w:cs="仿宋"/>
          <w:color w:val="auto"/>
          <w:spacing w:val="8"/>
          <w:sz w:val="23"/>
          <w:szCs w:val="23"/>
          <w:highlight w:val="none"/>
        </w:rPr>
        <w:t>验收，并出具验收书；向社会公众提供的公共服务项目，验收时应当邀请服务对象参与</w:t>
      </w:r>
    </w:p>
    <w:p w14:paraId="68ACD728">
      <w:pPr>
        <w:spacing w:before="1" w:line="225" w:lineRule="auto"/>
        <w:ind w:left="6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并出具意见， 验收结果应当向社会公告；</w:t>
      </w:r>
    </w:p>
    <w:p w14:paraId="1AA4B2C1">
      <w:pPr>
        <w:spacing w:before="299" w:line="440" w:lineRule="auto"/>
        <w:ind w:left="54" w:right="36"/>
        <w:jc w:val="both"/>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2.15.3 检验和验收标准、程序等具体内容以及前述验收书的效力详</w:t>
      </w:r>
      <w:r>
        <w:rPr>
          <w:rFonts w:hint="eastAsia" w:ascii="仿宋" w:hAnsi="仿宋" w:eastAsia="仿宋" w:cs="仿宋"/>
          <w:color w:val="auto"/>
          <w:spacing w:val="8"/>
          <w:sz w:val="23"/>
          <w:szCs w:val="23"/>
          <w:highlight w:val="none"/>
        </w:rPr>
        <w:t>见合同专用条</w:t>
      </w:r>
      <w:r>
        <w:rPr>
          <w:rFonts w:hint="eastAsia" w:ascii="仿宋" w:hAnsi="仿宋" w:eastAsia="仿宋" w:cs="仿宋"/>
          <w:color w:val="auto"/>
          <w:spacing w:val="2"/>
          <w:position w:val="1"/>
          <w:sz w:val="23"/>
          <w:szCs w:val="23"/>
          <w:highlight w:val="none"/>
          <w:lang w:val="en-US" w:eastAsia="zh-CN"/>
        </w:rPr>
        <w:t>款。</w:t>
      </w:r>
    </w:p>
    <w:p w14:paraId="62F2DDEA">
      <w:pPr>
        <w:pStyle w:val="5"/>
        <w:spacing w:before="265" w:line="162"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2.16</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2"/>
          <w:sz w:val="25"/>
          <w:szCs w:val="25"/>
          <w:highlight w:val="none"/>
        </w:rPr>
        <w:t>通知和送达</w:t>
      </w:r>
    </w:p>
    <w:p w14:paraId="6F606036">
      <w:pPr>
        <w:spacing w:before="291"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2.16.1 任何一方因履行合同而以合同第一部分尾部所列明的发出的所有通知、文</w:t>
      </w:r>
    </w:p>
    <w:p w14:paraId="446544C6">
      <w:pPr>
        <w:spacing w:before="299" w:line="439" w:lineRule="auto"/>
        <w:ind w:left="54" w:right="38"/>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件、材料，均视为已向对方当事人送达；任何一方变更上述送达方式或者地址的，应于个工作日内书面通知对方当事人，在对方当事人收到有关变更通知之前，变更前的约定</w:t>
      </w:r>
    </w:p>
    <w:p w14:paraId="1D421B1A">
      <w:pPr>
        <w:spacing w:line="227" w:lineRule="auto"/>
        <w:ind w:left="5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送达方式或者地址仍视为有效。</w:t>
      </w:r>
    </w:p>
    <w:p w14:paraId="267766BA">
      <w:pPr>
        <w:spacing w:before="276"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2.16.2以当面交付方式送达的， 交付之时视为送达；以电子邮件方式送达的，发出</w:t>
      </w:r>
    </w:p>
    <w:p w14:paraId="7BA738F6">
      <w:pPr>
        <w:spacing w:before="267" w:line="571" w:lineRule="exact"/>
        <w:ind w:left="114"/>
        <w:rPr>
          <w:rFonts w:hint="eastAsia" w:ascii="仿宋" w:hAnsi="仿宋" w:eastAsia="仿宋" w:cs="仿宋"/>
          <w:color w:val="auto"/>
          <w:sz w:val="23"/>
          <w:szCs w:val="23"/>
          <w:highlight w:val="none"/>
        </w:rPr>
      </w:pPr>
      <w:r>
        <w:rPr>
          <w:rFonts w:hint="eastAsia" w:ascii="仿宋" w:hAnsi="仿宋" w:eastAsia="仿宋" w:cs="仿宋"/>
          <w:color w:val="auto"/>
          <w:spacing w:val="4"/>
          <w:position w:val="25"/>
          <w:sz w:val="23"/>
          <w:szCs w:val="23"/>
          <w:highlight w:val="none"/>
        </w:rPr>
        <w:t>电子邮件之时视为送达； 以传真方式送达的，发出传真之时</w:t>
      </w:r>
      <w:r>
        <w:rPr>
          <w:rFonts w:hint="eastAsia" w:ascii="仿宋" w:hAnsi="仿宋" w:eastAsia="仿宋" w:cs="仿宋"/>
          <w:color w:val="auto"/>
          <w:spacing w:val="3"/>
          <w:position w:val="25"/>
          <w:sz w:val="23"/>
          <w:szCs w:val="23"/>
          <w:highlight w:val="none"/>
        </w:rPr>
        <w:t>视为送达；以邮寄方式送达</w:t>
      </w:r>
    </w:p>
    <w:p w14:paraId="21590B15">
      <w:pPr>
        <w:spacing w:line="227" w:lineRule="auto"/>
        <w:ind w:left="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的，邮件挂号寄出或者交邮之日之次日视为送达。</w:t>
      </w:r>
    </w:p>
    <w:p w14:paraId="04AD6847">
      <w:pPr>
        <w:pStyle w:val="5"/>
        <w:spacing w:before="247" w:line="173" w:lineRule="auto"/>
        <w:ind w:left="524"/>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2.17</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合同使用的文字和适用的法律</w:t>
      </w:r>
    </w:p>
    <w:p w14:paraId="3B818EF2">
      <w:pPr>
        <w:spacing w:line="173" w:lineRule="auto"/>
        <w:rPr>
          <w:rFonts w:hint="eastAsia" w:ascii="仿宋" w:hAnsi="仿宋" w:eastAsia="仿宋" w:cs="仿宋"/>
          <w:color w:val="auto"/>
          <w:sz w:val="24"/>
          <w:szCs w:val="24"/>
          <w:highlight w:val="none"/>
        </w:rPr>
        <w:sectPr>
          <w:footerReference r:id="rId25" w:type="default"/>
          <w:pgSz w:w="11905" w:h="16838"/>
          <w:pgMar w:top="1020" w:right="1134" w:bottom="1020" w:left="1134" w:header="0" w:footer="573" w:gutter="0"/>
          <w:pgNumType w:fmt="decimal"/>
          <w:cols w:space="0" w:num="1"/>
          <w:rtlGutter w:val="0"/>
          <w:docGrid w:linePitch="0" w:charSpace="0"/>
        </w:sectPr>
      </w:pPr>
    </w:p>
    <w:p w14:paraId="538EA7A5">
      <w:pPr>
        <w:pStyle w:val="5"/>
        <w:spacing w:line="297" w:lineRule="auto"/>
        <w:rPr>
          <w:rFonts w:hint="eastAsia" w:ascii="仿宋" w:hAnsi="仿宋" w:eastAsia="仿宋" w:cs="仿宋"/>
          <w:color w:val="auto"/>
          <w:highlight w:val="none"/>
        </w:rPr>
      </w:pPr>
    </w:p>
    <w:p w14:paraId="1B15457F">
      <w:pPr>
        <w:spacing w:before="75" w:line="227" w:lineRule="auto"/>
        <w:ind w:left="136" w:firstLine="484"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2.17.1 合同使用汉语书就、变更和解释；</w:t>
      </w:r>
    </w:p>
    <w:p w14:paraId="3D00EBBB">
      <w:pPr>
        <w:spacing w:before="279" w:line="227" w:lineRule="auto"/>
        <w:ind w:left="136" w:firstLine="480"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2.17.2 合同适用中华人民共和国法律。</w:t>
      </w:r>
    </w:p>
    <w:p w14:paraId="7A61E453">
      <w:pPr>
        <w:pStyle w:val="5"/>
        <w:spacing w:before="247" w:line="172" w:lineRule="auto"/>
        <w:ind w:left="118" w:firstLine="496"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2.18</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履约保证金：</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w:t>
      </w:r>
    </w:p>
    <w:p w14:paraId="27345748">
      <w:pPr>
        <w:pStyle w:val="5"/>
        <w:spacing w:before="263" w:line="165" w:lineRule="auto"/>
        <w:ind w:left="118" w:firstLine="500" w:firstLineChars="20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2.19</w:t>
      </w:r>
      <w:r>
        <w:rPr>
          <w:rFonts w:hint="eastAsia" w:ascii="仿宋" w:hAnsi="仿宋" w:eastAsia="仿宋" w:cs="仿宋"/>
          <w:color w:val="auto"/>
          <w:spacing w:val="44"/>
          <w:sz w:val="25"/>
          <w:szCs w:val="25"/>
          <w:highlight w:val="none"/>
        </w:rPr>
        <w:t xml:space="preserve"> </w:t>
      </w:r>
      <w:r>
        <w:rPr>
          <w:rFonts w:hint="eastAsia" w:ascii="仿宋" w:hAnsi="仿宋" w:eastAsia="仿宋" w:cs="仿宋"/>
          <w:color w:val="auto"/>
          <w:sz w:val="25"/>
          <w:szCs w:val="25"/>
          <w:highlight w:val="none"/>
        </w:rPr>
        <w:t>合同份数</w:t>
      </w:r>
    </w:p>
    <w:p w14:paraId="554F70C1">
      <w:pPr>
        <w:spacing w:before="264" w:line="225" w:lineRule="auto"/>
        <w:ind w:left="132" w:firstLine="492"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合同份数</w:t>
      </w:r>
      <w:r>
        <w:rPr>
          <w:rFonts w:hint="eastAsia" w:ascii="仿宋" w:hAnsi="仿宋" w:eastAsia="仿宋" w:cs="仿宋"/>
          <w:color w:val="auto"/>
          <w:spacing w:val="5"/>
          <w:sz w:val="23"/>
          <w:szCs w:val="23"/>
          <w:highlight w:val="none"/>
        </w:rPr>
        <w:t>按合同专用条款规定</w:t>
      </w:r>
      <w:r>
        <w:rPr>
          <w:rFonts w:hint="eastAsia" w:ascii="仿宋" w:hAnsi="仿宋" w:eastAsia="仿宋" w:cs="仿宋"/>
          <w:color w:val="auto"/>
          <w:spacing w:val="8"/>
          <w:sz w:val="23"/>
          <w:szCs w:val="23"/>
          <w:highlight w:val="none"/>
        </w:rPr>
        <w:t>，每份均具有同等法律效力。</w:t>
      </w:r>
    </w:p>
    <w:p w14:paraId="3F6A1391">
      <w:pPr>
        <w:spacing w:line="225" w:lineRule="auto"/>
        <w:rPr>
          <w:rFonts w:hint="eastAsia" w:ascii="仿宋" w:hAnsi="仿宋" w:eastAsia="仿宋" w:cs="仿宋"/>
          <w:color w:val="auto"/>
          <w:sz w:val="23"/>
          <w:szCs w:val="23"/>
          <w:highlight w:val="none"/>
        </w:rPr>
        <w:sectPr>
          <w:footerReference r:id="rId26" w:type="default"/>
          <w:pgSz w:w="11905" w:h="16838"/>
          <w:pgMar w:top="1020" w:right="1134" w:bottom="1020" w:left="1134" w:header="0" w:footer="573" w:gutter="0"/>
          <w:pgNumType w:fmt="decimal"/>
          <w:cols w:space="0" w:num="1"/>
          <w:rtlGutter w:val="0"/>
          <w:docGrid w:linePitch="0" w:charSpace="0"/>
        </w:sectPr>
      </w:pPr>
    </w:p>
    <w:p w14:paraId="22051980">
      <w:pPr>
        <w:pStyle w:val="5"/>
        <w:spacing w:line="284" w:lineRule="auto"/>
        <w:rPr>
          <w:rFonts w:hint="eastAsia" w:ascii="仿宋" w:hAnsi="仿宋" w:eastAsia="仿宋" w:cs="仿宋"/>
          <w:color w:val="auto"/>
          <w:highlight w:val="none"/>
        </w:rPr>
      </w:pPr>
    </w:p>
    <w:p w14:paraId="2AB828F1">
      <w:pPr>
        <w:spacing w:before="103" w:line="173" w:lineRule="auto"/>
        <w:ind w:left="299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第三部分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7"/>
          <w:sz w:val="24"/>
          <w:szCs w:val="24"/>
          <w:highlight w:val="none"/>
        </w:rPr>
        <w:t>合同专用条款</w:t>
      </w:r>
    </w:p>
    <w:p w14:paraId="28FCC43D">
      <w:pPr>
        <w:spacing w:before="56"/>
        <w:rPr>
          <w:rFonts w:hint="eastAsia" w:ascii="仿宋" w:hAnsi="仿宋" w:eastAsia="仿宋" w:cs="仿宋"/>
          <w:color w:val="auto"/>
          <w:highlight w:val="none"/>
        </w:rPr>
      </w:pPr>
    </w:p>
    <w:p w14:paraId="3EEA6F0C">
      <w:pPr>
        <w:spacing w:before="56"/>
        <w:rPr>
          <w:rFonts w:hint="eastAsia" w:ascii="仿宋" w:hAnsi="仿宋" w:eastAsia="仿宋" w:cs="仿宋"/>
          <w:color w:val="auto"/>
          <w:highlight w:val="none"/>
        </w:rPr>
      </w:pPr>
    </w:p>
    <w:tbl>
      <w:tblPr>
        <w:tblStyle w:val="21"/>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7230"/>
      </w:tblGrid>
      <w:tr w14:paraId="2AEA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89" w:type="dxa"/>
            <w:vAlign w:val="top"/>
          </w:tcPr>
          <w:p w14:paraId="12136479">
            <w:pPr>
              <w:spacing w:before="175" w:line="292" w:lineRule="exact"/>
              <w:ind w:left="439"/>
              <w:outlineLvl w:val="1"/>
              <w:rPr>
                <w:rFonts w:hint="eastAsia" w:ascii="仿宋" w:hAnsi="仿宋" w:eastAsia="仿宋" w:cs="仿宋"/>
                <w:color w:val="auto"/>
                <w:sz w:val="29"/>
                <w:szCs w:val="29"/>
                <w:highlight w:val="none"/>
              </w:rPr>
            </w:pPr>
            <w:r>
              <w:rPr>
                <w:rFonts w:hint="eastAsia" w:ascii="仿宋" w:hAnsi="仿宋" w:eastAsia="仿宋" w:cs="仿宋"/>
                <w:color w:val="auto"/>
                <w:spacing w:val="-5"/>
                <w:w w:val="94"/>
                <w:position w:val="-1"/>
                <w:sz w:val="29"/>
                <w:szCs w:val="29"/>
                <w:highlight w:val="none"/>
              </w:rPr>
              <w:t>序号</w:t>
            </w:r>
          </w:p>
        </w:tc>
        <w:tc>
          <w:tcPr>
            <w:tcW w:w="7230" w:type="dxa"/>
            <w:vAlign w:val="top"/>
          </w:tcPr>
          <w:p w14:paraId="1FECC026">
            <w:pPr>
              <w:spacing w:before="172" w:line="172" w:lineRule="auto"/>
              <w:ind w:left="319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内</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容</w:t>
            </w:r>
          </w:p>
        </w:tc>
      </w:tr>
      <w:tr w14:paraId="25B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389" w:type="dxa"/>
            <w:vAlign w:val="top"/>
          </w:tcPr>
          <w:p w14:paraId="1214A1CE">
            <w:pPr>
              <w:pStyle w:val="22"/>
              <w:spacing w:before="245" w:line="189" w:lineRule="auto"/>
              <w:ind w:left="684"/>
              <w:outlineLvl w:val="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0" w:type="dxa"/>
            <w:vAlign w:val="top"/>
          </w:tcPr>
          <w:p w14:paraId="70470342">
            <w:pPr>
              <w:pStyle w:val="22"/>
              <w:spacing w:before="54" w:line="230"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合同名称：</w:t>
            </w:r>
          </w:p>
          <w:p w14:paraId="01FFE89F">
            <w:pPr>
              <w:pStyle w:val="22"/>
              <w:spacing w:before="13" w:line="219"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合同编号：</w:t>
            </w:r>
          </w:p>
        </w:tc>
      </w:tr>
      <w:tr w14:paraId="24EC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89" w:type="dxa"/>
            <w:vMerge w:val="restart"/>
            <w:tcBorders>
              <w:bottom w:val="nil"/>
            </w:tcBorders>
            <w:vAlign w:val="top"/>
          </w:tcPr>
          <w:p w14:paraId="132C421E">
            <w:pPr>
              <w:spacing w:line="272" w:lineRule="auto"/>
              <w:rPr>
                <w:rFonts w:hint="eastAsia" w:ascii="仿宋" w:hAnsi="仿宋" w:eastAsia="仿宋" w:cs="仿宋"/>
                <w:color w:val="auto"/>
                <w:sz w:val="21"/>
                <w:highlight w:val="none"/>
              </w:rPr>
            </w:pPr>
          </w:p>
          <w:p w14:paraId="52364F4E">
            <w:pPr>
              <w:spacing w:line="272" w:lineRule="auto"/>
              <w:rPr>
                <w:rFonts w:hint="eastAsia" w:ascii="仿宋" w:hAnsi="仿宋" w:eastAsia="仿宋" w:cs="仿宋"/>
                <w:color w:val="auto"/>
                <w:sz w:val="21"/>
                <w:highlight w:val="none"/>
              </w:rPr>
            </w:pPr>
          </w:p>
          <w:p w14:paraId="29054900">
            <w:pPr>
              <w:pStyle w:val="22"/>
              <w:spacing w:before="74" w:line="188" w:lineRule="auto"/>
              <w:ind w:left="657"/>
              <w:outlineLvl w:val="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0" w:type="dxa"/>
            <w:vAlign w:val="top"/>
          </w:tcPr>
          <w:p w14:paraId="46331970">
            <w:pPr>
              <w:pStyle w:val="22"/>
              <w:spacing w:before="11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甲方名称：</w:t>
            </w:r>
          </w:p>
        </w:tc>
      </w:tr>
      <w:tr w14:paraId="403B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89" w:type="dxa"/>
            <w:vMerge w:val="continue"/>
            <w:tcBorders>
              <w:top w:val="nil"/>
              <w:bottom w:val="nil"/>
            </w:tcBorders>
            <w:vAlign w:val="top"/>
          </w:tcPr>
          <w:p w14:paraId="03AB02CC">
            <w:pPr>
              <w:rPr>
                <w:rFonts w:hint="eastAsia" w:ascii="仿宋" w:hAnsi="仿宋" w:eastAsia="仿宋" w:cs="仿宋"/>
                <w:color w:val="auto"/>
                <w:sz w:val="21"/>
                <w:highlight w:val="none"/>
              </w:rPr>
            </w:pPr>
          </w:p>
        </w:tc>
        <w:tc>
          <w:tcPr>
            <w:tcW w:w="7230" w:type="dxa"/>
            <w:vAlign w:val="top"/>
          </w:tcPr>
          <w:p w14:paraId="66BC2DD2">
            <w:pPr>
              <w:pStyle w:val="22"/>
              <w:spacing w:before="12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甲方地址：</w:t>
            </w:r>
          </w:p>
        </w:tc>
      </w:tr>
      <w:tr w14:paraId="027A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89" w:type="dxa"/>
            <w:vMerge w:val="continue"/>
            <w:tcBorders>
              <w:top w:val="nil"/>
            </w:tcBorders>
            <w:vAlign w:val="top"/>
          </w:tcPr>
          <w:p w14:paraId="730FDC4A">
            <w:pPr>
              <w:rPr>
                <w:rFonts w:hint="eastAsia" w:ascii="仿宋" w:hAnsi="仿宋" w:eastAsia="仿宋" w:cs="仿宋"/>
                <w:color w:val="auto"/>
                <w:sz w:val="21"/>
                <w:highlight w:val="none"/>
              </w:rPr>
            </w:pPr>
          </w:p>
        </w:tc>
        <w:tc>
          <w:tcPr>
            <w:tcW w:w="7230" w:type="dxa"/>
            <w:vAlign w:val="top"/>
          </w:tcPr>
          <w:p w14:paraId="3CF50D08">
            <w:pPr>
              <w:pStyle w:val="22"/>
              <w:spacing w:before="127"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甲方联系人：       电话：</w:t>
            </w:r>
          </w:p>
        </w:tc>
      </w:tr>
      <w:tr w14:paraId="2897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89" w:type="dxa"/>
            <w:vMerge w:val="restart"/>
            <w:tcBorders>
              <w:bottom w:val="nil"/>
            </w:tcBorders>
            <w:vAlign w:val="top"/>
          </w:tcPr>
          <w:p w14:paraId="377A4796">
            <w:pPr>
              <w:spacing w:line="288" w:lineRule="auto"/>
              <w:rPr>
                <w:rFonts w:hint="eastAsia" w:ascii="仿宋" w:hAnsi="仿宋" w:eastAsia="仿宋" w:cs="仿宋"/>
                <w:color w:val="auto"/>
                <w:sz w:val="21"/>
                <w:highlight w:val="none"/>
              </w:rPr>
            </w:pPr>
          </w:p>
          <w:p w14:paraId="7ACFE677">
            <w:pPr>
              <w:spacing w:line="288" w:lineRule="auto"/>
              <w:rPr>
                <w:rFonts w:hint="eastAsia" w:ascii="仿宋" w:hAnsi="仿宋" w:eastAsia="仿宋" w:cs="仿宋"/>
                <w:color w:val="auto"/>
                <w:sz w:val="21"/>
                <w:highlight w:val="none"/>
              </w:rPr>
            </w:pPr>
          </w:p>
          <w:p w14:paraId="6749CE5D">
            <w:pPr>
              <w:spacing w:line="289" w:lineRule="auto"/>
              <w:rPr>
                <w:rFonts w:hint="eastAsia" w:ascii="仿宋" w:hAnsi="仿宋" w:eastAsia="仿宋" w:cs="仿宋"/>
                <w:color w:val="auto"/>
                <w:sz w:val="21"/>
                <w:highlight w:val="none"/>
              </w:rPr>
            </w:pPr>
          </w:p>
          <w:p w14:paraId="665E1555">
            <w:pPr>
              <w:pStyle w:val="22"/>
              <w:spacing w:before="74" w:line="189"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0" w:type="dxa"/>
            <w:vAlign w:val="top"/>
          </w:tcPr>
          <w:p w14:paraId="160D6FB8">
            <w:pPr>
              <w:pStyle w:val="22"/>
              <w:spacing w:before="122"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乙方名称：</w:t>
            </w:r>
          </w:p>
        </w:tc>
      </w:tr>
      <w:tr w14:paraId="498C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89" w:type="dxa"/>
            <w:vMerge w:val="continue"/>
            <w:tcBorders>
              <w:top w:val="nil"/>
              <w:bottom w:val="nil"/>
            </w:tcBorders>
            <w:vAlign w:val="top"/>
          </w:tcPr>
          <w:p w14:paraId="6FFE91B0">
            <w:pPr>
              <w:rPr>
                <w:rFonts w:hint="eastAsia" w:ascii="仿宋" w:hAnsi="仿宋" w:eastAsia="仿宋" w:cs="仿宋"/>
                <w:color w:val="auto"/>
                <w:sz w:val="21"/>
                <w:highlight w:val="none"/>
              </w:rPr>
            </w:pPr>
          </w:p>
        </w:tc>
        <w:tc>
          <w:tcPr>
            <w:tcW w:w="7230" w:type="dxa"/>
            <w:vAlign w:val="top"/>
          </w:tcPr>
          <w:p w14:paraId="63DC5DE4">
            <w:pPr>
              <w:pStyle w:val="22"/>
              <w:spacing w:before="118"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乙方地址：</w:t>
            </w:r>
          </w:p>
        </w:tc>
      </w:tr>
      <w:tr w14:paraId="6D2A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9" w:type="dxa"/>
            <w:vMerge w:val="continue"/>
            <w:tcBorders>
              <w:top w:val="nil"/>
              <w:bottom w:val="nil"/>
            </w:tcBorders>
            <w:vAlign w:val="top"/>
          </w:tcPr>
          <w:p w14:paraId="37883B97">
            <w:pPr>
              <w:rPr>
                <w:rFonts w:hint="eastAsia" w:ascii="仿宋" w:hAnsi="仿宋" w:eastAsia="仿宋" w:cs="仿宋"/>
                <w:color w:val="auto"/>
                <w:sz w:val="21"/>
                <w:highlight w:val="none"/>
              </w:rPr>
            </w:pPr>
          </w:p>
        </w:tc>
        <w:tc>
          <w:tcPr>
            <w:tcW w:w="7230" w:type="dxa"/>
            <w:vAlign w:val="top"/>
          </w:tcPr>
          <w:p w14:paraId="05F6A92E">
            <w:pPr>
              <w:pStyle w:val="22"/>
              <w:spacing w:before="130"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乙方联系人：       电话：</w:t>
            </w:r>
          </w:p>
        </w:tc>
      </w:tr>
      <w:tr w14:paraId="3610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9" w:type="dxa"/>
            <w:vMerge w:val="continue"/>
            <w:tcBorders>
              <w:top w:val="nil"/>
            </w:tcBorders>
            <w:vAlign w:val="top"/>
          </w:tcPr>
          <w:p w14:paraId="3B7EFD78">
            <w:pPr>
              <w:rPr>
                <w:rFonts w:hint="eastAsia" w:ascii="仿宋" w:hAnsi="仿宋" w:eastAsia="仿宋" w:cs="仿宋"/>
                <w:color w:val="auto"/>
                <w:sz w:val="21"/>
                <w:highlight w:val="none"/>
              </w:rPr>
            </w:pPr>
          </w:p>
        </w:tc>
        <w:tc>
          <w:tcPr>
            <w:tcW w:w="7230" w:type="dxa"/>
            <w:vAlign w:val="top"/>
          </w:tcPr>
          <w:p w14:paraId="016CDA28">
            <w:pPr>
              <w:pStyle w:val="22"/>
              <w:spacing w:before="48" w:line="228"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乙方开户银行名称：</w:t>
            </w:r>
          </w:p>
          <w:p w14:paraId="69F948CE">
            <w:pPr>
              <w:pStyle w:val="22"/>
              <w:spacing w:before="12" w:line="217" w:lineRule="auto"/>
              <w:ind w:left="128"/>
              <w:outlineLvl w:val="1"/>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51AC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389" w:type="dxa"/>
            <w:vAlign w:val="top"/>
          </w:tcPr>
          <w:p w14:paraId="539057E7">
            <w:pPr>
              <w:pStyle w:val="22"/>
              <w:spacing w:before="188" w:line="188" w:lineRule="auto"/>
              <w:ind w:left="648"/>
              <w:outlineLvl w:val="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0" w:type="dxa"/>
            <w:vAlign w:val="top"/>
          </w:tcPr>
          <w:p w14:paraId="05D77C27">
            <w:pPr>
              <w:pStyle w:val="22"/>
              <w:spacing w:before="149" w:line="227"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合同金额：</w:t>
            </w:r>
          </w:p>
        </w:tc>
      </w:tr>
      <w:tr w14:paraId="4DA1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389" w:type="dxa"/>
            <w:vAlign w:val="top"/>
          </w:tcPr>
          <w:p w14:paraId="76580AB4">
            <w:pPr>
              <w:pStyle w:val="22"/>
              <w:spacing w:before="315" w:line="187"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0" w:type="dxa"/>
            <w:vAlign w:val="top"/>
          </w:tcPr>
          <w:p w14:paraId="7AF8B7FF">
            <w:pPr>
              <w:pStyle w:val="22"/>
              <w:spacing w:before="274"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服务时间、地点：按采购人要求执行</w:t>
            </w:r>
          </w:p>
        </w:tc>
      </w:tr>
      <w:tr w14:paraId="5681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9" w:type="dxa"/>
            <w:vAlign w:val="top"/>
          </w:tcPr>
          <w:p w14:paraId="48378A31">
            <w:pPr>
              <w:pStyle w:val="22"/>
              <w:spacing w:before="158" w:line="189" w:lineRule="auto"/>
              <w:ind w:left="654"/>
              <w:outlineLvl w:val="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0" w:type="dxa"/>
            <w:vAlign w:val="top"/>
          </w:tcPr>
          <w:p w14:paraId="79FF992D">
            <w:pPr>
              <w:pStyle w:val="22"/>
              <w:spacing w:before="121"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服务期限：按采购人要求执行</w:t>
            </w:r>
          </w:p>
        </w:tc>
      </w:tr>
      <w:tr w14:paraId="39F0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89" w:type="dxa"/>
            <w:vAlign w:val="top"/>
          </w:tcPr>
          <w:p w14:paraId="568E5894">
            <w:pPr>
              <w:pStyle w:val="22"/>
              <w:spacing w:before="195" w:line="187" w:lineRule="auto"/>
              <w:ind w:left="660"/>
              <w:outlineLvl w:val="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0" w:type="dxa"/>
            <w:vAlign w:val="top"/>
          </w:tcPr>
          <w:p w14:paraId="54241A0A">
            <w:pPr>
              <w:pStyle w:val="22"/>
              <w:spacing w:before="155" w:line="227" w:lineRule="auto"/>
              <w:ind w:left="119"/>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验收方式及标准：</w:t>
            </w:r>
          </w:p>
        </w:tc>
      </w:tr>
      <w:tr w14:paraId="6B4D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389" w:type="dxa"/>
            <w:vAlign w:val="top"/>
          </w:tcPr>
          <w:p w14:paraId="41B7FBE4">
            <w:pPr>
              <w:spacing w:line="451" w:lineRule="auto"/>
              <w:rPr>
                <w:rFonts w:hint="eastAsia" w:ascii="仿宋" w:hAnsi="仿宋" w:eastAsia="仿宋" w:cs="仿宋"/>
                <w:color w:val="auto"/>
                <w:sz w:val="21"/>
                <w:highlight w:val="none"/>
              </w:rPr>
            </w:pPr>
          </w:p>
          <w:p w14:paraId="7EF0EB40">
            <w:pPr>
              <w:pStyle w:val="22"/>
              <w:spacing w:before="74"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0" w:type="dxa"/>
            <w:vAlign w:val="top"/>
          </w:tcPr>
          <w:p w14:paraId="64104294">
            <w:pPr>
              <w:pStyle w:val="22"/>
              <w:spacing w:before="182"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付款方式：</w:t>
            </w:r>
          </w:p>
          <w:p w14:paraId="411A7889">
            <w:pPr>
              <w:pStyle w:val="22"/>
              <w:spacing w:before="33" w:line="227" w:lineRule="auto"/>
              <w:ind w:left="15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1.本合同以人民币付款。</w:t>
            </w:r>
          </w:p>
          <w:p w14:paraId="66863BC4">
            <w:pPr>
              <w:pStyle w:val="22"/>
              <w:spacing w:before="38" w:line="227" w:lineRule="auto"/>
              <w:ind w:left="125"/>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2.付款计划安排：按采购人要求执行</w:t>
            </w:r>
          </w:p>
        </w:tc>
      </w:tr>
      <w:tr w14:paraId="5B73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89" w:type="dxa"/>
            <w:vAlign w:val="top"/>
          </w:tcPr>
          <w:p w14:paraId="53E77FBE">
            <w:pPr>
              <w:pStyle w:val="22"/>
              <w:spacing w:before="193"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0" w:type="dxa"/>
            <w:vAlign w:val="top"/>
          </w:tcPr>
          <w:p w14:paraId="2615A5D9">
            <w:pPr>
              <w:pStyle w:val="22"/>
              <w:spacing w:before="158" w:line="228" w:lineRule="auto"/>
              <w:ind w:left="12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履约保证金及其返还：/。</w:t>
            </w:r>
          </w:p>
        </w:tc>
      </w:tr>
      <w:tr w14:paraId="1B04A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89" w:type="dxa"/>
            <w:vAlign w:val="top"/>
          </w:tcPr>
          <w:p w14:paraId="658DE1F1">
            <w:pPr>
              <w:pStyle w:val="22"/>
              <w:spacing w:before="248" w:line="189" w:lineRule="auto"/>
              <w:ind w:left="624"/>
              <w:rPr>
                <w:rFonts w:hint="eastAsia" w:ascii="仿宋" w:hAnsi="仿宋" w:eastAsia="仿宋" w:cs="仿宋"/>
                <w:color w:val="auto"/>
                <w:highlight w:val="none"/>
              </w:rPr>
            </w:pPr>
            <w:r>
              <w:rPr>
                <w:rFonts w:hint="eastAsia" w:ascii="仿宋" w:hAnsi="仿宋" w:eastAsia="仿宋" w:cs="仿宋"/>
                <w:color w:val="auto"/>
                <w:spacing w:val="-12"/>
                <w:highlight w:val="none"/>
              </w:rPr>
              <w:t>10</w:t>
            </w:r>
          </w:p>
        </w:tc>
        <w:tc>
          <w:tcPr>
            <w:tcW w:w="7230" w:type="dxa"/>
            <w:vAlign w:val="top"/>
          </w:tcPr>
          <w:p w14:paraId="0A155D7F">
            <w:pPr>
              <w:pStyle w:val="22"/>
              <w:spacing w:before="59" w:line="227" w:lineRule="auto"/>
              <w:ind w:left="123"/>
              <w:rPr>
                <w:rFonts w:hint="eastAsia" w:ascii="仿宋" w:hAnsi="仿宋" w:eastAsia="仿宋" w:cs="仿宋"/>
                <w:color w:val="auto"/>
                <w:highlight w:val="none"/>
              </w:rPr>
            </w:pPr>
            <w:r>
              <w:rPr>
                <w:rFonts w:hint="eastAsia" w:ascii="仿宋" w:hAnsi="仿宋" w:eastAsia="仿宋" w:cs="仿宋"/>
                <w:color w:val="auto"/>
                <w:spacing w:val="5"/>
                <w:highlight w:val="none"/>
              </w:rPr>
              <w:t>合同履行期限： 自合同生效之日起至合同全部权利义务履行完毕之</w:t>
            </w:r>
          </w:p>
          <w:p w14:paraId="3C436ED2">
            <w:pPr>
              <w:pStyle w:val="22"/>
              <w:spacing w:before="7" w:line="220" w:lineRule="auto"/>
              <w:ind w:left="202"/>
              <w:rPr>
                <w:rFonts w:hint="eastAsia" w:ascii="仿宋" w:hAnsi="仿宋" w:eastAsia="仿宋" w:cs="仿宋"/>
                <w:color w:val="auto"/>
                <w:highlight w:val="none"/>
              </w:rPr>
            </w:pPr>
            <w:r>
              <w:rPr>
                <w:rFonts w:hint="eastAsia" w:ascii="仿宋" w:hAnsi="仿宋" w:eastAsia="仿宋" w:cs="仿宋"/>
                <w:color w:val="auto"/>
                <w:spacing w:val="-21"/>
                <w:highlight w:val="none"/>
              </w:rPr>
              <w:t>日止</w:t>
            </w:r>
          </w:p>
        </w:tc>
      </w:tr>
    </w:tbl>
    <w:p w14:paraId="2194EDBB">
      <w:pPr>
        <w:rPr>
          <w:rFonts w:hint="eastAsia" w:ascii="仿宋" w:hAnsi="仿宋" w:eastAsia="仿宋" w:cs="仿宋"/>
          <w:color w:val="auto"/>
          <w:highlight w:val="none"/>
        </w:rPr>
        <w:sectPr>
          <w:footerReference r:id="rId27" w:type="default"/>
          <w:pgSz w:w="11905" w:h="16838"/>
          <w:pgMar w:top="1020" w:right="1134" w:bottom="1020" w:left="1134" w:header="0" w:footer="573" w:gutter="0"/>
          <w:pgNumType w:fmt="decimal"/>
          <w:cols w:space="0" w:num="1"/>
          <w:rtlGutter w:val="0"/>
          <w:docGrid w:linePitch="0" w:charSpace="0"/>
        </w:sectPr>
      </w:pPr>
    </w:p>
    <w:p w14:paraId="4549673E">
      <w:pPr>
        <w:pStyle w:val="5"/>
        <w:spacing w:line="253" w:lineRule="auto"/>
        <w:rPr>
          <w:rFonts w:hint="eastAsia" w:ascii="仿宋" w:hAnsi="仿宋" w:eastAsia="仿宋" w:cs="仿宋"/>
          <w:color w:val="auto"/>
          <w:highlight w:val="none"/>
        </w:rPr>
      </w:pPr>
    </w:p>
    <w:p w14:paraId="43119587">
      <w:pPr>
        <w:numPr>
          <w:ilvl w:val="0"/>
          <w:numId w:val="6"/>
        </w:numPr>
        <w:spacing w:before="163" w:line="388" w:lineRule="exact"/>
        <w:ind w:left="2381"/>
        <w:outlineLvl w:val="2"/>
        <w:rPr>
          <w:rFonts w:hint="eastAsia" w:ascii="仿宋" w:hAnsi="仿宋" w:eastAsia="仿宋" w:cs="仿宋"/>
          <w:b/>
          <w:bCs/>
          <w:color w:val="auto"/>
          <w:spacing w:val="-13"/>
          <w:w w:val="97"/>
          <w:position w:val="-2"/>
          <w:sz w:val="38"/>
          <w:szCs w:val="38"/>
          <w:highlight w:val="none"/>
        </w:rPr>
      </w:pPr>
      <w:r>
        <w:rPr>
          <w:rFonts w:hint="eastAsia" w:ascii="仿宋" w:hAnsi="仿宋" w:eastAsia="仿宋" w:cs="仿宋"/>
          <w:b/>
          <w:bCs/>
          <w:color w:val="auto"/>
          <w:spacing w:val="-13"/>
          <w:w w:val="97"/>
          <w:position w:val="-2"/>
          <w:sz w:val="38"/>
          <w:szCs w:val="38"/>
          <w:highlight w:val="none"/>
        </w:rPr>
        <w:t>响应文件格式</w:t>
      </w:r>
    </w:p>
    <w:p w14:paraId="35331458">
      <w:pPr>
        <w:numPr>
          <w:ilvl w:val="0"/>
          <w:numId w:val="0"/>
        </w:numPr>
        <w:kinsoku w:val="0"/>
        <w:autoSpaceDE w:val="0"/>
        <w:autoSpaceDN w:val="0"/>
        <w:adjustRightInd w:val="0"/>
        <w:snapToGrid w:val="0"/>
        <w:spacing w:before="163" w:line="388" w:lineRule="exact"/>
        <w:jc w:val="left"/>
        <w:textAlignment w:val="baseline"/>
        <w:outlineLvl w:val="2"/>
        <w:rPr>
          <w:rFonts w:hint="eastAsia" w:ascii="仿宋" w:hAnsi="仿宋" w:eastAsia="仿宋" w:cs="仿宋"/>
          <w:color w:val="auto"/>
          <w:spacing w:val="-13"/>
          <w:w w:val="97"/>
          <w:position w:val="-2"/>
          <w:sz w:val="38"/>
          <w:szCs w:val="38"/>
          <w:highlight w:val="none"/>
        </w:rPr>
      </w:pPr>
    </w:p>
    <w:p w14:paraId="7F17E255">
      <w:pPr>
        <w:pStyle w:val="11"/>
        <w:rPr>
          <w:rFonts w:hint="eastAsia" w:ascii="宋体"/>
          <w:b/>
          <w:color w:val="auto"/>
          <w:sz w:val="30"/>
          <w:szCs w:val="30"/>
          <w:highlight w:val="none"/>
        </w:rPr>
      </w:pPr>
    </w:p>
    <w:p w14:paraId="2A5C58D6">
      <w:pPr>
        <w:pStyle w:val="11"/>
        <w:rPr>
          <w:rFonts w:hint="eastAsia" w:ascii="宋体"/>
          <w:b/>
          <w:color w:val="auto"/>
          <w:sz w:val="30"/>
          <w:szCs w:val="30"/>
          <w:highlight w:val="none"/>
        </w:rPr>
      </w:pPr>
    </w:p>
    <w:p w14:paraId="0CB4C9EB">
      <w:pPr>
        <w:adjustRightInd w:val="0"/>
        <w:snapToGrid w:val="0"/>
        <w:spacing w:line="360" w:lineRule="auto"/>
        <w:jc w:val="center"/>
        <w:rPr>
          <w:rFonts w:hint="eastAsia" w:ascii="仿宋" w:hAnsi="仿宋" w:eastAsia="仿宋" w:cs="仿宋"/>
          <w:b/>
          <w:caps/>
          <w:color w:val="auto"/>
          <w:sz w:val="32"/>
          <w:szCs w:val="32"/>
          <w:highlight w:val="none"/>
        </w:rPr>
      </w:pPr>
      <w:r>
        <w:rPr>
          <w:rFonts w:hint="eastAsia" w:ascii="仿宋" w:hAnsi="仿宋" w:eastAsia="仿宋" w:cs="仿宋"/>
          <w:b/>
          <w:caps/>
          <w:color w:val="auto"/>
          <w:sz w:val="32"/>
          <w:szCs w:val="32"/>
          <w:highlight w:val="none"/>
        </w:rPr>
        <w:t>（项目名称</w:t>
      </w:r>
      <w:r>
        <w:rPr>
          <w:rFonts w:hint="eastAsia" w:ascii="仿宋" w:hAnsi="仿宋" w:eastAsia="仿宋" w:cs="仿宋"/>
          <w:b/>
          <w:caps/>
          <w:color w:val="auto"/>
          <w:sz w:val="32"/>
          <w:szCs w:val="32"/>
          <w:highlight w:val="none"/>
          <w:lang w:eastAsia="zh-CN"/>
        </w:rPr>
        <w:t>、</w:t>
      </w:r>
      <w:r>
        <w:rPr>
          <w:rFonts w:hint="eastAsia" w:ascii="仿宋" w:hAnsi="仿宋" w:eastAsia="仿宋" w:cs="仿宋"/>
          <w:b/>
          <w:caps/>
          <w:color w:val="auto"/>
          <w:sz w:val="32"/>
          <w:szCs w:val="32"/>
          <w:highlight w:val="none"/>
          <w:lang w:val="en-US" w:eastAsia="zh-CN"/>
        </w:rPr>
        <w:t>标项名称</w:t>
      </w:r>
      <w:r>
        <w:rPr>
          <w:rFonts w:hint="eastAsia" w:ascii="仿宋" w:hAnsi="仿宋" w:eastAsia="仿宋" w:cs="仿宋"/>
          <w:b/>
          <w:caps/>
          <w:color w:val="auto"/>
          <w:sz w:val="32"/>
          <w:szCs w:val="32"/>
          <w:highlight w:val="none"/>
        </w:rPr>
        <w:t>）</w:t>
      </w:r>
    </w:p>
    <w:p w14:paraId="3C93C959">
      <w:pPr>
        <w:pStyle w:val="11"/>
        <w:rPr>
          <w:rFonts w:hint="eastAsia" w:ascii="仿宋" w:hAnsi="仿宋" w:eastAsia="仿宋" w:cs="仿宋"/>
          <w:color w:val="auto"/>
          <w:highlight w:val="none"/>
        </w:rPr>
      </w:pPr>
    </w:p>
    <w:p w14:paraId="5387CB71">
      <w:pPr>
        <w:adjustRightInd w:val="0"/>
        <w:snapToGrid w:val="0"/>
        <w:spacing w:line="360" w:lineRule="auto"/>
        <w:jc w:val="both"/>
        <w:rPr>
          <w:rFonts w:hint="eastAsia" w:ascii="仿宋" w:hAnsi="仿宋" w:eastAsia="仿宋" w:cs="仿宋"/>
          <w:bCs/>
          <w:color w:val="auto"/>
          <w:sz w:val="32"/>
          <w:szCs w:val="32"/>
          <w:highlight w:val="none"/>
        </w:rPr>
      </w:pPr>
    </w:p>
    <w:p w14:paraId="7816A01A">
      <w:pPr>
        <w:adjustRightInd w:val="0"/>
        <w:snapToGrid w:val="0"/>
        <w:spacing w:line="360" w:lineRule="auto"/>
        <w:jc w:val="center"/>
        <w:rPr>
          <w:rFonts w:hint="eastAsia" w:ascii="仿宋" w:hAnsi="仿宋" w:eastAsia="仿宋" w:cs="仿宋"/>
          <w:bCs/>
          <w:color w:val="auto"/>
          <w:sz w:val="32"/>
          <w:szCs w:val="32"/>
          <w:highlight w:val="none"/>
        </w:rPr>
      </w:pPr>
    </w:p>
    <w:p w14:paraId="1BA52CC2">
      <w:pPr>
        <w:adjustRightInd w:val="0"/>
        <w:snapToGrid w:val="0"/>
        <w:spacing w:line="36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响应文件</w:t>
      </w:r>
    </w:p>
    <w:p w14:paraId="6CCAA108">
      <w:pPr>
        <w:adjustRightInd w:val="0"/>
        <w:snapToGrid w:val="0"/>
        <w:spacing w:line="360" w:lineRule="auto"/>
        <w:jc w:val="center"/>
        <w:rPr>
          <w:rFonts w:hint="eastAsia" w:ascii="仿宋" w:hAnsi="仿宋" w:eastAsia="仿宋" w:cs="仿宋"/>
          <w:bCs/>
          <w:color w:val="auto"/>
          <w:sz w:val="32"/>
          <w:szCs w:val="32"/>
          <w:highlight w:val="none"/>
        </w:rPr>
      </w:pPr>
    </w:p>
    <w:p w14:paraId="67D63BBA">
      <w:pPr>
        <w:adjustRightInd w:val="0"/>
        <w:snapToGrid w:val="0"/>
        <w:spacing w:line="360" w:lineRule="auto"/>
        <w:jc w:val="both"/>
        <w:rPr>
          <w:rFonts w:hint="eastAsia" w:ascii="仿宋" w:hAnsi="仿宋" w:eastAsia="仿宋" w:cs="仿宋"/>
          <w:bCs/>
          <w:color w:val="auto"/>
          <w:sz w:val="32"/>
          <w:szCs w:val="32"/>
          <w:highlight w:val="none"/>
        </w:rPr>
      </w:pPr>
    </w:p>
    <w:p w14:paraId="5C7C2ECF">
      <w:pPr>
        <w:adjustRightInd w:val="0"/>
        <w:snapToGrid w:val="0"/>
        <w:spacing w:line="360" w:lineRule="auto"/>
        <w:ind w:right="-134" w:rightChars="-64"/>
        <w:rPr>
          <w:rFonts w:hint="eastAsia" w:ascii="仿宋" w:hAnsi="仿宋" w:eastAsia="仿宋" w:cs="仿宋"/>
          <w:b/>
          <w:caps/>
          <w:color w:val="auto"/>
          <w:sz w:val="28"/>
          <w:szCs w:val="28"/>
          <w:highlight w:val="none"/>
        </w:rPr>
      </w:pPr>
      <w:r>
        <w:rPr>
          <w:rFonts w:hint="eastAsia" w:ascii="仿宋" w:hAnsi="仿宋" w:eastAsia="仿宋" w:cs="仿宋"/>
          <w:b/>
          <w:caps/>
          <w:color w:val="auto"/>
          <w:spacing w:val="1"/>
          <w:kern w:val="0"/>
          <w:sz w:val="28"/>
          <w:szCs w:val="28"/>
          <w:highlight w:val="none"/>
          <w:fitText w:val="2810" w:id="768562780"/>
          <w:lang w:val="en-US" w:eastAsia="zh-CN"/>
        </w:rPr>
        <w:t>供应商</w:t>
      </w:r>
      <w:r>
        <w:rPr>
          <w:rFonts w:hint="eastAsia" w:ascii="仿宋" w:hAnsi="仿宋" w:eastAsia="仿宋" w:cs="仿宋"/>
          <w:b/>
          <w:caps/>
          <w:color w:val="auto"/>
          <w:spacing w:val="1"/>
          <w:kern w:val="0"/>
          <w:sz w:val="28"/>
          <w:szCs w:val="28"/>
          <w:highlight w:val="none"/>
          <w:fitText w:val="2810" w:id="768562780"/>
        </w:rPr>
        <w:t>名称（公章）：</w:t>
      </w:r>
    </w:p>
    <w:p w14:paraId="7A05A8F9">
      <w:pPr>
        <w:adjustRightInd w:val="0"/>
        <w:snapToGrid w:val="0"/>
        <w:spacing w:line="360" w:lineRule="auto"/>
        <w:ind w:right="-134" w:rightChars="-64"/>
        <w:rPr>
          <w:rFonts w:hint="eastAsia" w:ascii="仿宋" w:hAnsi="仿宋" w:eastAsia="仿宋" w:cs="仿宋"/>
          <w:b/>
          <w:caps/>
          <w:color w:val="auto"/>
          <w:sz w:val="28"/>
          <w:szCs w:val="28"/>
          <w:highlight w:val="none"/>
        </w:rPr>
      </w:pPr>
    </w:p>
    <w:p w14:paraId="210600D0">
      <w:pPr>
        <w:adjustRightInd w:val="0"/>
        <w:snapToGrid w:val="0"/>
        <w:spacing w:line="360" w:lineRule="auto"/>
        <w:ind w:right="-134" w:rightChars="-64"/>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w w:val="77"/>
          <w:kern w:val="0"/>
          <w:sz w:val="28"/>
          <w:szCs w:val="28"/>
          <w:highlight w:val="none"/>
          <w:fitText w:val="2810" w:id="195198355"/>
        </w:rPr>
        <w:t>法定代表人（</w:t>
      </w:r>
      <w:r>
        <w:rPr>
          <w:rFonts w:hint="eastAsia" w:ascii="仿宋" w:hAnsi="仿宋" w:eastAsia="仿宋" w:cs="仿宋"/>
          <w:b/>
          <w:caps/>
          <w:color w:val="auto"/>
          <w:spacing w:val="0"/>
          <w:w w:val="77"/>
          <w:kern w:val="0"/>
          <w:sz w:val="28"/>
          <w:szCs w:val="28"/>
          <w:highlight w:val="none"/>
          <w:fitText w:val="2810" w:id="195198355"/>
          <w:lang w:eastAsia="zh-CN"/>
        </w:rPr>
        <w:t>签章</w:t>
      </w:r>
      <w:r>
        <w:rPr>
          <w:rFonts w:hint="eastAsia" w:ascii="仿宋" w:hAnsi="仿宋" w:eastAsia="仿宋" w:cs="仿宋"/>
          <w:b/>
          <w:caps/>
          <w:color w:val="auto"/>
          <w:spacing w:val="0"/>
          <w:w w:val="77"/>
          <w:kern w:val="0"/>
          <w:sz w:val="28"/>
          <w:szCs w:val="28"/>
          <w:highlight w:val="none"/>
          <w:fitText w:val="2810" w:id="195198355"/>
        </w:rPr>
        <w:t>或盖章）</w:t>
      </w:r>
      <w:r>
        <w:rPr>
          <w:rFonts w:hint="eastAsia" w:ascii="仿宋" w:hAnsi="仿宋" w:eastAsia="仿宋" w:cs="仿宋"/>
          <w:b/>
          <w:caps/>
          <w:color w:val="auto"/>
          <w:spacing w:val="-3"/>
          <w:w w:val="77"/>
          <w:kern w:val="0"/>
          <w:sz w:val="28"/>
          <w:szCs w:val="28"/>
          <w:highlight w:val="none"/>
          <w:fitText w:val="2810" w:id="195198355"/>
        </w:rPr>
        <w:t>：</w:t>
      </w:r>
    </w:p>
    <w:p w14:paraId="321ACE9C">
      <w:pPr>
        <w:adjustRightInd w:val="0"/>
        <w:snapToGrid w:val="0"/>
        <w:spacing w:line="360" w:lineRule="auto"/>
        <w:ind w:right="-134" w:rightChars="-64"/>
        <w:rPr>
          <w:rFonts w:hint="eastAsia" w:ascii="仿宋" w:hAnsi="仿宋" w:eastAsia="仿宋" w:cs="仿宋"/>
          <w:b/>
          <w:caps/>
          <w:color w:val="auto"/>
          <w:sz w:val="28"/>
          <w:szCs w:val="28"/>
          <w:highlight w:val="none"/>
        </w:rPr>
      </w:pPr>
    </w:p>
    <w:p w14:paraId="59D1417F">
      <w:pPr>
        <w:adjustRightInd w:val="0"/>
        <w:snapToGrid w:val="0"/>
        <w:spacing w:line="360" w:lineRule="auto"/>
        <w:ind w:right="-134" w:rightChars="-64"/>
        <w:rPr>
          <w:rFonts w:hint="eastAsia" w:ascii="仿宋" w:hAnsi="仿宋" w:eastAsia="仿宋" w:cs="仿宋"/>
          <w:b/>
          <w:caps/>
          <w:color w:val="auto"/>
          <w:kern w:val="0"/>
          <w:sz w:val="28"/>
          <w:szCs w:val="28"/>
          <w:highlight w:val="none"/>
        </w:rPr>
      </w:pPr>
      <w:r>
        <w:rPr>
          <w:rFonts w:hint="eastAsia" w:ascii="仿宋" w:hAnsi="仿宋" w:eastAsia="仿宋" w:cs="仿宋"/>
          <w:b/>
          <w:caps/>
          <w:color w:val="auto"/>
          <w:kern w:val="0"/>
          <w:sz w:val="28"/>
          <w:szCs w:val="28"/>
          <w:highlight w:val="none"/>
          <w:lang w:val="en-US" w:eastAsia="zh-CN"/>
        </w:rPr>
        <w:t>供应商地址</w:t>
      </w:r>
      <w:r>
        <w:rPr>
          <w:rFonts w:hint="eastAsia" w:ascii="仿宋" w:hAnsi="仿宋" w:eastAsia="仿宋" w:cs="仿宋"/>
          <w:b/>
          <w:caps/>
          <w:color w:val="auto"/>
          <w:spacing w:val="2530"/>
          <w:kern w:val="0"/>
          <w:sz w:val="28"/>
          <w:szCs w:val="28"/>
          <w:highlight w:val="none"/>
          <w:fitText w:val="2810" w:id="1893083731"/>
        </w:rPr>
        <w:t>：</w:t>
      </w:r>
    </w:p>
    <w:p w14:paraId="7A0A2815">
      <w:pPr>
        <w:pStyle w:val="2"/>
        <w:rPr>
          <w:rFonts w:hint="eastAsia" w:ascii="仿宋" w:hAnsi="仿宋" w:eastAsia="仿宋" w:cs="仿宋"/>
          <w:b/>
          <w:caps/>
          <w:color w:val="auto"/>
          <w:kern w:val="0"/>
          <w:sz w:val="28"/>
          <w:szCs w:val="28"/>
          <w:highlight w:val="none"/>
          <w:lang w:val="en-US" w:eastAsia="zh-CN"/>
        </w:rPr>
      </w:pPr>
      <w:r>
        <w:rPr>
          <w:rFonts w:hint="eastAsia" w:ascii="仿宋" w:hAnsi="仿宋" w:eastAsia="仿宋" w:cs="仿宋"/>
          <w:b/>
          <w:caps/>
          <w:color w:val="auto"/>
          <w:kern w:val="0"/>
          <w:sz w:val="28"/>
          <w:szCs w:val="28"/>
          <w:highlight w:val="none"/>
          <w:lang w:val="en-US" w:eastAsia="zh-CN"/>
        </w:rPr>
        <w:t>联系人：</w:t>
      </w:r>
    </w:p>
    <w:p w14:paraId="6028FF76">
      <w:pPr>
        <w:pStyle w:val="2"/>
        <w:rPr>
          <w:rFonts w:hint="eastAsia" w:ascii="仿宋" w:hAnsi="仿宋" w:eastAsia="仿宋" w:cs="仿宋"/>
          <w:b/>
          <w:caps/>
          <w:color w:val="auto"/>
          <w:sz w:val="28"/>
          <w:szCs w:val="28"/>
          <w:highlight w:val="none"/>
          <w:lang w:val="en-US"/>
        </w:rPr>
      </w:pPr>
      <w:r>
        <w:rPr>
          <w:rFonts w:hint="eastAsia" w:ascii="仿宋" w:hAnsi="仿宋" w:eastAsia="仿宋" w:cs="仿宋"/>
          <w:b/>
          <w:caps/>
          <w:color w:val="auto"/>
          <w:kern w:val="0"/>
          <w:sz w:val="28"/>
          <w:szCs w:val="28"/>
          <w:highlight w:val="none"/>
          <w:lang w:val="en-US" w:eastAsia="zh-CN"/>
        </w:rPr>
        <w:t>联系电话：</w:t>
      </w:r>
    </w:p>
    <w:p w14:paraId="3D15A181">
      <w:pPr>
        <w:adjustRightInd w:val="0"/>
        <w:snapToGrid w:val="0"/>
        <w:spacing w:line="360" w:lineRule="auto"/>
        <w:jc w:val="center"/>
        <w:rPr>
          <w:rFonts w:hint="eastAsia" w:ascii="仿宋" w:hAnsi="仿宋" w:eastAsia="仿宋" w:cs="仿宋"/>
          <w:b/>
          <w:caps/>
          <w:color w:val="auto"/>
          <w:sz w:val="28"/>
          <w:szCs w:val="28"/>
          <w:highlight w:val="none"/>
        </w:rPr>
      </w:pPr>
    </w:p>
    <w:p w14:paraId="1714A21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rPr>
        <w:t>日</w:t>
      </w:r>
    </w:p>
    <w:p w14:paraId="7CD99E58">
      <w:pPr>
        <w:numPr>
          <w:ilvl w:val="0"/>
          <w:numId w:val="0"/>
        </w:numPr>
        <w:kinsoku w:val="0"/>
        <w:autoSpaceDE w:val="0"/>
        <w:autoSpaceDN w:val="0"/>
        <w:adjustRightInd w:val="0"/>
        <w:snapToGrid w:val="0"/>
        <w:spacing w:before="163" w:line="388" w:lineRule="exact"/>
        <w:jc w:val="left"/>
        <w:textAlignment w:val="baseline"/>
        <w:outlineLvl w:val="2"/>
        <w:rPr>
          <w:rFonts w:hint="eastAsia" w:ascii="仿宋" w:hAnsi="仿宋" w:eastAsia="仿宋" w:cs="仿宋"/>
          <w:color w:val="auto"/>
          <w:spacing w:val="-13"/>
          <w:w w:val="97"/>
          <w:position w:val="-2"/>
          <w:sz w:val="38"/>
          <w:szCs w:val="38"/>
          <w:highlight w:val="none"/>
        </w:rPr>
      </w:pPr>
    </w:p>
    <w:p w14:paraId="709B3736">
      <w:pPr>
        <w:pStyle w:val="5"/>
        <w:spacing w:line="266" w:lineRule="auto"/>
        <w:rPr>
          <w:rFonts w:hint="eastAsia" w:ascii="仿宋" w:hAnsi="仿宋" w:eastAsia="仿宋" w:cs="仿宋"/>
          <w:color w:val="auto"/>
          <w:highlight w:val="none"/>
        </w:rPr>
      </w:pPr>
    </w:p>
    <w:p w14:paraId="130A9C2C">
      <w:pPr>
        <w:pStyle w:val="5"/>
        <w:spacing w:line="267" w:lineRule="auto"/>
        <w:rPr>
          <w:rFonts w:hint="eastAsia" w:ascii="仿宋" w:hAnsi="仿宋" w:eastAsia="仿宋" w:cs="仿宋"/>
          <w:color w:val="auto"/>
          <w:highlight w:val="none"/>
        </w:rPr>
      </w:pPr>
    </w:p>
    <w:p w14:paraId="4E012FEA">
      <w:pPr>
        <w:pStyle w:val="5"/>
        <w:spacing w:line="267" w:lineRule="auto"/>
        <w:rPr>
          <w:rFonts w:hint="eastAsia" w:ascii="仿宋" w:hAnsi="仿宋" w:eastAsia="仿宋" w:cs="仿宋"/>
          <w:color w:val="auto"/>
          <w:highlight w:val="none"/>
        </w:rPr>
      </w:pPr>
    </w:p>
    <w:p w14:paraId="11AD22AA">
      <w:pPr>
        <w:rPr>
          <w:rFonts w:hint="eastAsia" w:ascii="仿宋" w:hAnsi="仿宋" w:eastAsia="仿宋" w:cs="仿宋"/>
          <w:color w:val="auto"/>
          <w:highlight w:val="none"/>
        </w:rPr>
      </w:pPr>
    </w:p>
    <w:p w14:paraId="2652D0BB">
      <w:pPr>
        <w:pStyle w:val="11"/>
        <w:rPr>
          <w:rFonts w:hint="eastAsia" w:ascii="仿宋" w:hAnsi="仿宋" w:eastAsia="仿宋" w:cs="仿宋"/>
          <w:color w:val="auto"/>
          <w:highlight w:val="none"/>
        </w:rPr>
      </w:pPr>
    </w:p>
    <w:p w14:paraId="10640EED">
      <w:pPr>
        <w:pStyle w:val="11"/>
        <w:rPr>
          <w:rFonts w:hint="eastAsia" w:ascii="仿宋" w:hAnsi="仿宋" w:eastAsia="仿宋" w:cs="仿宋"/>
          <w:color w:val="auto"/>
          <w:highlight w:val="none"/>
        </w:rPr>
      </w:pPr>
    </w:p>
    <w:p w14:paraId="438B1752">
      <w:pPr>
        <w:pStyle w:val="11"/>
        <w:rPr>
          <w:rFonts w:hint="eastAsia" w:ascii="仿宋" w:hAnsi="仿宋" w:eastAsia="仿宋" w:cs="仿宋"/>
          <w:color w:val="auto"/>
          <w:highlight w:val="none"/>
        </w:rPr>
      </w:pPr>
    </w:p>
    <w:p w14:paraId="25863E59">
      <w:pPr>
        <w:pStyle w:val="11"/>
        <w:rPr>
          <w:rFonts w:hint="eastAsia" w:ascii="仿宋" w:hAnsi="仿宋" w:eastAsia="仿宋" w:cs="仿宋"/>
          <w:color w:val="auto"/>
          <w:highlight w:val="none"/>
        </w:rPr>
      </w:pPr>
    </w:p>
    <w:p w14:paraId="6D6918B1">
      <w:pPr>
        <w:pStyle w:val="5"/>
        <w:spacing w:line="267" w:lineRule="auto"/>
        <w:rPr>
          <w:rFonts w:hint="eastAsia" w:ascii="仿宋" w:hAnsi="仿宋" w:eastAsia="仿宋" w:cs="仿宋"/>
          <w:color w:val="auto"/>
          <w:highlight w:val="none"/>
        </w:rPr>
      </w:pPr>
    </w:p>
    <w:p w14:paraId="35248611">
      <w:pPr>
        <w:spacing w:before="75" w:line="227" w:lineRule="auto"/>
        <w:ind w:left="193"/>
        <w:jc w:val="center"/>
        <w:rPr>
          <w:rFonts w:hint="eastAsia" w:ascii="仿宋" w:hAnsi="仿宋" w:eastAsia="仿宋" w:cs="仿宋"/>
          <w:color w:val="auto"/>
          <w:sz w:val="30"/>
          <w:szCs w:val="30"/>
          <w:highlight w:val="none"/>
        </w:rPr>
      </w:pPr>
      <w:r>
        <w:rPr>
          <w:rFonts w:hint="eastAsia" w:ascii="仿宋" w:hAnsi="仿宋" w:eastAsia="仿宋" w:cs="仿宋"/>
          <w:color w:val="auto"/>
          <w:spacing w:val="7"/>
          <w:sz w:val="30"/>
          <w:szCs w:val="30"/>
          <w:highlight w:val="none"/>
        </w:rPr>
        <w:t>第一部分 资格证明文件</w:t>
      </w:r>
    </w:p>
    <w:p w14:paraId="55A1E3D4">
      <w:pPr>
        <w:spacing w:before="80" w:line="360" w:lineRule="auto"/>
        <w:rPr>
          <w:rFonts w:hint="eastAsia" w:ascii="仿宋" w:hAnsi="仿宋" w:eastAsia="仿宋" w:cs="仿宋"/>
          <w:snapToGrid w:val="0"/>
          <w:color w:val="auto"/>
          <w:kern w:val="0"/>
          <w:sz w:val="24"/>
          <w:szCs w:val="24"/>
          <w:highlight w:val="none"/>
          <w:lang w:val="en-US" w:eastAsia="zh-CN" w:bidi="ar-SA"/>
        </w:rPr>
      </w:pPr>
    </w:p>
    <w:p w14:paraId="403B795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1、具备三证合一营业执照副本；</w:t>
      </w:r>
    </w:p>
    <w:p w14:paraId="35EE8062">
      <w:pPr>
        <w:spacing w:before="80" w:line="360" w:lineRule="auto"/>
        <w:ind w:firstLine="480" w:firstLineChars="200"/>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2、法定代表人身份证明书；</w:t>
      </w:r>
    </w:p>
    <w:p w14:paraId="3B0DAC31">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3、投标企业须提供投标人（被授权在职人员）近6个月内任意1个月社保证明；</w:t>
      </w:r>
    </w:p>
    <w:p w14:paraId="39DE286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4、未被列入信用中国网（www.creditchina.gov.cn）及中国政府采购网 (www.ccgp.gov.cn）失信被执行人名单、重大税 收违法失信主体、政府采购严重违法失信行为记录名单；</w:t>
      </w:r>
    </w:p>
    <w:p w14:paraId="5CD0C2ED">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5、具有良好的商业信誉和健全的财务会计制度的证明文件（近三年）；</w:t>
      </w:r>
    </w:p>
    <w:p w14:paraId="2E8908B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6、参加政府采购活动前3年内在经营活动中没有重大违法记录的书面声明；</w:t>
      </w:r>
    </w:p>
    <w:p w14:paraId="6E5C8CB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7、特定资质：【标项4】</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snapToGrid w:val="0"/>
          <w:color w:val="auto"/>
          <w:kern w:val="0"/>
          <w:sz w:val="24"/>
          <w:szCs w:val="24"/>
          <w:highlight w:val="none"/>
          <w:lang w:val="en-US" w:eastAsia="zh-CN" w:bidi="ar-SA"/>
        </w:rPr>
        <w:t>；</w:t>
      </w:r>
    </w:p>
    <w:p w14:paraId="100555C8">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sectPr>
          <w:footerReference r:id="rId2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snapToGrid w:val="0"/>
          <w:color w:val="auto"/>
          <w:kern w:val="0"/>
          <w:sz w:val="24"/>
          <w:szCs w:val="24"/>
          <w:highlight w:val="none"/>
          <w:lang w:val="en-US" w:eastAsia="zh-CN" w:bidi="ar-SA"/>
        </w:rPr>
        <w:t>8、供应商须知资料表要求的其他资格证明文件（格式自拟）</w:t>
      </w:r>
    </w:p>
    <w:p w14:paraId="76FCBFD2">
      <w:pPr>
        <w:pStyle w:val="5"/>
        <w:spacing w:line="271" w:lineRule="auto"/>
        <w:rPr>
          <w:rFonts w:hint="eastAsia" w:ascii="仿宋" w:hAnsi="仿宋" w:eastAsia="仿宋" w:cs="仿宋"/>
          <w:color w:val="auto"/>
          <w:highlight w:val="none"/>
        </w:rPr>
      </w:pPr>
    </w:p>
    <w:p w14:paraId="43596E91">
      <w:pPr>
        <w:spacing w:before="75" w:line="227" w:lineRule="auto"/>
        <w:ind w:left="607"/>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1、具备三证合一营业执照副本</w:t>
      </w:r>
    </w:p>
    <w:p w14:paraId="4C275315">
      <w:pPr>
        <w:pStyle w:val="5"/>
        <w:spacing w:line="250" w:lineRule="auto"/>
        <w:rPr>
          <w:rFonts w:hint="eastAsia" w:ascii="仿宋" w:hAnsi="仿宋" w:eastAsia="仿宋" w:cs="仿宋"/>
          <w:color w:val="auto"/>
          <w:highlight w:val="none"/>
        </w:rPr>
      </w:pPr>
    </w:p>
    <w:p w14:paraId="022835A8">
      <w:pPr>
        <w:pStyle w:val="5"/>
        <w:spacing w:line="251" w:lineRule="auto"/>
        <w:rPr>
          <w:rFonts w:hint="eastAsia" w:ascii="仿宋" w:hAnsi="仿宋" w:eastAsia="仿宋" w:cs="仿宋"/>
          <w:color w:val="auto"/>
          <w:highlight w:val="none"/>
        </w:rPr>
      </w:pPr>
    </w:p>
    <w:p w14:paraId="25ABFC74">
      <w:pPr>
        <w:pStyle w:val="5"/>
        <w:spacing w:line="251" w:lineRule="auto"/>
        <w:rPr>
          <w:rFonts w:hint="eastAsia" w:ascii="仿宋" w:hAnsi="仿宋" w:eastAsia="仿宋" w:cs="仿宋"/>
          <w:color w:val="auto"/>
          <w:highlight w:val="none"/>
        </w:rPr>
      </w:pPr>
    </w:p>
    <w:p w14:paraId="42B7F727">
      <w:pPr>
        <w:pStyle w:val="5"/>
        <w:spacing w:line="251" w:lineRule="auto"/>
        <w:rPr>
          <w:rFonts w:hint="eastAsia" w:ascii="仿宋" w:hAnsi="仿宋" w:eastAsia="仿宋" w:cs="仿宋"/>
          <w:color w:val="auto"/>
          <w:highlight w:val="none"/>
        </w:rPr>
      </w:pPr>
    </w:p>
    <w:p w14:paraId="203C24AF">
      <w:pPr>
        <w:pStyle w:val="5"/>
        <w:spacing w:line="251" w:lineRule="auto"/>
        <w:rPr>
          <w:rFonts w:hint="eastAsia" w:ascii="仿宋" w:hAnsi="仿宋" w:eastAsia="仿宋" w:cs="仿宋"/>
          <w:color w:val="auto"/>
          <w:highlight w:val="none"/>
        </w:rPr>
      </w:pPr>
    </w:p>
    <w:p w14:paraId="2500CD59">
      <w:pPr>
        <w:pStyle w:val="5"/>
        <w:spacing w:line="251" w:lineRule="auto"/>
        <w:rPr>
          <w:rFonts w:hint="eastAsia" w:ascii="仿宋" w:hAnsi="仿宋" w:eastAsia="仿宋" w:cs="仿宋"/>
          <w:color w:val="auto"/>
          <w:highlight w:val="none"/>
        </w:rPr>
      </w:pPr>
    </w:p>
    <w:p w14:paraId="164E1334">
      <w:pPr>
        <w:spacing w:before="74" w:line="227" w:lineRule="auto"/>
        <w:ind w:left="657"/>
        <w:rPr>
          <w:rFonts w:hint="eastAsia" w:ascii="仿宋" w:hAnsi="仿宋" w:eastAsia="仿宋" w:cs="仿宋"/>
          <w:color w:val="auto"/>
          <w:sz w:val="23"/>
          <w:szCs w:val="23"/>
          <w:highlight w:val="none"/>
        </w:rPr>
        <w:sectPr>
          <w:footerReference r:id="rId29"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z w:val="23"/>
          <w:szCs w:val="23"/>
          <w:highlight w:val="none"/>
        </w:rPr>
        <w:t>说明：</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z w:val="23"/>
          <w:szCs w:val="23"/>
          <w:highlight w:val="none"/>
        </w:rPr>
        <w:t>1.提供有效的营业执照等证明文件复印件， 复印件上</w:t>
      </w:r>
      <w:r>
        <w:rPr>
          <w:rFonts w:hint="eastAsia" w:ascii="仿宋" w:hAnsi="仿宋" w:eastAsia="仿宋" w:cs="仿宋"/>
          <w:color w:val="auto"/>
          <w:spacing w:val="-1"/>
          <w:sz w:val="23"/>
          <w:szCs w:val="23"/>
          <w:highlight w:val="none"/>
        </w:rPr>
        <w:t>应加盖公章。</w:t>
      </w:r>
    </w:p>
    <w:p w14:paraId="60CDF8AC">
      <w:pPr>
        <w:pStyle w:val="5"/>
        <w:spacing w:line="271" w:lineRule="auto"/>
        <w:rPr>
          <w:rFonts w:hint="eastAsia" w:ascii="仿宋" w:hAnsi="仿宋" w:eastAsia="仿宋" w:cs="仿宋"/>
          <w:color w:val="auto"/>
          <w:highlight w:val="none"/>
        </w:rPr>
      </w:pPr>
    </w:p>
    <w:p w14:paraId="11F566FE">
      <w:pPr>
        <w:spacing w:before="75" w:line="227" w:lineRule="auto"/>
        <w:ind w:left="66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2、法定代表人身份证明书</w:t>
      </w:r>
    </w:p>
    <w:p w14:paraId="1EB052F2">
      <w:pPr>
        <w:spacing w:before="186" w:line="227" w:lineRule="auto"/>
        <w:ind w:left="3359" w:firstLine="678"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auto"/>
        </w:rPr>
        <w:t>(响应文件格式一)</w:t>
      </w:r>
    </w:p>
    <w:p w14:paraId="51D38A2A">
      <w:pPr>
        <w:pStyle w:val="5"/>
        <w:spacing w:line="259" w:lineRule="auto"/>
        <w:rPr>
          <w:rFonts w:hint="eastAsia" w:ascii="仿宋" w:hAnsi="仿宋" w:eastAsia="仿宋" w:cs="仿宋"/>
          <w:color w:val="auto"/>
          <w:highlight w:val="none"/>
        </w:rPr>
      </w:pPr>
    </w:p>
    <w:p w14:paraId="301D35E3">
      <w:pPr>
        <w:pStyle w:val="5"/>
        <w:spacing w:line="259" w:lineRule="auto"/>
        <w:rPr>
          <w:rFonts w:hint="eastAsia" w:ascii="仿宋" w:hAnsi="仿宋" w:eastAsia="仿宋" w:cs="仿宋"/>
          <w:color w:val="auto"/>
          <w:highlight w:val="none"/>
        </w:rPr>
      </w:pPr>
    </w:p>
    <w:p w14:paraId="7E47206A">
      <w:pPr>
        <w:pStyle w:val="5"/>
        <w:spacing w:line="259" w:lineRule="auto"/>
        <w:rPr>
          <w:rFonts w:hint="eastAsia" w:ascii="仿宋" w:hAnsi="仿宋" w:eastAsia="仿宋" w:cs="仿宋"/>
          <w:color w:val="auto"/>
          <w:highlight w:val="none"/>
        </w:rPr>
      </w:pPr>
    </w:p>
    <w:p w14:paraId="4D0498AE">
      <w:pPr>
        <w:pStyle w:val="5"/>
        <w:spacing w:line="260" w:lineRule="auto"/>
        <w:rPr>
          <w:rFonts w:hint="eastAsia" w:ascii="仿宋" w:hAnsi="仿宋" w:eastAsia="仿宋" w:cs="仿宋"/>
          <w:color w:val="auto"/>
          <w:highlight w:val="none"/>
        </w:rPr>
      </w:pPr>
    </w:p>
    <w:p w14:paraId="52B89B3C">
      <w:pPr>
        <w:spacing w:before="75" w:line="227" w:lineRule="auto"/>
        <w:ind w:left="4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致（征集人名称</w:t>
      </w:r>
      <w:r>
        <w:rPr>
          <w:rFonts w:hint="eastAsia" w:ascii="仿宋" w:hAnsi="仿宋" w:eastAsia="仿宋" w:cs="仿宋"/>
          <w:color w:val="auto"/>
          <w:spacing w:val="2"/>
          <w:sz w:val="23"/>
          <w:szCs w:val="23"/>
          <w:highlight w:val="none"/>
          <w:u w:val="single" w:color="auto"/>
        </w:rPr>
        <w:t>）</w:t>
      </w:r>
      <w:r>
        <w:rPr>
          <w:rFonts w:hint="eastAsia" w:ascii="仿宋" w:hAnsi="仿宋" w:eastAsia="仿宋" w:cs="仿宋"/>
          <w:color w:val="auto"/>
          <w:spacing w:val="2"/>
          <w:sz w:val="23"/>
          <w:szCs w:val="23"/>
          <w:highlight w:val="none"/>
        </w:rPr>
        <w:t>：</w:t>
      </w:r>
    </w:p>
    <w:p w14:paraId="7D115264">
      <w:pPr>
        <w:pStyle w:val="5"/>
        <w:spacing w:line="298" w:lineRule="auto"/>
        <w:rPr>
          <w:rFonts w:hint="eastAsia" w:ascii="仿宋" w:hAnsi="仿宋" w:eastAsia="仿宋" w:cs="仿宋"/>
          <w:color w:val="auto"/>
          <w:highlight w:val="none"/>
        </w:rPr>
      </w:pPr>
    </w:p>
    <w:p w14:paraId="28B5963B">
      <w:pPr>
        <w:pStyle w:val="5"/>
        <w:spacing w:line="298" w:lineRule="auto"/>
        <w:rPr>
          <w:rFonts w:hint="eastAsia" w:ascii="仿宋" w:hAnsi="仿宋" w:eastAsia="仿宋" w:cs="仿宋"/>
          <w:color w:val="auto"/>
          <w:highlight w:val="none"/>
        </w:rPr>
      </w:pPr>
    </w:p>
    <w:p w14:paraId="5FAA37F4">
      <w:pPr>
        <w:tabs>
          <w:tab w:val="left" w:pos="1558"/>
        </w:tabs>
        <w:spacing w:before="75" w:line="358" w:lineRule="auto"/>
        <w:ind w:left="447"/>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u w:val="single" w:color="auto"/>
        </w:rPr>
        <w:tab/>
      </w:r>
      <w:r>
        <w:rPr>
          <w:rFonts w:hint="eastAsia" w:ascii="仿宋" w:hAnsi="仿宋" w:eastAsia="仿宋" w:cs="仿宋"/>
          <w:color w:val="auto"/>
          <w:spacing w:val="1"/>
          <w:sz w:val="23"/>
          <w:szCs w:val="23"/>
          <w:highlight w:val="none"/>
          <w:u w:val="single" w:color="auto"/>
        </w:rPr>
        <w:t>（姓名、性别、年龄、身份证号码）</w:t>
      </w:r>
      <w:r>
        <w:rPr>
          <w:rFonts w:hint="eastAsia" w:ascii="仿宋" w:hAnsi="仿宋" w:eastAsia="仿宋" w:cs="仿宋"/>
          <w:color w:val="auto"/>
          <w:spacing w:val="1"/>
          <w:sz w:val="23"/>
          <w:szCs w:val="23"/>
          <w:highlight w:val="none"/>
        </w:rPr>
        <w:t>在我单位任</w:t>
      </w:r>
      <w:r>
        <w:rPr>
          <w:rFonts w:hint="eastAsia" w:ascii="仿宋" w:hAnsi="仿宋" w:eastAsia="仿宋" w:cs="仿宋"/>
          <w:color w:val="auto"/>
          <w:spacing w:val="1"/>
          <w:sz w:val="23"/>
          <w:szCs w:val="23"/>
          <w:highlight w:val="none"/>
          <w:u w:val="single" w:color="auto"/>
        </w:rPr>
        <w:t xml:space="preserve">       （董事长、</w:t>
      </w:r>
    </w:p>
    <w:p w14:paraId="617789A4">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总经理等）</w:t>
      </w:r>
      <w:r>
        <w:rPr>
          <w:rFonts w:hint="eastAsia" w:ascii="仿宋" w:hAnsi="仿宋" w:eastAsia="仿宋" w:cs="仿宋"/>
          <w:color w:val="auto"/>
          <w:spacing w:val="6"/>
          <w:sz w:val="23"/>
          <w:szCs w:val="23"/>
          <w:highlight w:val="none"/>
        </w:rPr>
        <w:t>职务，是我单位的法定代表人。</w:t>
      </w:r>
    </w:p>
    <w:p w14:paraId="6CB94284">
      <w:pPr>
        <w:pStyle w:val="5"/>
        <w:spacing w:line="259" w:lineRule="auto"/>
        <w:rPr>
          <w:rFonts w:hint="eastAsia" w:ascii="仿宋" w:hAnsi="仿宋" w:eastAsia="仿宋" w:cs="仿宋"/>
          <w:color w:val="auto"/>
          <w:highlight w:val="none"/>
        </w:rPr>
      </w:pPr>
    </w:p>
    <w:p w14:paraId="2A35DE9C">
      <w:pPr>
        <w:pStyle w:val="5"/>
        <w:spacing w:line="259" w:lineRule="auto"/>
        <w:rPr>
          <w:rFonts w:hint="eastAsia" w:ascii="仿宋" w:hAnsi="仿宋" w:eastAsia="仿宋" w:cs="仿宋"/>
          <w:color w:val="auto"/>
          <w:highlight w:val="none"/>
        </w:rPr>
      </w:pPr>
    </w:p>
    <w:p w14:paraId="26BF5F48">
      <w:pPr>
        <w:pStyle w:val="5"/>
        <w:spacing w:line="259" w:lineRule="auto"/>
        <w:rPr>
          <w:rFonts w:hint="eastAsia" w:ascii="仿宋" w:hAnsi="仿宋" w:eastAsia="仿宋" w:cs="仿宋"/>
          <w:color w:val="auto"/>
          <w:highlight w:val="none"/>
        </w:rPr>
      </w:pPr>
    </w:p>
    <w:p w14:paraId="340F9E54">
      <w:pPr>
        <w:pStyle w:val="5"/>
        <w:spacing w:line="260" w:lineRule="auto"/>
        <w:rPr>
          <w:rFonts w:hint="eastAsia" w:ascii="仿宋" w:hAnsi="仿宋" w:eastAsia="仿宋" w:cs="仿宋"/>
          <w:color w:val="auto"/>
          <w:highlight w:val="none"/>
        </w:rPr>
      </w:pPr>
    </w:p>
    <w:p w14:paraId="54B75BDD">
      <w:pPr>
        <w:spacing w:before="75" w:line="227" w:lineRule="auto"/>
        <w:ind w:left="732"/>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特此证明。</w:t>
      </w:r>
    </w:p>
    <w:p w14:paraId="46AB8A7E">
      <w:pPr>
        <w:pStyle w:val="5"/>
        <w:spacing w:line="286" w:lineRule="auto"/>
        <w:rPr>
          <w:rFonts w:hint="eastAsia" w:ascii="仿宋" w:hAnsi="仿宋" w:eastAsia="仿宋" w:cs="仿宋"/>
          <w:color w:val="auto"/>
          <w:highlight w:val="none"/>
        </w:rPr>
      </w:pPr>
    </w:p>
    <w:p w14:paraId="016609FA">
      <w:pPr>
        <w:pStyle w:val="5"/>
        <w:spacing w:line="287" w:lineRule="auto"/>
        <w:rPr>
          <w:rFonts w:hint="eastAsia" w:ascii="仿宋" w:hAnsi="仿宋" w:eastAsia="仿宋" w:cs="仿宋"/>
          <w:color w:val="auto"/>
          <w:highlight w:val="none"/>
        </w:rPr>
      </w:pPr>
    </w:p>
    <w:p w14:paraId="7ACB00A0">
      <w:pPr>
        <w:spacing w:before="75" w:line="227" w:lineRule="auto"/>
        <w:ind w:left="292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2DD951D0">
      <w:pPr>
        <w:pStyle w:val="5"/>
        <w:spacing w:line="250" w:lineRule="auto"/>
        <w:rPr>
          <w:rFonts w:hint="eastAsia" w:ascii="仿宋" w:hAnsi="仿宋" w:eastAsia="仿宋" w:cs="仿宋"/>
          <w:color w:val="auto"/>
          <w:highlight w:val="none"/>
        </w:rPr>
      </w:pPr>
    </w:p>
    <w:p w14:paraId="4062C075">
      <w:pPr>
        <w:pStyle w:val="5"/>
        <w:spacing w:line="250" w:lineRule="auto"/>
        <w:rPr>
          <w:rFonts w:hint="eastAsia" w:ascii="仿宋" w:hAnsi="仿宋" w:eastAsia="仿宋" w:cs="仿宋"/>
          <w:color w:val="auto"/>
          <w:highlight w:val="none"/>
        </w:rPr>
      </w:pPr>
    </w:p>
    <w:p w14:paraId="7D4E0786">
      <w:pPr>
        <w:pStyle w:val="5"/>
        <w:spacing w:line="250" w:lineRule="auto"/>
        <w:rPr>
          <w:rFonts w:hint="eastAsia" w:ascii="仿宋" w:hAnsi="仿宋" w:eastAsia="仿宋" w:cs="仿宋"/>
          <w:color w:val="auto"/>
          <w:highlight w:val="none"/>
        </w:rPr>
      </w:pPr>
    </w:p>
    <w:p w14:paraId="1D35C91A">
      <w:pPr>
        <w:pStyle w:val="5"/>
        <w:spacing w:line="250" w:lineRule="auto"/>
        <w:rPr>
          <w:rFonts w:hint="eastAsia" w:ascii="仿宋" w:hAnsi="仿宋" w:eastAsia="仿宋" w:cs="仿宋"/>
          <w:color w:val="auto"/>
          <w:highlight w:val="none"/>
        </w:rPr>
      </w:pPr>
    </w:p>
    <w:p w14:paraId="455582B6">
      <w:pPr>
        <w:pStyle w:val="5"/>
        <w:spacing w:line="251" w:lineRule="auto"/>
        <w:rPr>
          <w:rFonts w:hint="eastAsia" w:ascii="仿宋" w:hAnsi="仿宋" w:eastAsia="仿宋" w:cs="仿宋"/>
          <w:color w:val="auto"/>
          <w:highlight w:val="none"/>
        </w:rPr>
      </w:pPr>
    </w:p>
    <w:p w14:paraId="20BA8D59">
      <w:pPr>
        <w:pStyle w:val="5"/>
        <w:spacing w:line="251" w:lineRule="auto"/>
        <w:rPr>
          <w:rFonts w:hint="eastAsia" w:ascii="仿宋" w:hAnsi="仿宋" w:eastAsia="仿宋" w:cs="仿宋"/>
          <w:color w:val="auto"/>
          <w:highlight w:val="none"/>
        </w:rPr>
      </w:pPr>
    </w:p>
    <w:p w14:paraId="678318B0">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供应商（盖公章</w:t>
      </w:r>
      <w:r>
        <w:rPr>
          <w:rFonts w:hint="eastAsia" w:ascii="仿宋" w:hAnsi="仿宋" w:eastAsia="仿宋" w:cs="仿宋"/>
          <w:color w:val="auto"/>
          <w:spacing w:val="-37"/>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49009E4">
      <w:pPr>
        <w:spacing w:before="188" w:line="229" w:lineRule="auto"/>
        <w:ind w:left="55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3E8CCBB6">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2928AC64">
      <w:pPr>
        <w:spacing w:before="187" w:line="230" w:lineRule="auto"/>
        <w:ind w:left="53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电         话：</w:t>
      </w:r>
      <w:r>
        <w:rPr>
          <w:rFonts w:hint="eastAsia" w:ascii="仿宋" w:hAnsi="仿宋" w:eastAsia="仿宋" w:cs="仿宋"/>
          <w:color w:val="auto"/>
          <w:spacing w:val="-9"/>
          <w:sz w:val="23"/>
          <w:szCs w:val="23"/>
          <w:highlight w:val="none"/>
          <w:u w:val="single" w:color="auto"/>
        </w:rPr>
        <w:t xml:space="preserve">                                    </w:t>
      </w:r>
    </w:p>
    <w:p w14:paraId="0211A8A9">
      <w:pPr>
        <w:pStyle w:val="5"/>
        <w:spacing w:line="284" w:lineRule="auto"/>
        <w:rPr>
          <w:rFonts w:hint="eastAsia" w:ascii="仿宋" w:hAnsi="仿宋" w:eastAsia="仿宋" w:cs="仿宋"/>
          <w:color w:val="auto"/>
          <w:highlight w:val="none"/>
        </w:rPr>
      </w:pPr>
    </w:p>
    <w:p w14:paraId="10ABEA6A">
      <w:pPr>
        <w:pStyle w:val="5"/>
        <w:spacing w:line="284" w:lineRule="auto"/>
        <w:rPr>
          <w:rFonts w:hint="eastAsia" w:ascii="仿宋" w:hAnsi="仿宋" w:eastAsia="仿宋" w:cs="仿宋"/>
          <w:color w:val="auto"/>
          <w:highlight w:val="none"/>
        </w:rPr>
      </w:pPr>
    </w:p>
    <w:p w14:paraId="6E81AE73">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注： 自然人参加征集响应的无需提供。</w:t>
      </w:r>
    </w:p>
    <w:p w14:paraId="5A1253AB">
      <w:pPr>
        <w:spacing w:line="227" w:lineRule="auto"/>
        <w:rPr>
          <w:rFonts w:hint="eastAsia" w:ascii="仿宋" w:hAnsi="仿宋" w:eastAsia="仿宋" w:cs="仿宋"/>
          <w:color w:val="auto"/>
          <w:sz w:val="23"/>
          <w:szCs w:val="23"/>
          <w:highlight w:val="none"/>
        </w:rPr>
        <w:sectPr>
          <w:footerReference r:id="rId30" w:type="default"/>
          <w:pgSz w:w="11905" w:h="16838"/>
          <w:pgMar w:top="1020" w:right="1134" w:bottom="1020" w:left="1134" w:header="0" w:footer="573" w:gutter="0"/>
          <w:pgNumType w:fmt="decimal"/>
          <w:cols w:space="0" w:num="1"/>
          <w:rtlGutter w:val="0"/>
          <w:docGrid w:linePitch="0" w:charSpace="0"/>
        </w:sectPr>
      </w:pPr>
    </w:p>
    <w:p w14:paraId="3CAC5747">
      <w:pPr>
        <w:pStyle w:val="5"/>
        <w:spacing w:line="271" w:lineRule="auto"/>
        <w:rPr>
          <w:rFonts w:hint="eastAsia" w:ascii="仿宋" w:hAnsi="仿宋" w:eastAsia="仿宋" w:cs="仿宋"/>
          <w:color w:val="auto"/>
          <w:highlight w:val="none"/>
        </w:rPr>
      </w:pPr>
    </w:p>
    <w:p w14:paraId="24AC2F61">
      <w:pPr>
        <w:spacing w:before="75" w:line="227" w:lineRule="auto"/>
        <w:ind w:left="580"/>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法定代表人授权委托书</w:t>
      </w:r>
    </w:p>
    <w:p w14:paraId="1BFB4C55">
      <w:pPr>
        <w:spacing w:before="186" w:line="227" w:lineRule="auto"/>
        <w:ind w:left="3449" w:firstLine="896" w:firstLineChars="400"/>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(响应文件格式二)</w:t>
      </w:r>
    </w:p>
    <w:p w14:paraId="17291B7A">
      <w:pPr>
        <w:pStyle w:val="5"/>
        <w:spacing w:line="294" w:lineRule="auto"/>
        <w:rPr>
          <w:rFonts w:hint="eastAsia" w:ascii="仿宋" w:hAnsi="仿宋" w:eastAsia="仿宋" w:cs="仿宋"/>
          <w:color w:val="auto"/>
          <w:highlight w:val="none"/>
        </w:rPr>
      </w:pPr>
    </w:p>
    <w:p w14:paraId="6348AB71">
      <w:pPr>
        <w:pStyle w:val="5"/>
        <w:spacing w:line="295" w:lineRule="auto"/>
        <w:rPr>
          <w:rFonts w:hint="eastAsia" w:ascii="仿宋" w:hAnsi="仿宋" w:eastAsia="仿宋" w:cs="仿宋"/>
          <w:color w:val="auto"/>
          <w:highlight w:val="none"/>
        </w:rPr>
      </w:pPr>
    </w:p>
    <w:p w14:paraId="22952FB9">
      <w:pPr>
        <w:spacing w:before="82" w:line="339" w:lineRule="auto"/>
        <w:ind w:left="35" w:right="8" w:firstLine="479"/>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本授权书声明：注册于</w:t>
      </w:r>
      <w:r>
        <w:rPr>
          <w:rFonts w:hint="eastAsia" w:ascii="仿宋" w:hAnsi="仿宋" w:eastAsia="仿宋" w:cs="仿宋"/>
          <w:color w:val="auto"/>
          <w:spacing w:val="5"/>
          <w:sz w:val="23"/>
          <w:szCs w:val="23"/>
          <w:highlight w:val="none"/>
          <w:u w:val="single" w:color="auto"/>
        </w:rPr>
        <w:t>（国家或地区的名称）</w:t>
      </w:r>
      <w:r>
        <w:rPr>
          <w:rFonts w:hint="eastAsia" w:ascii="仿宋" w:hAnsi="仿宋" w:eastAsia="仿宋" w:cs="仿宋"/>
          <w:color w:val="auto"/>
          <w:spacing w:val="5"/>
          <w:sz w:val="23"/>
          <w:szCs w:val="23"/>
          <w:highlight w:val="none"/>
        </w:rPr>
        <w:t>的（</w:t>
      </w:r>
      <w:r>
        <w:rPr>
          <w:rFonts w:hint="eastAsia" w:ascii="仿宋" w:hAnsi="仿宋" w:eastAsia="仿宋" w:cs="仿宋"/>
          <w:i/>
          <w:iCs/>
          <w:color w:val="auto"/>
          <w:spacing w:val="5"/>
          <w:sz w:val="25"/>
          <w:szCs w:val="25"/>
          <w:highlight w:val="none"/>
          <w:u w:val="single" w:color="auto"/>
        </w:rPr>
        <w:t>供应商</w:t>
      </w:r>
      <w:r>
        <w:rPr>
          <w:rFonts w:hint="eastAsia" w:ascii="仿宋" w:hAnsi="仿宋" w:eastAsia="仿宋" w:cs="仿宋"/>
          <w:color w:val="auto"/>
          <w:spacing w:val="5"/>
          <w:sz w:val="23"/>
          <w:szCs w:val="23"/>
          <w:highlight w:val="none"/>
        </w:rPr>
        <w:t>）的在</w:t>
      </w:r>
      <w:r>
        <w:rPr>
          <w:rFonts w:hint="eastAsia" w:ascii="仿宋" w:hAnsi="仿宋" w:eastAsia="仿宋" w:cs="仿宋"/>
          <w:color w:val="auto"/>
          <w:spacing w:val="4"/>
          <w:sz w:val="23"/>
          <w:szCs w:val="23"/>
          <w:highlight w:val="none"/>
        </w:rPr>
        <w:t>下面签字的</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i/>
          <w:iCs/>
          <w:color w:val="auto"/>
          <w:spacing w:val="-2"/>
          <w:sz w:val="25"/>
          <w:szCs w:val="25"/>
          <w:highlight w:val="none"/>
          <w:u w:val="single" w:color="auto"/>
        </w:rPr>
        <w:t>法人代表姓名、职务</w:t>
      </w:r>
      <w:r>
        <w:rPr>
          <w:rFonts w:hint="eastAsia" w:ascii="仿宋" w:hAnsi="仿宋" w:eastAsia="仿宋" w:cs="仿宋"/>
          <w:color w:val="auto"/>
          <w:spacing w:val="-2"/>
          <w:sz w:val="23"/>
          <w:szCs w:val="23"/>
          <w:highlight w:val="none"/>
        </w:rPr>
        <w:t>）代表我单位授权在下面签字的</w:t>
      </w:r>
      <w:r>
        <w:rPr>
          <w:rFonts w:hint="eastAsia" w:ascii="仿宋" w:hAnsi="仿宋" w:eastAsia="仿宋" w:cs="仿宋"/>
          <w:color w:val="auto"/>
          <w:spacing w:val="-3"/>
          <w:sz w:val="23"/>
          <w:szCs w:val="23"/>
          <w:highlight w:val="none"/>
        </w:rPr>
        <w:t>（</w:t>
      </w:r>
      <w:r>
        <w:rPr>
          <w:rFonts w:hint="eastAsia" w:ascii="仿宋" w:hAnsi="仿宋" w:eastAsia="仿宋" w:cs="仿宋"/>
          <w:i/>
          <w:iCs/>
          <w:color w:val="auto"/>
          <w:spacing w:val="-3"/>
          <w:sz w:val="25"/>
          <w:szCs w:val="25"/>
          <w:highlight w:val="none"/>
          <w:u w:val="single" w:color="auto"/>
        </w:rPr>
        <w:t>被授权人的姓名</w:t>
      </w:r>
      <w:r>
        <w:rPr>
          <w:rFonts w:hint="eastAsia" w:ascii="仿宋" w:hAnsi="仿宋" w:eastAsia="仿宋" w:cs="仿宋"/>
          <w:color w:val="auto"/>
          <w:spacing w:val="-3"/>
          <w:sz w:val="23"/>
          <w:szCs w:val="23"/>
          <w:highlight w:val="none"/>
        </w:rPr>
        <w:t>）为我</w:t>
      </w:r>
      <w:r>
        <w:rPr>
          <w:rFonts w:hint="eastAsia" w:ascii="仿宋" w:hAnsi="仿宋" w:eastAsia="仿宋" w:cs="仿宋"/>
          <w:color w:val="auto"/>
          <w:spacing w:val="4"/>
          <w:sz w:val="23"/>
          <w:szCs w:val="23"/>
          <w:highlight w:val="none"/>
        </w:rPr>
        <w:t>单位的合法代理人，就（</w:t>
      </w:r>
      <w:r>
        <w:rPr>
          <w:rFonts w:hint="eastAsia" w:ascii="仿宋" w:hAnsi="仿宋" w:eastAsia="仿宋" w:cs="仿宋"/>
          <w:i/>
          <w:iCs/>
          <w:color w:val="auto"/>
          <w:spacing w:val="4"/>
          <w:sz w:val="25"/>
          <w:szCs w:val="25"/>
          <w:highlight w:val="none"/>
          <w:u w:val="single" w:color="auto"/>
          <w:lang w:val="en-US" w:eastAsia="zh-CN"/>
        </w:rPr>
        <w:t>项目名称</w:t>
      </w:r>
      <w:r>
        <w:rPr>
          <w:rFonts w:hint="eastAsia" w:ascii="仿宋" w:hAnsi="仿宋" w:eastAsia="仿宋" w:cs="仿宋"/>
          <w:color w:val="auto"/>
          <w:spacing w:val="4"/>
          <w:sz w:val="23"/>
          <w:szCs w:val="23"/>
          <w:highlight w:val="none"/>
        </w:rPr>
        <w:t>）征集响应，以我单位名义处理一切与之有关</w:t>
      </w:r>
      <w:r>
        <w:rPr>
          <w:rFonts w:hint="eastAsia" w:ascii="仿宋" w:hAnsi="仿宋" w:eastAsia="仿宋" w:cs="仿宋"/>
          <w:color w:val="auto"/>
          <w:spacing w:val="-4"/>
          <w:sz w:val="23"/>
          <w:szCs w:val="23"/>
          <w:highlight w:val="none"/>
        </w:rPr>
        <w:t>的事务。</w:t>
      </w:r>
    </w:p>
    <w:p w14:paraId="4F1EF3C4">
      <w:pPr>
        <w:pStyle w:val="5"/>
        <w:spacing w:line="285" w:lineRule="auto"/>
        <w:rPr>
          <w:rFonts w:hint="eastAsia" w:ascii="仿宋" w:hAnsi="仿宋" w:eastAsia="仿宋" w:cs="仿宋"/>
          <w:color w:val="auto"/>
          <w:highlight w:val="none"/>
        </w:rPr>
      </w:pPr>
    </w:p>
    <w:p w14:paraId="4140448C">
      <w:pPr>
        <w:pStyle w:val="5"/>
        <w:spacing w:line="285" w:lineRule="auto"/>
        <w:rPr>
          <w:rFonts w:hint="eastAsia" w:ascii="仿宋" w:hAnsi="仿宋" w:eastAsia="仿宋" w:cs="仿宋"/>
          <w:color w:val="auto"/>
          <w:highlight w:val="none"/>
        </w:rPr>
      </w:pPr>
    </w:p>
    <w:p w14:paraId="49D59C1A">
      <w:pPr>
        <w:spacing w:before="75" w:line="224" w:lineRule="auto"/>
        <w:ind w:left="82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本授权书于</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9"/>
          <w:sz w:val="23"/>
          <w:szCs w:val="23"/>
          <w:highlight w:val="none"/>
        </w:rPr>
        <w:t xml:space="preserve"> </w:t>
      </w:r>
      <w:r>
        <w:rPr>
          <w:rFonts w:hint="eastAsia" w:ascii="仿宋" w:hAnsi="仿宋" w:eastAsia="仿宋" w:cs="仿宋"/>
          <w:color w:val="auto"/>
          <w:spacing w:val="2"/>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2"/>
          <w:sz w:val="23"/>
          <w:szCs w:val="23"/>
          <w:highlight w:val="none"/>
        </w:rPr>
        <w:t>月</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 xml:space="preserve"> 日签字生效,特此声明。</w:t>
      </w:r>
    </w:p>
    <w:p w14:paraId="070DBC53">
      <w:pPr>
        <w:pStyle w:val="5"/>
        <w:spacing w:line="289" w:lineRule="auto"/>
        <w:rPr>
          <w:rFonts w:hint="eastAsia" w:ascii="仿宋" w:hAnsi="仿宋" w:eastAsia="仿宋" w:cs="仿宋"/>
          <w:color w:val="auto"/>
          <w:highlight w:val="none"/>
        </w:rPr>
      </w:pPr>
    </w:p>
    <w:p w14:paraId="6EC212F5">
      <w:pPr>
        <w:pStyle w:val="5"/>
        <w:spacing w:line="290" w:lineRule="auto"/>
        <w:rPr>
          <w:rFonts w:hint="eastAsia" w:ascii="仿宋" w:hAnsi="仿宋" w:eastAsia="仿宋" w:cs="仿宋"/>
          <w:color w:val="auto"/>
          <w:highlight w:val="none"/>
        </w:rPr>
      </w:pPr>
    </w:p>
    <w:p w14:paraId="40E3E014">
      <w:pPr>
        <w:spacing w:before="75" w:line="227" w:lineRule="auto"/>
        <w:ind w:left="2526"/>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11D9B827">
      <w:pPr>
        <w:pStyle w:val="5"/>
        <w:spacing w:line="260" w:lineRule="auto"/>
        <w:rPr>
          <w:rFonts w:hint="eastAsia" w:ascii="仿宋" w:hAnsi="仿宋" w:eastAsia="仿宋" w:cs="仿宋"/>
          <w:color w:val="auto"/>
          <w:highlight w:val="none"/>
        </w:rPr>
      </w:pPr>
    </w:p>
    <w:p w14:paraId="60356E97">
      <w:pPr>
        <w:pStyle w:val="5"/>
        <w:spacing w:line="260" w:lineRule="auto"/>
        <w:rPr>
          <w:rFonts w:hint="eastAsia" w:ascii="仿宋" w:hAnsi="仿宋" w:eastAsia="仿宋" w:cs="仿宋"/>
          <w:color w:val="auto"/>
          <w:highlight w:val="none"/>
        </w:rPr>
      </w:pPr>
    </w:p>
    <w:p w14:paraId="7EF32C2E">
      <w:pPr>
        <w:pStyle w:val="5"/>
        <w:spacing w:line="260" w:lineRule="auto"/>
        <w:rPr>
          <w:rFonts w:hint="eastAsia" w:ascii="仿宋" w:hAnsi="仿宋" w:eastAsia="仿宋" w:cs="仿宋"/>
          <w:color w:val="auto"/>
          <w:highlight w:val="none"/>
        </w:rPr>
      </w:pPr>
    </w:p>
    <w:p w14:paraId="0C409A71">
      <w:pPr>
        <w:pStyle w:val="5"/>
        <w:spacing w:line="260" w:lineRule="auto"/>
        <w:rPr>
          <w:rFonts w:hint="eastAsia" w:ascii="仿宋" w:hAnsi="仿宋" w:eastAsia="仿宋" w:cs="仿宋"/>
          <w:color w:val="auto"/>
          <w:highlight w:val="none"/>
        </w:rPr>
      </w:pPr>
    </w:p>
    <w:p w14:paraId="73403E1E">
      <w:pPr>
        <w:spacing w:before="74" w:line="227" w:lineRule="auto"/>
        <w:ind w:left="264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（附被授权人身份证正反面）</w:t>
      </w:r>
    </w:p>
    <w:p w14:paraId="28195A8B">
      <w:pPr>
        <w:pStyle w:val="5"/>
        <w:spacing w:line="265" w:lineRule="auto"/>
        <w:rPr>
          <w:rFonts w:hint="eastAsia" w:ascii="仿宋" w:hAnsi="仿宋" w:eastAsia="仿宋" w:cs="仿宋"/>
          <w:color w:val="auto"/>
          <w:highlight w:val="none"/>
        </w:rPr>
      </w:pPr>
    </w:p>
    <w:p w14:paraId="28837CB9">
      <w:pPr>
        <w:pStyle w:val="5"/>
        <w:spacing w:line="265" w:lineRule="auto"/>
        <w:rPr>
          <w:rFonts w:hint="eastAsia" w:ascii="仿宋" w:hAnsi="仿宋" w:eastAsia="仿宋" w:cs="仿宋"/>
          <w:color w:val="auto"/>
          <w:highlight w:val="none"/>
        </w:rPr>
      </w:pPr>
    </w:p>
    <w:p w14:paraId="4A6470A4">
      <w:pPr>
        <w:pStyle w:val="5"/>
        <w:spacing w:line="266" w:lineRule="auto"/>
        <w:rPr>
          <w:rFonts w:hint="eastAsia" w:ascii="仿宋" w:hAnsi="仿宋" w:eastAsia="仿宋" w:cs="仿宋"/>
          <w:color w:val="auto"/>
          <w:highlight w:val="none"/>
        </w:rPr>
      </w:pPr>
    </w:p>
    <w:p w14:paraId="6E701A8A">
      <w:pPr>
        <w:pStyle w:val="5"/>
        <w:spacing w:line="266" w:lineRule="auto"/>
        <w:rPr>
          <w:rFonts w:hint="eastAsia" w:ascii="仿宋" w:hAnsi="仿宋" w:eastAsia="仿宋" w:cs="仿宋"/>
          <w:color w:val="auto"/>
          <w:highlight w:val="none"/>
        </w:rPr>
      </w:pPr>
    </w:p>
    <w:p w14:paraId="0D4E3A43">
      <w:pPr>
        <w:spacing w:before="75" w:line="358"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 xml:space="preserve">供应商（盖公章） ; </w:t>
      </w:r>
      <w:r>
        <w:rPr>
          <w:rFonts w:hint="eastAsia" w:ascii="仿宋" w:hAnsi="仿宋" w:eastAsia="仿宋" w:cs="仿宋"/>
          <w:color w:val="auto"/>
          <w:sz w:val="23"/>
          <w:szCs w:val="23"/>
          <w:highlight w:val="none"/>
          <w:u w:val="single" w:color="auto"/>
        </w:rPr>
        <w:t xml:space="preserve">                               </w:t>
      </w:r>
    </w:p>
    <w:p w14:paraId="2E1437D4">
      <w:pPr>
        <w:spacing w:before="1" w:line="226"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法定代表人（签字或签章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249271A">
      <w:pPr>
        <w:spacing w:before="183"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EEECE1"/>
        </w:rPr>
        <w:t>身份证号码</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2"/>
          <w:sz w:val="23"/>
          <w:szCs w:val="23"/>
          <w:highlight w:val="none"/>
          <w:u w:val="single" w:color="auto"/>
        </w:rPr>
        <w:t xml:space="preserve">                                    </w:t>
      </w:r>
    </w:p>
    <w:p w14:paraId="387F9A24">
      <w:pPr>
        <w:spacing w:before="182" w:line="227" w:lineRule="auto"/>
        <w:ind w:left="50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委托代理人（签字或签章</w:t>
      </w:r>
      <w:r>
        <w:rPr>
          <w:rFonts w:hint="eastAsia" w:ascii="仿宋" w:hAnsi="仿宋" w:eastAsia="仿宋" w:cs="仿宋"/>
          <w:color w:val="auto"/>
          <w:spacing w:val="-38"/>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575ACFDA">
      <w:pPr>
        <w:spacing w:before="186"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身份证号码：</w:t>
      </w:r>
      <w:r>
        <w:rPr>
          <w:rFonts w:hint="eastAsia" w:ascii="仿宋" w:hAnsi="仿宋" w:eastAsia="仿宋" w:cs="仿宋"/>
          <w:color w:val="auto"/>
          <w:spacing w:val="2"/>
          <w:sz w:val="23"/>
          <w:szCs w:val="23"/>
          <w:highlight w:val="none"/>
          <w:u w:val="single" w:color="auto"/>
        </w:rPr>
        <w:t xml:space="preserve">                                    </w:t>
      </w:r>
    </w:p>
    <w:p w14:paraId="1118B35A">
      <w:pPr>
        <w:spacing w:before="187" w:line="229" w:lineRule="auto"/>
        <w:ind w:left="51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6E320898">
      <w:pPr>
        <w:spacing w:before="181" w:line="227" w:lineRule="auto"/>
        <w:ind w:left="547"/>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3E9B6EE4">
      <w:pPr>
        <w:spacing w:before="187" w:line="230" w:lineRule="auto"/>
        <w:ind w:left="567"/>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电         话：</w:t>
      </w:r>
      <w:r>
        <w:rPr>
          <w:rFonts w:hint="eastAsia" w:ascii="仿宋" w:hAnsi="仿宋" w:eastAsia="仿宋" w:cs="仿宋"/>
          <w:color w:val="auto"/>
          <w:sz w:val="23"/>
          <w:szCs w:val="23"/>
          <w:highlight w:val="none"/>
          <w:u w:val="single" w:color="auto"/>
        </w:rPr>
        <w:t xml:space="preserve">                                   </w:t>
      </w:r>
    </w:p>
    <w:p w14:paraId="29995E2E">
      <w:pPr>
        <w:pStyle w:val="5"/>
        <w:spacing w:line="257" w:lineRule="auto"/>
        <w:rPr>
          <w:rFonts w:hint="eastAsia" w:ascii="仿宋" w:hAnsi="仿宋" w:eastAsia="仿宋" w:cs="仿宋"/>
          <w:color w:val="auto"/>
          <w:highlight w:val="none"/>
        </w:rPr>
      </w:pPr>
    </w:p>
    <w:p w14:paraId="26BCB4DA">
      <w:pPr>
        <w:pStyle w:val="5"/>
        <w:spacing w:line="258" w:lineRule="auto"/>
        <w:rPr>
          <w:rFonts w:hint="eastAsia" w:ascii="仿宋" w:hAnsi="仿宋" w:eastAsia="仿宋" w:cs="仿宋"/>
          <w:color w:val="auto"/>
          <w:highlight w:val="none"/>
        </w:rPr>
      </w:pPr>
    </w:p>
    <w:p w14:paraId="6FF42CD7">
      <w:pPr>
        <w:pStyle w:val="5"/>
        <w:spacing w:line="258" w:lineRule="auto"/>
        <w:rPr>
          <w:rFonts w:hint="eastAsia" w:ascii="仿宋" w:hAnsi="仿宋" w:eastAsia="仿宋" w:cs="仿宋"/>
          <w:color w:val="auto"/>
          <w:highlight w:val="none"/>
        </w:rPr>
      </w:pPr>
    </w:p>
    <w:p w14:paraId="6A783BB1">
      <w:pPr>
        <w:pStyle w:val="5"/>
        <w:spacing w:line="258" w:lineRule="auto"/>
        <w:rPr>
          <w:rFonts w:hint="eastAsia" w:ascii="仿宋" w:hAnsi="仿宋" w:eastAsia="仿宋" w:cs="仿宋"/>
          <w:color w:val="auto"/>
          <w:highlight w:val="none"/>
        </w:rPr>
      </w:pPr>
    </w:p>
    <w:p w14:paraId="5033DD32">
      <w:pPr>
        <w:spacing w:before="75" w:line="227" w:lineRule="auto"/>
        <w:ind w:left="455"/>
        <w:outlineLvl w:val="1"/>
        <w:rPr>
          <w:rFonts w:hint="eastAsia" w:ascii="仿宋" w:hAnsi="仿宋" w:eastAsia="仿宋" w:cs="仿宋"/>
          <w:color w:val="auto"/>
          <w:sz w:val="23"/>
          <w:szCs w:val="23"/>
          <w:highlight w:val="none"/>
        </w:rPr>
        <w:sectPr>
          <w:footerReference r:id="rId3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注：</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3"/>
          <w:sz w:val="23"/>
          <w:szCs w:val="23"/>
          <w:highlight w:val="none"/>
        </w:rPr>
        <w:t>自然人参加征集响应的或法定代表人参加征集响应的无需提供。</w:t>
      </w:r>
    </w:p>
    <w:p w14:paraId="489DD634">
      <w:pPr>
        <w:spacing w:before="201" w:line="631" w:lineRule="exact"/>
        <w:ind w:left="116"/>
        <w:rPr>
          <w:rFonts w:hint="eastAsia" w:ascii="仿宋" w:hAnsi="仿宋" w:eastAsia="仿宋" w:cs="仿宋"/>
          <w:color w:val="auto"/>
          <w:spacing w:val="5"/>
          <w:position w:val="31"/>
          <w:sz w:val="23"/>
          <w:szCs w:val="23"/>
          <w:highlight w:val="none"/>
          <w:lang w:eastAsia="zh-CN"/>
        </w:rPr>
      </w:pPr>
      <w:r>
        <w:rPr>
          <w:rFonts w:hint="eastAsia" w:ascii="仿宋" w:hAnsi="仿宋" w:eastAsia="仿宋" w:cs="仿宋"/>
          <w:color w:val="auto"/>
          <w:spacing w:val="5"/>
          <w:position w:val="31"/>
          <w:sz w:val="23"/>
          <w:szCs w:val="23"/>
          <w:highlight w:val="none"/>
          <w:lang w:val="en-US" w:eastAsia="zh-CN"/>
        </w:rPr>
        <w:t>3、</w:t>
      </w:r>
      <w:r>
        <w:rPr>
          <w:rFonts w:hint="eastAsia" w:ascii="仿宋" w:hAnsi="仿宋" w:eastAsia="仿宋" w:cs="仿宋"/>
          <w:color w:val="auto"/>
          <w:spacing w:val="5"/>
          <w:position w:val="31"/>
          <w:sz w:val="23"/>
          <w:szCs w:val="23"/>
          <w:highlight w:val="none"/>
        </w:rPr>
        <w:t>投标企业须提供投标人（被授权在职人员）近6个月内任意1个月社保证明</w:t>
      </w:r>
      <w:r>
        <w:rPr>
          <w:rFonts w:hint="eastAsia" w:ascii="仿宋" w:hAnsi="仿宋" w:eastAsia="仿宋" w:cs="仿宋"/>
          <w:color w:val="auto"/>
          <w:spacing w:val="5"/>
          <w:position w:val="31"/>
          <w:sz w:val="23"/>
          <w:szCs w:val="23"/>
          <w:highlight w:val="none"/>
          <w:lang w:eastAsia="zh-CN"/>
        </w:rPr>
        <w:t>；</w:t>
      </w:r>
    </w:p>
    <w:p w14:paraId="299FC800">
      <w:pPr>
        <w:spacing w:before="258" w:line="227" w:lineRule="auto"/>
        <w:outlineLvl w:val="2"/>
        <w:rPr>
          <w:rFonts w:hint="eastAsia" w:ascii="仿宋" w:hAnsi="仿宋" w:eastAsia="仿宋" w:cs="仿宋"/>
          <w:color w:val="auto"/>
          <w:spacing w:val="5"/>
          <w:position w:val="31"/>
          <w:sz w:val="23"/>
          <w:szCs w:val="23"/>
          <w:highlight w:val="none"/>
          <w:lang w:val="en-US" w:eastAsia="zh-CN"/>
        </w:rPr>
      </w:pPr>
    </w:p>
    <w:p w14:paraId="54492715">
      <w:pPr>
        <w:spacing w:before="258" w:line="227" w:lineRule="auto"/>
        <w:outlineLvl w:val="2"/>
        <w:rPr>
          <w:rFonts w:hint="eastAsia" w:ascii="仿宋" w:hAnsi="仿宋" w:eastAsia="仿宋" w:cs="仿宋"/>
          <w:color w:val="auto"/>
          <w:spacing w:val="5"/>
          <w:position w:val="31"/>
          <w:sz w:val="23"/>
          <w:szCs w:val="23"/>
          <w:highlight w:val="none"/>
        </w:rPr>
      </w:pPr>
      <w:r>
        <w:rPr>
          <w:rFonts w:hint="eastAsia" w:ascii="仿宋" w:hAnsi="仿宋" w:eastAsia="仿宋" w:cs="仿宋"/>
          <w:color w:val="auto"/>
          <w:spacing w:val="5"/>
          <w:position w:val="31"/>
          <w:sz w:val="23"/>
          <w:szCs w:val="23"/>
          <w:highlight w:val="none"/>
          <w:lang w:val="en-US" w:eastAsia="zh-CN"/>
        </w:rPr>
        <w:t>4、未被列入信用中国网（www.creditchina.gov.cn）及中国政府采购网(www.ccgp.gov.cn）失信被执行人名单、重大税收违法失信主体、政府采购严重违法失信行为记录名单。</w:t>
      </w:r>
    </w:p>
    <w:p w14:paraId="26DB823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94CCBF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EDD5472">
      <w:pPr>
        <w:spacing w:before="181" w:line="227" w:lineRule="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lang w:val="en-US" w:eastAsia="zh-CN"/>
        </w:rPr>
        <w:t>5、</w:t>
      </w:r>
      <w:r>
        <w:rPr>
          <w:rFonts w:hint="eastAsia" w:ascii="仿宋" w:hAnsi="仿宋" w:eastAsia="仿宋" w:cs="仿宋"/>
          <w:color w:val="auto"/>
          <w:spacing w:val="7"/>
          <w:sz w:val="23"/>
          <w:szCs w:val="23"/>
          <w:highlight w:val="none"/>
        </w:rPr>
        <w:t>具有良好的商业信誉和健全的财务会计制度的证明文件（近三年）；</w:t>
      </w:r>
    </w:p>
    <w:p w14:paraId="0CF767F3">
      <w:pPr>
        <w:spacing w:before="181" w:line="227" w:lineRule="auto"/>
        <w:ind w:left="523"/>
        <w:rPr>
          <w:rFonts w:hint="eastAsia" w:ascii="仿宋" w:hAnsi="仿宋" w:eastAsia="仿宋" w:cs="仿宋"/>
          <w:color w:val="auto"/>
          <w:spacing w:val="7"/>
          <w:sz w:val="23"/>
          <w:szCs w:val="23"/>
          <w:highlight w:val="none"/>
          <w:lang w:val="en-US" w:eastAsia="zh-CN"/>
        </w:rPr>
      </w:pPr>
    </w:p>
    <w:p w14:paraId="4C428C0C">
      <w:pPr>
        <w:spacing w:before="181" w:line="227" w:lineRule="auto"/>
        <w:ind w:left="523"/>
        <w:rPr>
          <w:rFonts w:hint="eastAsia" w:ascii="仿宋" w:hAnsi="仿宋" w:eastAsia="仿宋" w:cs="仿宋"/>
          <w:color w:val="auto"/>
          <w:spacing w:val="7"/>
          <w:sz w:val="23"/>
          <w:szCs w:val="23"/>
          <w:highlight w:val="none"/>
          <w:lang w:val="en-US" w:eastAsia="zh-CN"/>
        </w:rPr>
      </w:pPr>
    </w:p>
    <w:p w14:paraId="58EB70C6">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789B3CD4">
      <w:pPr>
        <w:spacing w:before="181" w:line="227" w:lineRule="auto"/>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val="en-US" w:eastAsia="zh-CN"/>
        </w:rPr>
        <w:t>6、</w:t>
      </w:r>
      <w:r>
        <w:rPr>
          <w:rFonts w:hint="eastAsia" w:ascii="仿宋" w:hAnsi="仿宋" w:eastAsia="仿宋" w:cs="仿宋"/>
          <w:color w:val="auto"/>
          <w:spacing w:val="7"/>
          <w:sz w:val="23"/>
          <w:szCs w:val="23"/>
          <w:highlight w:val="none"/>
        </w:rPr>
        <w:t>参加政府采购活动前3年内在经营活动中没有重大违法记录的书面声明</w:t>
      </w:r>
      <w:r>
        <w:rPr>
          <w:rFonts w:hint="eastAsia" w:ascii="仿宋" w:hAnsi="仿宋" w:eastAsia="仿宋" w:cs="仿宋"/>
          <w:color w:val="auto"/>
          <w:spacing w:val="7"/>
          <w:sz w:val="23"/>
          <w:szCs w:val="23"/>
          <w:highlight w:val="none"/>
          <w:lang w:eastAsia="zh-CN"/>
        </w:rPr>
        <w:t>。</w:t>
      </w:r>
    </w:p>
    <w:p w14:paraId="44E4030D">
      <w:pPr>
        <w:spacing w:before="181" w:line="227" w:lineRule="auto"/>
        <w:ind w:left="523"/>
        <w:rPr>
          <w:rFonts w:hint="eastAsia" w:ascii="仿宋" w:hAnsi="仿宋" w:eastAsia="仿宋" w:cs="仿宋"/>
          <w:color w:val="auto"/>
          <w:spacing w:val="7"/>
          <w:sz w:val="23"/>
          <w:szCs w:val="23"/>
          <w:highlight w:val="none"/>
          <w:lang w:val="en-US" w:eastAsia="zh-CN"/>
        </w:rPr>
      </w:pPr>
    </w:p>
    <w:p w14:paraId="79638F40">
      <w:pPr>
        <w:pStyle w:val="5"/>
        <w:spacing w:line="301" w:lineRule="auto"/>
        <w:rPr>
          <w:rFonts w:hint="eastAsia" w:ascii="仿宋" w:hAnsi="仿宋" w:eastAsia="仿宋" w:cs="仿宋"/>
          <w:color w:val="auto"/>
          <w:sz w:val="21"/>
          <w:szCs w:val="21"/>
          <w:highlight w:val="none"/>
          <w:lang w:val="en-US" w:eastAsia="zh-CN"/>
        </w:rPr>
      </w:pPr>
    </w:p>
    <w:p w14:paraId="14F6EB4A">
      <w:pPr>
        <w:pStyle w:val="5"/>
        <w:spacing w:line="301" w:lineRule="auto"/>
        <w:rPr>
          <w:rFonts w:hint="eastAsia" w:ascii="仿宋" w:hAnsi="仿宋" w:eastAsia="仿宋" w:cs="仿宋"/>
          <w:color w:val="auto"/>
          <w:sz w:val="21"/>
          <w:szCs w:val="21"/>
          <w:highlight w:val="none"/>
          <w:lang w:val="en-US" w:eastAsia="zh-CN"/>
        </w:rPr>
      </w:pPr>
    </w:p>
    <w:p w14:paraId="0BE0214A">
      <w:pPr>
        <w:pStyle w:val="5"/>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7、特定资质：</w:t>
      </w:r>
    </w:p>
    <w:p w14:paraId="3B6EA1AA">
      <w:pPr>
        <w:pStyle w:val="5"/>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【标项4】</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w:t>
      </w:r>
      <w:r>
        <w:rPr>
          <w:rFonts w:hint="eastAsia" w:ascii="仿宋" w:hAnsi="仿宋" w:eastAsia="仿宋" w:cs="仿宋"/>
          <w:snapToGrid w:val="0"/>
          <w:color w:val="auto"/>
          <w:spacing w:val="7"/>
          <w:kern w:val="0"/>
          <w:sz w:val="23"/>
          <w:szCs w:val="23"/>
          <w:highlight w:val="none"/>
          <w:lang w:val="en-US" w:eastAsia="en-US" w:bidi="ar-SA"/>
        </w:rPr>
        <w:t>国家行政主管部门合法登记注册，并具备有效的公证机构执业证书</w:t>
      </w:r>
      <w:r>
        <w:rPr>
          <w:rFonts w:hint="eastAsia" w:ascii="仿宋" w:hAnsi="仿宋" w:eastAsia="仿宋" w:cs="仿宋"/>
          <w:snapToGrid w:val="0"/>
          <w:color w:val="auto"/>
          <w:spacing w:val="7"/>
          <w:kern w:val="0"/>
          <w:sz w:val="23"/>
          <w:szCs w:val="23"/>
          <w:highlight w:val="none"/>
          <w:lang w:val="en-US" w:eastAsia="zh-CN" w:bidi="ar-SA"/>
        </w:rPr>
        <w:t>；</w:t>
      </w:r>
    </w:p>
    <w:p w14:paraId="4DDE6F56">
      <w:pPr>
        <w:pStyle w:val="5"/>
        <w:numPr>
          <w:ilvl w:val="0"/>
          <w:numId w:val="0"/>
        </w:numPr>
        <w:spacing w:line="301" w:lineRule="auto"/>
        <w:rPr>
          <w:rFonts w:hint="eastAsia" w:ascii="仿宋" w:hAnsi="仿宋" w:eastAsia="仿宋" w:cs="仿宋"/>
          <w:color w:val="auto"/>
          <w:sz w:val="21"/>
          <w:szCs w:val="21"/>
          <w:highlight w:val="none"/>
        </w:rPr>
      </w:pPr>
    </w:p>
    <w:p w14:paraId="62511233">
      <w:pPr>
        <w:spacing w:before="181" w:line="227" w:lineRule="auto"/>
        <w:ind w:left="523"/>
        <w:rPr>
          <w:rFonts w:hint="eastAsia" w:ascii="仿宋" w:hAnsi="仿宋" w:eastAsia="仿宋" w:cs="仿宋"/>
          <w:color w:val="auto"/>
          <w:spacing w:val="7"/>
          <w:sz w:val="23"/>
          <w:szCs w:val="23"/>
          <w:highlight w:val="none"/>
          <w:lang w:val="en-US" w:eastAsia="zh-CN"/>
        </w:rPr>
      </w:pPr>
    </w:p>
    <w:p w14:paraId="7D33A5F1">
      <w:pPr>
        <w:spacing w:before="181" w:line="227" w:lineRule="auto"/>
        <w:rPr>
          <w:rFonts w:hint="eastAsia" w:ascii="仿宋" w:hAnsi="仿宋" w:eastAsia="仿宋" w:cs="仿宋"/>
          <w:color w:val="auto"/>
          <w:sz w:val="23"/>
          <w:szCs w:val="23"/>
          <w:highlight w:val="none"/>
          <w:lang w:eastAsia="zh-CN"/>
        </w:rPr>
        <w:sectPr>
          <w:footerReference r:id="rId3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lang w:val="en-US" w:eastAsia="zh-CN"/>
        </w:rPr>
        <w:t>8、</w:t>
      </w:r>
      <w:r>
        <w:rPr>
          <w:rFonts w:hint="eastAsia" w:ascii="仿宋" w:hAnsi="仿宋" w:eastAsia="仿宋" w:cs="仿宋"/>
          <w:color w:val="auto"/>
          <w:spacing w:val="7"/>
          <w:sz w:val="23"/>
          <w:szCs w:val="23"/>
          <w:highlight w:val="none"/>
        </w:rPr>
        <w:t>供应商须知资料表要求的其他资格证明文件</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格式自拟</w:t>
      </w:r>
      <w:r>
        <w:rPr>
          <w:rFonts w:hint="eastAsia" w:ascii="仿宋" w:hAnsi="仿宋" w:eastAsia="仿宋" w:cs="仿宋"/>
          <w:color w:val="auto"/>
          <w:spacing w:val="7"/>
          <w:sz w:val="23"/>
          <w:szCs w:val="23"/>
          <w:highlight w:val="none"/>
          <w:lang w:eastAsia="zh-CN"/>
        </w:rPr>
        <w:t>）</w:t>
      </w:r>
    </w:p>
    <w:p w14:paraId="406ABB58">
      <w:pPr>
        <w:pStyle w:val="5"/>
        <w:spacing w:line="272" w:lineRule="auto"/>
        <w:rPr>
          <w:rFonts w:hint="eastAsia" w:ascii="仿宋" w:hAnsi="仿宋" w:eastAsia="仿宋" w:cs="仿宋"/>
          <w:color w:val="auto"/>
          <w:highlight w:val="none"/>
        </w:rPr>
      </w:pPr>
    </w:p>
    <w:p w14:paraId="3B5133FD">
      <w:pPr>
        <w:spacing w:before="75" w:line="227" w:lineRule="auto"/>
        <w:ind w:left="193"/>
        <w:jc w:val="center"/>
        <w:rPr>
          <w:rFonts w:hint="eastAsia" w:ascii="仿宋" w:hAnsi="仿宋" w:eastAsia="仿宋" w:cs="仿宋"/>
          <w:color w:val="auto"/>
          <w:spacing w:val="7"/>
          <w:sz w:val="30"/>
          <w:szCs w:val="30"/>
          <w:highlight w:val="none"/>
        </w:rPr>
      </w:pPr>
      <w:r>
        <w:rPr>
          <w:rFonts w:hint="eastAsia" w:ascii="仿宋" w:hAnsi="仿宋" w:eastAsia="仿宋" w:cs="仿宋"/>
          <w:color w:val="auto"/>
          <w:spacing w:val="7"/>
          <w:sz w:val="30"/>
          <w:szCs w:val="30"/>
          <w:highlight w:val="none"/>
        </w:rPr>
        <w:t>第二部分  商务及技术文件</w:t>
      </w:r>
    </w:p>
    <w:p w14:paraId="72C11989">
      <w:pPr>
        <w:spacing w:before="75" w:line="227" w:lineRule="auto"/>
        <w:ind w:left="193"/>
        <w:jc w:val="center"/>
        <w:rPr>
          <w:rFonts w:hint="eastAsia" w:ascii="仿宋" w:hAnsi="仿宋" w:eastAsia="仿宋" w:cs="仿宋"/>
          <w:color w:val="auto"/>
          <w:spacing w:val="7"/>
          <w:sz w:val="30"/>
          <w:szCs w:val="30"/>
          <w:highlight w:val="none"/>
        </w:rPr>
      </w:pPr>
    </w:p>
    <w:p w14:paraId="4D3EAD7B">
      <w:pPr>
        <w:pStyle w:val="5"/>
        <w:spacing w:line="360" w:lineRule="auto"/>
        <w:rPr>
          <w:rFonts w:hint="eastAsia" w:ascii="仿宋" w:hAnsi="仿宋" w:eastAsia="仿宋" w:cs="仿宋"/>
          <w:color w:val="auto"/>
          <w:highlight w:val="none"/>
        </w:rPr>
      </w:pPr>
    </w:p>
    <w:p w14:paraId="068C340F">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1、报价一览表（见响应文件格式四）</w:t>
      </w:r>
    </w:p>
    <w:p w14:paraId="617F50A1">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2、征集响应书（见响应文件格式五）</w:t>
      </w:r>
    </w:p>
    <w:p w14:paraId="74CE13BA">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3、分项报价表（见响应文件格式六）</w:t>
      </w:r>
    </w:p>
    <w:p w14:paraId="03E7A915">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4、商务条款偏离表（见响应文件格式七）</w:t>
      </w:r>
    </w:p>
    <w:p w14:paraId="5F6E6782">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5、征集文件要求的所有技术文件（见响应文件格式八）</w:t>
      </w:r>
    </w:p>
    <w:p w14:paraId="31B045BC">
      <w:pPr>
        <w:pStyle w:val="5"/>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6、中小企业声明函（服务)</w:t>
      </w:r>
    </w:p>
    <w:p w14:paraId="4FBF3854">
      <w:pPr>
        <w:pStyle w:val="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、供应商</w:t>
      </w:r>
      <w:r>
        <w:rPr>
          <w:rFonts w:hint="eastAsia" w:ascii="仿宋" w:hAnsi="仿宋" w:eastAsia="仿宋" w:cs="仿宋"/>
          <w:color w:val="auto"/>
          <w:highlight w:val="none"/>
          <w:lang w:val="en-US" w:eastAsia="zh-CN"/>
        </w:rPr>
        <w:t>需提供的其他文件（格式自拟）</w:t>
      </w:r>
    </w:p>
    <w:p w14:paraId="4F128CDC">
      <w:pPr>
        <w:pStyle w:val="5"/>
        <w:spacing w:line="360" w:lineRule="auto"/>
        <w:rPr>
          <w:rFonts w:hint="eastAsia" w:ascii="仿宋" w:hAnsi="仿宋" w:eastAsia="仿宋" w:cs="仿宋"/>
          <w:color w:val="auto"/>
          <w:highlight w:val="none"/>
        </w:rPr>
      </w:pPr>
    </w:p>
    <w:p w14:paraId="3B502EB3">
      <w:pPr>
        <w:spacing w:line="360" w:lineRule="auto"/>
        <w:rPr>
          <w:rFonts w:hint="eastAsia" w:ascii="仿宋" w:hAnsi="仿宋" w:eastAsia="仿宋" w:cs="仿宋"/>
          <w:color w:val="auto"/>
          <w:sz w:val="23"/>
          <w:szCs w:val="23"/>
          <w:highlight w:val="none"/>
        </w:rPr>
        <w:sectPr>
          <w:footerReference r:id="rId33" w:type="default"/>
          <w:pgSz w:w="11905" w:h="16838"/>
          <w:pgMar w:top="1020" w:right="1134" w:bottom="1020" w:left="1134" w:header="0" w:footer="573" w:gutter="0"/>
          <w:pgNumType w:fmt="decimal"/>
          <w:cols w:space="0" w:num="1"/>
          <w:rtlGutter w:val="0"/>
          <w:docGrid w:linePitch="0" w:charSpace="0"/>
        </w:sectPr>
      </w:pPr>
    </w:p>
    <w:p w14:paraId="7DC8DD11">
      <w:pPr>
        <w:spacing w:before="75" w:line="226" w:lineRule="auto"/>
        <w:ind w:left="607"/>
        <w:jc w:val="center"/>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w:t>
      </w:r>
      <w:r>
        <w:rPr>
          <w:rFonts w:hint="eastAsia" w:ascii="仿宋" w:hAnsi="仿宋" w:eastAsia="仿宋" w:cs="仿宋"/>
          <w:color w:val="auto"/>
          <w:spacing w:val="73"/>
          <w:sz w:val="23"/>
          <w:szCs w:val="23"/>
          <w:highlight w:val="none"/>
        </w:rPr>
        <w:t xml:space="preserve"> </w:t>
      </w:r>
      <w:r>
        <w:rPr>
          <w:rFonts w:hint="eastAsia" w:ascii="仿宋" w:hAnsi="仿宋" w:eastAsia="仿宋" w:cs="仿宋"/>
          <w:color w:val="auto"/>
          <w:spacing w:val="-1"/>
          <w:sz w:val="23"/>
          <w:szCs w:val="23"/>
          <w:highlight w:val="none"/>
        </w:rPr>
        <w:t>报价一览表</w:t>
      </w:r>
    </w:p>
    <w:p w14:paraId="721C7F40">
      <w:pPr>
        <w:spacing w:before="189" w:line="227" w:lineRule="auto"/>
        <w:ind w:left="3622" w:firstLine="714"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（响应文件格式四）</w:t>
      </w:r>
    </w:p>
    <w:p w14:paraId="50F53D07">
      <w:pPr>
        <w:pStyle w:val="5"/>
        <w:spacing w:line="326" w:lineRule="auto"/>
        <w:rPr>
          <w:rFonts w:hint="eastAsia" w:ascii="仿宋" w:hAnsi="仿宋" w:eastAsia="仿宋" w:cs="仿宋"/>
          <w:color w:val="auto"/>
          <w:highlight w:val="none"/>
        </w:rPr>
      </w:pPr>
    </w:p>
    <w:p w14:paraId="4DAF00E0">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21E968E3">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23191AD5">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437E14CB">
      <w:pPr>
        <w:pStyle w:val="5"/>
        <w:spacing w:line="327" w:lineRule="auto"/>
        <w:rPr>
          <w:rFonts w:hint="eastAsia" w:ascii="仿宋" w:hAnsi="仿宋" w:eastAsia="仿宋" w:cs="仿宋"/>
          <w:color w:val="auto"/>
          <w:highlight w:val="none"/>
        </w:rPr>
      </w:pPr>
    </w:p>
    <w:p w14:paraId="7AACF589">
      <w:pPr>
        <w:spacing w:before="213" w:line="227" w:lineRule="auto"/>
        <w:ind w:left="5914" w:firstLine="1700" w:firstLineChars="700"/>
        <w:rPr>
          <w:rFonts w:hint="eastAsia" w:ascii="仿宋" w:hAnsi="仿宋" w:eastAsia="仿宋" w:cs="仿宋"/>
          <w:b/>
          <w:bCs/>
          <w:color w:val="auto"/>
          <w:sz w:val="23"/>
          <w:szCs w:val="23"/>
          <w:highlight w:val="none"/>
        </w:rPr>
      </w:pPr>
      <w:r>
        <w:rPr>
          <w:rFonts w:hint="eastAsia" w:ascii="仿宋" w:hAnsi="仿宋" w:eastAsia="仿宋" w:cs="仿宋"/>
          <w:b/>
          <w:bCs/>
          <w:color w:val="auto"/>
          <w:spacing w:val="6"/>
          <w:sz w:val="23"/>
          <w:szCs w:val="23"/>
          <w:highlight w:val="none"/>
        </w:rPr>
        <w:t>单位：</w:t>
      </w:r>
      <w:r>
        <w:rPr>
          <w:rFonts w:hint="eastAsia" w:ascii="仿宋" w:hAnsi="仿宋" w:eastAsia="仿宋" w:cs="仿宋"/>
          <w:b/>
          <w:bCs/>
          <w:color w:val="auto"/>
          <w:spacing w:val="6"/>
          <w:sz w:val="23"/>
          <w:szCs w:val="23"/>
          <w:highlight w:val="none"/>
          <w:lang w:val="en-US" w:eastAsia="zh-CN"/>
        </w:rPr>
        <w:t>%</w:t>
      </w:r>
    </w:p>
    <w:p w14:paraId="4BA5445E">
      <w:pPr>
        <w:spacing w:line="94" w:lineRule="auto"/>
        <w:rPr>
          <w:rFonts w:hint="eastAsia" w:ascii="仿宋" w:hAnsi="仿宋" w:eastAsia="仿宋" w:cs="仿宋"/>
          <w:color w:val="auto"/>
          <w:sz w:val="2"/>
          <w:highlight w:val="none"/>
        </w:rPr>
      </w:pPr>
    </w:p>
    <w:tbl>
      <w:tblPr>
        <w:tblStyle w:val="21"/>
        <w:tblW w:w="878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972"/>
        <w:gridCol w:w="6185"/>
      </w:tblGrid>
      <w:tr w14:paraId="5C6F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ADC0EBD">
            <w:pPr>
              <w:pStyle w:val="22"/>
              <w:spacing w:before="130" w:line="228" w:lineRule="auto"/>
              <w:ind w:left="840"/>
              <w:rPr>
                <w:rFonts w:hint="eastAsia" w:ascii="仿宋" w:hAnsi="仿宋" w:eastAsia="仿宋" w:cs="仿宋"/>
                <w:color w:val="auto"/>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名称</w:t>
            </w:r>
          </w:p>
        </w:tc>
        <w:tc>
          <w:tcPr>
            <w:tcW w:w="6185" w:type="dxa"/>
            <w:vAlign w:val="top"/>
          </w:tcPr>
          <w:p w14:paraId="6402425C">
            <w:pPr>
              <w:rPr>
                <w:rFonts w:hint="eastAsia" w:ascii="仿宋" w:hAnsi="仿宋" w:eastAsia="仿宋" w:cs="仿宋"/>
                <w:color w:val="auto"/>
                <w:sz w:val="21"/>
                <w:highlight w:val="none"/>
              </w:rPr>
            </w:pPr>
          </w:p>
        </w:tc>
      </w:tr>
      <w:tr w14:paraId="0784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598" w:type="dxa"/>
            <w:gridSpan w:val="2"/>
            <w:vAlign w:val="top"/>
          </w:tcPr>
          <w:p w14:paraId="07C04DE8">
            <w:pPr>
              <w:pStyle w:val="22"/>
              <w:spacing w:before="108" w:line="228" w:lineRule="auto"/>
              <w:ind w:left="835"/>
              <w:rPr>
                <w:rFonts w:hint="eastAsia" w:ascii="仿宋" w:hAnsi="仿宋" w:eastAsia="仿宋" w:cs="仿宋"/>
                <w:color w:val="auto"/>
                <w:highlight w:val="none"/>
              </w:rPr>
            </w:pPr>
            <w:r>
              <w:rPr>
                <w:rFonts w:hint="eastAsia" w:ascii="仿宋" w:hAnsi="仿宋" w:eastAsia="仿宋" w:cs="仿宋"/>
                <w:color w:val="auto"/>
                <w:spacing w:val="5"/>
                <w:highlight w:val="none"/>
              </w:rPr>
              <w:t>协议时间</w:t>
            </w:r>
          </w:p>
        </w:tc>
        <w:tc>
          <w:tcPr>
            <w:tcW w:w="6185" w:type="dxa"/>
            <w:vAlign w:val="top"/>
          </w:tcPr>
          <w:p w14:paraId="4E34601A">
            <w:pPr>
              <w:rPr>
                <w:rFonts w:hint="eastAsia" w:ascii="仿宋" w:hAnsi="仿宋" w:eastAsia="仿宋" w:cs="仿宋"/>
                <w:color w:val="auto"/>
                <w:sz w:val="21"/>
                <w:highlight w:val="none"/>
              </w:rPr>
            </w:pPr>
          </w:p>
        </w:tc>
      </w:tr>
      <w:tr w14:paraId="2A56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D5296A9">
            <w:pPr>
              <w:pStyle w:val="22"/>
              <w:spacing w:before="127" w:line="228" w:lineRule="auto"/>
              <w:ind w:left="719"/>
              <w:rPr>
                <w:rFonts w:hint="eastAsia" w:ascii="仿宋" w:hAnsi="仿宋" w:eastAsia="仿宋" w:cs="仿宋"/>
                <w:color w:val="auto"/>
                <w:highlight w:val="none"/>
              </w:rPr>
            </w:pPr>
            <w:r>
              <w:rPr>
                <w:rFonts w:hint="eastAsia" w:ascii="仿宋" w:hAnsi="仿宋" w:eastAsia="仿宋" w:cs="仿宋"/>
                <w:color w:val="auto"/>
                <w:spacing w:val="5"/>
                <w:highlight w:val="none"/>
              </w:rPr>
              <w:t>投标有效期</w:t>
            </w:r>
          </w:p>
        </w:tc>
        <w:tc>
          <w:tcPr>
            <w:tcW w:w="6185" w:type="dxa"/>
            <w:vAlign w:val="top"/>
          </w:tcPr>
          <w:p w14:paraId="755C9FB6">
            <w:pPr>
              <w:pStyle w:val="22"/>
              <w:spacing w:before="127" w:line="228" w:lineRule="auto"/>
              <w:ind w:left="2866"/>
              <w:rPr>
                <w:rFonts w:hint="eastAsia" w:ascii="仿宋" w:hAnsi="仿宋" w:eastAsia="仿宋" w:cs="仿宋"/>
                <w:color w:val="auto"/>
                <w:highlight w:val="none"/>
              </w:rPr>
            </w:pPr>
            <w:r>
              <w:rPr>
                <w:rFonts w:hint="eastAsia" w:ascii="仿宋" w:hAnsi="仿宋" w:eastAsia="仿宋" w:cs="仿宋"/>
                <w:color w:val="auto"/>
                <w:highlight w:val="none"/>
              </w:rPr>
              <w:t>90天</w:t>
            </w:r>
          </w:p>
        </w:tc>
      </w:tr>
      <w:tr w14:paraId="7D64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26" w:type="dxa"/>
            <w:vMerge w:val="restart"/>
            <w:tcBorders>
              <w:bottom w:val="nil"/>
            </w:tcBorders>
            <w:vAlign w:val="center"/>
          </w:tcPr>
          <w:p w14:paraId="79D3FE00">
            <w:pPr>
              <w:pStyle w:val="22"/>
              <w:spacing w:before="184" w:line="226" w:lineRule="auto"/>
              <w:ind w:left="352"/>
              <w:jc w:val="left"/>
              <w:rPr>
                <w:rFonts w:hint="eastAsia" w:ascii="仿宋" w:hAnsi="仿宋" w:eastAsia="仿宋" w:cs="仿宋"/>
                <w:color w:val="auto"/>
                <w:highlight w:val="none"/>
              </w:rPr>
            </w:pPr>
            <w:r>
              <w:rPr>
                <w:rFonts w:hint="eastAsia" w:ascii="仿宋" w:hAnsi="仿宋" w:eastAsia="仿宋" w:cs="仿宋"/>
                <w:color w:val="auto"/>
                <w:spacing w:val="3"/>
                <w:highlight w:val="none"/>
              </w:rPr>
              <w:t>投标报价</w:t>
            </w:r>
          </w:p>
          <w:p w14:paraId="5C6710B6">
            <w:pPr>
              <w:pStyle w:val="22"/>
              <w:spacing w:before="42"/>
              <w:ind w:left="548"/>
              <w:jc w:val="left"/>
              <w:rPr>
                <w:rFonts w:hint="eastAsia" w:ascii="仿宋" w:hAnsi="仿宋" w:eastAsia="仿宋" w:cs="仿宋"/>
                <w:color w:val="auto"/>
                <w:highlight w:val="none"/>
              </w:rPr>
            </w:pP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val="en-US" w:eastAsia="zh-CN"/>
              </w:rPr>
              <w:t>%</w:t>
            </w:r>
            <w:r>
              <w:rPr>
                <w:rFonts w:hint="eastAsia" w:ascii="仿宋" w:hAnsi="仿宋" w:eastAsia="仿宋" w:cs="仿宋"/>
                <w:color w:val="auto"/>
                <w:spacing w:val="-4"/>
                <w:highlight w:val="none"/>
              </w:rPr>
              <w:t>）</w:t>
            </w:r>
          </w:p>
        </w:tc>
        <w:tc>
          <w:tcPr>
            <w:tcW w:w="972" w:type="dxa"/>
            <w:vAlign w:val="top"/>
          </w:tcPr>
          <w:p w14:paraId="27D23784">
            <w:pPr>
              <w:pStyle w:val="22"/>
              <w:spacing w:before="102" w:line="230" w:lineRule="auto"/>
              <w:ind w:left="273"/>
              <w:rPr>
                <w:rFonts w:hint="eastAsia" w:ascii="仿宋" w:hAnsi="仿宋" w:eastAsia="仿宋" w:cs="仿宋"/>
                <w:color w:val="auto"/>
                <w:highlight w:val="none"/>
              </w:rPr>
            </w:pPr>
            <w:r>
              <w:rPr>
                <w:rFonts w:hint="eastAsia" w:ascii="仿宋" w:hAnsi="仿宋" w:eastAsia="仿宋" w:cs="仿宋"/>
                <w:color w:val="auto"/>
                <w:spacing w:val="-2"/>
                <w:highlight w:val="none"/>
              </w:rPr>
              <w:t>小写</w:t>
            </w:r>
          </w:p>
        </w:tc>
        <w:tc>
          <w:tcPr>
            <w:tcW w:w="6185" w:type="dxa"/>
            <w:vAlign w:val="top"/>
          </w:tcPr>
          <w:p w14:paraId="78EDF4B2">
            <w:pPr>
              <w:rPr>
                <w:rFonts w:hint="eastAsia" w:ascii="仿宋" w:hAnsi="仿宋" w:eastAsia="仿宋" w:cs="仿宋"/>
                <w:color w:val="auto"/>
                <w:sz w:val="21"/>
                <w:highlight w:val="none"/>
              </w:rPr>
            </w:pPr>
          </w:p>
        </w:tc>
      </w:tr>
      <w:tr w14:paraId="6D25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26" w:type="dxa"/>
            <w:vMerge w:val="continue"/>
            <w:tcBorders>
              <w:top w:val="nil"/>
            </w:tcBorders>
            <w:vAlign w:val="top"/>
          </w:tcPr>
          <w:p w14:paraId="46BC784A">
            <w:pPr>
              <w:rPr>
                <w:rFonts w:hint="eastAsia" w:ascii="仿宋" w:hAnsi="仿宋" w:eastAsia="仿宋" w:cs="仿宋"/>
                <w:color w:val="auto"/>
                <w:sz w:val="21"/>
                <w:highlight w:val="none"/>
              </w:rPr>
            </w:pPr>
          </w:p>
        </w:tc>
        <w:tc>
          <w:tcPr>
            <w:tcW w:w="972" w:type="dxa"/>
            <w:vAlign w:val="top"/>
          </w:tcPr>
          <w:p w14:paraId="77F9983E">
            <w:pPr>
              <w:pStyle w:val="22"/>
              <w:spacing w:before="129" w:line="228" w:lineRule="auto"/>
              <w:ind w:left="264"/>
              <w:rPr>
                <w:rFonts w:hint="eastAsia" w:ascii="仿宋" w:hAnsi="仿宋" w:eastAsia="仿宋" w:cs="仿宋"/>
                <w:color w:val="auto"/>
                <w:highlight w:val="none"/>
              </w:rPr>
            </w:pPr>
            <w:r>
              <w:rPr>
                <w:rFonts w:hint="eastAsia" w:ascii="仿宋" w:hAnsi="仿宋" w:eastAsia="仿宋" w:cs="仿宋"/>
                <w:color w:val="auto"/>
                <w:highlight w:val="none"/>
              </w:rPr>
              <w:t>大写</w:t>
            </w:r>
          </w:p>
        </w:tc>
        <w:tc>
          <w:tcPr>
            <w:tcW w:w="6185" w:type="dxa"/>
            <w:vAlign w:val="top"/>
          </w:tcPr>
          <w:p w14:paraId="7132D320">
            <w:pPr>
              <w:rPr>
                <w:rFonts w:hint="eastAsia" w:ascii="仿宋" w:hAnsi="仿宋" w:eastAsia="仿宋" w:cs="仿宋"/>
                <w:color w:val="auto"/>
                <w:sz w:val="21"/>
                <w:highlight w:val="none"/>
              </w:rPr>
            </w:pPr>
          </w:p>
        </w:tc>
      </w:tr>
      <w:tr w14:paraId="75CB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783" w:type="dxa"/>
            <w:gridSpan w:val="3"/>
            <w:vAlign w:val="top"/>
          </w:tcPr>
          <w:p w14:paraId="55DB7809">
            <w:pPr>
              <w:spacing w:line="314" w:lineRule="auto"/>
              <w:rPr>
                <w:rFonts w:hint="eastAsia" w:ascii="仿宋" w:hAnsi="仿宋" w:eastAsia="仿宋" w:cs="仿宋"/>
                <w:color w:val="auto"/>
                <w:sz w:val="21"/>
                <w:highlight w:val="none"/>
              </w:rPr>
            </w:pPr>
          </w:p>
          <w:p w14:paraId="19249974">
            <w:pPr>
              <w:pStyle w:val="22"/>
              <w:spacing w:before="74" w:line="229" w:lineRule="auto"/>
              <w:ind w:left="131"/>
              <w:outlineLvl w:val="2"/>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626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783" w:type="dxa"/>
            <w:gridSpan w:val="3"/>
            <w:vAlign w:val="center"/>
          </w:tcPr>
          <w:p w14:paraId="5027D863">
            <w:pPr>
              <w:pStyle w:val="22"/>
              <w:spacing w:before="75" w:line="226" w:lineRule="auto"/>
              <w:jc w:val="left"/>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rPr>
              <w:t>说明</w:t>
            </w:r>
            <w:r>
              <w:rPr>
                <w:rFonts w:hint="eastAsia" w:ascii="仿宋" w:hAnsi="仿宋" w:eastAsia="仿宋" w:cs="仿宋"/>
                <w:b/>
                <w:bCs/>
                <w:color w:val="auto"/>
                <w:spacing w:val="4"/>
                <w:highlight w:val="none"/>
                <w:lang w:eastAsia="zh-CN"/>
              </w:rPr>
              <w:t>：</w:t>
            </w:r>
            <w:r>
              <w:rPr>
                <w:rFonts w:hint="eastAsia" w:ascii="仿宋" w:hAnsi="仿宋" w:eastAsia="仿宋" w:cs="仿宋"/>
                <w:b/>
                <w:bCs/>
                <w:color w:val="auto"/>
                <w:spacing w:val="4"/>
                <w:highlight w:val="none"/>
              </w:rPr>
              <w:t>投标人报价不得超过</w:t>
            </w:r>
            <w:r>
              <w:rPr>
                <w:rFonts w:hint="eastAsia" w:ascii="仿宋" w:hAnsi="仿宋" w:eastAsia="仿宋" w:cs="仿宋"/>
                <w:b/>
                <w:bCs/>
                <w:color w:val="auto"/>
                <w:spacing w:val="4"/>
                <w:highlight w:val="none"/>
                <w:lang w:val="en-US" w:eastAsia="zh-CN"/>
              </w:rPr>
              <w:t>最高限价</w:t>
            </w:r>
            <w:r>
              <w:rPr>
                <w:rFonts w:hint="eastAsia" w:ascii="仿宋" w:hAnsi="仿宋" w:eastAsia="仿宋" w:cs="仿宋"/>
                <w:b/>
                <w:bCs/>
                <w:color w:val="auto"/>
                <w:spacing w:val="4"/>
                <w:highlight w:val="none"/>
                <w:lang w:eastAsia="zh-CN"/>
              </w:rPr>
              <w:t>。</w:t>
            </w:r>
          </w:p>
        </w:tc>
      </w:tr>
    </w:tbl>
    <w:p w14:paraId="2849AE87">
      <w:pPr>
        <w:spacing w:before="208" w:line="227" w:lineRule="auto"/>
        <w:ind w:left="50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填写说明：</w:t>
      </w:r>
    </w:p>
    <w:p w14:paraId="0D7448B5">
      <w:pPr>
        <w:spacing w:before="234" w:line="395" w:lineRule="auto"/>
        <w:ind w:left="30" w:right="581" w:firstLine="5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1.开标时，本表中的内容与投标文件中的投标函、货物</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服务</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rPr>
        <w:t>价格明细表及分项价</w:t>
      </w:r>
      <w:r>
        <w:rPr>
          <w:rFonts w:hint="eastAsia" w:ascii="仿宋" w:hAnsi="仿宋" w:eastAsia="仿宋" w:cs="仿宋"/>
          <w:color w:val="auto"/>
          <w:spacing w:val="7"/>
          <w:sz w:val="23"/>
          <w:szCs w:val="23"/>
          <w:highlight w:val="none"/>
        </w:rPr>
        <w:t>格表的内容不一致的，以本表为准；大写金额与小写金额不</w:t>
      </w:r>
      <w:r>
        <w:rPr>
          <w:rFonts w:hint="eastAsia" w:ascii="仿宋" w:hAnsi="仿宋" w:eastAsia="仿宋" w:cs="仿宋"/>
          <w:color w:val="auto"/>
          <w:spacing w:val="6"/>
          <w:sz w:val="23"/>
          <w:szCs w:val="23"/>
          <w:highlight w:val="none"/>
        </w:rPr>
        <w:t>一致的，以大写金额</w:t>
      </w:r>
      <w:r>
        <w:rPr>
          <w:rFonts w:hint="eastAsia" w:ascii="仿宋" w:hAnsi="仿宋" w:eastAsia="仿宋" w:cs="仿宋"/>
          <w:color w:val="auto"/>
          <w:spacing w:val="7"/>
          <w:sz w:val="23"/>
          <w:szCs w:val="23"/>
          <w:highlight w:val="none"/>
        </w:rPr>
        <w:t>为准；总价金额与按单价汇总金额不一致的，以单价金额计</w:t>
      </w:r>
      <w:r>
        <w:rPr>
          <w:rFonts w:hint="eastAsia" w:ascii="仿宋" w:hAnsi="仿宋" w:eastAsia="仿宋" w:cs="仿宋"/>
          <w:color w:val="auto"/>
          <w:spacing w:val="6"/>
          <w:sz w:val="23"/>
          <w:szCs w:val="23"/>
          <w:highlight w:val="none"/>
        </w:rPr>
        <w:t>算结果为准；单价金</w:t>
      </w:r>
      <w:r>
        <w:rPr>
          <w:rFonts w:hint="eastAsia" w:ascii="仿宋" w:hAnsi="仿宋" w:eastAsia="仿宋" w:cs="仿宋"/>
          <w:color w:val="auto"/>
          <w:spacing w:val="-1"/>
          <w:sz w:val="23"/>
          <w:szCs w:val="23"/>
          <w:highlight w:val="none"/>
        </w:rPr>
        <w:t>额小数点有明显错位的，应以总价为准，</w:t>
      </w:r>
      <w:r>
        <w:rPr>
          <w:rFonts w:hint="eastAsia" w:ascii="仿宋" w:hAnsi="仿宋" w:eastAsia="仿宋" w:cs="仿宋"/>
          <w:color w:val="auto"/>
          <w:spacing w:val="-2"/>
          <w:sz w:val="23"/>
          <w:szCs w:val="23"/>
          <w:highlight w:val="none"/>
        </w:rPr>
        <w:t>并修改单价。</w:t>
      </w:r>
    </w:p>
    <w:p w14:paraId="10F0822B">
      <w:pPr>
        <w:spacing w:before="211" w:line="509" w:lineRule="exact"/>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position w:val="20"/>
          <w:sz w:val="23"/>
          <w:szCs w:val="23"/>
          <w:highlight w:val="none"/>
        </w:rPr>
        <w:t>2.投标总价为招标范围所列全部招标项目的报价总和，并应与投标报价明细</w:t>
      </w:r>
    </w:p>
    <w:p w14:paraId="2FE00D1D">
      <w:pPr>
        <w:spacing w:before="1" w:line="225" w:lineRule="auto"/>
        <w:ind w:left="2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表及分项价格表保持一致。</w:t>
      </w:r>
    </w:p>
    <w:p w14:paraId="7E3B047E">
      <w:pPr>
        <w:spacing w:before="215" w:line="226" w:lineRule="auto"/>
        <w:ind w:left="52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3.投标报价不得填报选择性报价。</w:t>
      </w:r>
    </w:p>
    <w:p w14:paraId="02ECCD92">
      <w:pPr>
        <w:spacing w:before="222"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供应商（盖公章）</w:t>
      </w:r>
      <w:r>
        <w:rPr>
          <w:rFonts w:hint="eastAsia" w:ascii="仿宋" w:hAnsi="仿宋" w:eastAsia="仿宋" w:cs="仿宋"/>
          <w:color w:val="auto"/>
          <w:spacing w:val="-17"/>
          <w:sz w:val="23"/>
          <w:szCs w:val="23"/>
          <w:highlight w:val="none"/>
        </w:rPr>
        <w:t>：</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789BCC62">
      <w:pPr>
        <w:spacing w:before="214" w:line="227"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法定代表人或授权代表（签章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8537A55">
      <w:pPr>
        <w:spacing w:before="217"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签署日期：</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38"/>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2"/>
          <w:sz w:val="23"/>
          <w:szCs w:val="23"/>
          <w:highlight w:val="none"/>
        </w:rPr>
        <w:t xml:space="preserve"> </w:t>
      </w:r>
      <w:r>
        <w:rPr>
          <w:rFonts w:hint="eastAsia" w:ascii="仿宋" w:hAnsi="仿宋" w:eastAsia="仿宋" w:cs="仿宋"/>
          <w:color w:val="auto"/>
          <w:spacing w:val="-8"/>
          <w:sz w:val="23"/>
          <w:szCs w:val="23"/>
          <w:highlight w:val="none"/>
        </w:rPr>
        <w:t xml:space="preserve">月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
          <w:sz w:val="23"/>
          <w:szCs w:val="23"/>
          <w:highlight w:val="none"/>
        </w:rPr>
        <w:t xml:space="preserve"> 日</w:t>
      </w:r>
    </w:p>
    <w:p w14:paraId="0392011A">
      <w:pPr>
        <w:spacing w:line="227" w:lineRule="auto"/>
        <w:rPr>
          <w:rFonts w:hint="eastAsia" w:ascii="仿宋" w:hAnsi="仿宋" w:eastAsia="仿宋" w:cs="仿宋"/>
          <w:color w:val="auto"/>
          <w:sz w:val="23"/>
          <w:szCs w:val="23"/>
          <w:highlight w:val="none"/>
        </w:rPr>
        <w:sectPr>
          <w:footerReference r:id="rId34" w:type="default"/>
          <w:pgSz w:w="11905" w:h="16838"/>
          <w:pgMar w:top="1020" w:right="1134" w:bottom="1020" w:left="1134" w:header="0" w:footer="573" w:gutter="0"/>
          <w:pgNumType w:fmt="decimal"/>
          <w:cols w:space="0" w:num="1"/>
          <w:rtlGutter w:val="0"/>
          <w:docGrid w:linePitch="0" w:charSpace="0"/>
        </w:sectPr>
      </w:pPr>
    </w:p>
    <w:p w14:paraId="5B02B2EE">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1"/>
          <w:sz w:val="23"/>
          <w:szCs w:val="23"/>
          <w:highlight w:val="none"/>
        </w:rPr>
        <w:t>征集响应书</w:t>
      </w:r>
    </w:p>
    <w:p w14:paraId="2F658A58">
      <w:pPr>
        <w:spacing w:before="186"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 xml:space="preserve"> </w:t>
      </w:r>
      <w:r>
        <w:rPr>
          <w:rFonts w:hint="eastAsia" w:ascii="仿宋" w:hAnsi="仿宋" w:eastAsia="仿宋" w:cs="仿宋"/>
          <w:color w:val="auto"/>
          <w:spacing w:val="4"/>
          <w:sz w:val="23"/>
          <w:szCs w:val="23"/>
          <w:highlight w:val="none"/>
        </w:rPr>
        <w:t>（响应文件格式五）</w:t>
      </w:r>
    </w:p>
    <w:p w14:paraId="4AFCD992">
      <w:pPr>
        <w:spacing w:before="185" w:line="227" w:lineRule="auto"/>
        <w:ind w:left="30"/>
        <w:rPr>
          <w:rFonts w:hint="eastAsia" w:ascii="仿宋" w:hAnsi="仿宋" w:eastAsia="仿宋" w:cs="仿宋"/>
          <w:color w:val="auto"/>
          <w:sz w:val="23"/>
          <w:szCs w:val="23"/>
          <w:highlight w:val="none"/>
        </w:rPr>
      </w:pPr>
      <w:r>
        <w:rPr>
          <w:rFonts w:hint="eastAsia" w:ascii="仿宋" w:hAnsi="仿宋" w:eastAsia="仿宋" w:cs="仿宋"/>
          <w:color w:val="auto"/>
          <w:spacing w:val="12"/>
          <w:sz w:val="23"/>
          <w:szCs w:val="23"/>
          <w:highlight w:val="none"/>
        </w:rPr>
        <w:t>致</w:t>
      </w:r>
      <w:r>
        <w:rPr>
          <w:rFonts w:hint="eastAsia" w:ascii="仿宋" w:hAnsi="仿宋" w:eastAsia="仿宋" w:cs="仿宋"/>
          <w:color w:val="auto"/>
          <w:spacing w:val="-6"/>
          <w:sz w:val="23"/>
          <w:szCs w:val="23"/>
          <w:highlight w:val="none"/>
        </w:rPr>
        <w:t>：（</w:t>
      </w:r>
      <w:r>
        <w:rPr>
          <w:rFonts w:hint="eastAsia" w:ascii="仿宋" w:hAnsi="仿宋" w:eastAsia="仿宋" w:cs="仿宋"/>
          <w:color w:val="auto"/>
          <w:spacing w:val="12"/>
          <w:sz w:val="23"/>
          <w:szCs w:val="23"/>
          <w:highlight w:val="none"/>
          <w:u w:val="single" w:color="auto"/>
        </w:rPr>
        <w:t>征集人）</w:t>
      </w:r>
    </w:p>
    <w:p w14:paraId="4A3A121D">
      <w:pPr>
        <w:spacing w:before="205" w:line="336" w:lineRule="auto"/>
        <w:ind w:left="42" w:right="161" w:firstLine="470"/>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根据贵方(</w:t>
      </w:r>
      <w:r>
        <w:rPr>
          <w:rFonts w:hint="eastAsia" w:ascii="仿宋" w:hAnsi="仿宋" w:eastAsia="仿宋" w:cs="仿宋"/>
          <w:i/>
          <w:iCs/>
          <w:color w:val="auto"/>
          <w:spacing w:val="2"/>
          <w:sz w:val="25"/>
          <w:szCs w:val="25"/>
          <w:highlight w:val="none"/>
          <w:u w:val="single" w:color="auto"/>
          <w:lang w:val="en-US" w:eastAsia="zh-CN"/>
        </w:rPr>
        <w:t>项目</w:t>
      </w:r>
      <w:r>
        <w:rPr>
          <w:rFonts w:hint="eastAsia" w:ascii="仿宋" w:hAnsi="仿宋" w:eastAsia="仿宋" w:cs="仿宋"/>
          <w:i/>
          <w:iCs/>
          <w:color w:val="auto"/>
          <w:spacing w:val="2"/>
          <w:sz w:val="25"/>
          <w:szCs w:val="25"/>
          <w:highlight w:val="none"/>
          <w:u w:val="single" w:color="auto"/>
        </w:rPr>
        <w:t>名称</w:t>
      </w:r>
      <w:r>
        <w:rPr>
          <w:rFonts w:hint="eastAsia" w:ascii="仿宋" w:hAnsi="仿宋" w:eastAsia="仿宋" w:cs="仿宋"/>
          <w:color w:val="auto"/>
          <w:spacing w:val="2"/>
          <w:sz w:val="23"/>
          <w:szCs w:val="23"/>
          <w:highlight w:val="none"/>
        </w:rPr>
        <w:t>)项目的征集公告(</w:t>
      </w:r>
      <w:r>
        <w:rPr>
          <w:rFonts w:hint="eastAsia" w:ascii="仿宋" w:hAnsi="仿宋" w:eastAsia="仿宋" w:cs="仿宋"/>
          <w:i/>
          <w:iCs/>
          <w:color w:val="auto"/>
          <w:spacing w:val="2"/>
          <w:sz w:val="25"/>
          <w:szCs w:val="25"/>
          <w:highlight w:val="none"/>
          <w:u w:val="single" w:color="auto"/>
          <w:lang w:val="en-US" w:eastAsia="zh-CN"/>
        </w:rPr>
        <w:t>项目</w:t>
      </w:r>
      <w:r>
        <w:rPr>
          <w:rFonts w:hint="eastAsia" w:ascii="仿宋" w:hAnsi="仿宋" w:eastAsia="仿宋" w:cs="仿宋"/>
          <w:i/>
          <w:iCs/>
          <w:color w:val="auto"/>
          <w:spacing w:val="2"/>
          <w:sz w:val="25"/>
          <w:szCs w:val="25"/>
          <w:highlight w:val="none"/>
          <w:u w:val="single" w:color="auto"/>
        </w:rPr>
        <w:t>编号</w:t>
      </w:r>
      <w:r>
        <w:rPr>
          <w:rFonts w:hint="eastAsia" w:ascii="仿宋" w:hAnsi="仿宋" w:eastAsia="仿宋" w:cs="仿宋"/>
          <w:color w:val="auto"/>
          <w:spacing w:val="2"/>
          <w:sz w:val="23"/>
          <w:szCs w:val="23"/>
          <w:highlight w:val="none"/>
        </w:rPr>
        <w:t>),签字代表(</w:t>
      </w:r>
      <w:r>
        <w:rPr>
          <w:rFonts w:hint="eastAsia" w:ascii="仿宋" w:hAnsi="仿宋" w:eastAsia="仿宋" w:cs="仿宋"/>
          <w:i/>
          <w:iCs/>
          <w:color w:val="auto"/>
          <w:spacing w:val="2"/>
          <w:sz w:val="25"/>
          <w:szCs w:val="25"/>
          <w:highlight w:val="none"/>
          <w:u w:val="single" w:color="auto"/>
        </w:rPr>
        <w:t>姓名、职务</w:t>
      </w:r>
      <w:r>
        <w:rPr>
          <w:rFonts w:hint="eastAsia" w:ascii="仿宋" w:hAnsi="仿宋" w:eastAsia="仿宋" w:cs="仿宋"/>
          <w:color w:val="auto"/>
          <w:spacing w:val="2"/>
          <w:sz w:val="23"/>
          <w:szCs w:val="23"/>
          <w:highlight w:val="none"/>
        </w:rPr>
        <w:t>)经</w:t>
      </w:r>
      <w:r>
        <w:rPr>
          <w:rFonts w:hint="eastAsia" w:ascii="仿宋" w:hAnsi="仿宋" w:eastAsia="仿宋" w:cs="仿宋"/>
          <w:color w:val="auto"/>
          <w:sz w:val="23"/>
          <w:szCs w:val="23"/>
          <w:highlight w:val="none"/>
        </w:rPr>
        <w:t>正式授权并代表供应商（</w:t>
      </w:r>
      <w:r>
        <w:rPr>
          <w:rFonts w:hint="eastAsia" w:ascii="仿宋" w:hAnsi="仿宋" w:eastAsia="仿宋" w:cs="仿宋"/>
          <w:i/>
          <w:iCs/>
          <w:color w:val="auto"/>
          <w:sz w:val="25"/>
          <w:szCs w:val="25"/>
          <w:highlight w:val="none"/>
          <w:u w:val="single" w:color="auto"/>
        </w:rPr>
        <w:t>名称、地址</w:t>
      </w:r>
      <w:r>
        <w:rPr>
          <w:rFonts w:hint="eastAsia" w:ascii="仿宋" w:hAnsi="仿宋" w:eastAsia="仿宋" w:cs="仿宋"/>
          <w:color w:val="auto"/>
          <w:sz w:val="23"/>
          <w:szCs w:val="23"/>
          <w:highlight w:val="none"/>
        </w:rPr>
        <w:t>）提交下述文件加密的电子响应文件（.jmbs</w:t>
      </w:r>
      <w:r>
        <w:rPr>
          <w:rFonts w:hint="eastAsia" w:ascii="仿宋" w:hAnsi="仿宋" w:eastAsia="仿宋" w:cs="仿宋"/>
          <w:color w:val="auto"/>
          <w:spacing w:val="2"/>
          <w:sz w:val="23"/>
          <w:szCs w:val="23"/>
          <w:highlight w:val="none"/>
        </w:rPr>
        <w:t>格式）</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92"/>
          <w:sz w:val="23"/>
          <w:szCs w:val="23"/>
          <w:highlight w:val="none"/>
        </w:rPr>
        <w:t xml:space="preserve"> </w:t>
      </w:r>
      <w:r>
        <w:rPr>
          <w:rFonts w:hint="eastAsia" w:ascii="仿宋" w:hAnsi="仿宋" w:eastAsia="仿宋" w:cs="仿宋"/>
          <w:color w:val="auto"/>
          <w:spacing w:val="2"/>
          <w:sz w:val="23"/>
          <w:szCs w:val="23"/>
          <w:highlight w:val="none"/>
        </w:rPr>
        <w:t>份。</w:t>
      </w:r>
    </w:p>
    <w:p w14:paraId="3A8A7FB2">
      <w:pPr>
        <w:spacing w:before="184" w:line="227" w:lineRule="auto"/>
        <w:ind w:left="64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据此，签字代表宣布同意如下：</w:t>
      </w:r>
    </w:p>
    <w:p w14:paraId="70A20145">
      <w:pPr>
        <w:spacing w:before="183" w:line="468" w:lineRule="exact"/>
        <w:ind w:left="670"/>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（1）附分项报价表中规定的应提供服务及伴随货物报价详见开标一</w:t>
      </w:r>
      <w:r>
        <w:rPr>
          <w:rFonts w:hint="eastAsia" w:ascii="仿宋" w:hAnsi="仿宋" w:eastAsia="仿宋" w:cs="仿宋"/>
          <w:color w:val="auto"/>
          <w:spacing w:val="7"/>
          <w:position w:val="17"/>
          <w:sz w:val="23"/>
          <w:szCs w:val="23"/>
          <w:highlight w:val="none"/>
        </w:rPr>
        <w:t>览表。</w:t>
      </w:r>
    </w:p>
    <w:p w14:paraId="0C3013C8">
      <w:pPr>
        <w:spacing w:before="1" w:line="226" w:lineRule="auto"/>
        <w:ind w:firstLine="708" w:firstLineChars="300"/>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（2）本响应文件有效期为自递交响应文件</w:t>
      </w:r>
      <w:r>
        <w:rPr>
          <w:rFonts w:hint="eastAsia" w:ascii="仿宋" w:hAnsi="仿宋" w:eastAsia="仿宋" w:cs="仿宋"/>
          <w:color w:val="auto"/>
          <w:spacing w:val="2"/>
          <w:sz w:val="23"/>
          <w:szCs w:val="23"/>
          <w:highlight w:val="none"/>
        </w:rPr>
        <w:t>截止之日起</w:t>
      </w:r>
      <w:r>
        <w:rPr>
          <w:rFonts w:hint="eastAsia" w:ascii="仿宋" w:hAnsi="仿宋" w:eastAsia="仿宋" w:cs="仿宋"/>
          <w:color w:val="auto"/>
          <w:spacing w:val="12"/>
          <w:sz w:val="23"/>
          <w:szCs w:val="23"/>
          <w:highlight w:val="none"/>
          <w:u w:val="single" w:color="auto"/>
        </w:rPr>
        <w:t xml:space="preserve">         </w:t>
      </w:r>
      <w:r>
        <w:rPr>
          <w:rFonts w:hint="eastAsia" w:ascii="仿宋" w:hAnsi="仿宋" w:eastAsia="仿宋" w:cs="仿宋"/>
          <w:color w:val="auto"/>
          <w:spacing w:val="-80"/>
          <w:sz w:val="23"/>
          <w:szCs w:val="23"/>
          <w:highlight w:val="none"/>
        </w:rPr>
        <w:t xml:space="preserve"> </w:t>
      </w:r>
      <w:r>
        <w:rPr>
          <w:rFonts w:hint="eastAsia" w:ascii="仿宋" w:hAnsi="仿宋" w:eastAsia="仿宋" w:cs="仿宋"/>
          <w:color w:val="auto"/>
          <w:spacing w:val="2"/>
          <w:sz w:val="23"/>
          <w:szCs w:val="23"/>
          <w:highlight w:val="none"/>
        </w:rPr>
        <w:t>个日历日。</w:t>
      </w:r>
    </w:p>
    <w:p w14:paraId="1BF99C7A">
      <w:pPr>
        <w:spacing w:before="207" w:line="367" w:lineRule="auto"/>
        <w:ind w:left="1186" w:right="174" w:hanging="51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（3）联合体中的大中型企业和其他自然人、法人或者非法人组织，与联合</w:t>
      </w:r>
      <w:r>
        <w:rPr>
          <w:rFonts w:hint="eastAsia" w:ascii="仿宋" w:hAnsi="仿宋" w:eastAsia="仿宋" w:cs="仿宋"/>
          <w:color w:val="auto"/>
          <w:spacing w:val="2"/>
          <w:sz w:val="23"/>
          <w:szCs w:val="23"/>
          <w:highlight w:val="none"/>
        </w:rPr>
        <w:t>体中的小型、微型企业之间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存在、不存在）</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2"/>
          <w:sz w:val="23"/>
          <w:szCs w:val="23"/>
          <w:highlight w:val="none"/>
        </w:rPr>
        <w:t>投资关系（如果</w:t>
      </w:r>
      <w:r>
        <w:rPr>
          <w:rFonts w:hint="eastAsia" w:ascii="仿宋" w:hAnsi="仿宋" w:eastAsia="仿宋" w:cs="仿宋"/>
          <w:color w:val="auto"/>
          <w:spacing w:val="4"/>
          <w:sz w:val="23"/>
          <w:szCs w:val="23"/>
          <w:highlight w:val="none"/>
        </w:rPr>
        <w:t>联合体的话）。</w:t>
      </w:r>
    </w:p>
    <w:p w14:paraId="290717EB">
      <w:pPr>
        <w:spacing w:before="164" w:line="227" w:lineRule="auto"/>
        <w:ind w:left="6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（4）已详细审查全部征集文件，包括所有补充通知</w:t>
      </w:r>
      <w:r>
        <w:rPr>
          <w:rFonts w:hint="eastAsia" w:ascii="仿宋" w:hAnsi="仿宋" w:eastAsia="仿宋" w:cs="仿宋"/>
          <w:color w:val="auto"/>
          <w:spacing w:val="5"/>
          <w:sz w:val="23"/>
          <w:szCs w:val="23"/>
          <w:highlight w:val="none"/>
        </w:rPr>
        <w:t>（如果有的话</w:t>
      </w:r>
      <w:r>
        <w:rPr>
          <w:rFonts w:hint="eastAsia" w:ascii="仿宋" w:hAnsi="仿宋" w:eastAsia="仿宋" w:cs="仿宋"/>
          <w:color w:val="auto"/>
          <w:spacing w:val="-4"/>
          <w:sz w:val="23"/>
          <w:szCs w:val="23"/>
          <w:highlight w:val="none"/>
        </w:rPr>
        <w:t>），</w:t>
      </w:r>
      <w:r>
        <w:rPr>
          <w:rFonts w:hint="eastAsia" w:ascii="仿宋" w:hAnsi="仿宋" w:eastAsia="仿宋" w:cs="仿宋"/>
          <w:color w:val="auto"/>
          <w:spacing w:val="5"/>
          <w:sz w:val="23"/>
          <w:szCs w:val="23"/>
          <w:highlight w:val="none"/>
        </w:rPr>
        <w:t>完全</w:t>
      </w:r>
    </w:p>
    <w:p w14:paraId="31810216">
      <w:pPr>
        <w:spacing w:before="202" w:line="227" w:lineRule="auto"/>
        <w:ind w:left="119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理解并同意放弃对这方面有不明、误解的权利。</w:t>
      </w:r>
    </w:p>
    <w:p w14:paraId="225DAEFE">
      <w:pPr>
        <w:spacing w:before="185" w:line="227" w:lineRule="auto"/>
        <w:ind w:left="67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（5）按照征集文件的规定， 在入围后向贵方一次性支付代理服务费。</w:t>
      </w:r>
    </w:p>
    <w:p w14:paraId="1A6B7E39">
      <w:pPr>
        <w:spacing w:before="168" w:line="227" w:lineRule="auto"/>
        <w:ind w:left="67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（6）按照贵方可能的要求，提供与征集响应有关的一切数据或资料，完全</w:t>
      </w:r>
    </w:p>
    <w:p w14:paraId="1A82A8C9">
      <w:pPr>
        <w:spacing w:before="200" w:line="468" w:lineRule="exact"/>
        <w:ind w:left="1195"/>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理解贵方不一定接受最低价的征集响应或收</w:t>
      </w:r>
      <w:r>
        <w:rPr>
          <w:rFonts w:hint="eastAsia" w:ascii="仿宋" w:hAnsi="仿宋" w:eastAsia="仿宋" w:cs="仿宋"/>
          <w:color w:val="auto"/>
          <w:spacing w:val="7"/>
          <w:position w:val="17"/>
          <w:sz w:val="23"/>
          <w:szCs w:val="23"/>
          <w:highlight w:val="none"/>
        </w:rPr>
        <w:t>到的任何征集响应文件。</w:t>
      </w:r>
    </w:p>
    <w:p w14:paraId="3513D3C9">
      <w:pPr>
        <w:spacing w:line="227" w:lineRule="auto"/>
        <w:ind w:left="6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（7）按照征集文件的规定履行合同责任和义务。</w:t>
      </w:r>
    </w:p>
    <w:p w14:paraId="768E426F">
      <w:pPr>
        <w:spacing w:before="168" w:line="482" w:lineRule="exact"/>
        <w:ind w:left="670"/>
        <w:rPr>
          <w:rFonts w:hint="eastAsia" w:ascii="仿宋" w:hAnsi="仿宋" w:eastAsia="仿宋" w:cs="仿宋"/>
          <w:color w:val="auto"/>
          <w:sz w:val="23"/>
          <w:szCs w:val="23"/>
          <w:highlight w:val="none"/>
        </w:rPr>
      </w:pPr>
      <w:r>
        <w:rPr>
          <w:rFonts w:hint="eastAsia" w:ascii="仿宋" w:hAnsi="仿宋" w:eastAsia="仿宋" w:cs="仿宋"/>
          <w:color w:val="auto"/>
          <w:spacing w:val="5"/>
          <w:position w:val="18"/>
          <w:sz w:val="23"/>
          <w:szCs w:val="23"/>
          <w:highlight w:val="none"/>
        </w:rPr>
        <w:t>（8）完全理解并无条件承担入围后不依法与征集人签订框架协议或不依法</w:t>
      </w:r>
    </w:p>
    <w:p w14:paraId="1B1E970E">
      <w:pPr>
        <w:spacing w:before="1" w:line="226" w:lineRule="auto"/>
        <w:ind w:left="119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与采购人签订合同的法律后果。</w:t>
      </w:r>
    </w:p>
    <w:p w14:paraId="5DE7E2CF">
      <w:pPr>
        <w:spacing w:before="172" w:line="494" w:lineRule="exact"/>
        <w:ind w:left="203"/>
        <w:rPr>
          <w:rFonts w:hint="eastAsia" w:ascii="仿宋" w:hAnsi="仿宋" w:eastAsia="仿宋" w:cs="仿宋"/>
          <w:color w:val="auto"/>
          <w:sz w:val="23"/>
          <w:szCs w:val="23"/>
          <w:highlight w:val="none"/>
        </w:rPr>
      </w:pPr>
      <w:r>
        <w:rPr>
          <w:rFonts w:hint="eastAsia" w:ascii="仿宋" w:hAnsi="仿宋" w:eastAsia="仿宋" w:cs="仿宋"/>
          <w:color w:val="auto"/>
          <w:spacing w:val="6"/>
          <w:position w:val="19"/>
          <w:sz w:val="23"/>
          <w:szCs w:val="23"/>
          <w:highlight w:val="none"/>
        </w:rPr>
        <w:t>与本征集活动有关的一切正式往来信函请寄：</w:t>
      </w:r>
    </w:p>
    <w:p w14:paraId="5EDB07CE">
      <w:pPr>
        <w:spacing w:before="1" w:line="236" w:lineRule="auto"/>
        <w:ind w:left="647"/>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地址：</w:t>
      </w:r>
      <w:r>
        <w:rPr>
          <w:rFonts w:hint="eastAsia" w:ascii="仿宋" w:hAnsi="仿宋" w:eastAsia="仿宋" w:cs="仿宋"/>
          <w:color w:val="auto"/>
          <w:sz w:val="23"/>
          <w:szCs w:val="23"/>
          <w:highlight w:val="none"/>
          <w:u w:val="single" w:color="auto"/>
        </w:rPr>
        <w:t xml:space="preserve">                          </w:t>
      </w:r>
    </w:p>
    <w:p w14:paraId="653E3927">
      <w:pPr>
        <w:spacing w:before="163" w:line="230" w:lineRule="auto"/>
        <w:ind w:left="704"/>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电话：</w:t>
      </w:r>
      <w:r>
        <w:rPr>
          <w:rFonts w:hint="eastAsia" w:ascii="仿宋" w:hAnsi="仿宋" w:eastAsia="仿宋" w:cs="仿宋"/>
          <w:color w:val="auto"/>
          <w:spacing w:val="-9"/>
          <w:sz w:val="23"/>
          <w:szCs w:val="23"/>
          <w:highlight w:val="none"/>
          <w:u w:val="single" w:color="auto"/>
        </w:rPr>
        <w:t xml:space="preserve">                            </w:t>
      </w:r>
    </w:p>
    <w:p w14:paraId="760A5053">
      <w:pPr>
        <w:spacing w:before="180" w:line="227" w:lineRule="auto"/>
        <w:ind w:left="70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电子函件：</w:t>
      </w:r>
      <w:r>
        <w:rPr>
          <w:rFonts w:hint="eastAsia" w:ascii="仿宋" w:hAnsi="仿宋" w:eastAsia="仿宋" w:cs="仿宋"/>
          <w:color w:val="auto"/>
          <w:sz w:val="23"/>
          <w:szCs w:val="23"/>
          <w:highlight w:val="none"/>
          <w:u w:val="single" w:color="auto"/>
        </w:rPr>
        <w:t xml:space="preserve">                          </w:t>
      </w:r>
    </w:p>
    <w:p w14:paraId="08B72B17">
      <w:pPr>
        <w:spacing w:before="185" w:line="227" w:lineRule="auto"/>
        <w:ind w:left="650"/>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 xml:space="preserve">法定代表人或委托代理人签字： </w:t>
      </w:r>
      <w:r>
        <w:rPr>
          <w:rFonts w:hint="eastAsia" w:ascii="仿宋" w:hAnsi="仿宋" w:eastAsia="仿宋" w:cs="仿宋"/>
          <w:color w:val="auto"/>
          <w:spacing w:val="-1"/>
          <w:sz w:val="23"/>
          <w:szCs w:val="23"/>
          <w:highlight w:val="none"/>
          <w:u w:val="single" w:color="auto"/>
        </w:rPr>
        <w:t xml:space="preserve">                  </w:t>
      </w:r>
    </w:p>
    <w:p w14:paraId="17EC4DD2">
      <w:pPr>
        <w:spacing w:before="182" w:line="393" w:lineRule="auto"/>
        <w:ind w:left="64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供应商（盖公章</w:t>
      </w:r>
      <w:r>
        <w:rPr>
          <w:rFonts w:hint="eastAsia" w:ascii="仿宋" w:hAnsi="仿宋" w:eastAsia="仿宋" w:cs="仿宋"/>
          <w:color w:val="auto"/>
          <w:spacing w:val="-36"/>
          <w:sz w:val="23"/>
          <w:szCs w:val="23"/>
          <w:highlight w:val="none"/>
        </w:rPr>
        <w:t>）：</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2A53743E">
      <w:pPr>
        <w:spacing w:before="1" w:line="226" w:lineRule="auto"/>
        <w:ind w:left="647"/>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供应商开户银行（全称</w:t>
      </w:r>
      <w:r>
        <w:rPr>
          <w:rFonts w:hint="eastAsia" w:ascii="仿宋" w:hAnsi="仿宋" w:eastAsia="仿宋" w:cs="仿宋"/>
          <w:color w:val="auto"/>
          <w:spacing w:val="-9"/>
          <w:sz w:val="23"/>
          <w:szCs w:val="23"/>
          <w:highlight w:val="none"/>
        </w:rPr>
        <w:t>）</w:t>
      </w:r>
      <w:r>
        <w:rPr>
          <w:rFonts w:hint="eastAsia" w:ascii="仿宋" w:hAnsi="仿宋" w:eastAsia="仿宋" w:cs="仿宋"/>
          <w:color w:val="auto"/>
          <w:spacing w:val="-10"/>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4F342391">
      <w:pPr>
        <w:spacing w:before="161" w:line="227" w:lineRule="auto"/>
        <w:ind w:left="64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供应商银行帐号：</w:t>
      </w:r>
      <w:r>
        <w:rPr>
          <w:rFonts w:hint="eastAsia" w:ascii="仿宋" w:hAnsi="仿宋" w:eastAsia="仿宋" w:cs="仿宋"/>
          <w:color w:val="auto"/>
          <w:sz w:val="23"/>
          <w:szCs w:val="23"/>
          <w:highlight w:val="none"/>
          <w:u w:val="single" w:color="auto"/>
        </w:rPr>
        <w:t xml:space="preserve">                                 </w:t>
      </w:r>
    </w:p>
    <w:p w14:paraId="19F7C3E3">
      <w:pPr>
        <w:spacing w:before="188" w:line="228" w:lineRule="auto"/>
        <w:ind w:left="729"/>
        <w:rPr>
          <w:rFonts w:hint="eastAsia" w:ascii="仿宋" w:hAnsi="仿宋" w:eastAsia="仿宋" w:cs="仿宋"/>
          <w:color w:val="auto"/>
          <w:sz w:val="23"/>
          <w:szCs w:val="23"/>
          <w:highlight w:val="none"/>
        </w:rPr>
      </w:pPr>
      <w:r>
        <w:rPr>
          <w:rFonts w:hint="eastAsia" w:ascii="仿宋" w:hAnsi="仿宋" w:eastAsia="仿宋" w:cs="仿宋"/>
          <w:color w:val="auto"/>
          <w:spacing w:val="-25"/>
          <w:sz w:val="23"/>
          <w:szCs w:val="23"/>
          <w:highlight w:val="none"/>
        </w:rPr>
        <w:t>日期：</w:t>
      </w:r>
      <w:r>
        <w:rPr>
          <w:rFonts w:hint="eastAsia" w:ascii="仿宋" w:hAnsi="仿宋" w:eastAsia="仿宋" w:cs="仿宋"/>
          <w:color w:val="auto"/>
          <w:sz w:val="23"/>
          <w:szCs w:val="23"/>
          <w:highlight w:val="none"/>
          <w:u w:val="single" w:color="auto"/>
        </w:rPr>
        <w:t xml:space="preserve">                                           </w:t>
      </w:r>
    </w:p>
    <w:p w14:paraId="482B90DE">
      <w:pPr>
        <w:spacing w:line="228" w:lineRule="auto"/>
        <w:rPr>
          <w:rFonts w:hint="eastAsia" w:ascii="仿宋" w:hAnsi="仿宋" w:eastAsia="仿宋" w:cs="仿宋"/>
          <w:color w:val="auto"/>
          <w:sz w:val="23"/>
          <w:szCs w:val="23"/>
          <w:highlight w:val="none"/>
        </w:rPr>
        <w:sectPr>
          <w:footerReference r:id="rId35" w:type="default"/>
          <w:pgSz w:w="11905" w:h="16838"/>
          <w:pgMar w:top="1020" w:right="1134" w:bottom="1020" w:left="1134" w:header="0" w:footer="573" w:gutter="0"/>
          <w:pgNumType w:fmt="decimal"/>
          <w:cols w:space="0" w:num="1"/>
          <w:rtlGutter w:val="0"/>
          <w:docGrid w:linePitch="0" w:charSpace="0"/>
        </w:sectPr>
      </w:pPr>
    </w:p>
    <w:p w14:paraId="3F2C60A0">
      <w:pPr>
        <w:spacing w:before="75" w:line="227" w:lineRule="auto"/>
        <w:ind w:left="412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（响应文件格式六）</w:t>
      </w:r>
    </w:p>
    <w:p w14:paraId="128D9BC3">
      <w:pPr>
        <w:pStyle w:val="5"/>
        <w:spacing w:before="152" w:line="172" w:lineRule="auto"/>
        <w:ind w:left="4261"/>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分项报价表</w:t>
      </w:r>
    </w:p>
    <w:p w14:paraId="458F13AB">
      <w:pPr>
        <w:rPr>
          <w:rFonts w:hint="eastAsia" w:ascii="仿宋" w:hAnsi="仿宋" w:eastAsia="仿宋" w:cs="仿宋"/>
          <w:color w:val="auto"/>
          <w:spacing w:val="8"/>
          <w:sz w:val="24"/>
          <w:szCs w:val="24"/>
          <w:highlight w:val="none"/>
        </w:rPr>
      </w:pPr>
    </w:p>
    <w:p w14:paraId="325B538F">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49AF744D">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289A8AB8">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677D8A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20AD762">
      <w:pPr>
        <w:spacing w:before="182" w:line="226"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val="en-US" w:eastAsia="zh-CN"/>
        </w:rPr>
        <w:t xml:space="preserve">                                                          </w:t>
      </w:r>
      <w:r>
        <w:rPr>
          <w:rFonts w:hint="eastAsia" w:ascii="仿宋" w:hAnsi="仿宋" w:eastAsia="仿宋" w:cs="仿宋"/>
          <w:color w:val="auto"/>
          <w:spacing w:val="-11"/>
          <w:sz w:val="23"/>
          <w:szCs w:val="23"/>
          <w:highlight w:val="none"/>
        </w:rPr>
        <w:t>报价单位</w:t>
      </w:r>
      <w:r>
        <w:rPr>
          <w:rFonts w:hint="eastAsia" w:ascii="仿宋" w:hAnsi="仿宋" w:eastAsia="仿宋" w:cs="仿宋"/>
          <w:color w:val="auto"/>
          <w:spacing w:val="-10"/>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pacing w:val="-6"/>
          <w:sz w:val="23"/>
          <w:szCs w:val="23"/>
          <w:highlight w:val="none"/>
        </w:rPr>
        <w:t>%</w:t>
      </w:r>
    </w:p>
    <w:p w14:paraId="0D8A2AD1">
      <w:pPr>
        <w:spacing w:line="135" w:lineRule="exact"/>
        <w:rPr>
          <w:rFonts w:hint="eastAsia" w:ascii="仿宋" w:hAnsi="仿宋" w:eastAsia="仿宋" w:cs="仿宋"/>
          <w:color w:val="auto"/>
          <w:highlight w:val="none"/>
        </w:rPr>
      </w:pPr>
    </w:p>
    <w:tbl>
      <w:tblPr>
        <w:tblStyle w:val="21"/>
        <w:tblW w:w="8853"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3837"/>
        <w:gridCol w:w="2091"/>
        <w:gridCol w:w="1620"/>
      </w:tblGrid>
      <w:tr w14:paraId="182A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05" w:type="dxa"/>
            <w:vAlign w:val="top"/>
          </w:tcPr>
          <w:p w14:paraId="5D7A6348">
            <w:pPr>
              <w:pStyle w:val="22"/>
              <w:spacing w:before="53" w:line="229" w:lineRule="auto"/>
              <w:ind w:left="45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837" w:type="dxa"/>
            <w:vAlign w:val="top"/>
          </w:tcPr>
          <w:p w14:paraId="0F238A9A">
            <w:pPr>
              <w:pStyle w:val="22"/>
              <w:spacing w:before="53" w:line="228" w:lineRule="auto"/>
              <w:ind w:left="1371"/>
              <w:rPr>
                <w:rFonts w:hint="eastAsia" w:ascii="仿宋" w:hAnsi="仿宋" w:eastAsia="仿宋" w:cs="仿宋"/>
                <w:color w:val="auto"/>
                <w:highlight w:val="none"/>
              </w:rPr>
            </w:pPr>
            <w:r>
              <w:rPr>
                <w:rFonts w:hint="eastAsia" w:ascii="仿宋" w:hAnsi="仿宋" w:eastAsia="仿宋" w:cs="仿宋"/>
                <w:color w:val="auto"/>
                <w:spacing w:val="8"/>
                <w:sz w:val="24"/>
                <w:szCs w:val="24"/>
                <w:highlight w:val="none"/>
                <w:lang w:val="en-US" w:eastAsia="zh-CN"/>
              </w:rPr>
              <w:t>标项</w:t>
            </w:r>
            <w:r>
              <w:rPr>
                <w:rFonts w:hint="eastAsia" w:ascii="仿宋" w:hAnsi="仿宋" w:eastAsia="仿宋" w:cs="仿宋"/>
                <w:color w:val="auto"/>
                <w:spacing w:val="8"/>
                <w:sz w:val="24"/>
                <w:szCs w:val="24"/>
                <w:highlight w:val="none"/>
              </w:rPr>
              <w:t>名称</w:t>
            </w:r>
          </w:p>
        </w:tc>
        <w:tc>
          <w:tcPr>
            <w:tcW w:w="2091" w:type="dxa"/>
            <w:vAlign w:val="top"/>
          </w:tcPr>
          <w:p w14:paraId="75BE4D49">
            <w:pPr>
              <w:pStyle w:val="22"/>
              <w:spacing w:before="51" w:line="226" w:lineRule="auto"/>
              <w:jc w:val="center"/>
              <w:rPr>
                <w:rFonts w:hint="eastAsia" w:ascii="仿宋" w:hAnsi="仿宋" w:eastAsia="仿宋" w:cs="仿宋"/>
                <w:color w:val="auto"/>
                <w:spacing w:val="3"/>
                <w:highlight w:val="none"/>
              </w:rPr>
            </w:pPr>
            <w:r>
              <w:rPr>
                <w:rFonts w:hint="eastAsia" w:ascii="仿宋" w:hAnsi="仿宋" w:eastAsia="仿宋" w:cs="仿宋"/>
                <w:color w:val="auto"/>
                <w:spacing w:val="3"/>
                <w:highlight w:val="none"/>
                <w:lang w:val="en-US" w:eastAsia="zh-CN"/>
              </w:rPr>
              <w:t>投标</w:t>
            </w:r>
            <w:r>
              <w:rPr>
                <w:rFonts w:hint="eastAsia" w:ascii="仿宋" w:hAnsi="仿宋" w:eastAsia="仿宋" w:cs="仿宋"/>
                <w:color w:val="auto"/>
                <w:spacing w:val="3"/>
                <w:highlight w:val="none"/>
              </w:rPr>
              <w:t>报价</w:t>
            </w:r>
          </w:p>
          <w:p w14:paraId="3B3E0C40">
            <w:pPr>
              <w:pStyle w:val="22"/>
              <w:spacing w:before="51" w:line="226" w:lineRule="auto"/>
              <w:jc w:val="center"/>
              <w:rPr>
                <w:rFonts w:hint="eastAsia" w:ascii="仿宋" w:hAnsi="仿宋" w:eastAsia="仿宋" w:cs="仿宋"/>
                <w:color w:val="auto"/>
                <w:highlight w:val="none"/>
                <w:lang w:eastAsia="zh-CN"/>
              </w:rPr>
            </w:pPr>
          </w:p>
        </w:tc>
        <w:tc>
          <w:tcPr>
            <w:tcW w:w="1620" w:type="dxa"/>
            <w:vAlign w:val="top"/>
          </w:tcPr>
          <w:p w14:paraId="229FCBD2">
            <w:pPr>
              <w:pStyle w:val="22"/>
              <w:spacing w:before="53" w:line="229" w:lineRule="auto"/>
              <w:ind w:left="591"/>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1C77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609D451">
            <w:pPr>
              <w:pStyle w:val="22"/>
              <w:spacing w:before="84"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837" w:type="dxa"/>
            <w:vAlign w:val="top"/>
          </w:tcPr>
          <w:p w14:paraId="1C9889DE">
            <w:pPr>
              <w:rPr>
                <w:rFonts w:hint="eastAsia" w:ascii="仿宋" w:hAnsi="仿宋" w:eastAsia="仿宋" w:cs="仿宋"/>
                <w:color w:val="auto"/>
                <w:sz w:val="21"/>
                <w:highlight w:val="none"/>
              </w:rPr>
            </w:pPr>
          </w:p>
        </w:tc>
        <w:tc>
          <w:tcPr>
            <w:tcW w:w="2091" w:type="dxa"/>
            <w:vAlign w:val="top"/>
          </w:tcPr>
          <w:p w14:paraId="35160C87">
            <w:pPr>
              <w:rPr>
                <w:rFonts w:hint="eastAsia" w:ascii="仿宋" w:hAnsi="仿宋" w:eastAsia="仿宋" w:cs="仿宋"/>
                <w:color w:val="auto"/>
                <w:sz w:val="21"/>
                <w:highlight w:val="none"/>
              </w:rPr>
            </w:pPr>
          </w:p>
        </w:tc>
        <w:tc>
          <w:tcPr>
            <w:tcW w:w="1620" w:type="dxa"/>
            <w:vAlign w:val="top"/>
          </w:tcPr>
          <w:p w14:paraId="4CF86223">
            <w:pPr>
              <w:rPr>
                <w:rFonts w:hint="eastAsia" w:ascii="仿宋" w:hAnsi="仿宋" w:eastAsia="仿宋" w:cs="仿宋"/>
                <w:color w:val="auto"/>
                <w:sz w:val="21"/>
                <w:highlight w:val="none"/>
              </w:rPr>
            </w:pPr>
          </w:p>
        </w:tc>
      </w:tr>
      <w:tr w14:paraId="5937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0AADE8D0">
            <w:pPr>
              <w:pStyle w:val="22"/>
              <w:spacing w:before="90"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837" w:type="dxa"/>
            <w:vAlign w:val="top"/>
          </w:tcPr>
          <w:p w14:paraId="4DBA7B88">
            <w:pPr>
              <w:rPr>
                <w:rFonts w:hint="eastAsia" w:ascii="仿宋" w:hAnsi="仿宋" w:eastAsia="仿宋" w:cs="仿宋"/>
                <w:color w:val="auto"/>
                <w:sz w:val="21"/>
                <w:highlight w:val="none"/>
              </w:rPr>
            </w:pPr>
          </w:p>
        </w:tc>
        <w:tc>
          <w:tcPr>
            <w:tcW w:w="2091" w:type="dxa"/>
            <w:vAlign w:val="top"/>
          </w:tcPr>
          <w:p w14:paraId="0F64C693">
            <w:pPr>
              <w:rPr>
                <w:rFonts w:hint="eastAsia" w:ascii="仿宋" w:hAnsi="仿宋" w:eastAsia="仿宋" w:cs="仿宋"/>
                <w:color w:val="auto"/>
                <w:sz w:val="21"/>
                <w:highlight w:val="none"/>
              </w:rPr>
            </w:pPr>
          </w:p>
        </w:tc>
        <w:tc>
          <w:tcPr>
            <w:tcW w:w="1620" w:type="dxa"/>
            <w:vAlign w:val="top"/>
          </w:tcPr>
          <w:p w14:paraId="392DF335">
            <w:pPr>
              <w:rPr>
                <w:rFonts w:hint="eastAsia" w:ascii="仿宋" w:hAnsi="仿宋" w:eastAsia="仿宋" w:cs="仿宋"/>
                <w:color w:val="auto"/>
                <w:sz w:val="21"/>
                <w:highlight w:val="none"/>
              </w:rPr>
            </w:pPr>
          </w:p>
        </w:tc>
      </w:tr>
      <w:tr w14:paraId="7703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21CE19EC">
            <w:pPr>
              <w:pStyle w:val="22"/>
              <w:spacing w:before="88"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837" w:type="dxa"/>
            <w:vAlign w:val="top"/>
          </w:tcPr>
          <w:p w14:paraId="7F4E4E52">
            <w:pPr>
              <w:rPr>
                <w:rFonts w:hint="eastAsia" w:ascii="仿宋" w:hAnsi="仿宋" w:eastAsia="仿宋" w:cs="仿宋"/>
                <w:color w:val="auto"/>
                <w:sz w:val="21"/>
                <w:highlight w:val="none"/>
              </w:rPr>
            </w:pPr>
          </w:p>
        </w:tc>
        <w:tc>
          <w:tcPr>
            <w:tcW w:w="2091" w:type="dxa"/>
            <w:vAlign w:val="top"/>
          </w:tcPr>
          <w:p w14:paraId="34517CB4">
            <w:pPr>
              <w:rPr>
                <w:rFonts w:hint="eastAsia" w:ascii="仿宋" w:hAnsi="仿宋" w:eastAsia="仿宋" w:cs="仿宋"/>
                <w:color w:val="auto"/>
                <w:sz w:val="21"/>
                <w:highlight w:val="none"/>
              </w:rPr>
            </w:pPr>
          </w:p>
        </w:tc>
        <w:tc>
          <w:tcPr>
            <w:tcW w:w="1620" w:type="dxa"/>
            <w:vAlign w:val="top"/>
          </w:tcPr>
          <w:p w14:paraId="2FE76F51">
            <w:pPr>
              <w:rPr>
                <w:rFonts w:hint="eastAsia" w:ascii="仿宋" w:hAnsi="仿宋" w:eastAsia="仿宋" w:cs="仿宋"/>
                <w:color w:val="auto"/>
                <w:sz w:val="21"/>
                <w:highlight w:val="none"/>
              </w:rPr>
            </w:pPr>
          </w:p>
        </w:tc>
      </w:tr>
      <w:tr w14:paraId="7A47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3E6F6B67">
            <w:pPr>
              <w:pStyle w:val="22"/>
              <w:spacing w:before="88"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837" w:type="dxa"/>
            <w:vAlign w:val="top"/>
          </w:tcPr>
          <w:p w14:paraId="65CD9868">
            <w:pPr>
              <w:rPr>
                <w:rFonts w:hint="eastAsia" w:ascii="仿宋" w:hAnsi="仿宋" w:eastAsia="仿宋" w:cs="仿宋"/>
                <w:color w:val="auto"/>
                <w:sz w:val="21"/>
                <w:highlight w:val="none"/>
              </w:rPr>
            </w:pPr>
          </w:p>
        </w:tc>
        <w:tc>
          <w:tcPr>
            <w:tcW w:w="2091" w:type="dxa"/>
            <w:vAlign w:val="top"/>
          </w:tcPr>
          <w:p w14:paraId="77EABCC2">
            <w:pPr>
              <w:rPr>
                <w:rFonts w:hint="eastAsia" w:ascii="仿宋" w:hAnsi="仿宋" w:eastAsia="仿宋" w:cs="仿宋"/>
                <w:color w:val="auto"/>
                <w:sz w:val="21"/>
                <w:highlight w:val="none"/>
              </w:rPr>
            </w:pPr>
          </w:p>
        </w:tc>
        <w:tc>
          <w:tcPr>
            <w:tcW w:w="1620" w:type="dxa"/>
            <w:vAlign w:val="top"/>
          </w:tcPr>
          <w:p w14:paraId="668A6BC2">
            <w:pPr>
              <w:rPr>
                <w:rFonts w:hint="eastAsia" w:ascii="仿宋" w:hAnsi="仿宋" w:eastAsia="仿宋" w:cs="仿宋"/>
                <w:color w:val="auto"/>
                <w:sz w:val="21"/>
                <w:highlight w:val="none"/>
              </w:rPr>
            </w:pPr>
          </w:p>
        </w:tc>
      </w:tr>
      <w:tr w14:paraId="0BD6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38797CA">
            <w:pPr>
              <w:pStyle w:val="22"/>
              <w:spacing w:before="92" w:line="187"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837" w:type="dxa"/>
            <w:vAlign w:val="top"/>
          </w:tcPr>
          <w:p w14:paraId="6CCD542E">
            <w:pPr>
              <w:rPr>
                <w:rFonts w:hint="eastAsia" w:ascii="仿宋" w:hAnsi="仿宋" w:eastAsia="仿宋" w:cs="仿宋"/>
                <w:color w:val="auto"/>
                <w:sz w:val="21"/>
                <w:highlight w:val="none"/>
              </w:rPr>
            </w:pPr>
          </w:p>
        </w:tc>
        <w:tc>
          <w:tcPr>
            <w:tcW w:w="2091" w:type="dxa"/>
            <w:vAlign w:val="top"/>
          </w:tcPr>
          <w:p w14:paraId="133F7BE2">
            <w:pPr>
              <w:rPr>
                <w:rFonts w:hint="eastAsia" w:ascii="仿宋" w:hAnsi="仿宋" w:eastAsia="仿宋" w:cs="仿宋"/>
                <w:color w:val="auto"/>
                <w:sz w:val="21"/>
                <w:highlight w:val="none"/>
              </w:rPr>
            </w:pPr>
          </w:p>
        </w:tc>
        <w:tc>
          <w:tcPr>
            <w:tcW w:w="1620" w:type="dxa"/>
            <w:vAlign w:val="top"/>
          </w:tcPr>
          <w:p w14:paraId="4D680363">
            <w:pPr>
              <w:rPr>
                <w:rFonts w:hint="eastAsia" w:ascii="仿宋" w:hAnsi="仿宋" w:eastAsia="仿宋" w:cs="仿宋"/>
                <w:color w:val="auto"/>
                <w:sz w:val="21"/>
                <w:highlight w:val="none"/>
              </w:rPr>
            </w:pPr>
          </w:p>
        </w:tc>
      </w:tr>
      <w:tr w14:paraId="2840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45FA9801">
            <w:pPr>
              <w:pStyle w:val="22"/>
              <w:spacing w:before="90"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837" w:type="dxa"/>
            <w:vAlign w:val="top"/>
          </w:tcPr>
          <w:p w14:paraId="79342F0D">
            <w:pPr>
              <w:rPr>
                <w:rFonts w:hint="eastAsia" w:ascii="仿宋" w:hAnsi="仿宋" w:eastAsia="仿宋" w:cs="仿宋"/>
                <w:color w:val="auto"/>
                <w:sz w:val="21"/>
                <w:highlight w:val="none"/>
              </w:rPr>
            </w:pPr>
          </w:p>
        </w:tc>
        <w:tc>
          <w:tcPr>
            <w:tcW w:w="2091" w:type="dxa"/>
            <w:vAlign w:val="top"/>
          </w:tcPr>
          <w:p w14:paraId="3CF06544">
            <w:pPr>
              <w:rPr>
                <w:rFonts w:hint="eastAsia" w:ascii="仿宋" w:hAnsi="仿宋" w:eastAsia="仿宋" w:cs="仿宋"/>
                <w:color w:val="auto"/>
                <w:sz w:val="21"/>
                <w:highlight w:val="none"/>
              </w:rPr>
            </w:pPr>
          </w:p>
        </w:tc>
        <w:tc>
          <w:tcPr>
            <w:tcW w:w="1620" w:type="dxa"/>
            <w:vAlign w:val="top"/>
          </w:tcPr>
          <w:p w14:paraId="63428BCD">
            <w:pPr>
              <w:rPr>
                <w:rFonts w:hint="eastAsia" w:ascii="仿宋" w:hAnsi="仿宋" w:eastAsia="仿宋" w:cs="仿宋"/>
                <w:color w:val="auto"/>
                <w:sz w:val="21"/>
                <w:highlight w:val="none"/>
              </w:rPr>
            </w:pPr>
          </w:p>
        </w:tc>
      </w:tr>
      <w:tr w14:paraId="2E9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853" w:type="dxa"/>
            <w:gridSpan w:val="4"/>
            <w:vAlign w:val="top"/>
          </w:tcPr>
          <w:p w14:paraId="4CA8E733">
            <w:pPr>
              <w:pStyle w:val="22"/>
              <w:spacing w:before="56" w:line="229" w:lineRule="auto"/>
              <w:ind w:left="4310"/>
              <w:rPr>
                <w:rFonts w:hint="eastAsia" w:ascii="仿宋" w:hAnsi="仿宋" w:eastAsia="仿宋" w:cs="仿宋"/>
                <w:color w:val="auto"/>
                <w:highlight w:val="none"/>
              </w:rPr>
            </w:pPr>
            <w:r>
              <w:rPr>
                <w:rFonts w:hint="eastAsia" w:ascii="仿宋" w:hAnsi="仿宋" w:eastAsia="仿宋" w:cs="仿宋"/>
                <w:color w:val="auto"/>
                <w:spacing w:val="1"/>
                <w:highlight w:val="none"/>
              </w:rPr>
              <w:t>合计</w:t>
            </w:r>
          </w:p>
        </w:tc>
      </w:tr>
    </w:tbl>
    <w:p w14:paraId="797895FA">
      <w:pPr>
        <w:pStyle w:val="5"/>
        <w:spacing w:line="436" w:lineRule="auto"/>
        <w:rPr>
          <w:rFonts w:hint="eastAsia" w:ascii="仿宋" w:hAnsi="仿宋" w:eastAsia="仿宋" w:cs="仿宋"/>
          <w:color w:val="auto"/>
          <w:highlight w:val="none"/>
        </w:rPr>
      </w:pPr>
    </w:p>
    <w:p w14:paraId="5326278E">
      <w:pPr>
        <w:pStyle w:val="32"/>
        <w:keepNext w:val="0"/>
        <w:keepLines w:val="0"/>
        <w:pageBreakBefore w:val="0"/>
        <w:widowControl/>
        <w:kinsoku w:val="0"/>
        <w:wordWrap/>
        <w:overflowPunct/>
        <w:topLinePunct w:val="0"/>
        <w:autoSpaceDE w:val="0"/>
        <w:autoSpaceDN w:val="0"/>
        <w:bidi w:val="0"/>
        <w:adjustRightInd w:val="0"/>
        <w:snapToGrid w:val="0"/>
        <w:spacing w:line="357"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2FE5E53F">
      <w:pPr>
        <w:pStyle w:val="32"/>
        <w:keepNext w:val="0"/>
        <w:keepLines w:val="0"/>
        <w:pageBreakBefore w:val="0"/>
        <w:widowControl/>
        <w:tabs>
          <w:tab w:val="left" w:pos="490"/>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2.如果开标一览表（报价表）内容与本表内容和合计金额不一致的，以开标一览表（报价表）内容为准。</w:t>
      </w:r>
    </w:p>
    <w:p w14:paraId="26507157">
      <w:pPr>
        <w:pStyle w:val="32"/>
        <w:keepNext w:val="0"/>
        <w:keepLines w:val="0"/>
        <w:pageBreakBefore w:val="0"/>
        <w:widowControl/>
        <w:tabs>
          <w:tab w:val="left" w:pos="493"/>
        </w:tabs>
        <w:kinsoku w:val="0"/>
        <w:wordWrap/>
        <w:overflowPunct/>
        <w:topLinePunct w:val="0"/>
        <w:autoSpaceDE w:val="0"/>
        <w:autoSpaceDN w:val="0"/>
        <w:bidi w:val="0"/>
        <w:adjustRightInd w:val="0"/>
        <w:snapToGrid w:val="0"/>
        <w:spacing w:line="357" w:lineRule="exact"/>
        <w:ind w:left="210" w:leftChars="10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64BADC29">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784DA2B5">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3F16C20E">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62EC9A3">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CA5D6D8">
      <w:pPr>
        <w:spacing w:before="1" w:line="226" w:lineRule="auto"/>
        <w:ind w:left="768"/>
        <w:rPr>
          <w:rFonts w:hint="eastAsia" w:ascii="仿宋" w:hAnsi="仿宋" w:eastAsia="仿宋" w:cs="仿宋"/>
          <w:color w:val="auto"/>
          <w:spacing w:val="3"/>
          <w:sz w:val="24"/>
          <w:szCs w:val="24"/>
          <w:highlight w:val="none"/>
          <w:u w:val="single" w:color="auto"/>
        </w:rPr>
      </w:pPr>
      <w:r>
        <w:rPr>
          <w:rFonts w:hint="eastAsia" w:ascii="仿宋" w:hAnsi="仿宋" w:eastAsia="仿宋" w:cs="仿宋"/>
          <w:color w:val="auto"/>
          <w:spacing w:val="4"/>
          <w:sz w:val="24"/>
          <w:szCs w:val="24"/>
          <w:highlight w:val="none"/>
        </w:rPr>
        <w:t>供应商(盖公章):</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p>
    <w:p w14:paraId="51A22DD5">
      <w:pPr>
        <w:spacing w:before="1" w:line="226" w:lineRule="auto"/>
        <w:ind w:left="768"/>
        <w:rPr>
          <w:rFonts w:hint="eastAsia" w:ascii="仿宋" w:hAnsi="仿宋" w:eastAsia="仿宋" w:cs="仿宋"/>
          <w:color w:val="auto"/>
          <w:spacing w:val="3"/>
          <w:sz w:val="24"/>
          <w:szCs w:val="24"/>
          <w:highlight w:val="none"/>
          <w:u w:val="single" w:color="auto"/>
        </w:rPr>
      </w:pPr>
    </w:p>
    <w:p w14:paraId="5EE9591A">
      <w:pPr>
        <w:spacing w:before="1" w:line="226" w:lineRule="auto"/>
        <w:ind w:left="768"/>
        <w:rPr>
          <w:rFonts w:hint="eastAsia" w:ascii="仿宋" w:hAnsi="仿宋" w:eastAsia="仿宋" w:cs="仿宋"/>
          <w:color w:val="auto"/>
          <w:spacing w:val="3"/>
          <w:sz w:val="24"/>
          <w:szCs w:val="24"/>
          <w:highlight w:val="none"/>
          <w:u w:val="single" w:color="auto"/>
        </w:rPr>
      </w:pPr>
    </w:p>
    <w:p w14:paraId="34CFD228">
      <w:pPr>
        <w:spacing w:before="75" w:line="227" w:lineRule="auto"/>
        <w:ind w:left="77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法定代表人或委托代理人（签字或</w:t>
      </w:r>
      <w:r>
        <w:rPr>
          <w:rFonts w:hint="eastAsia" w:ascii="仿宋" w:hAnsi="仿宋" w:eastAsia="仿宋" w:cs="仿宋"/>
          <w:color w:val="auto"/>
          <w:spacing w:val="4"/>
          <w:sz w:val="24"/>
          <w:szCs w:val="24"/>
          <w:highlight w:val="none"/>
        </w:rPr>
        <w:t>签</w:t>
      </w:r>
      <w:r>
        <w:rPr>
          <w:rFonts w:hint="eastAsia" w:ascii="仿宋" w:hAnsi="仿宋" w:eastAsia="仿宋" w:cs="仿宋"/>
          <w:color w:val="auto"/>
          <w:spacing w:val="1"/>
          <w:sz w:val="24"/>
          <w:szCs w:val="24"/>
          <w:highlight w:val="none"/>
        </w:rPr>
        <w:t>章）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p>
    <w:p w14:paraId="7A20F0D5">
      <w:pPr>
        <w:spacing w:line="227" w:lineRule="auto"/>
        <w:rPr>
          <w:rFonts w:hint="eastAsia" w:ascii="仿宋" w:hAnsi="仿宋" w:eastAsia="仿宋" w:cs="仿宋"/>
          <w:color w:val="auto"/>
          <w:sz w:val="24"/>
          <w:szCs w:val="24"/>
          <w:highlight w:val="none"/>
        </w:rPr>
      </w:pPr>
    </w:p>
    <w:p w14:paraId="046FEE3D">
      <w:pPr>
        <w:spacing w:before="217" w:line="227" w:lineRule="auto"/>
        <w:ind w:left="510" w:firstLine="224" w:firstLineChars="100"/>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签署日期：</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2"/>
          <w:sz w:val="24"/>
          <w:szCs w:val="24"/>
          <w:highlight w:val="none"/>
        </w:rPr>
        <w:t xml:space="preserve"> </w:t>
      </w:r>
      <w:r>
        <w:rPr>
          <w:rFonts w:hint="eastAsia" w:ascii="仿宋" w:hAnsi="仿宋" w:eastAsia="仿宋" w:cs="仿宋"/>
          <w:color w:val="auto"/>
          <w:spacing w:val="-8"/>
          <w:sz w:val="24"/>
          <w:szCs w:val="24"/>
          <w:highlight w:val="none"/>
        </w:rPr>
        <w:t xml:space="preserve">月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
          <w:sz w:val="24"/>
          <w:szCs w:val="24"/>
          <w:highlight w:val="none"/>
        </w:rPr>
        <w:t xml:space="preserve"> 日</w:t>
      </w:r>
    </w:p>
    <w:p w14:paraId="2D741F58">
      <w:pPr>
        <w:spacing w:before="217" w:line="227" w:lineRule="auto"/>
        <w:ind w:left="510" w:firstLine="214" w:firstLineChars="100"/>
        <w:rPr>
          <w:rFonts w:hint="eastAsia" w:ascii="仿宋" w:hAnsi="仿宋" w:eastAsia="仿宋" w:cs="仿宋"/>
          <w:color w:val="auto"/>
          <w:spacing w:val="-8"/>
          <w:sz w:val="23"/>
          <w:szCs w:val="23"/>
          <w:highlight w:val="none"/>
        </w:rPr>
      </w:pPr>
    </w:p>
    <w:p w14:paraId="588662E3">
      <w:pPr>
        <w:pStyle w:val="11"/>
        <w:rPr>
          <w:rFonts w:hint="eastAsia" w:ascii="仿宋" w:hAnsi="仿宋" w:eastAsia="仿宋" w:cs="仿宋"/>
          <w:color w:val="auto"/>
          <w:spacing w:val="-8"/>
          <w:sz w:val="23"/>
          <w:szCs w:val="23"/>
          <w:highlight w:val="none"/>
        </w:rPr>
      </w:pPr>
    </w:p>
    <w:p w14:paraId="3792B518">
      <w:pPr>
        <w:pStyle w:val="11"/>
        <w:rPr>
          <w:rFonts w:hint="eastAsia" w:ascii="仿宋" w:hAnsi="仿宋" w:eastAsia="仿宋" w:cs="仿宋"/>
          <w:color w:val="auto"/>
          <w:spacing w:val="-8"/>
          <w:sz w:val="23"/>
          <w:szCs w:val="23"/>
          <w:highlight w:val="none"/>
        </w:rPr>
      </w:pPr>
    </w:p>
    <w:p w14:paraId="36B8065F">
      <w:pPr>
        <w:spacing w:before="217" w:line="227" w:lineRule="auto"/>
        <w:ind w:left="510" w:firstLine="214" w:firstLineChars="100"/>
        <w:rPr>
          <w:rFonts w:hint="eastAsia" w:ascii="仿宋" w:hAnsi="仿宋" w:eastAsia="仿宋" w:cs="仿宋"/>
          <w:color w:val="auto"/>
          <w:spacing w:val="-8"/>
          <w:sz w:val="23"/>
          <w:szCs w:val="23"/>
          <w:highlight w:val="none"/>
        </w:rPr>
      </w:pPr>
    </w:p>
    <w:p w14:paraId="562B4542">
      <w:pPr>
        <w:pStyle w:val="5"/>
        <w:spacing w:line="480" w:lineRule="auto"/>
        <w:jc w:val="center"/>
        <w:rPr>
          <w:rFonts w:hint="eastAsia" w:ascii="仿宋" w:hAnsi="仿宋" w:eastAsia="仿宋" w:cs="仿宋"/>
          <w:color w:val="auto"/>
          <w:highlight w:val="none"/>
        </w:rPr>
      </w:pPr>
      <w:r>
        <w:rPr>
          <w:rFonts w:hint="eastAsia" w:ascii="仿宋" w:hAnsi="仿宋" w:eastAsia="仿宋" w:cs="仿宋"/>
          <w:color w:val="auto"/>
          <w:spacing w:val="4"/>
          <w:position w:val="14"/>
          <w:sz w:val="23"/>
          <w:szCs w:val="23"/>
          <w:highlight w:val="none"/>
        </w:rPr>
        <w:t>（响应文件格式七）</w:t>
      </w:r>
    </w:p>
    <w:p w14:paraId="09538C38">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4 商务条款偏离表</w:t>
      </w:r>
    </w:p>
    <w:p w14:paraId="27831B4F">
      <w:pPr>
        <w:rPr>
          <w:rFonts w:hint="eastAsia" w:ascii="仿宋" w:hAnsi="仿宋" w:eastAsia="仿宋" w:cs="仿宋"/>
          <w:color w:val="auto"/>
          <w:highlight w:val="none"/>
        </w:rPr>
      </w:pPr>
    </w:p>
    <w:p w14:paraId="7A1AB975">
      <w:pPr>
        <w:rPr>
          <w:rFonts w:hint="eastAsia" w:ascii="仿宋" w:hAnsi="仿宋" w:eastAsia="仿宋" w:cs="仿宋"/>
          <w:color w:val="auto"/>
          <w:highlight w:val="none"/>
        </w:rPr>
        <w:sectPr>
          <w:footerReference r:id="rId36" w:type="default"/>
          <w:pgSz w:w="11905" w:h="16838"/>
          <w:pgMar w:top="1020" w:right="1134" w:bottom="1020" w:left="1134" w:header="0" w:footer="573" w:gutter="0"/>
          <w:pgNumType w:fmt="decimal"/>
          <w:cols w:space="0" w:num="1"/>
          <w:rtlGutter w:val="0"/>
          <w:docGrid w:linePitch="0" w:charSpace="0"/>
        </w:sectPr>
      </w:pPr>
    </w:p>
    <w:p w14:paraId="2977DFF4">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59DE5307">
      <w:pPr>
        <w:pStyle w:val="22"/>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4FC44B6B">
      <w:pPr>
        <w:pStyle w:val="22"/>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项目编号：</w:t>
      </w:r>
    </w:p>
    <w:p w14:paraId="775EBF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430C481D">
      <w:pPr>
        <w:spacing w:line="212" w:lineRule="exact"/>
        <w:rPr>
          <w:rFonts w:hint="eastAsia" w:ascii="仿宋" w:hAnsi="仿宋" w:eastAsia="仿宋" w:cs="仿宋"/>
          <w:color w:val="auto"/>
          <w:highlight w:val="none"/>
        </w:rPr>
      </w:pPr>
    </w:p>
    <w:tbl>
      <w:tblPr>
        <w:tblStyle w:val="21"/>
        <w:tblW w:w="878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805"/>
      </w:tblGrid>
      <w:tr w14:paraId="6989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1BEB8412">
            <w:pPr>
              <w:pStyle w:val="22"/>
              <w:spacing w:before="55" w:line="229" w:lineRule="auto"/>
              <w:ind w:left="18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311909F7">
            <w:pPr>
              <w:pStyle w:val="22"/>
              <w:spacing w:before="54" w:line="227" w:lineRule="auto"/>
              <w:ind w:left="170"/>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7E1D9C1A">
            <w:pPr>
              <w:pStyle w:val="22"/>
              <w:spacing w:before="54" w:line="227" w:lineRule="auto"/>
              <w:ind w:left="263"/>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征集文件的商务条款</w:t>
            </w:r>
          </w:p>
        </w:tc>
        <w:tc>
          <w:tcPr>
            <w:tcW w:w="2517" w:type="dxa"/>
            <w:vAlign w:val="top"/>
          </w:tcPr>
          <w:p w14:paraId="278F30A4">
            <w:pPr>
              <w:pStyle w:val="22"/>
              <w:spacing w:before="54" w:line="227" w:lineRule="auto"/>
              <w:ind w:left="222"/>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响应文件的商务条款</w:t>
            </w:r>
          </w:p>
        </w:tc>
        <w:tc>
          <w:tcPr>
            <w:tcW w:w="805" w:type="dxa"/>
            <w:vAlign w:val="top"/>
          </w:tcPr>
          <w:p w14:paraId="0F22BA7A">
            <w:pPr>
              <w:pStyle w:val="22"/>
              <w:spacing w:before="54" w:line="227" w:lineRule="auto"/>
              <w:ind w:left="185"/>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3B71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075E2A89">
            <w:pPr>
              <w:rPr>
                <w:rFonts w:hint="eastAsia" w:ascii="仿宋" w:hAnsi="仿宋" w:eastAsia="仿宋" w:cs="仿宋"/>
                <w:color w:val="auto"/>
                <w:sz w:val="21"/>
                <w:highlight w:val="none"/>
              </w:rPr>
            </w:pPr>
          </w:p>
        </w:tc>
        <w:tc>
          <w:tcPr>
            <w:tcW w:w="1983" w:type="dxa"/>
            <w:vAlign w:val="top"/>
          </w:tcPr>
          <w:p w14:paraId="2BCD9981">
            <w:pPr>
              <w:rPr>
                <w:rFonts w:hint="eastAsia" w:ascii="仿宋" w:hAnsi="仿宋" w:eastAsia="仿宋" w:cs="仿宋"/>
                <w:color w:val="auto"/>
                <w:sz w:val="21"/>
                <w:highlight w:val="none"/>
              </w:rPr>
            </w:pPr>
          </w:p>
        </w:tc>
        <w:tc>
          <w:tcPr>
            <w:tcW w:w="2644" w:type="dxa"/>
            <w:vAlign w:val="top"/>
          </w:tcPr>
          <w:p w14:paraId="4D5178D1">
            <w:pPr>
              <w:rPr>
                <w:rFonts w:hint="eastAsia" w:ascii="仿宋" w:hAnsi="仿宋" w:eastAsia="仿宋" w:cs="仿宋"/>
                <w:color w:val="auto"/>
                <w:sz w:val="21"/>
                <w:highlight w:val="none"/>
              </w:rPr>
            </w:pPr>
          </w:p>
        </w:tc>
        <w:tc>
          <w:tcPr>
            <w:tcW w:w="2517" w:type="dxa"/>
            <w:vAlign w:val="top"/>
          </w:tcPr>
          <w:p w14:paraId="16A4F043">
            <w:pPr>
              <w:rPr>
                <w:rFonts w:hint="eastAsia" w:ascii="仿宋" w:hAnsi="仿宋" w:eastAsia="仿宋" w:cs="仿宋"/>
                <w:color w:val="auto"/>
                <w:sz w:val="21"/>
                <w:highlight w:val="none"/>
              </w:rPr>
            </w:pPr>
          </w:p>
        </w:tc>
        <w:tc>
          <w:tcPr>
            <w:tcW w:w="805" w:type="dxa"/>
            <w:vAlign w:val="top"/>
          </w:tcPr>
          <w:p w14:paraId="1BBAA1DE">
            <w:pPr>
              <w:rPr>
                <w:rFonts w:hint="eastAsia" w:ascii="仿宋" w:hAnsi="仿宋" w:eastAsia="仿宋" w:cs="仿宋"/>
                <w:color w:val="auto"/>
                <w:sz w:val="21"/>
                <w:highlight w:val="none"/>
              </w:rPr>
            </w:pPr>
          </w:p>
        </w:tc>
      </w:tr>
      <w:tr w14:paraId="07A1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58EF13B">
            <w:pPr>
              <w:rPr>
                <w:rFonts w:hint="eastAsia" w:ascii="仿宋" w:hAnsi="仿宋" w:eastAsia="仿宋" w:cs="仿宋"/>
                <w:color w:val="auto"/>
                <w:sz w:val="21"/>
                <w:highlight w:val="none"/>
              </w:rPr>
            </w:pPr>
          </w:p>
        </w:tc>
        <w:tc>
          <w:tcPr>
            <w:tcW w:w="1983" w:type="dxa"/>
            <w:vAlign w:val="top"/>
          </w:tcPr>
          <w:p w14:paraId="119497FA">
            <w:pPr>
              <w:rPr>
                <w:rFonts w:hint="eastAsia" w:ascii="仿宋" w:hAnsi="仿宋" w:eastAsia="仿宋" w:cs="仿宋"/>
                <w:color w:val="auto"/>
                <w:sz w:val="21"/>
                <w:highlight w:val="none"/>
              </w:rPr>
            </w:pPr>
          </w:p>
        </w:tc>
        <w:tc>
          <w:tcPr>
            <w:tcW w:w="2644" w:type="dxa"/>
            <w:vAlign w:val="top"/>
          </w:tcPr>
          <w:p w14:paraId="08EED9C3">
            <w:pPr>
              <w:rPr>
                <w:rFonts w:hint="eastAsia" w:ascii="仿宋" w:hAnsi="仿宋" w:eastAsia="仿宋" w:cs="仿宋"/>
                <w:color w:val="auto"/>
                <w:sz w:val="21"/>
                <w:highlight w:val="none"/>
              </w:rPr>
            </w:pPr>
          </w:p>
        </w:tc>
        <w:tc>
          <w:tcPr>
            <w:tcW w:w="2517" w:type="dxa"/>
            <w:vAlign w:val="top"/>
          </w:tcPr>
          <w:p w14:paraId="1D13D1AF">
            <w:pPr>
              <w:rPr>
                <w:rFonts w:hint="eastAsia" w:ascii="仿宋" w:hAnsi="仿宋" w:eastAsia="仿宋" w:cs="仿宋"/>
                <w:color w:val="auto"/>
                <w:sz w:val="21"/>
                <w:highlight w:val="none"/>
              </w:rPr>
            </w:pPr>
          </w:p>
        </w:tc>
        <w:tc>
          <w:tcPr>
            <w:tcW w:w="805" w:type="dxa"/>
            <w:vAlign w:val="top"/>
          </w:tcPr>
          <w:p w14:paraId="017FA3CB">
            <w:pPr>
              <w:rPr>
                <w:rFonts w:hint="eastAsia" w:ascii="仿宋" w:hAnsi="仿宋" w:eastAsia="仿宋" w:cs="仿宋"/>
                <w:color w:val="auto"/>
                <w:sz w:val="21"/>
                <w:highlight w:val="none"/>
              </w:rPr>
            </w:pPr>
          </w:p>
        </w:tc>
      </w:tr>
      <w:tr w14:paraId="0807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BA5440E">
            <w:pPr>
              <w:rPr>
                <w:rFonts w:hint="eastAsia" w:ascii="仿宋" w:hAnsi="仿宋" w:eastAsia="仿宋" w:cs="仿宋"/>
                <w:color w:val="auto"/>
                <w:sz w:val="21"/>
                <w:highlight w:val="none"/>
              </w:rPr>
            </w:pPr>
          </w:p>
        </w:tc>
        <w:tc>
          <w:tcPr>
            <w:tcW w:w="1983" w:type="dxa"/>
            <w:vAlign w:val="top"/>
          </w:tcPr>
          <w:p w14:paraId="7B192DFF">
            <w:pPr>
              <w:rPr>
                <w:rFonts w:hint="eastAsia" w:ascii="仿宋" w:hAnsi="仿宋" w:eastAsia="仿宋" w:cs="仿宋"/>
                <w:color w:val="auto"/>
                <w:sz w:val="21"/>
                <w:highlight w:val="none"/>
              </w:rPr>
            </w:pPr>
          </w:p>
        </w:tc>
        <w:tc>
          <w:tcPr>
            <w:tcW w:w="2644" w:type="dxa"/>
            <w:vAlign w:val="top"/>
          </w:tcPr>
          <w:p w14:paraId="06706F30">
            <w:pPr>
              <w:rPr>
                <w:rFonts w:hint="eastAsia" w:ascii="仿宋" w:hAnsi="仿宋" w:eastAsia="仿宋" w:cs="仿宋"/>
                <w:color w:val="auto"/>
                <w:sz w:val="21"/>
                <w:highlight w:val="none"/>
              </w:rPr>
            </w:pPr>
          </w:p>
        </w:tc>
        <w:tc>
          <w:tcPr>
            <w:tcW w:w="2517" w:type="dxa"/>
            <w:vAlign w:val="top"/>
          </w:tcPr>
          <w:p w14:paraId="0F8CF591">
            <w:pPr>
              <w:rPr>
                <w:rFonts w:hint="eastAsia" w:ascii="仿宋" w:hAnsi="仿宋" w:eastAsia="仿宋" w:cs="仿宋"/>
                <w:color w:val="auto"/>
                <w:sz w:val="21"/>
                <w:highlight w:val="none"/>
              </w:rPr>
            </w:pPr>
          </w:p>
        </w:tc>
        <w:tc>
          <w:tcPr>
            <w:tcW w:w="805" w:type="dxa"/>
            <w:vAlign w:val="top"/>
          </w:tcPr>
          <w:p w14:paraId="565A09E8">
            <w:pPr>
              <w:rPr>
                <w:rFonts w:hint="eastAsia" w:ascii="仿宋" w:hAnsi="仿宋" w:eastAsia="仿宋" w:cs="仿宋"/>
                <w:color w:val="auto"/>
                <w:sz w:val="21"/>
                <w:highlight w:val="none"/>
              </w:rPr>
            </w:pPr>
          </w:p>
        </w:tc>
      </w:tr>
      <w:tr w14:paraId="3414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3F8C286D">
            <w:pPr>
              <w:rPr>
                <w:rFonts w:hint="eastAsia" w:ascii="仿宋" w:hAnsi="仿宋" w:eastAsia="仿宋" w:cs="仿宋"/>
                <w:color w:val="auto"/>
                <w:sz w:val="21"/>
                <w:highlight w:val="none"/>
              </w:rPr>
            </w:pPr>
          </w:p>
        </w:tc>
        <w:tc>
          <w:tcPr>
            <w:tcW w:w="1983" w:type="dxa"/>
            <w:vAlign w:val="top"/>
          </w:tcPr>
          <w:p w14:paraId="3C962A8D">
            <w:pPr>
              <w:rPr>
                <w:rFonts w:hint="eastAsia" w:ascii="仿宋" w:hAnsi="仿宋" w:eastAsia="仿宋" w:cs="仿宋"/>
                <w:color w:val="auto"/>
                <w:sz w:val="21"/>
                <w:highlight w:val="none"/>
              </w:rPr>
            </w:pPr>
          </w:p>
        </w:tc>
        <w:tc>
          <w:tcPr>
            <w:tcW w:w="2644" w:type="dxa"/>
            <w:vAlign w:val="top"/>
          </w:tcPr>
          <w:p w14:paraId="4C5CCE1E">
            <w:pPr>
              <w:rPr>
                <w:rFonts w:hint="eastAsia" w:ascii="仿宋" w:hAnsi="仿宋" w:eastAsia="仿宋" w:cs="仿宋"/>
                <w:color w:val="auto"/>
                <w:sz w:val="21"/>
                <w:highlight w:val="none"/>
              </w:rPr>
            </w:pPr>
          </w:p>
        </w:tc>
        <w:tc>
          <w:tcPr>
            <w:tcW w:w="2517" w:type="dxa"/>
            <w:vAlign w:val="top"/>
          </w:tcPr>
          <w:p w14:paraId="514DE94C">
            <w:pPr>
              <w:rPr>
                <w:rFonts w:hint="eastAsia" w:ascii="仿宋" w:hAnsi="仿宋" w:eastAsia="仿宋" w:cs="仿宋"/>
                <w:color w:val="auto"/>
                <w:sz w:val="21"/>
                <w:highlight w:val="none"/>
              </w:rPr>
            </w:pPr>
          </w:p>
        </w:tc>
        <w:tc>
          <w:tcPr>
            <w:tcW w:w="805" w:type="dxa"/>
            <w:vAlign w:val="top"/>
          </w:tcPr>
          <w:p w14:paraId="7FF352C9">
            <w:pPr>
              <w:rPr>
                <w:rFonts w:hint="eastAsia" w:ascii="仿宋" w:hAnsi="仿宋" w:eastAsia="仿宋" w:cs="仿宋"/>
                <w:color w:val="auto"/>
                <w:sz w:val="21"/>
                <w:highlight w:val="none"/>
              </w:rPr>
            </w:pPr>
          </w:p>
        </w:tc>
      </w:tr>
      <w:tr w14:paraId="7748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FC2C1BB">
            <w:pPr>
              <w:rPr>
                <w:rFonts w:hint="eastAsia" w:ascii="仿宋" w:hAnsi="仿宋" w:eastAsia="仿宋" w:cs="仿宋"/>
                <w:color w:val="auto"/>
                <w:sz w:val="21"/>
                <w:highlight w:val="none"/>
              </w:rPr>
            </w:pPr>
          </w:p>
        </w:tc>
        <w:tc>
          <w:tcPr>
            <w:tcW w:w="1983" w:type="dxa"/>
            <w:vAlign w:val="top"/>
          </w:tcPr>
          <w:p w14:paraId="1403C604">
            <w:pPr>
              <w:rPr>
                <w:rFonts w:hint="eastAsia" w:ascii="仿宋" w:hAnsi="仿宋" w:eastAsia="仿宋" w:cs="仿宋"/>
                <w:color w:val="auto"/>
                <w:sz w:val="21"/>
                <w:highlight w:val="none"/>
              </w:rPr>
            </w:pPr>
          </w:p>
        </w:tc>
        <w:tc>
          <w:tcPr>
            <w:tcW w:w="2644" w:type="dxa"/>
            <w:vAlign w:val="top"/>
          </w:tcPr>
          <w:p w14:paraId="78AEE56D">
            <w:pPr>
              <w:rPr>
                <w:rFonts w:hint="eastAsia" w:ascii="仿宋" w:hAnsi="仿宋" w:eastAsia="仿宋" w:cs="仿宋"/>
                <w:color w:val="auto"/>
                <w:sz w:val="21"/>
                <w:highlight w:val="none"/>
              </w:rPr>
            </w:pPr>
          </w:p>
        </w:tc>
        <w:tc>
          <w:tcPr>
            <w:tcW w:w="2517" w:type="dxa"/>
            <w:vAlign w:val="top"/>
          </w:tcPr>
          <w:p w14:paraId="48106840">
            <w:pPr>
              <w:rPr>
                <w:rFonts w:hint="eastAsia" w:ascii="仿宋" w:hAnsi="仿宋" w:eastAsia="仿宋" w:cs="仿宋"/>
                <w:color w:val="auto"/>
                <w:sz w:val="21"/>
                <w:highlight w:val="none"/>
              </w:rPr>
            </w:pPr>
          </w:p>
        </w:tc>
        <w:tc>
          <w:tcPr>
            <w:tcW w:w="805" w:type="dxa"/>
            <w:vAlign w:val="top"/>
          </w:tcPr>
          <w:p w14:paraId="09986C86">
            <w:pPr>
              <w:rPr>
                <w:rFonts w:hint="eastAsia" w:ascii="仿宋" w:hAnsi="仿宋" w:eastAsia="仿宋" w:cs="仿宋"/>
                <w:color w:val="auto"/>
                <w:sz w:val="21"/>
                <w:highlight w:val="none"/>
              </w:rPr>
            </w:pPr>
          </w:p>
        </w:tc>
      </w:tr>
      <w:tr w14:paraId="0D80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DCA571F">
            <w:pPr>
              <w:rPr>
                <w:rFonts w:hint="eastAsia" w:ascii="仿宋" w:hAnsi="仿宋" w:eastAsia="仿宋" w:cs="仿宋"/>
                <w:color w:val="auto"/>
                <w:sz w:val="21"/>
                <w:highlight w:val="none"/>
              </w:rPr>
            </w:pPr>
          </w:p>
        </w:tc>
        <w:tc>
          <w:tcPr>
            <w:tcW w:w="1983" w:type="dxa"/>
            <w:vAlign w:val="top"/>
          </w:tcPr>
          <w:p w14:paraId="1FEFC0F6">
            <w:pPr>
              <w:rPr>
                <w:rFonts w:hint="eastAsia" w:ascii="仿宋" w:hAnsi="仿宋" w:eastAsia="仿宋" w:cs="仿宋"/>
                <w:color w:val="auto"/>
                <w:sz w:val="21"/>
                <w:highlight w:val="none"/>
              </w:rPr>
            </w:pPr>
          </w:p>
        </w:tc>
        <w:tc>
          <w:tcPr>
            <w:tcW w:w="2644" w:type="dxa"/>
            <w:vAlign w:val="top"/>
          </w:tcPr>
          <w:p w14:paraId="69EDDD67">
            <w:pPr>
              <w:rPr>
                <w:rFonts w:hint="eastAsia" w:ascii="仿宋" w:hAnsi="仿宋" w:eastAsia="仿宋" w:cs="仿宋"/>
                <w:color w:val="auto"/>
                <w:sz w:val="21"/>
                <w:highlight w:val="none"/>
              </w:rPr>
            </w:pPr>
          </w:p>
        </w:tc>
        <w:tc>
          <w:tcPr>
            <w:tcW w:w="2517" w:type="dxa"/>
            <w:vAlign w:val="top"/>
          </w:tcPr>
          <w:p w14:paraId="33DD91E6">
            <w:pPr>
              <w:rPr>
                <w:rFonts w:hint="eastAsia" w:ascii="仿宋" w:hAnsi="仿宋" w:eastAsia="仿宋" w:cs="仿宋"/>
                <w:color w:val="auto"/>
                <w:sz w:val="21"/>
                <w:highlight w:val="none"/>
              </w:rPr>
            </w:pPr>
          </w:p>
        </w:tc>
        <w:tc>
          <w:tcPr>
            <w:tcW w:w="805" w:type="dxa"/>
            <w:vAlign w:val="top"/>
          </w:tcPr>
          <w:p w14:paraId="5AF9EE84">
            <w:pPr>
              <w:rPr>
                <w:rFonts w:hint="eastAsia" w:ascii="仿宋" w:hAnsi="仿宋" w:eastAsia="仿宋" w:cs="仿宋"/>
                <w:color w:val="auto"/>
                <w:sz w:val="21"/>
                <w:highlight w:val="none"/>
              </w:rPr>
            </w:pPr>
          </w:p>
        </w:tc>
      </w:tr>
      <w:tr w14:paraId="55CA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18262DC">
            <w:pPr>
              <w:rPr>
                <w:rFonts w:hint="eastAsia" w:ascii="仿宋" w:hAnsi="仿宋" w:eastAsia="仿宋" w:cs="仿宋"/>
                <w:color w:val="auto"/>
                <w:sz w:val="21"/>
                <w:highlight w:val="none"/>
              </w:rPr>
            </w:pPr>
          </w:p>
        </w:tc>
        <w:tc>
          <w:tcPr>
            <w:tcW w:w="1983" w:type="dxa"/>
            <w:vAlign w:val="top"/>
          </w:tcPr>
          <w:p w14:paraId="2F5FFD19">
            <w:pPr>
              <w:rPr>
                <w:rFonts w:hint="eastAsia" w:ascii="仿宋" w:hAnsi="仿宋" w:eastAsia="仿宋" w:cs="仿宋"/>
                <w:color w:val="auto"/>
                <w:sz w:val="21"/>
                <w:highlight w:val="none"/>
              </w:rPr>
            </w:pPr>
          </w:p>
        </w:tc>
        <w:tc>
          <w:tcPr>
            <w:tcW w:w="2644" w:type="dxa"/>
            <w:vAlign w:val="top"/>
          </w:tcPr>
          <w:p w14:paraId="5D93A281">
            <w:pPr>
              <w:rPr>
                <w:rFonts w:hint="eastAsia" w:ascii="仿宋" w:hAnsi="仿宋" w:eastAsia="仿宋" w:cs="仿宋"/>
                <w:color w:val="auto"/>
                <w:sz w:val="21"/>
                <w:highlight w:val="none"/>
              </w:rPr>
            </w:pPr>
          </w:p>
        </w:tc>
        <w:tc>
          <w:tcPr>
            <w:tcW w:w="2517" w:type="dxa"/>
            <w:vAlign w:val="top"/>
          </w:tcPr>
          <w:p w14:paraId="0854E250">
            <w:pPr>
              <w:rPr>
                <w:rFonts w:hint="eastAsia" w:ascii="仿宋" w:hAnsi="仿宋" w:eastAsia="仿宋" w:cs="仿宋"/>
                <w:color w:val="auto"/>
                <w:sz w:val="21"/>
                <w:highlight w:val="none"/>
              </w:rPr>
            </w:pPr>
          </w:p>
        </w:tc>
        <w:tc>
          <w:tcPr>
            <w:tcW w:w="805" w:type="dxa"/>
            <w:vAlign w:val="top"/>
          </w:tcPr>
          <w:p w14:paraId="7EC9633A">
            <w:pPr>
              <w:rPr>
                <w:rFonts w:hint="eastAsia" w:ascii="仿宋" w:hAnsi="仿宋" w:eastAsia="仿宋" w:cs="仿宋"/>
                <w:color w:val="auto"/>
                <w:sz w:val="21"/>
                <w:highlight w:val="none"/>
              </w:rPr>
            </w:pPr>
          </w:p>
        </w:tc>
      </w:tr>
      <w:tr w14:paraId="574A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25036BAA">
            <w:pPr>
              <w:rPr>
                <w:rFonts w:hint="eastAsia" w:ascii="仿宋" w:hAnsi="仿宋" w:eastAsia="仿宋" w:cs="仿宋"/>
                <w:color w:val="auto"/>
                <w:sz w:val="21"/>
                <w:highlight w:val="none"/>
              </w:rPr>
            </w:pPr>
          </w:p>
        </w:tc>
        <w:tc>
          <w:tcPr>
            <w:tcW w:w="1983" w:type="dxa"/>
            <w:vAlign w:val="top"/>
          </w:tcPr>
          <w:p w14:paraId="0F2437FE">
            <w:pPr>
              <w:rPr>
                <w:rFonts w:hint="eastAsia" w:ascii="仿宋" w:hAnsi="仿宋" w:eastAsia="仿宋" w:cs="仿宋"/>
                <w:color w:val="auto"/>
                <w:sz w:val="21"/>
                <w:highlight w:val="none"/>
              </w:rPr>
            </w:pPr>
          </w:p>
        </w:tc>
        <w:tc>
          <w:tcPr>
            <w:tcW w:w="2644" w:type="dxa"/>
            <w:vAlign w:val="top"/>
          </w:tcPr>
          <w:p w14:paraId="4634C82B">
            <w:pPr>
              <w:rPr>
                <w:rFonts w:hint="eastAsia" w:ascii="仿宋" w:hAnsi="仿宋" w:eastAsia="仿宋" w:cs="仿宋"/>
                <w:color w:val="auto"/>
                <w:sz w:val="21"/>
                <w:highlight w:val="none"/>
              </w:rPr>
            </w:pPr>
          </w:p>
        </w:tc>
        <w:tc>
          <w:tcPr>
            <w:tcW w:w="2517" w:type="dxa"/>
            <w:vAlign w:val="top"/>
          </w:tcPr>
          <w:p w14:paraId="713A290E">
            <w:pPr>
              <w:rPr>
                <w:rFonts w:hint="eastAsia" w:ascii="仿宋" w:hAnsi="仿宋" w:eastAsia="仿宋" w:cs="仿宋"/>
                <w:color w:val="auto"/>
                <w:sz w:val="21"/>
                <w:highlight w:val="none"/>
              </w:rPr>
            </w:pPr>
          </w:p>
        </w:tc>
        <w:tc>
          <w:tcPr>
            <w:tcW w:w="805" w:type="dxa"/>
            <w:vAlign w:val="top"/>
          </w:tcPr>
          <w:p w14:paraId="0CE03C6F">
            <w:pPr>
              <w:rPr>
                <w:rFonts w:hint="eastAsia" w:ascii="仿宋" w:hAnsi="仿宋" w:eastAsia="仿宋" w:cs="仿宋"/>
                <w:color w:val="auto"/>
                <w:sz w:val="21"/>
                <w:highlight w:val="none"/>
              </w:rPr>
            </w:pPr>
          </w:p>
        </w:tc>
      </w:tr>
      <w:tr w14:paraId="1963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2C6D53A3">
            <w:pPr>
              <w:rPr>
                <w:rFonts w:hint="eastAsia" w:ascii="仿宋" w:hAnsi="仿宋" w:eastAsia="仿宋" w:cs="仿宋"/>
                <w:color w:val="auto"/>
                <w:sz w:val="21"/>
                <w:highlight w:val="none"/>
              </w:rPr>
            </w:pPr>
          </w:p>
        </w:tc>
        <w:tc>
          <w:tcPr>
            <w:tcW w:w="1983" w:type="dxa"/>
            <w:vAlign w:val="top"/>
          </w:tcPr>
          <w:p w14:paraId="48C184D1">
            <w:pPr>
              <w:rPr>
                <w:rFonts w:hint="eastAsia" w:ascii="仿宋" w:hAnsi="仿宋" w:eastAsia="仿宋" w:cs="仿宋"/>
                <w:color w:val="auto"/>
                <w:sz w:val="21"/>
                <w:highlight w:val="none"/>
              </w:rPr>
            </w:pPr>
          </w:p>
        </w:tc>
        <w:tc>
          <w:tcPr>
            <w:tcW w:w="2644" w:type="dxa"/>
            <w:vAlign w:val="top"/>
          </w:tcPr>
          <w:p w14:paraId="0736EB09">
            <w:pPr>
              <w:rPr>
                <w:rFonts w:hint="eastAsia" w:ascii="仿宋" w:hAnsi="仿宋" w:eastAsia="仿宋" w:cs="仿宋"/>
                <w:color w:val="auto"/>
                <w:sz w:val="21"/>
                <w:highlight w:val="none"/>
              </w:rPr>
            </w:pPr>
          </w:p>
        </w:tc>
        <w:tc>
          <w:tcPr>
            <w:tcW w:w="2517" w:type="dxa"/>
            <w:vAlign w:val="top"/>
          </w:tcPr>
          <w:p w14:paraId="74E9D808">
            <w:pPr>
              <w:rPr>
                <w:rFonts w:hint="eastAsia" w:ascii="仿宋" w:hAnsi="仿宋" w:eastAsia="仿宋" w:cs="仿宋"/>
                <w:color w:val="auto"/>
                <w:sz w:val="21"/>
                <w:highlight w:val="none"/>
              </w:rPr>
            </w:pPr>
          </w:p>
        </w:tc>
        <w:tc>
          <w:tcPr>
            <w:tcW w:w="805" w:type="dxa"/>
            <w:vAlign w:val="top"/>
          </w:tcPr>
          <w:p w14:paraId="27E5ED74">
            <w:pPr>
              <w:rPr>
                <w:rFonts w:hint="eastAsia" w:ascii="仿宋" w:hAnsi="仿宋" w:eastAsia="仿宋" w:cs="仿宋"/>
                <w:color w:val="auto"/>
                <w:sz w:val="21"/>
                <w:highlight w:val="none"/>
              </w:rPr>
            </w:pPr>
          </w:p>
        </w:tc>
      </w:tr>
      <w:tr w14:paraId="1635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1F98ABB6">
            <w:pPr>
              <w:rPr>
                <w:rFonts w:hint="eastAsia" w:ascii="仿宋" w:hAnsi="仿宋" w:eastAsia="仿宋" w:cs="仿宋"/>
                <w:color w:val="auto"/>
                <w:sz w:val="21"/>
                <w:highlight w:val="none"/>
              </w:rPr>
            </w:pPr>
          </w:p>
        </w:tc>
        <w:tc>
          <w:tcPr>
            <w:tcW w:w="1983" w:type="dxa"/>
            <w:vAlign w:val="top"/>
          </w:tcPr>
          <w:p w14:paraId="2CC73D4A">
            <w:pPr>
              <w:rPr>
                <w:rFonts w:hint="eastAsia" w:ascii="仿宋" w:hAnsi="仿宋" w:eastAsia="仿宋" w:cs="仿宋"/>
                <w:color w:val="auto"/>
                <w:sz w:val="21"/>
                <w:highlight w:val="none"/>
              </w:rPr>
            </w:pPr>
          </w:p>
        </w:tc>
        <w:tc>
          <w:tcPr>
            <w:tcW w:w="2644" w:type="dxa"/>
            <w:vAlign w:val="top"/>
          </w:tcPr>
          <w:p w14:paraId="342EDF8E">
            <w:pPr>
              <w:rPr>
                <w:rFonts w:hint="eastAsia" w:ascii="仿宋" w:hAnsi="仿宋" w:eastAsia="仿宋" w:cs="仿宋"/>
                <w:color w:val="auto"/>
                <w:sz w:val="21"/>
                <w:highlight w:val="none"/>
              </w:rPr>
            </w:pPr>
          </w:p>
        </w:tc>
        <w:tc>
          <w:tcPr>
            <w:tcW w:w="2517" w:type="dxa"/>
            <w:vAlign w:val="top"/>
          </w:tcPr>
          <w:p w14:paraId="6861D995">
            <w:pPr>
              <w:rPr>
                <w:rFonts w:hint="eastAsia" w:ascii="仿宋" w:hAnsi="仿宋" w:eastAsia="仿宋" w:cs="仿宋"/>
                <w:color w:val="auto"/>
                <w:sz w:val="21"/>
                <w:highlight w:val="none"/>
              </w:rPr>
            </w:pPr>
          </w:p>
        </w:tc>
        <w:tc>
          <w:tcPr>
            <w:tcW w:w="805" w:type="dxa"/>
            <w:vAlign w:val="top"/>
          </w:tcPr>
          <w:p w14:paraId="41AFF4E1">
            <w:pPr>
              <w:rPr>
                <w:rFonts w:hint="eastAsia" w:ascii="仿宋" w:hAnsi="仿宋" w:eastAsia="仿宋" w:cs="仿宋"/>
                <w:color w:val="auto"/>
                <w:sz w:val="21"/>
                <w:highlight w:val="none"/>
              </w:rPr>
            </w:pPr>
          </w:p>
        </w:tc>
      </w:tr>
      <w:tr w14:paraId="1DDA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2685A42">
            <w:pPr>
              <w:rPr>
                <w:rFonts w:hint="eastAsia" w:ascii="仿宋" w:hAnsi="仿宋" w:eastAsia="仿宋" w:cs="仿宋"/>
                <w:color w:val="auto"/>
                <w:sz w:val="21"/>
                <w:highlight w:val="none"/>
              </w:rPr>
            </w:pPr>
          </w:p>
        </w:tc>
        <w:tc>
          <w:tcPr>
            <w:tcW w:w="1983" w:type="dxa"/>
            <w:vAlign w:val="top"/>
          </w:tcPr>
          <w:p w14:paraId="5C97154B">
            <w:pPr>
              <w:rPr>
                <w:rFonts w:hint="eastAsia" w:ascii="仿宋" w:hAnsi="仿宋" w:eastAsia="仿宋" w:cs="仿宋"/>
                <w:color w:val="auto"/>
                <w:sz w:val="21"/>
                <w:highlight w:val="none"/>
              </w:rPr>
            </w:pPr>
          </w:p>
        </w:tc>
        <w:tc>
          <w:tcPr>
            <w:tcW w:w="2644" w:type="dxa"/>
            <w:vAlign w:val="top"/>
          </w:tcPr>
          <w:p w14:paraId="07781C50">
            <w:pPr>
              <w:rPr>
                <w:rFonts w:hint="eastAsia" w:ascii="仿宋" w:hAnsi="仿宋" w:eastAsia="仿宋" w:cs="仿宋"/>
                <w:color w:val="auto"/>
                <w:sz w:val="21"/>
                <w:highlight w:val="none"/>
              </w:rPr>
            </w:pPr>
          </w:p>
        </w:tc>
        <w:tc>
          <w:tcPr>
            <w:tcW w:w="2517" w:type="dxa"/>
            <w:vAlign w:val="top"/>
          </w:tcPr>
          <w:p w14:paraId="637B2899">
            <w:pPr>
              <w:rPr>
                <w:rFonts w:hint="eastAsia" w:ascii="仿宋" w:hAnsi="仿宋" w:eastAsia="仿宋" w:cs="仿宋"/>
                <w:color w:val="auto"/>
                <w:sz w:val="21"/>
                <w:highlight w:val="none"/>
              </w:rPr>
            </w:pPr>
          </w:p>
        </w:tc>
        <w:tc>
          <w:tcPr>
            <w:tcW w:w="805" w:type="dxa"/>
            <w:vAlign w:val="top"/>
          </w:tcPr>
          <w:p w14:paraId="6C7A8864">
            <w:pPr>
              <w:rPr>
                <w:rFonts w:hint="eastAsia" w:ascii="仿宋" w:hAnsi="仿宋" w:eastAsia="仿宋" w:cs="仿宋"/>
                <w:color w:val="auto"/>
                <w:sz w:val="21"/>
                <w:highlight w:val="none"/>
              </w:rPr>
            </w:pPr>
          </w:p>
        </w:tc>
      </w:tr>
      <w:tr w14:paraId="28C8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6C99C7E">
            <w:pPr>
              <w:rPr>
                <w:rFonts w:hint="eastAsia" w:ascii="仿宋" w:hAnsi="仿宋" w:eastAsia="仿宋" w:cs="仿宋"/>
                <w:color w:val="auto"/>
                <w:sz w:val="21"/>
                <w:highlight w:val="none"/>
              </w:rPr>
            </w:pPr>
          </w:p>
        </w:tc>
        <w:tc>
          <w:tcPr>
            <w:tcW w:w="1983" w:type="dxa"/>
            <w:vAlign w:val="top"/>
          </w:tcPr>
          <w:p w14:paraId="1CB8D80D">
            <w:pPr>
              <w:rPr>
                <w:rFonts w:hint="eastAsia" w:ascii="仿宋" w:hAnsi="仿宋" w:eastAsia="仿宋" w:cs="仿宋"/>
                <w:color w:val="auto"/>
                <w:sz w:val="21"/>
                <w:highlight w:val="none"/>
              </w:rPr>
            </w:pPr>
          </w:p>
        </w:tc>
        <w:tc>
          <w:tcPr>
            <w:tcW w:w="2644" w:type="dxa"/>
            <w:vAlign w:val="top"/>
          </w:tcPr>
          <w:p w14:paraId="4FEC8CCA">
            <w:pPr>
              <w:rPr>
                <w:rFonts w:hint="eastAsia" w:ascii="仿宋" w:hAnsi="仿宋" w:eastAsia="仿宋" w:cs="仿宋"/>
                <w:color w:val="auto"/>
                <w:sz w:val="21"/>
                <w:highlight w:val="none"/>
              </w:rPr>
            </w:pPr>
          </w:p>
        </w:tc>
        <w:tc>
          <w:tcPr>
            <w:tcW w:w="2517" w:type="dxa"/>
            <w:vAlign w:val="top"/>
          </w:tcPr>
          <w:p w14:paraId="743025A1">
            <w:pPr>
              <w:rPr>
                <w:rFonts w:hint="eastAsia" w:ascii="仿宋" w:hAnsi="仿宋" w:eastAsia="仿宋" w:cs="仿宋"/>
                <w:color w:val="auto"/>
                <w:sz w:val="21"/>
                <w:highlight w:val="none"/>
              </w:rPr>
            </w:pPr>
          </w:p>
        </w:tc>
        <w:tc>
          <w:tcPr>
            <w:tcW w:w="805" w:type="dxa"/>
            <w:vAlign w:val="top"/>
          </w:tcPr>
          <w:p w14:paraId="086887F9">
            <w:pPr>
              <w:rPr>
                <w:rFonts w:hint="eastAsia" w:ascii="仿宋" w:hAnsi="仿宋" w:eastAsia="仿宋" w:cs="仿宋"/>
                <w:color w:val="auto"/>
                <w:sz w:val="21"/>
                <w:highlight w:val="none"/>
              </w:rPr>
            </w:pPr>
          </w:p>
        </w:tc>
      </w:tr>
      <w:tr w14:paraId="5BC6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3ED0E81">
            <w:pPr>
              <w:rPr>
                <w:rFonts w:hint="eastAsia" w:ascii="仿宋" w:hAnsi="仿宋" w:eastAsia="仿宋" w:cs="仿宋"/>
                <w:color w:val="auto"/>
                <w:sz w:val="21"/>
                <w:highlight w:val="none"/>
              </w:rPr>
            </w:pPr>
          </w:p>
        </w:tc>
        <w:tc>
          <w:tcPr>
            <w:tcW w:w="1983" w:type="dxa"/>
            <w:vAlign w:val="top"/>
          </w:tcPr>
          <w:p w14:paraId="103B0EDC">
            <w:pPr>
              <w:rPr>
                <w:rFonts w:hint="eastAsia" w:ascii="仿宋" w:hAnsi="仿宋" w:eastAsia="仿宋" w:cs="仿宋"/>
                <w:color w:val="auto"/>
                <w:sz w:val="21"/>
                <w:highlight w:val="none"/>
              </w:rPr>
            </w:pPr>
          </w:p>
        </w:tc>
        <w:tc>
          <w:tcPr>
            <w:tcW w:w="2644" w:type="dxa"/>
            <w:vAlign w:val="top"/>
          </w:tcPr>
          <w:p w14:paraId="109A0DAC">
            <w:pPr>
              <w:rPr>
                <w:rFonts w:hint="eastAsia" w:ascii="仿宋" w:hAnsi="仿宋" w:eastAsia="仿宋" w:cs="仿宋"/>
                <w:color w:val="auto"/>
                <w:sz w:val="21"/>
                <w:highlight w:val="none"/>
              </w:rPr>
            </w:pPr>
          </w:p>
        </w:tc>
        <w:tc>
          <w:tcPr>
            <w:tcW w:w="2517" w:type="dxa"/>
            <w:vAlign w:val="top"/>
          </w:tcPr>
          <w:p w14:paraId="3CE92316">
            <w:pPr>
              <w:rPr>
                <w:rFonts w:hint="eastAsia" w:ascii="仿宋" w:hAnsi="仿宋" w:eastAsia="仿宋" w:cs="仿宋"/>
                <w:color w:val="auto"/>
                <w:sz w:val="21"/>
                <w:highlight w:val="none"/>
              </w:rPr>
            </w:pPr>
          </w:p>
        </w:tc>
        <w:tc>
          <w:tcPr>
            <w:tcW w:w="805" w:type="dxa"/>
            <w:vAlign w:val="top"/>
          </w:tcPr>
          <w:p w14:paraId="5705BEA7">
            <w:pPr>
              <w:rPr>
                <w:rFonts w:hint="eastAsia" w:ascii="仿宋" w:hAnsi="仿宋" w:eastAsia="仿宋" w:cs="仿宋"/>
                <w:color w:val="auto"/>
                <w:sz w:val="21"/>
                <w:highlight w:val="none"/>
              </w:rPr>
            </w:pPr>
          </w:p>
        </w:tc>
      </w:tr>
      <w:tr w14:paraId="2314E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6A7804F">
            <w:pPr>
              <w:rPr>
                <w:rFonts w:hint="eastAsia" w:ascii="仿宋" w:hAnsi="仿宋" w:eastAsia="仿宋" w:cs="仿宋"/>
                <w:color w:val="auto"/>
                <w:sz w:val="21"/>
                <w:highlight w:val="none"/>
              </w:rPr>
            </w:pPr>
          </w:p>
        </w:tc>
        <w:tc>
          <w:tcPr>
            <w:tcW w:w="1983" w:type="dxa"/>
            <w:vAlign w:val="top"/>
          </w:tcPr>
          <w:p w14:paraId="4D553932">
            <w:pPr>
              <w:rPr>
                <w:rFonts w:hint="eastAsia" w:ascii="仿宋" w:hAnsi="仿宋" w:eastAsia="仿宋" w:cs="仿宋"/>
                <w:color w:val="auto"/>
                <w:sz w:val="21"/>
                <w:highlight w:val="none"/>
              </w:rPr>
            </w:pPr>
          </w:p>
        </w:tc>
        <w:tc>
          <w:tcPr>
            <w:tcW w:w="2644" w:type="dxa"/>
            <w:vAlign w:val="top"/>
          </w:tcPr>
          <w:p w14:paraId="49E336D0">
            <w:pPr>
              <w:rPr>
                <w:rFonts w:hint="eastAsia" w:ascii="仿宋" w:hAnsi="仿宋" w:eastAsia="仿宋" w:cs="仿宋"/>
                <w:color w:val="auto"/>
                <w:sz w:val="21"/>
                <w:highlight w:val="none"/>
              </w:rPr>
            </w:pPr>
          </w:p>
        </w:tc>
        <w:tc>
          <w:tcPr>
            <w:tcW w:w="2517" w:type="dxa"/>
            <w:vAlign w:val="top"/>
          </w:tcPr>
          <w:p w14:paraId="32132BB7">
            <w:pPr>
              <w:rPr>
                <w:rFonts w:hint="eastAsia" w:ascii="仿宋" w:hAnsi="仿宋" w:eastAsia="仿宋" w:cs="仿宋"/>
                <w:color w:val="auto"/>
                <w:sz w:val="21"/>
                <w:highlight w:val="none"/>
              </w:rPr>
            </w:pPr>
          </w:p>
        </w:tc>
        <w:tc>
          <w:tcPr>
            <w:tcW w:w="805" w:type="dxa"/>
            <w:vAlign w:val="top"/>
          </w:tcPr>
          <w:p w14:paraId="458CDA46">
            <w:pPr>
              <w:rPr>
                <w:rFonts w:hint="eastAsia" w:ascii="仿宋" w:hAnsi="仿宋" w:eastAsia="仿宋" w:cs="仿宋"/>
                <w:color w:val="auto"/>
                <w:sz w:val="21"/>
                <w:highlight w:val="none"/>
              </w:rPr>
            </w:pPr>
          </w:p>
        </w:tc>
      </w:tr>
    </w:tbl>
    <w:p w14:paraId="365EB85A">
      <w:pPr>
        <w:pStyle w:val="5"/>
        <w:spacing w:line="438" w:lineRule="auto"/>
        <w:rPr>
          <w:rFonts w:hint="eastAsia" w:ascii="仿宋" w:hAnsi="仿宋" w:eastAsia="仿宋" w:cs="仿宋"/>
          <w:color w:val="auto"/>
          <w:highlight w:val="none"/>
        </w:rPr>
      </w:pPr>
    </w:p>
    <w:p w14:paraId="7D4A5D18">
      <w:pPr>
        <w:spacing w:before="75" w:line="227" w:lineRule="auto"/>
        <w:ind w:left="61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3BAB0D08">
      <w:pPr>
        <w:spacing w:before="147" w:line="192" w:lineRule="auto"/>
        <w:ind w:left="4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法定代表人或委托代理人（签字或签章）</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3CD59F1C">
      <w:pPr>
        <w:spacing w:line="192" w:lineRule="auto"/>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p>
    <w:p w14:paraId="601DB9BC">
      <w:pPr>
        <w:spacing w:before="74" w:line="227" w:lineRule="auto"/>
        <w:ind w:left="245"/>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5 供应商所有技术文件</w:t>
      </w:r>
    </w:p>
    <w:p w14:paraId="1B50650B">
      <w:pPr>
        <w:spacing w:before="182" w:line="227" w:lineRule="auto"/>
        <w:ind w:left="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5.1、技术和商务文件由供应商自行编写，格式自拟。</w:t>
      </w:r>
    </w:p>
    <w:p w14:paraId="41597160">
      <w:pPr>
        <w:rPr>
          <w:rFonts w:hint="eastAsia" w:ascii="仿宋" w:hAnsi="仿宋" w:eastAsia="仿宋" w:cs="仿宋"/>
          <w:color w:val="auto"/>
          <w:highlight w:val="none"/>
        </w:rPr>
        <w:sectPr>
          <w:footerReference r:id="rId37" w:type="default"/>
          <w:pgSz w:w="11905" w:h="16838"/>
          <w:pgMar w:top="1020" w:right="1134" w:bottom="1020" w:left="1134" w:header="0" w:footer="573" w:gutter="0"/>
          <w:pgNumType w:fmt="decimal"/>
          <w:cols w:space="0" w:num="1"/>
          <w:rtlGutter w:val="0"/>
          <w:docGrid w:linePitch="0" w:charSpace="0"/>
        </w:sectPr>
      </w:pPr>
    </w:p>
    <w:p w14:paraId="0D1D8693">
      <w:pPr>
        <w:pStyle w:val="22"/>
        <w:keepNext w:val="0"/>
        <w:keepLines w:val="0"/>
        <w:pageBreakBefore w:val="0"/>
        <w:widowControl/>
        <w:kinsoku w:val="0"/>
        <w:wordWrap/>
        <w:overflowPunct/>
        <w:topLinePunct w:val="0"/>
        <w:autoSpaceDE w:val="0"/>
        <w:autoSpaceDN w:val="0"/>
        <w:bidi w:val="0"/>
        <w:adjustRightInd w:val="0"/>
        <w:snapToGrid w:val="0"/>
        <w:spacing w:before="108" w:line="440" w:lineRule="exact"/>
        <w:ind w:firstLine="240" w:firstLineChars="100"/>
        <w:textAlignment w:val="baseline"/>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06750F18">
      <w:pPr>
        <w:pStyle w:val="22"/>
        <w:keepNext w:val="0"/>
        <w:keepLines w:val="0"/>
        <w:pageBreakBefore w:val="0"/>
        <w:widowControl/>
        <w:kinsoku w:val="0"/>
        <w:wordWrap/>
        <w:overflowPunct/>
        <w:topLinePunct w:val="0"/>
        <w:autoSpaceDE w:val="0"/>
        <w:autoSpaceDN w:val="0"/>
        <w:bidi w:val="0"/>
        <w:adjustRightInd w:val="0"/>
        <w:snapToGrid w:val="0"/>
        <w:spacing w:before="108" w:line="440" w:lineRule="exact"/>
        <w:ind w:firstLine="240" w:firstLineChars="100"/>
        <w:textAlignment w:val="baseline"/>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5ECDEA8B">
      <w:pPr>
        <w:pStyle w:val="5"/>
        <w:keepNext w:val="0"/>
        <w:keepLines w:val="0"/>
        <w:pageBreakBefore w:val="0"/>
        <w:widowControl/>
        <w:kinsoku w:val="0"/>
        <w:wordWrap/>
        <w:overflowPunct/>
        <w:topLinePunct w:val="0"/>
        <w:autoSpaceDE w:val="0"/>
        <w:autoSpaceDN w:val="0"/>
        <w:bidi w:val="0"/>
        <w:adjustRightInd w:val="0"/>
        <w:snapToGrid w:val="0"/>
        <w:spacing w:line="440" w:lineRule="exact"/>
        <w:ind w:firstLine="220" w:firstLineChars="100"/>
        <w:textAlignment w:val="baseline"/>
        <w:rPr>
          <w:rFonts w:hint="eastAsia" w:ascii="仿宋" w:hAnsi="仿宋" w:eastAsia="仿宋" w:cs="仿宋"/>
          <w:color w:val="auto"/>
          <w:highlight w:val="none"/>
        </w:rPr>
      </w:pPr>
      <w:r>
        <w:rPr>
          <w:rFonts w:hint="eastAsia" w:ascii="仿宋" w:hAnsi="仿宋" w:eastAsia="仿宋" w:cs="仿宋"/>
          <w:color w:val="auto"/>
          <w:spacing w:val="5"/>
          <w:highlight w:val="none"/>
        </w:rPr>
        <w:t>项目编号：</w:t>
      </w:r>
    </w:p>
    <w:p w14:paraId="0B6E00B4">
      <w:pPr>
        <w:pStyle w:val="5"/>
        <w:spacing w:line="14" w:lineRule="auto"/>
        <w:rPr>
          <w:rFonts w:hint="eastAsia" w:ascii="仿宋" w:hAnsi="仿宋" w:eastAsia="仿宋" w:cs="仿宋"/>
          <w:color w:val="auto"/>
          <w:sz w:val="2"/>
          <w:szCs w:val="2"/>
          <w:highlight w:val="none"/>
        </w:rPr>
      </w:pPr>
      <w:r>
        <w:rPr>
          <w:rFonts w:hint="eastAsia" w:ascii="仿宋" w:hAnsi="仿宋" w:eastAsia="仿宋" w:cs="仿宋"/>
          <w:color w:val="auto"/>
          <w:sz w:val="2"/>
          <w:szCs w:val="2"/>
          <w:highlight w:val="none"/>
        </w:rPr>
        <w:br w:type="column"/>
      </w:r>
    </w:p>
    <w:p w14:paraId="2BA0274C">
      <w:pPr>
        <w:pStyle w:val="5"/>
        <w:spacing w:line="14" w:lineRule="auto"/>
        <w:rPr>
          <w:rFonts w:hint="eastAsia" w:ascii="仿宋" w:hAnsi="仿宋" w:eastAsia="仿宋" w:cs="仿宋"/>
          <w:color w:val="auto"/>
          <w:sz w:val="2"/>
          <w:szCs w:val="2"/>
          <w:highlight w:val="none"/>
        </w:rPr>
      </w:pPr>
    </w:p>
    <w:p w14:paraId="763E40F8">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4"/>
          <w:sz w:val="23"/>
          <w:szCs w:val="23"/>
          <w:highlight w:val="none"/>
        </w:rPr>
        <w:t>（响应文件格式八）</w:t>
      </w:r>
    </w:p>
    <w:p w14:paraId="50482D55">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5.2技术条款偏离表</w:t>
      </w:r>
    </w:p>
    <w:p w14:paraId="30D951DC">
      <w:pPr>
        <w:spacing w:before="46" w:line="235" w:lineRule="auto"/>
        <w:jc w:val="center"/>
        <w:rPr>
          <w:rFonts w:hint="eastAsia" w:ascii="仿宋" w:hAnsi="仿宋" w:eastAsia="仿宋" w:cs="仿宋"/>
          <w:color w:val="auto"/>
          <w:spacing w:val="5"/>
          <w:sz w:val="23"/>
          <w:szCs w:val="23"/>
          <w:highlight w:val="none"/>
        </w:rPr>
      </w:pPr>
    </w:p>
    <w:p w14:paraId="4407C87F">
      <w:pPr>
        <w:pStyle w:val="22"/>
        <w:keepNext w:val="0"/>
        <w:keepLines w:val="0"/>
        <w:pageBreakBefore w:val="0"/>
        <w:widowControl/>
        <w:kinsoku w:val="0"/>
        <w:wordWrap/>
        <w:overflowPunct/>
        <w:topLinePunct w:val="0"/>
        <w:autoSpaceDE w:val="0"/>
        <w:autoSpaceDN w:val="0"/>
        <w:bidi w:val="0"/>
        <w:adjustRightInd w:val="0"/>
        <w:snapToGrid w:val="0"/>
        <w:spacing w:before="108" w:line="440" w:lineRule="exact"/>
        <w:textAlignment w:val="baseline"/>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项目名称：     </w:t>
      </w:r>
    </w:p>
    <w:p w14:paraId="716153C6">
      <w:pPr>
        <w:pStyle w:val="22"/>
        <w:keepNext w:val="0"/>
        <w:keepLines w:val="0"/>
        <w:pageBreakBefore w:val="0"/>
        <w:widowControl/>
        <w:kinsoku w:val="0"/>
        <w:wordWrap/>
        <w:overflowPunct/>
        <w:topLinePunct w:val="0"/>
        <w:autoSpaceDE w:val="0"/>
        <w:autoSpaceDN w:val="0"/>
        <w:bidi w:val="0"/>
        <w:adjustRightInd w:val="0"/>
        <w:snapToGrid w:val="0"/>
        <w:spacing w:before="108" w:line="440" w:lineRule="exact"/>
        <w:textAlignment w:val="baseline"/>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标项</w:t>
      </w:r>
      <w:r>
        <w:rPr>
          <w:rFonts w:hint="eastAsia" w:ascii="仿宋" w:hAnsi="仿宋" w:eastAsia="仿宋" w:cs="仿宋"/>
          <w:color w:val="auto"/>
          <w:spacing w:val="5"/>
          <w:highlight w:val="none"/>
        </w:rPr>
        <w:t xml:space="preserve">名称：                    </w:t>
      </w:r>
    </w:p>
    <w:p w14:paraId="5D94B69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项目编号：</w:t>
      </w:r>
    </w:p>
    <w:p w14:paraId="685E2E2E">
      <w:pPr>
        <w:pStyle w:val="11"/>
        <w:rPr>
          <w:rFonts w:hint="eastAsia"/>
          <w:color w:val="auto"/>
          <w:highlight w:val="none"/>
          <w:lang w:eastAsia="zh-CN"/>
        </w:rPr>
      </w:pPr>
    </w:p>
    <w:tbl>
      <w:tblPr>
        <w:tblStyle w:val="21"/>
        <w:tblW w:w="903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1056"/>
      </w:tblGrid>
      <w:tr w14:paraId="01B5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3A541FEF">
            <w:pPr>
              <w:pStyle w:val="22"/>
              <w:spacing w:before="55" w:line="229" w:lineRule="auto"/>
              <w:ind w:left="187"/>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1CADC1B1">
            <w:pPr>
              <w:pStyle w:val="22"/>
              <w:spacing w:before="53" w:line="227" w:lineRule="auto"/>
              <w:ind w:left="171"/>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2AB24123">
            <w:pPr>
              <w:pStyle w:val="22"/>
              <w:spacing w:before="53" w:line="227" w:lineRule="auto"/>
              <w:ind w:left="264"/>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征集文件的技术条款</w:t>
            </w:r>
          </w:p>
        </w:tc>
        <w:tc>
          <w:tcPr>
            <w:tcW w:w="2517" w:type="dxa"/>
            <w:vAlign w:val="top"/>
          </w:tcPr>
          <w:p w14:paraId="1F8C3A7D">
            <w:pPr>
              <w:pStyle w:val="22"/>
              <w:spacing w:before="53" w:line="227" w:lineRule="auto"/>
              <w:ind w:left="221"/>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响应文件的技术条款</w:t>
            </w:r>
          </w:p>
        </w:tc>
        <w:tc>
          <w:tcPr>
            <w:tcW w:w="1056" w:type="dxa"/>
            <w:vAlign w:val="top"/>
          </w:tcPr>
          <w:p w14:paraId="0B06961E">
            <w:pPr>
              <w:pStyle w:val="22"/>
              <w:spacing w:before="53" w:line="227" w:lineRule="auto"/>
              <w:ind w:left="184"/>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142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4ADAB61B">
            <w:pPr>
              <w:rPr>
                <w:rFonts w:hint="eastAsia" w:ascii="仿宋" w:hAnsi="仿宋" w:eastAsia="仿宋" w:cs="仿宋"/>
                <w:color w:val="auto"/>
                <w:sz w:val="21"/>
                <w:highlight w:val="none"/>
              </w:rPr>
            </w:pPr>
          </w:p>
        </w:tc>
        <w:tc>
          <w:tcPr>
            <w:tcW w:w="1983" w:type="dxa"/>
            <w:vAlign w:val="top"/>
          </w:tcPr>
          <w:p w14:paraId="01F842D0">
            <w:pPr>
              <w:rPr>
                <w:rFonts w:hint="eastAsia" w:ascii="仿宋" w:hAnsi="仿宋" w:eastAsia="仿宋" w:cs="仿宋"/>
                <w:color w:val="auto"/>
                <w:sz w:val="21"/>
                <w:highlight w:val="none"/>
              </w:rPr>
            </w:pPr>
          </w:p>
        </w:tc>
        <w:tc>
          <w:tcPr>
            <w:tcW w:w="2644" w:type="dxa"/>
            <w:vAlign w:val="top"/>
          </w:tcPr>
          <w:p w14:paraId="1582870E">
            <w:pPr>
              <w:rPr>
                <w:rFonts w:hint="eastAsia" w:ascii="仿宋" w:hAnsi="仿宋" w:eastAsia="仿宋" w:cs="仿宋"/>
                <w:color w:val="auto"/>
                <w:sz w:val="21"/>
                <w:highlight w:val="none"/>
              </w:rPr>
            </w:pPr>
          </w:p>
        </w:tc>
        <w:tc>
          <w:tcPr>
            <w:tcW w:w="2517" w:type="dxa"/>
            <w:vAlign w:val="top"/>
          </w:tcPr>
          <w:p w14:paraId="138D42E0">
            <w:pPr>
              <w:rPr>
                <w:rFonts w:hint="eastAsia" w:ascii="仿宋" w:hAnsi="仿宋" w:eastAsia="仿宋" w:cs="仿宋"/>
                <w:color w:val="auto"/>
                <w:sz w:val="21"/>
                <w:highlight w:val="none"/>
              </w:rPr>
            </w:pPr>
          </w:p>
        </w:tc>
        <w:tc>
          <w:tcPr>
            <w:tcW w:w="1056" w:type="dxa"/>
            <w:vAlign w:val="top"/>
          </w:tcPr>
          <w:p w14:paraId="7B907706">
            <w:pPr>
              <w:rPr>
                <w:rFonts w:hint="eastAsia" w:ascii="仿宋" w:hAnsi="仿宋" w:eastAsia="仿宋" w:cs="仿宋"/>
                <w:color w:val="auto"/>
                <w:sz w:val="21"/>
                <w:highlight w:val="none"/>
              </w:rPr>
            </w:pPr>
          </w:p>
        </w:tc>
      </w:tr>
      <w:tr w14:paraId="61DF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26CCE0E6">
            <w:pPr>
              <w:rPr>
                <w:rFonts w:hint="eastAsia" w:ascii="仿宋" w:hAnsi="仿宋" w:eastAsia="仿宋" w:cs="仿宋"/>
                <w:color w:val="auto"/>
                <w:sz w:val="21"/>
                <w:highlight w:val="none"/>
              </w:rPr>
            </w:pPr>
          </w:p>
        </w:tc>
        <w:tc>
          <w:tcPr>
            <w:tcW w:w="1983" w:type="dxa"/>
            <w:vAlign w:val="top"/>
          </w:tcPr>
          <w:p w14:paraId="51173E11">
            <w:pPr>
              <w:rPr>
                <w:rFonts w:hint="eastAsia" w:ascii="仿宋" w:hAnsi="仿宋" w:eastAsia="仿宋" w:cs="仿宋"/>
                <w:color w:val="auto"/>
                <w:sz w:val="21"/>
                <w:highlight w:val="none"/>
              </w:rPr>
            </w:pPr>
          </w:p>
        </w:tc>
        <w:tc>
          <w:tcPr>
            <w:tcW w:w="2644" w:type="dxa"/>
            <w:vAlign w:val="top"/>
          </w:tcPr>
          <w:p w14:paraId="4212E603">
            <w:pPr>
              <w:rPr>
                <w:rFonts w:hint="eastAsia" w:ascii="仿宋" w:hAnsi="仿宋" w:eastAsia="仿宋" w:cs="仿宋"/>
                <w:color w:val="auto"/>
                <w:sz w:val="21"/>
                <w:highlight w:val="none"/>
              </w:rPr>
            </w:pPr>
          </w:p>
        </w:tc>
        <w:tc>
          <w:tcPr>
            <w:tcW w:w="2517" w:type="dxa"/>
            <w:vAlign w:val="top"/>
          </w:tcPr>
          <w:p w14:paraId="02EFA904">
            <w:pPr>
              <w:rPr>
                <w:rFonts w:hint="eastAsia" w:ascii="仿宋" w:hAnsi="仿宋" w:eastAsia="仿宋" w:cs="仿宋"/>
                <w:color w:val="auto"/>
                <w:sz w:val="21"/>
                <w:highlight w:val="none"/>
              </w:rPr>
            </w:pPr>
          </w:p>
        </w:tc>
        <w:tc>
          <w:tcPr>
            <w:tcW w:w="1056" w:type="dxa"/>
            <w:vAlign w:val="top"/>
          </w:tcPr>
          <w:p w14:paraId="52DF96B6">
            <w:pPr>
              <w:rPr>
                <w:rFonts w:hint="eastAsia" w:ascii="仿宋" w:hAnsi="仿宋" w:eastAsia="仿宋" w:cs="仿宋"/>
                <w:color w:val="auto"/>
                <w:sz w:val="21"/>
                <w:highlight w:val="none"/>
              </w:rPr>
            </w:pPr>
          </w:p>
        </w:tc>
      </w:tr>
      <w:tr w14:paraId="2BDA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48D4C001">
            <w:pPr>
              <w:rPr>
                <w:rFonts w:hint="eastAsia" w:ascii="仿宋" w:hAnsi="仿宋" w:eastAsia="仿宋" w:cs="仿宋"/>
                <w:color w:val="auto"/>
                <w:sz w:val="21"/>
                <w:highlight w:val="none"/>
              </w:rPr>
            </w:pPr>
          </w:p>
        </w:tc>
        <w:tc>
          <w:tcPr>
            <w:tcW w:w="1983" w:type="dxa"/>
            <w:vAlign w:val="top"/>
          </w:tcPr>
          <w:p w14:paraId="5AA1C74E">
            <w:pPr>
              <w:rPr>
                <w:rFonts w:hint="eastAsia" w:ascii="仿宋" w:hAnsi="仿宋" w:eastAsia="仿宋" w:cs="仿宋"/>
                <w:color w:val="auto"/>
                <w:sz w:val="21"/>
                <w:highlight w:val="none"/>
              </w:rPr>
            </w:pPr>
          </w:p>
        </w:tc>
        <w:tc>
          <w:tcPr>
            <w:tcW w:w="2644" w:type="dxa"/>
            <w:vAlign w:val="top"/>
          </w:tcPr>
          <w:p w14:paraId="1EC78FD2">
            <w:pPr>
              <w:rPr>
                <w:rFonts w:hint="eastAsia" w:ascii="仿宋" w:hAnsi="仿宋" w:eastAsia="仿宋" w:cs="仿宋"/>
                <w:color w:val="auto"/>
                <w:sz w:val="21"/>
                <w:highlight w:val="none"/>
              </w:rPr>
            </w:pPr>
          </w:p>
        </w:tc>
        <w:tc>
          <w:tcPr>
            <w:tcW w:w="2517" w:type="dxa"/>
            <w:vAlign w:val="top"/>
          </w:tcPr>
          <w:p w14:paraId="2982E6AD">
            <w:pPr>
              <w:rPr>
                <w:rFonts w:hint="eastAsia" w:ascii="仿宋" w:hAnsi="仿宋" w:eastAsia="仿宋" w:cs="仿宋"/>
                <w:color w:val="auto"/>
                <w:sz w:val="21"/>
                <w:highlight w:val="none"/>
              </w:rPr>
            </w:pPr>
          </w:p>
        </w:tc>
        <w:tc>
          <w:tcPr>
            <w:tcW w:w="1056" w:type="dxa"/>
            <w:vAlign w:val="top"/>
          </w:tcPr>
          <w:p w14:paraId="43A21F74">
            <w:pPr>
              <w:rPr>
                <w:rFonts w:hint="eastAsia" w:ascii="仿宋" w:hAnsi="仿宋" w:eastAsia="仿宋" w:cs="仿宋"/>
                <w:color w:val="auto"/>
                <w:sz w:val="21"/>
                <w:highlight w:val="none"/>
              </w:rPr>
            </w:pPr>
          </w:p>
        </w:tc>
      </w:tr>
      <w:tr w14:paraId="6706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7E6B7B36">
            <w:pPr>
              <w:rPr>
                <w:rFonts w:hint="eastAsia" w:ascii="仿宋" w:hAnsi="仿宋" w:eastAsia="仿宋" w:cs="仿宋"/>
                <w:color w:val="auto"/>
                <w:sz w:val="21"/>
                <w:highlight w:val="none"/>
              </w:rPr>
            </w:pPr>
          </w:p>
        </w:tc>
        <w:tc>
          <w:tcPr>
            <w:tcW w:w="1983" w:type="dxa"/>
            <w:vAlign w:val="top"/>
          </w:tcPr>
          <w:p w14:paraId="43A602C8">
            <w:pPr>
              <w:rPr>
                <w:rFonts w:hint="eastAsia" w:ascii="仿宋" w:hAnsi="仿宋" w:eastAsia="仿宋" w:cs="仿宋"/>
                <w:color w:val="auto"/>
                <w:sz w:val="21"/>
                <w:highlight w:val="none"/>
              </w:rPr>
            </w:pPr>
          </w:p>
        </w:tc>
        <w:tc>
          <w:tcPr>
            <w:tcW w:w="2644" w:type="dxa"/>
            <w:vAlign w:val="top"/>
          </w:tcPr>
          <w:p w14:paraId="7EBF8E45">
            <w:pPr>
              <w:rPr>
                <w:rFonts w:hint="eastAsia" w:ascii="仿宋" w:hAnsi="仿宋" w:eastAsia="仿宋" w:cs="仿宋"/>
                <w:color w:val="auto"/>
                <w:sz w:val="21"/>
                <w:highlight w:val="none"/>
              </w:rPr>
            </w:pPr>
          </w:p>
        </w:tc>
        <w:tc>
          <w:tcPr>
            <w:tcW w:w="2517" w:type="dxa"/>
            <w:vAlign w:val="top"/>
          </w:tcPr>
          <w:p w14:paraId="612E9A62">
            <w:pPr>
              <w:rPr>
                <w:rFonts w:hint="eastAsia" w:ascii="仿宋" w:hAnsi="仿宋" w:eastAsia="仿宋" w:cs="仿宋"/>
                <w:color w:val="auto"/>
                <w:sz w:val="21"/>
                <w:highlight w:val="none"/>
              </w:rPr>
            </w:pPr>
          </w:p>
        </w:tc>
        <w:tc>
          <w:tcPr>
            <w:tcW w:w="1056" w:type="dxa"/>
            <w:vAlign w:val="top"/>
          </w:tcPr>
          <w:p w14:paraId="7650B393">
            <w:pPr>
              <w:rPr>
                <w:rFonts w:hint="eastAsia" w:ascii="仿宋" w:hAnsi="仿宋" w:eastAsia="仿宋" w:cs="仿宋"/>
                <w:color w:val="auto"/>
                <w:sz w:val="21"/>
                <w:highlight w:val="none"/>
              </w:rPr>
            </w:pPr>
          </w:p>
        </w:tc>
      </w:tr>
      <w:tr w14:paraId="7C99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35BC1739">
            <w:pPr>
              <w:rPr>
                <w:rFonts w:hint="eastAsia" w:ascii="仿宋" w:hAnsi="仿宋" w:eastAsia="仿宋" w:cs="仿宋"/>
                <w:color w:val="auto"/>
                <w:sz w:val="21"/>
                <w:highlight w:val="none"/>
              </w:rPr>
            </w:pPr>
          </w:p>
        </w:tc>
        <w:tc>
          <w:tcPr>
            <w:tcW w:w="1983" w:type="dxa"/>
            <w:vAlign w:val="top"/>
          </w:tcPr>
          <w:p w14:paraId="793975BF">
            <w:pPr>
              <w:rPr>
                <w:rFonts w:hint="eastAsia" w:ascii="仿宋" w:hAnsi="仿宋" w:eastAsia="仿宋" w:cs="仿宋"/>
                <w:color w:val="auto"/>
                <w:sz w:val="21"/>
                <w:highlight w:val="none"/>
              </w:rPr>
            </w:pPr>
          </w:p>
        </w:tc>
        <w:tc>
          <w:tcPr>
            <w:tcW w:w="2644" w:type="dxa"/>
            <w:vAlign w:val="top"/>
          </w:tcPr>
          <w:p w14:paraId="57C92592">
            <w:pPr>
              <w:rPr>
                <w:rFonts w:hint="eastAsia" w:ascii="仿宋" w:hAnsi="仿宋" w:eastAsia="仿宋" w:cs="仿宋"/>
                <w:color w:val="auto"/>
                <w:sz w:val="21"/>
                <w:highlight w:val="none"/>
              </w:rPr>
            </w:pPr>
          </w:p>
        </w:tc>
        <w:tc>
          <w:tcPr>
            <w:tcW w:w="2517" w:type="dxa"/>
            <w:vAlign w:val="top"/>
          </w:tcPr>
          <w:p w14:paraId="1B6F5FB1">
            <w:pPr>
              <w:rPr>
                <w:rFonts w:hint="eastAsia" w:ascii="仿宋" w:hAnsi="仿宋" w:eastAsia="仿宋" w:cs="仿宋"/>
                <w:color w:val="auto"/>
                <w:sz w:val="21"/>
                <w:highlight w:val="none"/>
              </w:rPr>
            </w:pPr>
          </w:p>
        </w:tc>
        <w:tc>
          <w:tcPr>
            <w:tcW w:w="1056" w:type="dxa"/>
            <w:vAlign w:val="top"/>
          </w:tcPr>
          <w:p w14:paraId="30D54F93">
            <w:pPr>
              <w:rPr>
                <w:rFonts w:hint="eastAsia" w:ascii="仿宋" w:hAnsi="仿宋" w:eastAsia="仿宋" w:cs="仿宋"/>
                <w:color w:val="auto"/>
                <w:sz w:val="21"/>
                <w:highlight w:val="none"/>
              </w:rPr>
            </w:pPr>
          </w:p>
        </w:tc>
      </w:tr>
      <w:tr w14:paraId="412E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FD722FE">
            <w:pPr>
              <w:rPr>
                <w:rFonts w:hint="eastAsia" w:ascii="仿宋" w:hAnsi="仿宋" w:eastAsia="仿宋" w:cs="仿宋"/>
                <w:color w:val="auto"/>
                <w:sz w:val="21"/>
                <w:highlight w:val="none"/>
              </w:rPr>
            </w:pPr>
          </w:p>
        </w:tc>
        <w:tc>
          <w:tcPr>
            <w:tcW w:w="1983" w:type="dxa"/>
            <w:vAlign w:val="top"/>
          </w:tcPr>
          <w:p w14:paraId="7108ADAC">
            <w:pPr>
              <w:rPr>
                <w:rFonts w:hint="eastAsia" w:ascii="仿宋" w:hAnsi="仿宋" w:eastAsia="仿宋" w:cs="仿宋"/>
                <w:color w:val="auto"/>
                <w:sz w:val="21"/>
                <w:highlight w:val="none"/>
              </w:rPr>
            </w:pPr>
          </w:p>
        </w:tc>
        <w:tc>
          <w:tcPr>
            <w:tcW w:w="2644" w:type="dxa"/>
            <w:vAlign w:val="top"/>
          </w:tcPr>
          <w:p w14:paraId="2653C2B3">
            <w:pPr>
              <w:rPr>
                <w:rFonts w:hint="eastAsia" w:ascii="仿宋" w:hAnsi="仿宋" w:eastAsia="仿宋" w:cs="仿宋"/>
                <w:color w:val="auto"/>
                <w:sz w:val="21"/>
                <w:highlight w:val="none"/>
              </w:rPr>
            </w:pPr>
          </w:p>
        </w:tc>
        <w:tc>
          <w:tcPr>
            <w:tcW w:w="2517" w:type="dxa"/>
            <w:vAlign w:val="top"/>
          </w:tcPr>
          <w:p w14:paraId="7226C246">
            <w:pPr>
              <w:rPr>
                <w:rFonts w:hint="eastAsia" w:ascii="仿宋" w:hAnsi="仿宋" w:eastAsia="仿宋" w:cs="仿宋"/>
                <w:color w:val="auto"/>
                <w:sz w:val="21"/>
                <w:highlight w:val="none"/>
              </w:rPr>
            </w:pPr>
          </w:p>
        </w:tc>
        <w:tc>
          <w:tcPr>
            <w:tcW w:w="1056" w:type="dxa"/>
            <w:vAlign w:val="top"/>
          </w:tcPr>
          <w:p w14:paraId="3E81E61B">
            <w:pPr>
              <w:rPr>
                <w:rFonts w:hint="eastAsia" w:ascii="仿宋" w:hAnsi="仿宋" w:eastAsia="仿宋" w:cs="仿宋"/>
                <w:color w:val="auto"/>
                <w:sz w:val="21"/>
                <w:highlight w:val="none"/>
              </w:rPr>
            </w:pPr>
          </w:p>
        </w:tc>
      </w:tr>
      <w:tr w14:paraId="3330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1858FBE4">
            <w:pPr>
              <w:rPr>
                <w:rFonts w:hint="eastAsia" w:ascii="仿宋" w:hAnsi="仿宋" w:eastAsia="仿宋" w:cs="仿宋"/>
                <w:color w:val="auto"/>
                <w:sz w:val="21"/>
                <w:highlight w:val="none"/>
              </w:rPr>
            </w:pPr>
          </w:p>
        </w:tc>
        <w:tc>
          <w:tcPr>
            <w:tcW w:w="1983" w:type="dxa"/>
            <w:vAlign w:val="top"/>
          </w:tcPr>
          <w:p w14:paraId="4AAC40B7">
            <w:pPr>
              <w:rPr>
                <w:rFonts w:hint="eastAsia" w:ascii="仿宋" w:hAnsi="仿宋" w:eastAsia="仿宋" w:cs="仿宋"/>
                <w:color w:val="auto"/>
                <w:sz w:val="21"/>
                <w:highlight w:val="none"/>
              </w:rPr>
            </w:pPr>
          </w:p>
        </w:tc>
        <w:tc>
          <w:tcPr>
            <w:tcW w:w="2644" w:type="dxa"/>
            <w:vAlign w:val="top"/>
          </w:tcPr>
          <w:p w14:paraId="0EC0ED10">
            <w:pPr>
              <w:rPr>
                <w:rFonts w:hint="eastAsia" w:ascii="仿宋" w:hAnsi="仿宋" w:eastAsia="仿宋" w:cs="仿宋"/>
                <w:color w:val="auto"/>
                <w:sz w:val="21"/>
                <w:highlight w:val="none"/>
              </w:rPr>
            </w:pPr>
          </w:p>
        </w:tc>
        <w:tc>
          <w:tcPr>
            <w:tcW w:w="2517" w:type="dxa"/>
            <w:vAlign w:val="top"/>
          </w:tcPr>
          <w:p w14:paraId="3955EAEA">
            <w:pPr>
              <w:rPr>
                <w:rFonts w:hint="eastAsia" w:ascii="仿宋" w:hAnsi="仿宋" w:eastAsia="仿宋" w:cs="仿宋"/>
                <w:color w:val="auto"/>
                <w:sz w:val="21"/>
                <w:highlight w:val="none"/>
              </w:rPr>
            </w:pPr>
          </w:p>
        </w:tc>
        <w:tc>
          <w:tcPr>
            <w:tcW w:w="1056" w:type="dxa"/>
            <w:vAlign w:val="top"/>
          </w:tcPr>
          <w:p w14:paraId="66580712">
            <w:pPr>
              <w:rPr>
                <w:rFonts w:hint="eastAsia" w:ascii="仿宋" w:hAnsi="仿宋" w:eastAsia="仿宋" w:cs="仿宋"/>
                <w:color w:val="auto"/>
                <w:sz w:val="21"/>
                <w:highlight w:val="none"/>
              </w:rPr>
            </w:pPr>
          </w:p>
        </w:tc>
      </w:tr>
      <w:tr w14:paraId="21AB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27E9ACF2">
            <w:pPr>
              <w:rPr>
                <w:rFonts w:hint="eastAsia" w:ascii="仿宋" w:hAnsi="仿宋" w:eastAsia="仿宋" w:cs="仿宋"/>
                <w:color w:val="auto"/>
                <w:sz w:val="21"/>
                <w:highlight w:val="none"/>
              </w:rPr>
            </w:pPr>
          </w:p>
        </w:tc>
        <w:tc>
          <w:tcPr>
            <w:tcW w:w="1983" w:type="dxa"/>
            <w:vAlign w:val="top"/>
          </w:tcPr>
          <w:p w14:paraId="76BD8638">
            <w:pPr>
              <w:rPr>
                <w:rFonts w:hint="eastAsia" w:ascii="仿宋" w:hAnsi="仿宋" w:eastAsia="仿宋" w:cs="仿宋"/>
                <w:color w:val="auto"/>
                <w:sz w:val="21"/>
                <w:highlight w:val="none"/>
              </w:rPr>
            </w:pPr>
          </w:p>
        </w:tc>
        <w:tc>
          <w:tcPr>
            <w:tcW w:w="2644" w:type="dxa"/>
            <w:vAlign w:val="top"/>
          </w:tcPr>
          <w:p w14:paraId="7C88C5C3">
            <w:pPr>
              <w:rPr>
                <w:rFonts w:hint="eastAsia" w:ascii="仿宋" w:hAnsi="仿宋" w:eastAsia="仿宋" w:cs="仿宋"/>
                <w:color w:val="auto"/>
                <w:sz w:val="21"/>
                <w:highlight w:val="none"/>
              </w:rPr>
            </w:pPr>
          </w:p>
        </w:tc>
        <w:tc>
          <w:tcPr>
            <w:tcW w:w="2517" w:type="dxa"/>
            <w:vAlign w:val="top"/>
          </w:tcPr>
          <w:p w14:paraId="6B75FCF5">
            <w:pPr>
              <w:rPr>
                <w:rFonts w:hint="eastAsia" w:ascii="仿宋" w:hAnsi="仿宋" w:eastAsia="仿宋" w:cs="仿宋"/>
                <w:color w:val="auto"/>
                <w:sz w:val="21"/>
                <w:highlight w:val="none"/>
              </w:rPr>
            </w:pPr>
          </w:p>
        </w:tc>
        <w:tc>
          <w:tcPr>
            <w:tcW w:w="1056" w:type="dxa"/>
            <w:vAlign w:val="top"/>
          </w:tcPr>
          <w:p w14:paraId="52099532">
            <w:pPr>
              <w:rPr>
                <w:rFonts w:hint="eastAsia" w:ascii="仿宋" w:hAnsi="仿宋" w:eastAsia="仿宋" w:cs="仿宋"/>
                <w:color w:val="auto"/>
                <w:sz w:val="21"/>
                <w:highlight w:val="none"/>
              </w:rPr>
            </w:pPr>
          </w:p>
        </w:tc>
      </w:tr>
    </w:tbl>
    <w:p w14:paraId="23E80692">
      <w:pPr>
        <w:spacing w:before="32" w:line="485" w:lineRule="exact"/>
        <w:ind w:firstLine="460" w:firstLineChars="200"/>
        <w:jc w:val="both"/>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备注：如有偏离，须详细说明偏离内容，如未说明， 视为对征集文件所列全部技术条款均响应。</w:t>
      </w:r>
    </w:p>
    <w:p w14:paraId="6187D37E">
      <w:pPr>
        <w:spacing w:before="32" w:line="485" w:lineRule="exact"/>
        <w:ind w:firstLine="460" w:firstLineChars="200"/>
        <w:jc w:val="both"/>
        <w:rPr>
          <w:rFonts w:hint="eastAsia" w:ascii="仿宋" w:hAnsi="仿宋" w:eastAsia="仿宋" w:cs="仿宋"/>
          <w:color w:val="auto"/>
          <w:sz w:val="23"/>
          <w:szCs w:val="23"/>
          <w:highlight w:val="none"/>
        </w:rPr>
      </w:pPr>
    </w:p>
    <w:p w14:paraId="5FB2023C">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4C346402">
      <w:pPr>
        <w:spacing w:before="1" w:line="226" w:lineRule="auto"/>
        <w:rPr>
          <w:rFonts w:hint="eastAsia" w:ascii="仿宋" w:hAnsi="仿宋" w:eastAsia="仿宋" w:cs="仿宋"/>
          <w:color w:val="auto"/>
          <w:spacing w:val="5"/>
          <w:sz w:val="23"/>
          <w:szCs w:val="23"/>
          <w:highlight w:val="none"/>
        </w:rPr>
      </w:pPr>
    </w:p>
    <w:p w14:paraId="12DED55E">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5"/>
          <w:sz w:val="23"/>
          <w:szCs w:val="23"/>
          <w:highlight w:val="none"/>
        </w:rPr>
        <w:t>法定代表人或委托代理人（签字或签章）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73250BDB">
      <w:pPr>
        <w:spacing w:before="1" w:line="226" w:lineRule="auto"/>
        <w:rPr>
          <w:rFonts w:hint="eastAsia"/>
          <w:color w:val="auto"/>
          <w:highlight w:val="none"/>
          <w:lang w:eastAsia="zh-CN"/>
        </w:rPr>
        <w:sectPr>
          <w:type w:val="continuous"/>
          <w:pgSz w:w="11905" w:h="16838"/>
          <w:pgMar w:top="1020" w:right="1134" w:bottom="1020" w:left="1134" w:header="0" w:footer="573" w:gutter="0"/>
          <w:pgNumType w:fmt="decimal"/>
          <w:cols w:space="0" w:num="1"/>
          <w:rtlGutter w:val="0"/>
          <w:docGrid w:linePitch="0" w:charSpace="0"/>
        </w:sectPr>
      </w:pPr>
    </w:p>
    <w:p w14:paraId="16970EF1">
      <w:pPr>
        <w:spacing w:before="265" w:line="227" w:lineRule="auto"/>
        <w:ind w:left="30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rPr>
        <w:t>中小企业声明函（服务)</w:t>
      </w:r>
    </w:p>
    <w:p w14:paraId="09A83C8F">
      <w:pPr>
        <w:spacing w:before="287" w:line="370" w:lineRule="auto"/>
        <w:ind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本公司（联合体）郑重声明</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根据《政府采购促进中小企业</w:t>
      </w:r>
      <w:r>
        <w:rPr>
          <w:rFonts w:hint="eastAsia" w:ascii="仿宋" w:hAnsi="仿宋" w:eastAsia="仿宋" w:cs="仿宋"/>
          <w:color w:val="auto"/>
          <w:spacing w:val="7"/>
          <w:sz w:val="23"/>
          <w:szCs w:val="23"/>
          <w:highlight w:val="none"/>
        </w:rPr>
        <w:t>发展管理办法》（财库</w:t>
      </w:r>
      <w:r>
        <w:rPr>
          <w:rFonts w:hint="eastAsia" w:ascii="仿宋" w:hAnsi="仿宋" w:eastAsia="仿宋" w:cs="仿宋"/>
          <w:color w:val="auto"/>
          <w:spacing w:val="-5"/>
          <w:sz w:val="23"/>
          <w:szCs w:val="23"/>
          <w:highlight w:val="none"/>
        </w:rPr>
        <w:t>〔2020〕</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[2020]46号）的规定，本公司（联合体）参加</w:t>
      </w:r>
      <w:r>
        <w:rPr>
          <w:rFonts w:hint="eastAsia" w:ascii="仿宋" w:hAnsi="仿宋" w:eastAsia="仿宋" w:cs="仿宋"/>
          <w:color w:val="auto"/>
          <w:spacing w:val="-5"/>
          <w:sz w:val="23"/>
          <w:szCs w:val="23"/>
          <w:highlight w:val="none"/>
          <w:u w:val="single"/>
        </w:rPr>
        <w:t>（单位名称）</w:t>
      </w:r>
      <w:r>
        <w:rPr>
          <w:rFonts w:hint="eastAsia" w:ascii="仿宋" w:hAnsi="仿宋" w:eastAsia="仿宋" w:cs="仿宋"/>
          <w:color w:val="auto"/>
          <w:spacing w:val="-5"/>
          <w:sz w:val="23"/>
          <w:szCs w:val="23"/>
          <w:highlight w:val="none"/>
        </w:rPr>
        <w:t>的</w:t>
      </w:r>
      <w:r>
        <w:rPr>
          <w:rFonts w:hint="eastAsia" w:ascii="仿宋" w:hAnsi="仿宋" w:eastAsia="仿宋" w:cs="仿宋"/>
          <w:color w:val="auto"/>
          <w:spacing w:val="-5"/>
          <w:sz w:val="23"/>
          <w:szCs w:val="23"/>
          <w:highlight w:val="none"/>
          <w:u w:val="none"/>
          <w:lang w:val="en-US" w:eastAsia="zh-CN"/>
        </w:rPr>
        <w:t xml:space="preserve"> </w:t>
      </w:r>
      <w:r>
        <w:rPr>
          <w:rFonts w:hint="eastAsia" w:ascii="仿宋" w:hAnsi="仿宋" w:eastAsia="仿宋" w:cs="仿宋"/>
          <w:color w:val="auto"/>
          <w:spacing w:val="-5"/>
          <w:sz w:val="23"/>
          <w:szCs w:val="23"/>
          <w:highlight w:val="none"/>
          <w:u w:val="single"/>
        </w:rPr>
        <w:t>（项目名称）</w:t>
      </w:r>
      <w:r>
        <w:rPr>
          <w:rFonts w:hint="eastAsia" w:ascii="仿宋" w:hAnsi="仿宋" w:eastAsia="仿宋" w:cs="仿宋"/>
          <w:color w:val="auto"/>
          <w:spacing w:val="-5"/>
          <w:sz w:val="23"/>
          <w:szCs w:val="23"/>
          <w:highlight w:val="none"/>
        </w:rPr>
        <w:t>采</w:t>
      </w:r>
      <w:r>
        <w:rPr>
          <w:rFonts w:hint="eastAsia" w:ascii="仿宋" w:hAnsi="仿宋" w:eastAsia="仿宋" w:cs="仿宋"/>
          <w:color w:val="auto"/>
          <w:spacing w:val="5"/>
          <w:sz w:val="23"/>
          <w:szCs w:val="23"/>
          <w:highlight w:val="none"/>
        </w:rPr>
        <w:t>购活动，工程的施工单位全部为符合政策要求的中小企业（或者：服务全部由符合政策</w:t>
      </w:r>
      <w:r>
        <w:rPr>
          <w:rFonts w:hint="eastAsia" w:ascii="仿宋" w:hAnsi="仿宋" w:eastAsia="仿宋" w:cs="仿宋"/>
          <w:color w:val="auto"/>
          <w:spacing w:val="8"/>
          <w:sz w:val="23"/>
          <w:szCs w:val="23"/>
          <w:highlight w:val="none"/>
        </w:rPr>
        <w:t>要求的中小企业承接</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相关企业（含联合体中的中小企业、签订分包意向协议的中小</w:t>
      </w:r>
      <w:r>
        <w:rPr>
          <w:rFonts w:hint="eastAsia" w:ascii="仿宋" w:hAnsi="仿宋" w:eastAsia="仿宋" w:cs="仿宋"/>
          <w:color w:val="auto"/>
          <w:spacing w:val="3"/>
          <w:sz w:val="23"/>
          <w:szCs w:val="23"/>
          <w:highlight w:val="none"/>
        </w:rPr>
        <w:t>企业）的具体情况如下：</w:t>
      </w:r>
    </w:p>
    <w:p w14:paraId="77BC6471">
      <w:pPr>
        <w:numPr>
          <w:ilvl w:val="0"/>
          <w:numId w:val="7"/>
        </w:num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rPr>
        <w:t>（标的名称</w:t>
      </w:r>
      <w:r>
        <w:rPr>
          <w:rFonts w:hint="eastAsia" w:ascii="仿宋" w:hAnsi="仿宋" w:eastAsia="仿宋" w:cs="仿宋"/>
          <w:color w:val="auto"/>
          <w:spacing w:val="-40"/>
          <w:sz w:val="23"/>
          <w:szCs w:val="23"/>
          <w:highlight w:val="none"/>
          <w:u w:val="single"/>
        </w:rPr>
        <w:t>）</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00229221">
      <w:pPr>
        <w:numPr>
          <w:ilvl w:val="0"/>
          <w:numId w:val="7"/>
        </w:numPr>
        <w:spacing w:before="262" w:line="374" w:lineRule="auto"/>
        <w:ind w:left="5" w:leftChars="0" w:firstLine="517" w:firstLineChars="0"/>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rPr>
        <w:t>（标的名称</w:t>
      </w:r>
      <w:r>
        <w:rPr>
          <w:rFonts w:hint="eastAsia" w:ascii="仿宋" w:hAnsi="仿宋" w:eastAsia="仿宋" w:cs="仿宋"/>
          <w:color w:val="auto"/>
          <w:spacing w:val="-40"/>
          <w:sz w:val="23"/>
          <w:szCs w:val="23"/>
          <w:highlight w:val="none"/>
          <w:u w:val="single"/>
        </w:rPr>
        <w:t>）</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34126A4A">
      <w:pPr>
        <w:spacing w:before="247"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position w:val="19"/>
          <w:sz w:val="23"/>
          <w:szCs w:val="23"/>
          <w:highlight w:val="none"/>
        </w:rPr>
        <w:t>以上企业， 不属于大企业的分支机构， 不存在控股股东为大企业的情形，也不存在</w:t>
      </w:r>
    </w:p>
    <w:p w14:paraId="31DB9F12">
      <w:pPr>
        <w:spacing w:before="1" w:line="227"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与大企业的负责人为同一人的情形。</w:t>
      </w:r>
    </w:p>
    <w:p w14:paraId="073A1D35">
      <w:pPr>
        <w:spacing w:before="252" w:line="561" w:lineRule="exact"/>
        <w:ind w:left="485"/>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本企业对上述声明内容的真实性负责。如有虚假， 将依法承担相应责任。</w:t>
      </w:r>
    </w:p>
    <w:p w14:paraId="3868AAFC">
      <w:pPr>
        <w:spacing w:before="1" w:line="226" w:lineRule="auto"/>
        <w:ind w:left="57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企业名称（盖章</w:t>
      </w:r>
      <w:r>
        <w:rPr>
          <w:rFonts w:hint="eastAsia" w:ascii="仿宋" w:hAnsi="仿宋" w:eastAsia="仿宋" w:cs="仿宋"/>
          <w:color w:val="auto"/>
          <w:spacing w:val="-10"/>
          <w:sz w:val="23"/>
          <w:szCs w:val="23"/>
          <w:highlight w:val="none"/>
        </w:rPr>
        <w:t>）：</w:t>
      </w:r>
    </w:p>
    <w:p w14:paraId="025F3365">
      <w:pPr>
        <w:spacing w:before="267" w:line="228" w:lineRule="auto"/>
        <w:ind w:left="5846"/>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日期：</w:t>
      </w:r>
    </w:p>
    <w:p w14:paraId="79F198B2">
      <w:pPr>
        <w:spacing w:line="228" w:lineRule="auto"/>
        <w:rPr>
          <w:rFonts w:hint="eastAsia" w:ascii="仿宋" w:hAnsi="仿宋" w:eastAsia="仿宋" w:cs="仿宋"/>
          <w:color w:val="auto"/>
          <w:sz w:val="23"/>
          <w:szCs w:val="23"/>
          <w:highlight w:val="none"/>
        </w:rPr>
      </w:pPr>
    </w:p>
    <w:p w14:paraId="791C0DAC">
      <w:pPr>
        <w:pStyle w:val="28"/>
        <w:rPr>
          <w:rFonts w:hint="eastAsia" w:ascii="仿宋" w:hAnsi="仿宋" w:eastAsia="仿宋" w:cs="仿宋"/>
          <w:color w:val="auto"/>
          <w:sz w:val="23"/>
          <w:szCs w:val="23"/>
          <w:highlight w:val="none"/>
        </w:rPr>
      </w:pPr>
    </w:p>
    <w:p w14:paraId="7C7044C7">
      <w:pPr>
        <w:pStyle w:val="28"/>
        <w:rPr>
          <w:rFonts w:hint="eastAsia" w:ascii="仿宋" w:hAnsi="仿宋" w:eastAsia="仿宋" w:cs="仿宋"/>
          <w:color w:val="auto"/>
          <w:sz w:val="23"/>
          <w:szCs w:val="23"/>
          <w:highlight w:val="none"/>
        </w:rPr>
      </w:pPr>
    </w:p>
    <w:p w14:paraId="45D4FFD5">
      <w:pPr>
        <w:pStyle w:val="28"/>
        <w:rPr>
          <w:rFonts w:hint="eastAsia" w:ascii="仿宋" w:hAnsi="仿宋" w:eastAsia="仿宋" w:cs="仿宋"/>
          <w:color w:val="auto"/>
          <w:sz w:val="23"/>
          <w:szCs w:val="23"/>
          <w:highlight w:val="none"/>
        </w:rPr>
      </w:pPr>
    </w:p>
    <w:p w14:paraId="0B8957C5">
      <w:pPr>
        <w:spacing w:before="252" w:line="561" w:lineRule="exact"/>
        <w:ind w:left="485"/>
        <w:rPr>
          <w:rFonts w:hint="eastAsia" w:ascii="仿宋" w:hAnsi="仿宋" w:eastAsia="仿宋" w:cs="仿宋"/>
          <w:color w:val="auto"/>
          <w:spacing w:val="5"/>
          <w:position w:val="25"/>
          <w:sz w:val="23"/>
          <w:szCs w:val="23"/>
          <w:highlight w:val="none"/>
          <w:lang w:val="en-US" w:eastAsia="zh-CN"/>
        </w:rPr>
      </w:pPr>
      <w:r>
        <w:rPr>
          <w:rFonts w:hint="eastAsia" w:ascii="仿宋" w:hAnsi="仿宋" w:eastAsia="仿宋" w:cs="仿宋"/>
          <w:color w:val="auto"/>
          <w:spacing w:val="5"/>
          <w:position w:val="25"/>
          <w:sz w:val="23"/>
          <w:szCs w:val="23"/>
          <w:highlight w:val="none"/>
          <w:lang w:val="en-US" w:eastAsia="zh-CN"/>
        </w:rPr>
        <w:t>注：从业人员、营业收入、资产总额填报上一年度数据，无上一年度数据的新成立企业可不填报。</w:t>
      </w:r>
    </w:p>
    <w:p w14:paraId="353CCDC7">
      <w:pPr>
        <w:pStyle w:val="28"/>
        <w:rPr>
          <w:rFonts w:hint="eastAsia" w:ascii="仿宋" w:hAnsi="仿宋" w:eastAsia="仿宋" w:cs="仿宋"/>
          <w:color w:val="auto"/>
          <w:sz w:val="23"/>
          <w:szCs w:val="23"/>
          <w:highlight w:val="none"/>
        </w:rPr>
      </w:pPr>
    </w:p>
    <w:p w14:paraId="07238B64">
      <w:pPr>
        <w:pStyle w:val="28"/>
        <w:rPr>
          <w:rFonts w:hint="eastAsia" w:ascii="仿宋" w:hAnsi="仿宋" w:eastAsia="仿宋" w:cs="仿宋"/>
          <w:color w:val="auto"/>
          <w:sz w:val="23"/>
          <w:szCs w:val="23"/>
          <w:highlight w:val="none"/>
        </w:rPr>
      </w:pPr>
    </w:p>
    <w:p w14:paraId="1204968C">
      <w:pPr>
        <w:pStyle w:val="28"/>
        <w:rPr>
          <w:rFonts w:hint="eastAsia" w:ascii="仿宋" w:hAnsi="仿宋" w:eastAsia="仿宋" w:cs="仿宋"/>
          <w:color w:val="auto"/>
          <w:sz w:val="23"/>
          <w:szCs w:val="23"/>
          <w:highlight w:val="none"/>
        </w:rPr>
      </w:pPr>
    </w:p>
    <w:p w14:paraId="76977007">
      <w:pPr>
        <w:pStyle w:val="28"/>
        <w:rPr>
          <w:rFonts w:hint="eastAsia" w:ascii="仿宋" w:hAnsi="仿宋" w:eastAsia="仿宋" w:cs="仿宋"/>
          <w:color w:val="auto"/>
          <w:sz w:val="23"/>
          <w:szCs w:val="23"/>
          <w:highlight w:val="none"/>
        </w:rPr>
      </w:pPr>
    </w:p>
    <w:p w14:paraId="568DE575">
      <w:pPr>
        <w:pStyle w:val="28"/>
        <w:rPr>
          <w:rFonts w:hint="eastAsia" w:ascii="仿宋" w:hAnsi="仿宋" w:eastAsia="仿宋" w:cs="仿宋"/>
          <w:color w:val="auto"/>
          <w:sz w:val="23"/>
          <w:szCs w:val="23"/>
          <w:highlight w:val="none"/>
        </w:rPr>
      </w:pPr>
    </w:p>
    <w:p w14:paraId="505D9A1F">
      <w:pPr>
        <w:pStyle w:val="28"/>
        <w:rPr>
          <w:rFonts w:hint="eastAsia" w:ascii="仿宋" w:hAnsi="仿宋" w:eastAsia="仿宋" w:cs="仿宋"/>
          <w:color w:val="auto"/>
          <w:sz w:val="23"/>
          <w:szCs w:val="23"/>
          <w:highlight w:val="none"/>
        </w:rPr>
      </w:pPr>
    </w:p>
    <w:p w14:paraId="79724380">
      <w:pPr>
        <w:pStyle w:val="28"/>
        <w:rPr>
          <w:rFonts w:hint="eastAsia" w:ascii="仿宋" w:hAnsi="仿宋" w:eastAsia="仿宋" w:cs="仿宋"/>
          <w:color w:val="auto"/>
          <w:sz w:val="23"/>
          <w:szCs w:val="23"/>
          <w:highlight w:val="none"/>
        </w:rPr>
      </w:pPr>
    </w:p>
    <w:p w14:paraId="6AA09A14">
      <w:pPr>
        <w:pStyle w:val="28"/>
        <w:rPr>
          <w:rFonts w:hint="eastAsia" w:ascii="仿宋" w:hAnsi="仿宋" w:eastAsia="仿宋" w:cs="仿宋"/>
          <w:color w:val="auto"/>
          <w:sz w:val="23"/>
          <w:szCs w:val="23"/>
          <w:highlight w:val="none"/>
        </w:rPr>
      </w:pPr>
    </w:p>
    <w:p w14:paraId="2CFF0239">
      <w:pPr>
        <w:pStyle w:val="28"/>
        <w:rPr>
          <w:rFonts w:hint="eastAsia" w:ascii="仿宋" w:hAnsi="仿宋" w:eastAsia="仿宋" w:cs="仿宋"/>
          <w:color w:val="auto"/>
          <w:sz w:val="23"/>
          <w:szCs w:val="23"/>
          <w:highlight w:val="none"/>
        </w:rPr>
      </w:pPr>
    </w:p>
    <w:p w14:paraId="5465DBC5">
      <w:pPr>
        <w:pStyle w:val="28"/>
        <w:rPr>
          <w:rFonts w:hint="eastAsia" w:ascii="仿宋" w:hAnsi="仿宋" w:eastAsia="仿宋" w:cs="仿宋"/>
          <w:color w:val="auto"/>
          <w:sz w:val="23"/>
          <w:szCs w:val="23"/>
          <w:highlight w:val="none"/>
        </w:rPr>
      </w:pPr>
    </w:p>
    <w:p w14:paraId="25901284">
      <w:pPr>
        <w:spacing w:before="75" w:line="192" w:lineRule="auto"/>
        <w:rPr>
          <w:rFonts w:hint="eastAsia" w:ascii="仿宋" w:hAnsi="仿宋" w:eastAsia="仿宋" w:cs="仿宋"/>
          <w:color w:val="auto"/>
          <w:spacing w:val="7"/>
          <w:sz w:val="23"/>
          <w:szCs w:val="23"/>
          <w:highlight w:val="none"/>
          <w:lang w:val="en-US" w:eastAsia="zh-CN"/>
        </w:rPr>
      </w:pPr>
    </w:p>
    <w:p w14:paraId="4F013CDF">
      <w:pPr>
        <w:spacing w:before="75" w:line="192" w:lineRule="auto"/>
        <w:rPr>
          <w:rFonts w:hint="eastAsia" w:ascii="仿宋" w:hAnsi="仿宋" w:eastAsia="仿宋" w:cs="仿宋"/>
          <w:color w:val="auto"/>
          <w:spacing w:val="7"/>
          <w:sz w:val="23"/>
          <w:szCs w:val="23"/>
          <w:highlight w:val="none"/>
          <w:lang w:val="en-US" w:eastAsia="zh-CN"/>
        </w:rPr>
      </w:pPr>
    </w:p>
    <w:p w14:paraId="2E43B342">
      <w:pPr>
        <w:spacing w:before="75" w:line="192" w:lineRule="auto"/>
        <w:rPr>
          <w:rFonts w:hint="eastAsia" w:ascii="仿宋" w:hAnsi="仿宋" w:eastAsia="仿宋" w:cs="仿宋"/>
          <w:color w:val="auto"/>
          <w:spacing w:val="7"/>
          <w:sz w:val="23"/>
          <w:szCs w:val="23"/>
          <w:highlight w:val="none"/>
          <w:lang w:val="en-US" w:eastAsia="zh-CN"/>
        </w:rPr>
      </w:pPr>
    </w:p>
    <w:p w14:paraId="062611C4">
      <w:pPr>
        <w:spacing w:before="75" w:line="192" w:lineRule="auto"/>
        <w:rPr>
          <w:rFonts w:hint="eastAsia" w:ascii="仿宋" w:hAnsi="仿宋" w:eastAsia="仿宋" w:cs="仿宋"/>
          <w:color w:val="auto"/>
          <w:spacing w:val="7"/>
          <w:sz w:val="23"/>
          <w:szCs w:val="23"/>
          <w:highlight w:val="none"/>
          <w:lang w:val="en-US" w:eastAsia="zh-CN"/>
        </w:rPr>
      </w:pPr>
    </w:p>
    <w:p w14:paraId="51A880AD">
      <w:pPr>
        <w:numPr>
          <w:ilvl w:val="0"/>
          <w:numId w:val="8"/>
        </w:numPr>
        <w:spacing w:before="75" w:line="192" w:lineRule="auto"/>
        <w:jc w:val="center"/>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供应商</w:t>
      </w:r>
      <w:r>
        <w:rPr>
          <w:rFonts w:hint="eastAsia" w:ascii="仿宋" w:hAnsi="仿宋" w:eastAsia="仿宋" w:cs="仿宋"/>
          <w:color w:val="auto"/>
          <w:spacing w:val="7"/>
          <w:sz w:val="23"/>
          <w:szCs w:val="23"/>
          <w:highlight w:val="none"/>
          <w:lang w:val="en-US" w:eastAsia="zh-CN"/>
        </w:rPr>
        <w:t>需提供的其他文件（格式自拟）</w:t>
      </w:r>
    </w:p>
    <w:sectPr>
      <w:footerReference r:id="rId38" w:type="default"/>
      <w:pgSz w:w="11905" w:h="16838"/>
      <w:pgMar w:top="1020" w:right="1134" w:bottom="1020" w:left="1134" w:header="0" w:footer="57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012A">
    <w:pPr>
      <w:pStyle w:val="9"/>
      <w:tabs>
        <w:tab w:val="left" w:pos="4801"/>
        <w:tab w:val="clear" w:pos="4153"/>
      </w:tabs>
      <w:ind w:right="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6912A">
                          <w:pPr>
                            <w:pStyle w:val="9"/>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6C6912A">
                    <w:pPr>
                      <w:pStyle w:val="9"/>
                    </w:pPr>
                  </w:p>
                </w:txbxContent>
              </v:textbox>
            </v:shape>
          </w:pict>
        </mc:Fallback>
      </mc:AlternateContent>
    </w: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wps:txbx>
                    <wps:bodyPr wrap="non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lQJY9AAAAAFAQAADwAAAAAAAAABACAAAAAiAAAAZHJzL2Rvd25yZXYueG1sUEsBAhQAFAAAAAgA&#10;h07iQC963f+7AQAAfwMAAA4AAAAAAAAAAQAgAAAAHwEAAGRycy9lMm9Eb2MueG1sUEsFBgAAAAAG&#10;AAYAWQEAAEwFAAAAAA==&#10;">
              <v:fill on="f" focussize="0,0"/>
              <v:stroke on="f"/>
              <v:imagedata o:title=""/>
              <o:lock v:ext="edit" aspectratio="f"/>
              <v:textbox inset="0mm,0mm,0mm,0mm">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CFFF">
    <w:pPr>
      <w:spacing w:line="184" w:lineRule="auto"/>
      <w:ind w:left="40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23642">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A23642">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4DB2">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0459C">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8D0459C">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CA85">
    <w:pPr>
      <w:spacing w:line="184"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825CB">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A825CB">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843F">
    <w:pPr>
      <w:spacing w:line="184"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7449A">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C7449A">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806B">
    <w:pPr>
      <w:spacing w:line="181"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A38BC">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DDA38BC">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78CD">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EC366">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E3EC366">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E17A">
    <w:pPr>
      <w:spacing w:line="181"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EA70B">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C2EA70B">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1B2C">
    <w:pPr>
      <w:spacing w:line="184" w:lineRule="auto"/>
      <w:ind w:left="45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D89265">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DD89265">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FD27">
    <w:pPr>
      <w:spacing w:line="184" w:lineRule="auto"/>
      <w:ind w:left="40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F69B7">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72F69B7">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1EFC">
    <w:pPr>
      <w:spacing w:line="184" w:lineRule="auto"/>
      <w:ind w:left="42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0A4BA">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70A4BA">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14EE">
    <w:pPr>
      <w:spacing w:line="184" w:lineRule="auto"/>
      <w:ind w:left="449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B0F2">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D1F3">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47D1F3">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86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E7AEE">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01E7AEE">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50CB">
    <w:pPr>
      <w:spacing w:line="184" w:lineRule="auto"/>
      <w:ind w:left="41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B1F46">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DB1F46">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F88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F9B0F">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1BF9B0F">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DB6A">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694B5">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E5694B5">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ED89">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F8085">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BBF8085">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20F">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0A44">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7250A44">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5C15">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B96B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EBB96B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1C29">
    <w:pPr>
      <w:spacing w:line="184"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A89C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D0A89C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0E13">
    <w:pPr>
      <w:spacing w:line="184" w:lineRule="auto"/>
      <w:ind w:left="44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20B61">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A320B61">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DD94">
    <w:pPr>
      <w:spacing w:line="184" w:lineRule="auto"/>
      <w:ind w:left="49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F3326">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AF3326">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B122">
    <w:pPr>
      <w:spacing w:line="181"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18716">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B418716">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D01B">
    <w:pPr>
      <w:spacing w:line="184"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DB591">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7DB591">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950C">
    <w:pPr>
      <w:spacing w:line="184" w:lineRule="auto"/>
      <w:ind w:left="45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B6D3F">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AB6D3F">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1F1">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9683D">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0E9683D">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8F40">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CBD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9DCBD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73FA">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652E">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97652E">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7F0D">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0E310">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5D0E310">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863">
    <w:pPr>
      <w:pStyle w:val="10"/>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4A9E">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BDC3">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3614">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FEA8D"/>
    <w:multiLevelType w:val="singleLevel"/>
    <w:tmpl w:val="88FFEA8D"/>
    <w:lvl w:ilvl="0" w:tentative="0">
      <w:start w:val="7"/>
      <w:numFmt w:val="chineseCounting"/>
      <w:suff w:val="space"/>
      <w:lvlText w:val="第%1部分"/>
      <w:lvlJc w:val="left"/>
      <w:rPr>
        <w:rFonts w:hint="eastAsia"/>
      </w:rPr>
    </w:lvl>
  </w:abstractNum>
  <w:abstractNum w:abstractNumId="1">
    <w:nsid w:val="AD07D1F3"/>
    <w:multiLevelType w:val="singleLevel"/>
    <w:tmpl w:val="AD07D1F3"/>
    <w:lvl w:ilvl="0" w:tentative="0">
      <w:start w:val="1"/>
      <w:numFmt w:val="decimal"/>
      <w:suff w:val="nothing"/>
      <w:lvlText w:val="%1、"/>
      <w:lvlJc w:val="left"/>
    </w:lvl>
  </w:abstractNum>
  <w:abstractNum w:abstractNumId="2">
    <w:nsid w:val="B202B417"/>
    <w:multiLevelType w:val="singleLevel"/>
    <w:tmpl w:val="B202B417"/>
    <w:lvl w:ilvl="0" w:tentative="0">
      <w:start w:val="1"/>
      <w:numFmt w:val="decimal"/>
      <w:suff w:val="space"/>
      <w:lvlText w:val="%1."/>
      <w:lvlJc w:val="left"/>
    </w:lvl>
  </w:abstractNum>
  <w:abstractNum w:abstractNumId="3">
    <w:nsid w:val="CDB4000D"/>
    <w:multiLevelType w:val="singleLevel"/>
    <w:tmpl w:val="CDB4000D"/>
    <w:lvl w:ilvl="0" w:tentative="0">
      <w:start w:val="10"/>
      <w:numFmt w:val="decimal"/>
      <w:lvlText w:val="%1."/>
      <w:lvlJc w:val="left"/>
      <w:pPr>
        <w:tabs>
          <w:tab w:val="left" w:pos="312"/>
        </w:tabs>
      </w:pPr>
    </w:lvl>
  </w:abstractNum>
  <w:abstractNum w:abstractNumId="4">
    <w:nsid w:val="02F2522F"/>
    <w:multiLevelType w:val="singleLevel"/>
    <w:tmpl w:val="02F2522F"/>
    <w:lvl w:ilvl="0" w:tentative="0">
      <w:start w:val="12"/>
      <w:numFmt w:val="decimal"/>
      <w:lvlText w:val="%1."/>
      <w:lvlJc w:val="left"/>
      <w:pPr>
        <w:tabs>
          <w:tab w:val="left" w:pos="312"/>
        </w:tabs>
      </w:pPr>
    </w:lvl>
  </w:abstractNum>
  <w:abstractNum w:abstractNumId="5">
    <w:nsid w:val="13768426"/>
    <w:multiLevelType w:val="singleLevel"/>
    <w:tmpl w:val="13768426"/>
    <w:lvl w:ilvl="0" w:tentative="0">
      <w:start w:val="6"/>
      <w:numFmt w:val="decimal"/>
      <w:lvlText w:val="%1."/>
      <w:lvlJc w:val="left"/>
      <w:pPr>
        <w:tabs>
          <w:tab w:val="left" w:pos="312"/>
        </w:tabs>
      </w:pPr>
    </w:lvl>
  </w:abstractNum>
  <w:abstractNum w:abstractNumId="6">
    <w:nsid w:val="1529352D"/>
    <w:multiLevelType w:val="singleLevel"/>
    <w:tmpl w:val="1529352D"/>
    <w:lvl w:ilvl="0" w:tentative="0">
      <w:start w:val="1"/>
      <w:numFmt w:val="chineseCounting"/>
      <w:suff w:val="space"/>
      <w:lvlText w:val="第%1部分"/>
      <w:lvlJc w:val="left"/>
      <w:rPr>
        <w:rFonts w:hint="eastAsia"/>
      </w:rPr>
    </w:lvl>
  </w:abstractNum>
  <w:abstractNum w:abstractNumId="7">
    <w:nsid w:val="56849A0E"/>
    <w:multiLevelType w:val="singleLevel"/>
    <w:tmpl w:val="56849A0E"/>
    <w:lvl w:ilvl="0" w:tentative="0">
      <w:start w:val="7"/>
      <w:numFmt w:val="decimal"/>
      <w:suff w:val="space"/>
      <w:lvlText w:val="%1、"/>
      <w:lvlJc w:val="left"/>
    </w:lvl>
  </w:abstractNum>
  <w:num w:numId="1">
    <w:abstractNumId w:val="6"/>
  </w:num>
  <w:num w:numId="2">
    <w:abstractNumId w:val="1"/>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I2NTRmNTk1YTgyNzEwN2FjZDFjZjI3YTQ1M2NjY2IifQ=="/>
  </w:docVars>
  <w:rsids>
    <w:rsidRoot w:val="00000000"/>
    <w:rsid w:val="000B44D3"/>
    <w:rsid w:val="00135135"/>
    <w:rsid w:val="003C28DE"/>
    <w:rsid w:val="004C26AA"/>
    <w:rsid w:val="007F27CB"/>
    <w:rsid w:val="0090104E"/>
    <w:rsid w:val="009222C1"/>
    <w:rsid w:val="00A81D22"/>
    <w:rsid w:val="00AE556A"/>
    <w:rsid w:val="00CD1788"/>
    <w:rsid w:val="00DA3EA5"/>
    <w:rsid w:val="00FE327C"/>
    <w:rsid w:val="01233A9E"/>
    <w:rsid w:val="01325A8F"/>
    <w:rsid w:val="0142114E"/>
    <w:rsid w:val="01465996"/>
    <w:rsid w:val="015754F6"/>
    <w:rsid w:val="0160084E"/>
    <w:rsid w:val="016C055C"/>
    <w:rsid w:val="017165B7"/>
    <w:rsid w:val="0178563B"/>
    <w:rsid w:val="018C519F"/>
    <w:rsid w:val="018F6A3E"/>
    <w:rsid w:val="01A6056A"/>
    <w:rsid w:val="01BF5575"/>
    <w:rsid w:val="01CC51CF"/>
    <w:rsid w:val="01D66A1A"/>
    <w:rsid w:val="01D803E5"/>
    <w:rsid w:val="022E26FA"/>
    <w:rsid w:val="02467A44"/>
    <w:rsid w:val="024F4BE1"/>
    <w:rsid w:val="025D6B3C"/>
    <w:rsid w:val="02783976"/>
    <w:rsid w:val="028C1771"/>
    <w:rsid w:val="029702A0"/>
    <w:rsid w:val="02CB7F49"/>
    <w:rsid w:val="02E627AF"/>
    <w:rsid w:val="02FC6355"/>
    <w:rsid w:val="03066A72"/>
    <w:rsid w:val="030855B1"/>
    <w:rsid w:val="030975F5"/>
    <w:rsid w:val="03261624"/>
    <w:rsid w:val="03343D40"/>
    <w:rsid w:val="03344F48"/>
    <w:rsid w:val="03A52548"/>
    <w:rsid w:val="03F6755F"/>
    <w:rsid w:val="040A1242"/>
    <w:rsid w:val="040C25C7"/>
    <w:rsid w:val="0415231B"/>
    <w:rsid w:val="04245B63"/>
    <w:rsid w:val="042E69E2"/>
    <w:rsid w:val="043B10FF"/>
    <w:rsid w:val="043F474B"/>
    <w:rsid w:val="04620439"/>
    <w:rsid w:val="04826BF4"/>
    <w:rsid w:val="049F168E"/>
    <w:rsid w:val="04AC145E"/>
    <w:rsid w:val="04AC286E"/>
    <w:rsid w:val="04BD1B14"/>
    <w:rsid w:val="04C31FFF"/>
    <w:rsid w:val="04D23811"/>
    <w:rsid w:val="04D56E5D"/>
    <w:rsid w:val="04DA0918"/>
    <w:rsid w:val="05096B07"/>
    <w:rsid w:val="052749F0"/>
    <w:rsid w:val="052D0A47"/>
    <w:rsid w:val="05300538"/>
    <w:rsid w:val="05614B95"/>
    <w:rsid w:val="05665C27"/>
    <w:rsid w:val="05821538"/>
    <w:rsid w:val="058A7C48"/>
    <w:rsid w:val="05A50F26"/>
    <w:rsid w:val="05C0366A"/>
    <w:rsid w:val="05E659B3"/>
    <w:rsid w:val="05E82BC0"/>
    <w:rsid w:val="060F0EFD"/>
    <w:rsid w:val="062736E9"/>
    <w:rsid w:val="068B011B"/>
    <w:rsid w:val="069468A4"/>
    <w:rsid w:val="06B84C89"/>
    <w:rsid w:val="06DA4BFF"/>
    <w:rsid w:val="06E23AB3"/>
    <w:rsid w:val="06E269EF"/>
    <w:rsid w:val="07172F45"/>
    <w:rsid w:val="07220A51"/>
    <w:rsid w:val="07222102"/>
    <w:rsid w:val="072B7F2A"/>
    <w:rsid w:val="07391925"/>
    <w:rsid w:val="07577FFE"/>
    <w:rsid w:val="077C5CB6"/>
    <w:rsid w:val="078F7797"/>
    <w:rsid w:val="07A11D12"/>
    <w:rsid w:val="07A82607"/>
    <w:rsid w:val="07D7416A"/>
    <w:rsid w:val="07E40A09"/>
    <w:rsid w:val="07E42956"/>
    <w:rsid w:val="08253C58"/>
    <w:rsid w:val="0831084F"/>
    <w:rsid w:val="083843C6"/>
    <w:rsid w:val="085E2DCF"/>
    <w:rsid w:val="086F6467"/>
    <w:rsid w:val="0878647D"/>
    <w:rsid w:val="088E7A4F"/>
    <w:rsid w:val="089E3A0A"/>
    <w:rsid w:val="08F1073B"/>
    <w:rsid w:val="095673F5"/>
    <w:rsid w:val="097E607E"/>
    <w:rsid w:val="097F55EA"/>
    <w:rsid w:val="09945539"/>
    <w:rsid w:val="09994E96"/>
    <w:rsid w:val="09B21FBE"/>
    <w:rsid w:val="09B434E5"/>
    <w:rsid w:val="09CE6BD1"/>
    <w:rsid w:val="09DA1AB3"/>
    <w:rsid w:val="09EA33AB"/>
    <w:rsid w:val="0A041F36"/>
    <w:rsid w:val="0A0A75A9"/>
    <w:rsid w:val="0A2C751F"/>
    <w:rsid w:val="0A2D3298"/>
    <w:rsid w:val="0A4A3E4A"/>
    <w:rsid w:val="0A5672F3"/>
    <w:rsid w:val="0A595E3B"/>
    <w:rsid w:val="0A621193"/>
    <w:rsid w:val="0A782765"/>
    <w:rsid w:val="0A7B2255"/>
    <w:rsid w:val="0A805ABD"/>
    <w:rsid w:val="0A825D85"/>
    <w:rsid w:val="0A87597A"/>
    <w:rsid w:val="0A8B481B"/>
    <w:rsid w:val="0AC059D1"/>
    <w:rsid w:val="0B0009AC"/>
    <w:rsid w:val="0B1D155E"/>
    <w:rsid w:val="0B6C7DF0"/>
    <w:rsid w:val="0B754EF6"/>
    <w:rsid w:val="0B782770"/>
    <w:rsid w:val="0B7F3FC7"/>
    <w:rsid w:val="0B927856"/>
    <w:rsid w:val="0B995089"/>
    <w:rsid w:val="0BB7550F"/>
    <w:rsid w:val="0BD10B8C"/>
    <w:rsid w:val="0BD25EA5"/>
    <w:rsid w:val="0BD45B7C"/>
    <w:rsid w:val="0BE43BAF"/>
    <w:rsid w:val="0BFF2A12"/>
    <w:rsid w:val="0C22507E"/>
    <w:rsid w:val="0C4241D4"/>
    <w:rsid w:val="0C57284E"/>
    <w:rsid w:val="0C6A07D3"/>
    <w:rsid w:val="0C6D3E1F"/>
    <w:rsid w:val="0C8E2713"/>
    <w:rsid w:val="0CC9374C"/>
    <w:rsid w:val="0CE140B1"/>
    <w:rsid w:val="0CE57E5A"/>
    <w:rsid w:val="0CEA36C2"/>
    <w:rsid w:val="0CFA1B57"/>
    <w:rsid w:val="0CFE2CC9"/>
    <w:rsid w:val="0CFF716D"/>
    <w:rsid w:val="0D072181"/>
    <w:rsid w:val="0D0E73B0"/>
    <w:rsid w:val="0D2127F1"/>
    <w:rsid w:val="0D2564A8"/>
    <w:rsid w:val="0D2E6CFE"/>
    <w:rsid w:val="0D3112F1"/>
    <w:rsid w:val="0D336E17"/>
    <w:rsid w:val="0D576E9C"/>
    <w:rsid w:val="0D6A1A9C"/>
    <w:rsid w:val="0D6E7E4F"/>
    <w:rsid w:val="0D70006B"/>
    <w:rsid w:val="0D731909"/>
    <w:rsid w:val="0D7336B7"/>
    <w:rsid w:val="0D9C49BC"/>
    <w:rsid w:val="0D9D70D4"/>
    <w:rsid w:val="0DE325EB"/>
    <w:rsid w:val="0DEC10AF"/>
    <w:rsid w:val="0DF447F8"/>
    <w:rsid w:val="0DFF4F4B"/>
    <w:rsid w:val="0E307169"/>
    <w:rsid w:val="0E4A4418"/>
    <w:rsid w:val="0E667FD6"/>
    <w:rsid w:val="0E6F16A9"/>
    <w:rsid w:val="0E741495"/>
    <w:rsid w:val="0E796AAB"/>
    <w:rsid w:val="0EB14497"/>
    <w:rsid w:val="0ED34D48"/>
    <w:rsid w:val="0ED55194"/>
    <w:rsid w:val="0EDD528C"/>
    <w:rsid w:val="0EF10D38"/>
    <w:rsid w:val="0EF36245"/>
    <w:rsid w:val="0EF3685E"/>
    <w:rsid w:val="0EF56D77"/>
    <w:rsid w:val="0F01138E"/>
    <w:rsid w:val="0F0942D3"/>
    <w:rsid w:val="0F0F7410"/>
    <w:rsid w:val="0F19203C"/>
    <w:rsid w:val="0F326CAC"/>
    <w:rsid w:val="0F6D4209"/>
    <w:rsid w:val="0F857C3F"/>
    <w:rsid w:val="0FCC70AF"/>
    <w:rsid w:val="0FD046DF"/>
    <w:rsid w:val="0FD83CA6"/>
    <w:rsid w:val="0FDA2FF1"/>
    <w:rsid w:val="0FE046FA"/>
    <w:rsid w:val="0FEE3074"/>
    <w:rsid w:val="0FF95B0E"/>
    <w:rsid w:val="0FFA3C1C"/>
    <w:rsid w:val="101130BD"/>
    <w:rsid w:val="10305890"/>
    <w:rsid w:val="10505F32"/>
    <w:rsid w:val="10571D83"/>
    <w:rsid w:val="1066305F"/>
    <w:rsid w:val="106D0892"/>
    <w:rsid w:val="10993435"/>
    <w:rsid w:val="10A10E9D"/>
    <w:rsid w:val="10A818CA"/>
    <w:rsid w:val="10AA5642"/>
    <w:rsid w:val="10B464C1"/>
    <w:rsid w:val="10C5247C"/>
    <w:rsid w:val="10D821AF"/>
    <w:rsid w:val="10D97CD5"/>
    <w:rsid w:val="111D4066"/>
    <w:rsid w:val="114A5E54"/>
    <w:rsid w:val="11685C9E"/>
    <w:rsid w:val="116B3023"/>
    <w:rsid w:val="117238D3"/>
    <w:rsid w:val="118C11EC"/>
    <w:rsid w:val="119360D6"/>
    <w:rsid w:val="11A55E09"/>
    <w:rsid w:val="11A72F62"/>
    <w:rsid w:val="11C82DD0"/>
    <w:rsid w:val="11CE69A5"/>
    <w:rsid w:val="120D1C32"/>
    <w:rsid w:val="12200F9C"/>
    <w:rsid w:val="12241290"/>
    <w:rsid w:val="126E36BA"/>
    <w:rsid w:val="127933AC"/>
    <w:rsid w:val="12B97C07"/>
    <w:rsid w:val="12BE3788"/>
    <w:rsid w:val="131B45D5"/>
    <w:rsid w:val="13294C42"/>
    <w:rsid w:val="13394A5B"/>
    <w:rsid w:val="13497394"/>
    <w:rsid w:val="13581475"/>
    <w:rsid w:val="135875D7"/>
    <w:rsid w:val="135F3736"/>
    <w:rsid w:val="136F5795"/>
    <w:rsid w:val="13781A27"/>
    <w:rsid w:val="13833F28"/>
    <w:rsid w:val="138A3509"/>
    <w:rsid w:val="1393060F"/>
    <w:rsid w:val="139E0D62"/>
    <w:rsid w:val="13C62E3B"/>
    <w:rsid w:val="13ED41C3"/>
    <w:rsid w:val="141B3F3C"/>
    <w:rsid w:val="144F1AB6"/>
    <w:rsid w:val="14575AE1"/>
    <w:rsid w:val="146E5A83"/>
    <w:rsid w:val="149527D6"/>
    <w:rsid w:val="14BD2A3A"/>
    <w:rsid w:val="14C45B5C"/>
    <w:rsid w:val="14D30DD7"/>
    <w:rsid w:val="14F74BCE"/>
    <w:rsid w:val="1548367B"/>
    <w:rsid w:val="15512530"/>
    <w:rsid w:val="1559533D"/>
    <w:rsid w:val="155A3AD6"/>
    <w:rsid w:val="15655FDB"/>
    <w:rsid w:val="1570239E"/>
    <w:rsid w:val="15735A89"/>
    <w:rsid w:val="15A05265"/>
    <w:rsid w:val="15B56135"/>
    <w:rsid w:val="15F335E7"/>
    <w:rsid w:val="16024449"/>
    <w:rsid w:val="161517B0"/>
    <w:rsid w:val="16315DC9"/>
    <w:rsid w:val="16330C1C"/>
    <w:rsid w:val="164D1414"/>
    <w:rsid w:val="16556050"/>
    <w:rsid w:val="16585B40"/>
    <w:rsid w:val="16586527"/>
    <w:rsid w:val="16731205"/>
    <w:rsid w:val="16A20B69"/>
    <w:rsid w:val="17073825"/>
    <w:rsid w:val="17112A3A"/>
    <w:rsid w:val="17143FA5"/>
    <w:rsid w:val="17163A31"/>
    <w:rsid w:val="174165D4"/>
    <w:rsid w:val="174F4909"/>
    <w:rsid w:val="175B7696"/>
    <w:rsid w:val="175D5D83"/>
    <w:rsid w:val="17771FF6"/>
    <w:rsid w:val="179C432D"/>
    <w:rsid w:val="17D30592"/>
    <w:rsid w:val="17D31922"/>
    <w:rsid w:val="17D47448"/>
    <w:rsid w:val="18440DAD"/>
    <w:rsid w:val="18463EA2"/>
    <w:rsid w:val="18925339"/>
    <w:rsid w:val="189368EA"/>
    <w:rsid w:val="18A64941"/>
    <w:rsid w:val="18C96881"/>
    <w:rsid w:val="18CE5C46"/>
    <w:rsid w:val="18D47700"/>
    <w:rsid w:val="18DE057F"/>
    <w:rsid w:val="18F558C8"/>
    <w:rsid w:val="191D451F"/>
    <w:rsid w:val="19940C3D"/>
    <w:rsid w:val="19BF6247"/>
    <w:rsid w:val="19CF1C75"/>
    <w:rsid w:val="19D22848"/>
    <w:rsid w:val="19D2575C"/>
    <w:rsid w:val="19DD323C"/>
    <w:rsid w:val="19EE17C2"/>
    <w:rsid w:val="19EE6919"/>
    <w:rsid w:val="1A023DF9"/>
    <w:rsid w:val="1A125838"/>
    <w:rsid w:val="1A196AD9"/>
    <w:rsid w:val="1A2560C0"/>
    <w:rsid w:val="1A3A7A37"/>
    <w:rsid w:val="1A4209B4"/>
    <w:rsid w:val="1A55661F"/>
    <w:rsid w:val="1A7F5449"/>
    <w:rsid w:val="1A824F3A"/>
    <w:rsid w:val="1A85139A"/>
    <w:rsid w:val="1A911621"/>
    <w:rsid w:val="1AB05F4B"/>
    <w:rsid w:val="1AC16BFB"/>
    <w:rsid w:val="1ACD2659"/>
    <w:rsid w:val="1AF57E02"/>
    <w:rsid w:val="1AFC1190"/>
    <w:rsid w:val="1B012302"/>
    <w:rsid w:val="1B087B35"/>
    <w:rsid w:val="1B102545"/>
    <w:rsid w:val="1B244243"/>
    <w:rsid w:val="1B340C45"/>
    <w:rsid w:val="1B5C3E02"/>
    <w:rsid w:val="1B6603B7"/>
    <w:rsid w:val="1B6D1746"/>
    <w:rsid w:val="1B7455D9"/>
    <w:rsid w:val="1B761D43"/>
    <w:rsid w:val="1BAC6712"/>
    <w:rsid w:val="1BB63319"/>
    <w:rsid w:val="1BD3171D"/>
    <w:rsid w:val="1BE20386"/>
    <w:rsid w:val="1BEC1E47"/>
    <w:rsid w:val="1BEC2FB3"/>
    <w:rsid w:val="1BFB2021"/>
    <w:rsid w:val="1C0C0F5F"/>
    <w:rsid w:val="1C112A19"/>
    <w:rsid w:val="1C1B3898"/>
    <w:rsid w:val="1C1D5257"/>
    <w:rsid w:val="1C202C5C"/>
    <w:rsid w:val="1C311D50"/>
    <w:rsid w:val="1C3D380E"/>
    <w:rsid w:val="1C4D7304"/>
    <w:rsid w:val="1C5E75E4"/>
    <w:rsid w:val="1C760ACE"/>
    <w:rsid w:val="1C85204D"/>
    <w:rsid w:val="1C890801"/>
    <w:rsid w:val="1C8C20A0"/>
    <w:rsid w:val="1CF245F9"/>
    <w:rsid w:val="1CFC0FD3"/>
    <w:rsid w:val="1CFE23A9"/>
    <w:rsid w:val="1D0600A4"/>
    <w:rsid w:val="1D27774D"/>
    <w:rsid w:val="1D2B7A02"/>
    <w:rsid w:val="1D425770"/>
    <w:rsid w:val="1D430EBD"/>
    <w:rsid w:val="1D45084D"/>
    <w:rsid w:val="1D497F91"/>
    <w:rsid w:val="1D5801D4"/>
    <w:rsid w:val="1D6E79F7"/>
    <w:rsid w:val="1D8B2357"/>
    <w:rsid w:val="1DAB29F9"/>
    <w:rsid w:val="1DCC0F99"/>
    <w:rsid w:val="1DEA52D0"/>
    <w:rsid w:val="1E292B49"/>
    <w:rsid w:val="1E4F5A7B"/>
    <w:rsid w:val="1E546419"/>
    <w:rsid w:val="1E5A7DDE"/>
    <w:rsid w:val="1E6C3CAF"/>
    <w:rsid w:val="1E9D53FE"/>
    <w:rsid w:val="1EEC69D7"/>
    <w:rsid w:val="1EF16B46"/>
    <w:rsid w:val="1F0D5178"/>
    <w:rsid w:val="1F572E39"/>
    <w:rsid w:val="1FA0055E"/>
    <w:rsid w:val="1FA80EC2"/>
    <w:rsid w:val="1FB7272B"/>
    <w:rsid w:val="1FC45D8F"/>
    <w:rsid w:val="1FFB7C68"/>
    <w:rsid w:val="204A64FA"/>
    <w:rsid w:val="2056595D"/>
    <w:rsid w:val="205D3640"/>
    <w:rsid w:val="205E3D53"/>
    <w:rsid w:val="20611216"/>
    <w:rsid w:val="20784E15"/>
    <w:rsid w:val="20977198"/>
    <w:rsid w:val="209F6845"/>
    <w:rsid w:val="20B3409F"/>
    <w:rsid w:val="20CA763A"/>
    <w:rsid w:val="210C37AF"/>
    <w:rsid w:val="21221225"/>
    <w:rsid w:val="2128069A"/>
    <w:rsid w:val="214E201A"/>
    <w:rsid w:val="215A6C10"/>
    <w:rsid w:val="216929AF"/>
    <w:rsid w:val="218D2B42"/>
    <w:rsid w:val="219D74F1"/>
    <w:rsid w:val="21BE2CFB"/>
    <w:rsid w:val="21C176C0"/>
    <w:rsid w:val="21EE1107"/>
    <w:rsid w:val="22001319"/>
    <w:rsid w:val="220B7F0B"/>
    <w:rsid w:val="22104BCC"/>
    <w:rsid w:val="22123047"/>
    <w:rsid w:val="2221328A"/>
    <w:rsid w:val="222A65E3"/>
    <w:rsid w:val="223B259E"/>
    <w:rsid w:val="22421B7E"/>
    <w:rsid w:val="224B50C3"/>
    <w:rsid w:val="22677A06"/>
    <w:rsid w:val="226C1FBE"/>
    <w:rsid w:val="22965A26"/>
    <w:rsid w:val="22A0630B"/>
    <w:rsid w:val="22AF6AE8"/>
    <w:rsid w:val="22BF31CF"/>
    <w:rsid w:val="22C81958"/>
    <w:rsid w:val="22CA3453"/>
    <w:rsid w:val="22F91F9D"/>
    <w:rsid w:val="22FE21D5"/>
    <w:rsid w:val="2309269C"/>
    <w:rsid w:val="231C2DD3"/>
    <w:rsid w:val="23344823"/>
    <w:rsid w:val="23364536"/>
    <w:rsid w:val="23462A6F"/>
    <w:rsid w:val="236B5723"/>
    <w:rsid w:val="2376499E"/>
    <w:rsid w:val="238E0DF3"/>
    <w:rsid w:val="23BB216D"/>
    <w:rsid w:val="23DD1193"/>
    <w:rsid w:val="23DF51AB"/>
    <w:rsid w:val="23F46EA8"/>
    <w:rsid w:val="24107A5A"/>
    <w:rsid w:val="2423153B"/>
    <w:rsid w:val="246062EC"/>
    <w:rsid w:val="24656AF2"/>
    <w:rsid w:val="246E2356"/>
    <w:rsid w:val="248346B2"/>
    <w:rsid w:val="24942439"/>
    <w:rsid w:val="24AC1531"/>
    <w:rsid w:val="24AF4B7D"/>
    <w:rsid w:val="24D97E4C"/>
    <w:rsid w:val="24DD54EC"/>
    <w:rsid w:val="24ED13B4"/>
    <w:rsid w:val="25513E86"/>
    <w:rsid w:val="255B4D05"/>
    <w:rsid w:val="25665B84"/>
    <w:rsid w:val="259049AF"/>
    <w:rsid w:val="25973830"/>
    <w:rsid w:val="25B5436B"/>
    <w:rsid w:val="25D36F91"/>
    <w:rsid w:val="25F8493C"/>
    <w:rsid w:val="26483FD0"/>
    <w:rsid w:val="264F486A"/>
    <w:rsid w:val="269B185D"/>
    <w:rsid w:val="26B50445"/>
    <w:rsid w:val="26E2748C"/>
    <w:rsid w:val="26E37129"/>
    <w:rsid w:val="26EA4592"/>
    <w:rsid w:val="26EF6CED"/>
    <w:rsid w:val="26F40F6D"/>
    <w:rsid w:val="27133AE9"/>
    <w:rsid w:val="27433CA3"/>
    <w:rsid w:val="274F2728"/>
    <w:rsid w:val="27514B9C"/>
    <w:rsid w:val="27522CB9"/>
    <w:rsid w:val="275D6B12"/>
    <w:rsid w:val="277E0764"/>
    <w:rsid w:val="27826579"/>
    <w:rsid w:val="27871DE1"/>
    <w:rsid w:val="27914921"/>
    <w:rsid w:val="27A80209"/>
    <w:rsid w:val="27BD2FA7"/>
    <w:rsid w:val="27C22E19"/>
    <w:rsid w:val="27DA4607"/>
    <w:rsid w:val="27F76F67"/>
    <w:rsid w:val="280E2503"/>
    <w:rsid w:val="281713B7"/>
    <w:rsid w:val="281E59EC"/>
    <w:rsid w:val="28277120"/>
    <w:rsid w:val="283C2BCC"/>
    <w:rsid w:val="283F090E"/>
    <w:rsid w:val="285717B4"/>
    <w:rsid w:val="285964CB"/>
    <w:rsid w:val="285D5821"/>
    <w:rsid w:val="286C5012"/>
    <w:rsid w:val="287B2B53"/>
    <w:rsid w:val="28861BB6"/>
    <w:rsid w:val="28CD5F1A"/>
    <w:rsid w:val="28E13773"/>
    <w:rsid w:val="29086A41"/>
    <w:rsid w:val="290A4A78"/>
    <w:rsid w:val="29347339"/>
    <w:rsid w:val="294D1FF0"/>
    <w:rsid w:val="298347C3"/>
    <w:rsid w:val="29992C88"/>
    <w:rsid w:val="29A529F3"/>
    <w:rsid w:val="29AC3D81"/>
    <w:rsid w:val="29AE7AF9"/>
    <w:rsid w:val="29D642F6"/>
    <w:rsid w:val="29D70DDD"/>
    <w:rsid w:val="2A0E2346"/>
    <w:rsid w:val="2A1F4553"/>
    <w:rsid w:val="2A36189D"/>
    <w:rsid w:val="2A3A75DF"/>
    <w:rsid w:val="2A6C47AD"/>
    <w:rsid w:val="2AAD1B5F"/>
    <w:rsid w:val="2AAD3468"/>
    <w:rsid w:val="2AC46EA9"/>
    <w:rsid w:val="2ACB1715"/>
    <w:rsid w:val="2AE8528D"/>
    <w:rsid w:val="2AF94679"/>
    <w:rsid w:val="2AFA0B1C"/>
    <w:rsid w:val="2AFC2AE6"/>
    <w:rsid w:val="2B193698"/>
    <w:rsid w:val="2B286164"/>
    <w:rsid w:val="2B5E10AB"/>
    <w:rsid w:val="2BAA0794"/>
    <w:rsid w:val="2BC4373E"/>
    <w:rsid w:val="2BF44DCD"/>
    <w:rsid w:val="2C1856FE"/>
    <w:rsid w:val="2C2045B2"/>
    <w:rsid w:val="2C505FC3"/>
    <w:rsid w:val="2C6676A8"/>
    <w:rsid w:val="2C6E228D"/>
    <w:rsid w:val="2C7212B2"/>
    <w:rsid w:val="2C792640"/>
    <w:rsid w:val="2C7C3EDF"/>
    <w:rsid w:val="2C842D93"/>
    <w:rsid w:val="2CA64961"/>
    <w:rsid w:val="2CDE1E9E"/>
    <w:rsid w:val="2CEA52EC"/>
    <w:rsid w:val="2CF75313"/>
    <w:rsid w:val="2D102879"/>
    <w:rsid w:val="2D200D0E"/>
    <w:rsid w:val="2D2F6099"/>
    <w:rsid w:val="2D460049"/>
    <w:rsid w:val="2D524C40"/>
    <w:rsid w:val="2D583D9B"/>
    <w:rsid w:val="2D592294"/>
    <w:rsid w:val="2D5A4AB8"/>
    <w:rsid w:val="2D5F63D5"/>
    <w:rsid w:val="2D7B5F44"/>
    <w:rsid w:val="2D855015"/>
    <w:rsid w:val="2D983721"/>
    <w:rsid w:val="2D986AF6"/>
    <w:rsid w:val="2D9E1C33"/>
    <w:rsid w:val="2DAC4350"/>
    <w:rsid w:val="2DB651CE"/>
    <w:rsid w:val="2DBB4593"/>
    <w:rsid w:val="2DCA6ECC"/>
    <w:rsid w:val="2DF74E76"/>
    <w:rsid w:val="2E2A5352"/>
    <w:rsid w:val="2E794B92"/>
    <w:rsid w:val="2E7A756D"/>
    <w:rsid w:val="2ECD6C74"/>
    <w:rsid w:val="2EDC2A13"/>
    <w:rsid w:val="2F34284F"/>
    <w:rsid w:val="2F353EBE"/>
    <w:rsid w:val="2F4A3E20"/>
    <w:rsid w:val="2F4A782B"/>
    <w:rsid w:val="2F8C4439"/>
    <w:rsid w:val="2FAC0824"/>
    <w:rsid w:val="2FB41BE1"/>
    <w:rsid w:val="2FDD6036"/>
    <w:rsid w:val="2FFE2E5D"/>
    <w:rsid w:val="30095E81"/>
    <w:rsid w:val="302C1778"/>
    <w:rsid w:val="30403475"/>
    <w:rsid w:val="3043418A"/>
    <w:rsid w:val="30676C54"/>
    <w:rsid w:val="30696528"/>
    <w:rsid w:val="30812888"/>
    <w:rsid w:val="30940A31"/>
    <w:rsid w:val="30977539"/>
    <w:rsid w:val="30BA144D"/>
    <w:rsid w:val="30BB3FDF"/>
    <w:rsid w:val="30D50ED8"/>
    <w:rsid w:val="30DF4A3C"/>
    <w:rsid w:val="30F85AFE"/>
    <w:rsid w:val="30FA5E8E"/>
    <w:rsid w:val="313703D4"/>
    <w:rsid w:val="315301FC"/>
    <w:rsid w:val="316D3B18"/>
    <w:rsid w:val="317B2D72"/>
    <w:rsid w:val="319B6BB5"/>
    <w:rsid w:val="31AA3588"/>
    <w:rsid w:val="31B9703B"/>
    <w:rsid w:val="31D04385"/>
    <w:rsid w:val="31D75713"/>
    <w:rsid w:val="31EF5153"/>
    <w:rsid w:val="31FF121D"/>
    <w:rsid w:val="322E7A29"/>
    <w:rsid w:val="324C6101"/>
    <w:rsid w:val="32674CE9"/>
    <w:rsid w:val="326F1627"/>
    <w:rsid w:val="3273368E"/>
    <w:rsid w:val="32747406"/>
    <w:rsid w:val="32CA2337"/>
    <w:rsid w:val="32FB7F8D"/>
    <w:rsid w:val="33095DA0"/>
    <w:rsid w:val="333B6F49"/>
    <w:rsid w:val="33673AD1"/>
    <w:rsid w:val="33751688"/>
    <w:rsid w:val="3386018A"/>
    <w:rsid w:val="33A51F6D"/>
    <w:rsid w:val="33B44DAB"/>
    <w:rsid w:val="33B823B2"/>
    <w:rsid w:val="33BA709B"/>
    <w:rsid w:val="33BC72B7"/>
    <w:rsid w:val="33CD4E09"/>
    <w:rsid w:val="33DB598F"/>
    <w:rsid w:val="33E224F3"/>
    <w:rsid w:val="33EB5E93"/>
    <w:rsid w:val="33EF143A"/>
    <w:rsid w:val="341F1E2F"/>
    <w:rsid w:val="34232E92"/>
    <w:rsid w:val="34264730"/>
    <w:rsid w:val="346040E6"/>
    <w:rsid w:val="34763909"/>
    <w:rsid w:val="34876319"/>
    <w:rsid w:val="348F0527"/>
    <w:rsid w:val="34963C33"/>
    <w:rsid w:val="34B85CD0"/>
    <w:rsid w:val="34CC52D7"/>
    <w:rsid w:val="34EC5473"/>
    <w:rsid w:val="34EC7728"/>
    <w:rsid w:val="34F678C3"/>
    <w:rsid w:val="34F8431E"/>
    <w:rsid w:val="34FD0911"/>
    <w:rsid w:val="350471F1"/>
    <w:rsid w:val="35052BFF"/>
    <w:rsid w:val="352902CC"/>
    <w:rsid w:val="353F5267"/>
    <w:rsid w:val="354D466A"/>
    <w:rsid w:val="358E07DF"/>
    <w:rsid w:val="35A65B28"/>
    <w:rsid w:val="35D2691D"/>
    <w:rsid w:val="35E44D35"/>
    <w:rsid w:val="36070CBD"/>
    <w:rsid w:val="36372C24"/>
    <w:rsid w:val="36413AA3"/>
    <w:rsid w:val="365E6403"/>
    <w:rsid w:val="36694181"/>
    <w:rsid w:val="367F4CF7"/>
    <w:rsid w:val="368A5629"/>
    <w:rsid w:val="36A54032"/>
    <w:rsid w:val="36CE17DB"/>
    <w:rsid w:val="36DE6652"/>
    <w:rsid w:val="36EC1C61"/>
    <w:rsid w:val="36EC3A0F"/>
    <w:rsid w:val="37024FE0"/>
    <w:rsid w:val="371D62BE"/>
    <w:rsid w:val="373C2D6C"/>
    <w:rsid w:val="37820CF0"/>
    <w:rsid w:val="37860DF0"/>
    <w:rsid w:val="37E6017D"/>
    <w:rsid w:val="37F02AF8"/>
    <w:rsid w:val="37FE7E9E"/>
    <w:rsid w:val="381A72E8"/>
    <w:rsid w:val="38425E5E"/>
    <w:rsid w:val="386817BB"/>
    <w:rsid w:val="389B393F"/>
    <w:rsid w:val="389E6F8B"/>
    <w:rsid w:val="38C20ECB"/>
    <w:rsid w:val="38EA21D0"/>
    <w:rsid w:val="392261E9"/>
    <w:rsid w:val="394B7F80"/>
    <w:rsid w:val="39641DB2"/>
    <w:rsid w:val="398443D3"/>
    <w:rsid w:val="398E5251"/>
    <w:rsid w:val="39AE76A2"/>
    <w:rsid w:val="39DE2344"/>
    <w:rsid w:val="3A310ECD"/>
    <w:rsid w:val="3A390854"/>
    <w:rsid w:val="3A4361F4"/>
    <w:rsid w:val="3A465B2C"/>
    <w:rsid w:val="3A6F0BDF"/>
    <w:rsid w:val="3A802DEC"/>
    <w:rsid w:val="3AA54BA2"/>
    <w:rsid w:val="3AF328C6"/>
    <w:rsid w:val="3AFC5296"/>
    <w:rsid w:val="3B01249B"/>
    <w:rsid w:val="3B0A4DAB"/>
    <w:rsid w:val="3B1F0857"/>
    <w:rsid w:val="3B4D74D4"/>
    <w:rsid w:val="3B693880"/>
    <w:rsid w:val="3B6E6CBC"/>
    <w:rsid w:val="3B6F4C0F"/>
    <w:rsid w:val="3B935032"/>
    <w:rsid w:val="3BA7205E"/>
    <w:rsid w:val="3BDA66B2"/>
    <w:rsid w:val="3BEE1FD7"/>
    <w:rsid w:val="3BF82E56"/>
    <w:rsid w:val="3C010724"/>
    <w:rsid w:val="3C215F09"/>
    <w:rsid w:val="3C277297"/>
    <w:rsid w:val="3C29300F"/>
    <w:rsid w:val="3C2F4ACA"/>
    <w:rsid w:val="3C4A1903"/>
    <w:rsid w:val="3C6717AC"/>
    <w:rsid w:val="3C920BB5"/>
    <w:rsid w:val="3C956C0B"/>
    <w:rsid w:val="3C9963E7"/>
    <w:rsid w:val="3C9C75D4"/>
    <w:rsid w:val="3CBC3E83"/>
    <w:rsid w:val="3CEB6517"/>
    <w:rsid w:val="3CF81776"/>
    <w:rsid w:val="3CFA0462"/>
    <w:rsid w:val="3D145A6E"/>
    <w:rsid w:val="3D236217"/>
    <w:rsid w:val="3D2757A1"/>
    <w:rsid w:val="3D2C1BD1"/>
    <w:rsid w:val="3D51281E"/>
    <w:rsid w:val="3D651583"/>
    <w:rsid w:val="3D69400B"/>
    <w:rsid w:val="3D8C4DF5"/>
    <w:rsid w:val="3DAC26B4"/>
    <w:rsid w:val="3DB00FA3"/>
    <w:rsid w:val="3DD61B50"/>
    <w:rsid w:val="3DE2428B"/>
    <w:rsid w:val="3DEE1050"/>
    <w:rsid w:val="3DFE0BF8"/>
    <w:rsid w:val="3E09759C"/>
    <w:rsid w:val="3E0C2BE9"/>
    <w:rsid w:val="3E10092B"/>
    <w:rsid w:val="3E241CE0"/>
    <w:rsid w:val="3E2C2497"/>
    <w:rsid w:val="3E3D5194"/>
    <w:rsid w:val="3E497999"/>
    <w:rsid w:val="3E9C21BE"/>
    <w:rsid w:val="3EC35C3B"/>
    <w:rsid w:val="3ED74FA5"/>
    <w:rsid w:val="3EDC6A5F"/>
    <w:rsid w:val="3EE95B22"/>
    <w:rsid w:val="3EF45735"/>
    <w:rsid w:val="3F010273"/>
    <w:rsid w:val="3F0B1DB5"/>
    <w:rsid w:val="3F273688"/>
    <w:rsid w:val="3F7C339C"/>
    <w:rsid w:val="3F9609BC"/>
    <w:rsid w:val="3F9B5E1B"/>
    <w:rsid w:val="3FB107CD"/>
    <w:rsid w:val="3FD65C81"/>
    <w:rsid w:val="3FE756BB"/>
    <w:rsid w:val="404C3A38"/>
    <w:rsid w:val="406805AA"/>
    <w:rsid w:val="407E7DCE"/>
    <w:rsid w:val="409A1E25"/>
    <w:rsid w:val="40D07EFD"/>
    <w:rsid w:val="40DA2E59"/>
    <w:rsid w:val="40E13EB9"/>
    <w:rsid w:val="40EE30C6"/>
    <w:rsid w:val="41052703"/>
    <w:rsid w:val="410A1661"/>
    <w:rsid w:val="410A78B3"/>
    <w:rsid w:val="413E6F6C"/>
    <w:rsid w:val="41546D80"/>
    <w:rsid w:val="416074D3"/>
    <w:rsid w:val="4162324B"/>
    <w:rsid w:val="417B60BB"/>
    <w:rsid w:val="41856869"/>
    <w:rsid w:val="41AA2E44"/>
    <w:rsid w:val="41D028AB"/>
    <w:rsid w:val="41D91034"/>
    <w:rsid w:val="41E20B4C"/>
    <w:rsid w:val="41EB6656"/>
    <w:rsid w:val="42044303"/>
    <w:rsid w:val="422D7DE0"/>
    <w:rsid w:val="423544BC"/>
    <w:rsid w:val="42470693"/>
    <w:rsid w:val="4250579A"/>
    <w:rsid w:val="4258708D"/>
    <w:rsid w:val="426254CD"/>
    <w:rsid w:val="42725710"/>
    <w:rsid w:val="427A6373"/>
    <w:rsid w:val="42813BA5"/>
    <w:rsid w:val="428E7F40"/>
    <w:rsid w:val="42B64197"/>
    <w:rsid w:val="42BB2366"/>
    <w:rsid w:val="42D75573"/>
    <w:rsid w:val="42EC7424"/>
    <w:rsid w:val="42EF4FB3"/>
    <w:rsid w:val="43010842"/>
    <w:rsid w:val="43313D19"/>
    <w:rsid w:val="43395821"/>
    <w:rsid w:val="43746C04"/>
    <w:rsid w:val="43747266"/>
    <w:rsid w:val="437E1E93"/>
    <w:rsid w:val="439E42E3"/>
    <w:rsid w:val="43AC4C52"/>
    <w:rsid w:val="43CF26EE"/>
    <w:rsid w:val="43DA0739"/>
    <w:rsid w:val="43ED6CED"/>
    <w:rsid w:val="43EF4B3E"/>
    <w:rsid w:val="43F839F3"/>
    <w:rsid w:val="44114B9A"/>
    <w:rsid w:val="4416031D"/>
    <w:rsid w:val="441E1CDB"/>
    <w:rsid w:val="44254A04"/>
    <w:rsid w:val="4427077C"/>
    <w:rsid w:val="44400487"/>
    <w:rsid w:val="4464552C"/>
    <w:rsid w:val="446C455C"/>
    <w:rsid w:val="448B0D0B"/>
    <w:rsid w:val="448F1174"/>
    <w:rsid w:val="44AB124E"/>
    <w:rsid w:val="44ED5522"/>
    <w:rsid w:val="44F56185"/>
    <w:rsid w:val="45160FB6"/>
    <w:rsid w:val="45227231"/>
    <w:rsid w:val="452B0BE5"/>
    <w:rsid w:val="45370462"/>
    <w:rsid w:val="456F4189"/>
    <w:rsid w:val="457D1464"/>
    <w:rsid w:val="45890BE9"/>
    <w:rsid w:val="458B0897"/>
    <w:rsid w:val="459736E0"/>
    <w:rsid w:val="45BC6CA2"/>
    <w:rsid w:val="45D073D5"/>
    <w:rsid w:val="45D11B88"/>
    <w:rsid w:val="45EA7CB3"/>
    <w:rsid w:val="46081558"/>
    <w:rsid w:val="460D3828"/>
    <w:rsid w:val="460F3276"/>
    <w:rsid w:val="46144781"/>
    <w:rsid w:val="46470C62"/>
    <w:rsid w:val="466E1504"/>
    <w:rsid w:val="469F0A9E"/>
    <w:rsid w:val="46C16C66"/>
    <w:rsid w:val="46C17202"/>
    <w:rsid w:val="46FF32EA"/>
    <w:rsid w:val="4721486F"/>
    <w:rsid w:val="473016F6"/>
    <w:rsid w:val="4746716B"/>
    <w:rsid w:val="474A7E99"/>
    <w:rsid w:val="476A10AC"/>
    <w:rsid w:val="477D6FB4"/>
    <w:rsid w:val="47833F1C"/>
    <w:rsid w:val="47C06F1E"/>
    <w:rsid w:val="47C562E2"/>
    <w:rsid w:val="47CC1972"/>
    <w:rsid w:val="47CC58C3"/>
    <w:rsid w:val="47CD33E9"/>
    <w:rsid w:val="47EC7D13"/>
    <w:rsid w:val="487C04D9"/>
    <w:rsid w:val="488066AD"/>
    <w:rsid w:val="489839F7"/>
    <w:rsid w:val="48C90054"/>
    <w:rsid w:val="48D367EF"/>
    <w:rsid w:val="49066BB2"/>
    <w:rsid w:val="49436067"/>
    <w:rsid w:val="494F152D"/>
    <w:rsid w:val="497E2BEC"/>
    <w:rsid w:val="49DB1DED"/>
    <w:rsid w:val="49E8275C"/>
    <w:rsid w:val="49F5023E"/>
    <w:rsid w:val="4A3E05CE"/>
    <w:rsid w:val="4A407125"/>
    <w:rsid w:val="4A4437AD"/>
    <w:rsid w:val="4A6E106D"/>
    <w:rsid w:val="4A742241"/>
    <w:rsid w:val="4A972889"/>
    <w:rsid w:val="4B315A3D"/>
    <w:rsid w:val="4B475260"/>
    <w:rsid w:val="4B481704"/>
    <w:rsid w:val="4B553E21"/>
    <w:rsid w:val="4B5F6A4E"/>
    <w:rsid w:val="4B6E45AD"/>
    <w:rsid w:val="4B8D7117"/>
    <w:rsid w:val="4B95421D"/>
    <w:rsid w:val="4B9F6E4A"/>
    <w:rsid w:val="4BA426B2"/>
    <w:rsid w:val="4BA6467C"/>
    <w:rsid w:val="4BAB1C8A"/>
    <w:rsid w:val="4BB02E05"/>
    <w:rsid w:val="4BCE14DD"/>
    <w:rsid w:val="4BD82E1F"/>
    <w:rsid w:val="4BE60F1D"/>
    <w:rsid w:val="4BE71C41"/>
    <w:rsid w:val="4BF80B92"/>
    <w:rsid w:val="4BF947AC"/>
    <w:rsid w:val="4C307D51"/>
    <w:rsid w:val="4C453E95"/>
    <w:rsid w:val="4C465F6C"/>
    <w:rsid w:val="4C4C4770"/>
    <w:rsid w:val="4C583BC9"/>
    <w:rsid w:val="4C685E63"/>
    <w:rsid w:val="4C8147A2"/>
    <w:rsid w:val="4C8F4116"/>
    <w:rsid w:val="4CA74208"/>
    <w:rsid w:val="4CBF049B"/>
    <w:rsid w:val="4CD45676"/>
    <w:rsid w:val="4CDD40CE"/>
    <w:rsid w:val="4CEA3B72"/>
    <w:rsid w:val="4CF82CB6"/>
    <w:rsid w:val="4CFE5DF2"/>
    <w:rsid w:val="4D1B4BF6"/>
    <w:rsid w:val="4D4C3C6D"/>
    <w:rsid w:val="4D7F6F33"/>
    <w:rsid w:val="4D826A23"/>
    <w:rsid w:val="4D903D07"/>
    <w:rsid w:val="4D930C30"/>
    <w:rsid w:val="4DA46D97"/>
    <w:rsid w:val="4DB90697"/>
    <w:rsid w:val="4DE35714"/>
    <w:rsid w:val="4DE90850"/>
    <w:rsid w:val="4DF74D1B"/>
    <w:rsid w:val="4DFA480C"/>
    <w:rsid w:val="4E011E11"/>
    <w:rsid w:val="4E361CE8"/>
    <w:rsid w:val="4E3917D8"/>
    <w:rsid w:val="4E676345"/>
    <w:rsid w:val="4E710F72"/>
    <w:rsid w:val="4E7630B5"/>
    <w:rsid w:val="4E76510E"/>
    <w:rsid w:val="4E9D1D67"/>
    <w:rsid w:val="4EA529C9"/>
    <w:rsid w:val="4EA72BDB"/>
    <w:rsid w:val="4EF44267"/>
    <w:rsid w:val="4F005E52"/>
    <w:rsid w:val="4F1E13DE"/>
    <w:rsid w:val="4F2E6E63"/>
    <w:rsid w:val="4F310701"/>
    <w:rsid w:val="4F42646A"/>
    <w:rsid w:val="4F5D5052"/>
    <w:rsid w:val="4F642884"/>
    <w:rsid w:val="4F9273F2"/>
    <w:rsid w:val="4F936CC6"/>
    <w:rsid w:val="4F960564"/>
    <w:rsid w:val="4FAE58AE"/>
    <w:rsid w:val="4FCB6460"/>
    <w:rsid w:val="4FCE1100"/>
    <w:rsid w:val="4FD33566"/>
    <w:rsid w:val="4FDA4D58"/>
    <w:rsid w:val="4FDF22AB"/>
    <w:rsid w:val="4FFC486B"/>
    <w:rsid w:val="4FFD06E4"/>
    <w:rsid w:val="4FFF3E78"/>
    <w:rsid w:val="5000205A"/>
    <w:rsid w:val="500D0826"/>
    <w:rsid w:val="5012408F"/>
    <w:rsid w:val="501F67AB"/>
    <w:rsid w:val="50322E6E"/>
    <w:rsid w:val="50373AF5"/>
    <w:rsid w:val="504852D5"/>
    <w:rsid w:val="509B07D6"/>
    <w:rsid w:val="50AD025B"/>
    <w:rsid w:val="50C35176"/>
    <w:rsid w:val="50F53A0D"/>
    <w:rsid w:val="51510BE7"/>
    <w:rsid w:val="51556898"/>
    <w:rsid w:val="515661FD"/>
    <w:rsid w:val="51945AC3"/>
    <w:rsid w:val="51CC4711"/>
    <w:rsid w:val="51DE30A7"/>
    <w:rsid w:val="520032BA"/>
    <w:rsid w:val="520E4D2A"/>
    <w:rsid w:val="52163F05"/>
    <w:rsid w:val="52224F02"/>
    <w:rsid w:val="5225782A"/>
    <w:rsid w:val="523A063F"/>
    <w:rsid w:val="525F116E"/>
    <w:rsid w:val="526D7CA2"/>
    <w:rsid w:val="528374C6"/>
    <w:rsid w:val="52880638"/>
    <w:rsid w:val="529671F9"/>
    <w:rsid w:val="5298047B"/>
    <w:rsid w:val="52A01E26"/>
    <w:rsid w:val="52AC2242"/>
    <w:rsid w:val="52AF2069"/>
    <w:rsid w:val="52CF6267"/>
    <w:rsid w:val="52D65847"/>
    <w:rsid w:val="52D667A0"/>
    <w:rsid w:val="5338205E"/>
    <w:rsid w:val="53405B14"/>
    <w:rsid w:val="5351034C"/>
    <w:rsid w:val="53766A5F"/>
    <w:rsid w:val="53A616BE"/>
    <w:rsid w:val="54015878"/>
    <w:rsid w:val="54177EC5"/>
    <w:rsid w:val="541E7891"/>
    <w:rsid w:val="542E520F"/>
    <w:rsid w:val="543D36A4"/>
    <w:rsid w:val="544D66EF"/>
    <w:rsid w:val="545D5AF4"/>
    <w:rsid w:val="546649A9"/>
    <w:rsid w:val="546E7D01"/>
    <w:rsid w:val="549F18C8"/>
    <w:rsid w:val="54CF4731"/>
    <w:rsid w:val="54D9161F"/>
    <w:rsid w:val="55287EB0"/>
    <w:rsid w:val="55300100"/>
    <w:rsid w:val="55456CB4"/>
    <w:rsid w:val="55823A64"/>
    <w:rsid w:val="559000EF"/>
    <w:rsid w:val="55994173"/>
    <w:rsid w:val="55A25EB5"/>
    <w:rsid w:val="55DA564E"/>
    <w:rsid w:val="56424FA2"/>
    <w:rsid w:val="566D489D"/>
    <w:rsid w:val="568D0913"/>
    <w:rsid w:val="569D42C9"/>
    <w:rsid w:val="56BC4D54"/>
    <w:rsid w:val="56D55035"/>
    <w:rsid w:val="56FF3F25"/>
    <w:rsid w:val="570861EB"/>
    <w:rsid w:val="572172AD"/>
    <w:rsid w:val="57267440"/>
    <w:rsid w:val="572B3C88"/>
    <w:rsid w:val="574C35C1"/>
    <w:rsid w:val="575E22AF"/>
    <w:rsid w:val="57692FC2"/>
    <w:rsid w:val="579E334D"/>
    <w:rsid w:val="57AE6D93"/>
    <w:rsid w:val="57EE718F"/>
    <w:rsid w:val="57F42B0E"/>
    <w:rsid w:val="581761E1"/>
    <w:rsid w:val="58240E03"/>
    <w:rsid w:val="583A6878"/>
    <w:rsid w:val="5842572D"/>
    <w:rsid w:val="586854DD"/>
    <w:rsid w:val="5895292F"/>
    <w:rsid w:val="58A27F7A"/>
    <w:rsid w:val="58A91308"/>
    <w:rsid w:val="58C6549F"/>
    <w:rsid w:val="58D4133A"/>
    <w:rsid w:val="58F20F01"/>
    <w:rsid w:val="58F75435"/>
    <w:rsid w:val="592204DE"/>
    <w:rsid w:val="592A069B"/>
    <w:rsid w:val="592D32D7"/>
    <w:rsid w:val="593C2FD0"/>
    <w:rsid w:val="5976568E"/>
    <w:rsid w:val="597C6A1D"/>
    <w:rsid w:val="597E09E7"/>
    <w:rsid w:val="598F49A2"/>
    <w:rsid w:val="59934492"/>
    <w:rsid w:val="59BB12F3"/>
    <w:rsid w:val="59F91C43"/>
    <w:rsid w:val="59FB5B93"/>
    <w:rsid w:val="5A1D0200"/>
    <w:rsid w:val="5A2027B5"/>
    <w:rsid w:val="5A2A46CB"/>
    <w:rsid w:val="5A3E3CD2"/>
    <w:rsid w:val="5A511C57"/>
    <w:rsid w:val="5A5D684E"/>
    <w:rsid w:val="5A897643"/>
    <w:rsid w:val="5A940B0D"/>
    <w:rsid w:val="5AB06BF2"/>
    <w:rsid w:val="5AB20EF2"/>
    <w:rsid w:val="5ACA2FCB"/>
    <w:rsid w:val="5AD84127"/>
    <w:rsid w:val="5ADF6DF4"/>
    <w:rsid w:val="5B1A6503"/>
    <w:rsid w:val="5B5740BC"/>
    <w:rsid w:val="5B8A0C0A"/>
    <w:rsid w:val="5B9718EC"/>
    <w:rsid w:val="5B9F7BC4"/>
    <w:rsid w:val="5BBC0DEB"/>
    <w:rsid w:val="5BC70423"/>
    <w:rsid w:val="5C00617F"/>
    <w:rsid w:val="5C013209"/>
    <w:rsid w:val="5C1949F7"/>
    <w:rsid w:val="5C1F78BB"/>
    <w:rsid w:val="5C207B33"/>
    <w:rsid w:val="5C24423B"/>
    <w:rsid w:val="5C4F0418"/>
    <w:rsid w:val="5C5D48E3"/>
    <w:rsid w:val="5C7165E1"/>
    <w:rsid w:val="5C9A47D1"/>
    <w:rsid w:val="5CAC586B"/>
    <w:rsid w:val="5CC6692D"/>
    <w:rsid w:val="5CCE758F"/>
    <w:rsid w:val="5CDA6464"/>
    <w:rsid w:val="5CE36F88"/>
    <w:rsid w:val="5CF52D6E"/>
    <w:rsid w:val="5D0D6309"/>
    <w:rsid w:val="5D1551BE"/>
    <w:rsid w:val="5D290C69"/>
    <w:rsid w:val="5D2D34F2"/>
    <w:rsid w:val="5D5061F6"/>
    <w:rsid w:val="5D755C5D"/>
    <w:rsid w:val="5D766EDE"/>
    <w:rsid w:val="5D79574D"/>
    <w:rsid w:val="5D810AA5"/>
    <w:rsid w:val="5DA0717E"/>
    <w:rsid w:val="5DF03535"/>
    <w:rsid w:val="5E665E1C"/>
    <w:rsid w:val="5EA04F5B"/>
    <w:rsid w:val="5EA4308A"/>
    <w:rsid w:val="5EF13A09"/>
    <w:rsid w:val="5F131BD1"/>
    <w:rsid w:val="5F661D01"/>
    <w:rsid w:val="5F6D7533"/>
    <w:rsid w:val="5F773F0E"/>
    <w:rsid w:val="5F7C7776"/>
    <w:rsid w:val="5F922268"/>
    <w:rsid w:val="5F986DF5"/>
    <w:rsid w:val="5FAF68D7"/>
    <w:rsid w:val="5FD77BCA"/>
    <w:rsid w:val="5FE07D05"/>
    <w:rsid w:val="601D2D07"/>
    <w:rsid w:val="603040BD"/>
    <w:rsid w:val="60325D64"/>
    <w:rsid w:val="606F1089"/>
    <w:rsid w:val="607851F2"/>
    <w:rsid w:val="60816F0A"/>
    <w:rsid w:val="60892915"/>
    <w:rsid w:val="60BB7B6B"/>
    <w:rsid w:val="60BD5461"/>
    <w:rsid w:val="60CE4002"/>
    <w:rsid w:val="60D74197"/>
    <w:rsid w:val="60DB671F"/>
    <w:rsid w:val="60DD21E0"/>
    <w:rsid w:val="60DF561A"/>
    <w:rsid w:val="60EC26DA"/>
    <w:rsid w:val="61016185"/>
    <w:rsid w:val="61074334"/>
    <w:rsid w:val="61113EEE"/>
    <w:rsid w:val="61153803"/>
    <w:rsid w:val="61354081"/>
    <w:rsid w:val="61407419"/>
    <w:rsid w:val="61461DEA"/>
    <w:rsid w:val="61614E76"/>
    <w:rsid w:val="61783F6D"/>
    <w:rsid w:val="61A77A72"/>
    <w:rsid w:val="61DE2022"/>
    <w:rsid w:val="61F335F4"/>
    <w:rsid w:val="62037CDB"/>
    <w:rsid w:val="620B4DE2"/>
    <w:rsid w:val="623600B0"/>
    <w:rsid w:val="62387FAF"/>
    <w:rsid w:val="62593D9F"/>
    <w:rsid w:val="62826A0B"/>
    <w:rsid w:val="629848C7"/>
    <w:rsid w:val="62993ECE"/>
    <w:rsid w:val="629B40F7"/>
    <w:rsid w:val="62AF7E63"/>
    <w:rsid w:val="62CF7BBD"/>
    <w:rsid w:val="62F472AA"/>
    <w:rsid w:val="6311162E"/>
    <w:rsid w:val="631D301E"/>
    <w:rsid w:val="63A91F24"/>
    <w:rsid w:val="63B079EF"/>
    <w:rsid w:val="63D64B9D"/>
    <w:rsid w:val="63D97273"/>
    <w:rsid w:val="63E63410"/>
    <w:rsid w:val="63F773CC"/>
    <w:rsid w:val="640A1281"/>
    <w:rsid w:val="640F778A"/>
    <w:rsid w:val="641D7C93"/>
    <w:rsid w:val="64520AA6"/>
    <w:rsid w:val="64805613"/>
    <w:rsid w:val="64AA2690"/>
    <w:rsid w:val="64C62637"/>
    <w:rsid w:val="652F7039"/>
    <w:rsid w:val="65393A14"/>
    <w:rsid w:val="655F347A"/>
    <w:rsid w:val="6562740E"/>
    <w:rsid w:val="65931376"/>
    <w:rsid w:val="65A73073"/>
    <w:rsid w:val="65A90B99"/>
    <w:rsid w:val="65B55790"/>
    <w:rsid w:val="65C854C3"/>
    <w:rsid w:val="65D16AC7"/>
    <w:rsid w:val="65EC4433"/>
    <w:rsid w:val="65ED0ADC"/>
    <w:rsid w:val="65FB6301"/>
    <w:rsid w:val="65FC33BF"/>
    <w:rsid w:val="661E77C5"/>
    <w:rsid w:val="66495ED8"/>
    <w:rsid w:val="6650111E"/>
    <w:rsid w:val="66837071"/>
    <w:rsid w:val="668A09CB"/>
    <w:rsid w:val="669D37BB"/>
    <w:rsid w:val="669E775F"/>
    <w:rsid w:val="66A03D4A"/>
    <w:rsid w:val="66BA2A18"/>
    <w:rsid w:val="66BE5D9F"/>
    <w:rsid w:val="66C814F3"/>
    <w:rsid w:val="66CC2CDD"/>
    <w:rsid w:val="66D9725C"/>
    <w:rsid w:val="66E22AC4"/>
    <w:rsid w:val="66E90D0C"/>
    <w:rsid w:val="66F67E0E"/>
    <w:rsid w:val="67047575"/>
    <w:rsid w:val="67095D94"/>
    <w:rsid w:val="67144738"/>
    <w:rsid w:val="6716400D"/>
    <w:rsid w:val="67565B80"/>
    <w:rsid w:val="67623C57"/>
    <w:rsid w:val="67784932"/>
    <w:rsid w:val="6778579C"/>
    <w:rsid w:val="67A0216A"/>
    <w:rsid w:val="67A11CD1"/>
    <w:rsid w:val="67A44B06"/>
    <w:rsid w:val="67FF2CF3"/>
    <w:rsid w:val="68077DF9"/>
    <w:rsid w:val="68352BB8"/>
    <w:rsid w:val="684D4516"/>
    <w:rsid w:val="685C2600"/>
    <w:rsid w:val="68664B20"/>
    <w:rsid w:val="687A593D"/>
    <w:rsid w:val="68A11FFC"/>
    <w:rsid w:val="68A152B3"/>
    <w:rsid w:val="68A46ADC"/>
    <w:rsid w:val="68A747E2"/>
    <w:rsid w:val="68B25F1A"/>
    <w:rsid w:val="68B4267B"/>
    <w:rsid w:val="68C63810"/>
    <w:rsid w:val="690031C6"/>
    <w:rsid w:val="690E58E3"/>
    <w:rsid w:val="6911150F"/>
    <w:rsid w:val="69230C63"/>
    <w:rsid w:val="69297938"/>
    <w:rsid w:val="69380E3B"/>
    <w:rsid w:val="69474951"/>
    <w:rsid w:val="695131BA"/>
    <w:rsid w:val="69741CD5"/>
    <w:rsid w:val="697D65C5"/>
    <w:rsid w:val="69992CD3"/>
    <w:rsid w:val="69A55B1C"/>
    <w:rsid w:val="69AE20F4"/>
    <w:rsid w:val="69C441F4"/>
    <w:rsid w:val="69CC4E56"/>
    <w:rsid w:val="69FA19C4"/>
    <w:rsid w:val="69FD3262"/>
    <w:rsid w:val="6A072332"/>
    <w:rsid w:val="6A153D69"/>
    <w:rsid w:val="6A295768"/>
    <w:rsid w:val="6A2D097A"/>
    <w:rsid w:val="6A5D01A4"/>
    <w:rsid w:val="6A682DD1"/>
    <w:rsid w:val="6A7379C8"/>
    <w:rsid w:val="6A883473"/>
    <w:rsid w:val="6A9169C1"/>
    <w:rsid w:val="6AC875BB"/>
    <w:rsid w:val="6AD77F57"/>
    <w:rsid w:val="6AE24E59"/>
    <w:rsid w:val="6B0074AE"/>
    <w:rsid w:val="6B1765A5"/>
    <w:rsid w:val="6B281942"/>
    <w:rsid w:val="6B2D6B7A"/>
    <w:rsid w:val="6B362C28"/>
    <w:rsid w:val="6B3F3B91"/>
    <w:rsid w:val="6B436DB5"/>
    <w:rsid w:val="6B596BBE"/>
    <w:rsid w:val="6B8312D6"/>
    <w:rsid w:val="6B83441D"/>
    <w:rsid w:val="6BC06C3D"/>
    <w:rsid w:val="6BC775E7"/>
    <w:rsid w:val="6BDD77EF"/>
    <w:rsid w:val="6C24541E"/>
    <w:rsid w:val="6C5A5992"/>
    <w:rsid w:val="6C5D623A"/>
    <w:rsid w:val="6C941407"/>
    <w:rsid w:val="6CA50DC6"/>
    <w:rsid w:val="6CD8389B"/>
    <w:rsid w:val="6CF30226"/>
    <w:rsid w:val="6D0112BB"/>
    <w:rsid w:val="6D025114"/>
    <w:rsid w:val="6D0C3AAC"/>
    <w:rsid w:val="6D8A305E"/>
    <w:rsid w:val="6DA714D3"/>
    <w:rsid w:val="6DD8201C"/>
    <w:rsid w:val="6DFD1A82"/>
    <w:rsid w:val="6E2C7953"/>
    <w:rsid w:val="6E361438"/>
    <w:rsid w:val="6E6164B5"/>
    <w:rsid w:val="6E7B7B42"/>
    <w:rsid w:val="6E936473"/>
    <w:rsid w:val="6E9D3265"/>
    <w:rsid w:val="6EA840E4"/>
    <w:rsid w:val="6ED331BE"/>
    <w:rsid w:val="6F082A05"/>
    <w:rsid w:val="6F0D03EB"/>
    <w:rsid w:val="6F35524C"/>
    <w:rsid w:val="6F375E6D"/>
    <w:rsid w:val="6F3C2C80"/>
    <w:rsid w:val="6F4A519B"/>
    <w:rsid w:val="6F5D119F"/>
    <w:rsid w:val="6F7B360A"/>
    <w:rsid w:val="6F887A72"/>
    <w:rsid w:val="6FAF4FFE"/>
    <w:rsid w:val="6FB70357"/>
    <w:rsid w:val="6FBB1BF5"/>
    <w:rsid w:val="6FBE16E5"/>
    <w:rsid w:val="6FC565D0"/>
    <w:rsid w:val="6FC82564"/>
    <w:rsid w:val="6FE70C3C"/>
    <w:rsid w:val="6FF65850"/>
    <w:rsid w:val="6FFB46E7"/>
    <w:rsid w:val="702A6D7B"/>
    <w:rsid w:val="703379DD"/>
    <w:rsid w:val="70510C62"/>
    <w:rsid w:val="705838E8"/>
    <w:rsid w:val="70622071"/>
    <w:rsid w:val="70673B2B"/>
    <w:rsid w:val="70926DFA"/>
    <w:rsid w:val="709A7A5C"/>
    <w:rsid w:val="70AB1C6A"/>
    <w:rsid w:val="70B93CA8"/>
    <w:rsid w:val="70BC3E77"/>
    <w:rsid w:val="70BC5C25"/>
    <w:rsid w:val="70D2369A"/>
    <w:rsid w:val="710D04BD"/>
    <w:rsid w:val="71107D1F"/>
    <w:rsid w:val="71137326"/>
    <w:rsid w:val="71145A61"/>
    <w:rsid w:val="71306613"/>
    <w:rsid w:val="713262A6"/>
    <w:rsid w:val="717C7162"/>
    <w:rsid w:val="71AC1D09"/>
    <w:rsid w:val="71AF12E6"/>
    <w:rsid w:val="7205364C"/>
    <w:rsid w:val="72167163"/>
    <w:rsid w:val="72253C9E"/>
    <w:rsid w:val="724445E8"/>
    <w:rsid w:val="729D2508"/>
    <w:rsid w:val="72A66B8C"/>
    <w:rsid w:val="72C16750"/>
    <w:rsid w:val="72EE0533"/>
    <w:rsid w:val="72FC49FE"/>
    <w:rsid w:val="73221F8B"/>
    <w:rsid w:val="73266BF2"/>
    <w:rsid w:val="733A72D5"/>
    <w:rsid w:val="736E6F7E"/>
    <w:rsid w:val="738569C1"/>
    <w:rsid w:val="738A025C"/>
    <w:rsid w:val="73AB50B0"/>
    <w:rsid w:val="73DE3FB3"/>
    <w:rsid w:val="73F76F74"/>
    <w:rsid w:val="7408621C"/>
    <w:rsid w:val="742064CB"/>
    <w:rsid w:val="742859A7"/>
    <w:rsid w:val="743D707D"/>
    <w:rsid w:val="744A3547"/>
    <w:rsid w:val="745368A0"/>
    <w:rsid w:val="74655505"/>
    <w:rsid w:val="74806F69"/>
    <w:rsid w:val="74B03CF2"/>
    <w:rsid w:val="74B82BA7"/>
    <w:rsid w:val="74BD1F6B"/>
    <w:rsid w:val="74C92ADB"/>
    <w:rsid w:val="74CA4D19"/>
    <w:rsid w:val="74D6302D"/>
    <w:rsid w:val="7513602F"/>
    <w:rsid w:val="7524023C"/>
    <w:rsid w:val="752846C5"/>
    <w:rsid w:val="753D4E5A"/>
    <w:rsid w:val="75422471"/>
    <w:rsid w:val="75504B8E"/>
    <w:rsid w:val="755D72AA"/>
    <w:rsid w:val="757F1917"/>
    <w:rsid w:val="758807CB"/>
    <w:rsid w:val="75AB44BA"/>
    <w:rsid w:val="75C15A8B"/>
    <w:rsid w:val="75C5557C"/>
    <w:rsid w:val="75D43A11"/>
    <w:rsid w:val="75DA5054"/>
    <w:rsid w:val="75F55735"/>
    <w:rsid w:val="760C31AA"/>
    <w:rsid w:val="761C4D9E"/>
    <w:rsid w:val="764C6080"/>
    <w:rsid w:val="76514068"/>
    <w:rsid w:val="765661D4"/>
    <w:rsid w:val="76650B0D"/>
    <w:rsid w:val="766A6123"/>
    <w:rsid w:val="7675154F"/>
    <w:rsid w:val="76772336"/>
    <w:rsid w:val="76A96C4B"/>
    <w:rsid w:val="76B33626"/>
    <w:rsid w:val="76BD26F7"/>
    <w:rsid w:val="76FB38E7"/>
    <w:rsid w:val="77000835"/>
    <w:rsid w:val="77130569"/>
    <w:rsid w:val="77266D5B"/>
    <w:rsid w:val="774B1AB0"/>
    <w:rsid w:val="775B1CAC"/>
    <w:rsid w:val="77690189"/>
    <w:rsid w:val="77730BF4"/>
    <w:rsid w:val="77770A86"/>
    <w:rsid w:val="777777C7"/>
    <w:rsid w:val="778C09C1"/>
    <w:rsid w:val="77CC208D"/>
    <w:rsid w:val="77CF743E"/>
    <w:rsid w:val="77D01FB6"/>
    <w:rsid w:val="77DA4BE2"/>
    <w:rsid w:val="780D61CD"/>
    <w:rsid w:val="784D7AAA"/>
    <w:rsid w:val="78970D25"/>
    <w:rsid w:val="78B7340B"/>
    <w:rsid w:val="78D12190"/>
    <w:rsid w:val="78F65A4C"/>
    <w:rsid w:val="78FB0AB1"/>
    <w:rsid w:val="792A3948"/>
    <w:rsid w:val="7943071A"/>
    <w:rsid w:val="7955517B"/>
    <w:rsid w:val="797C0647"/>
    <w:rsid w:val="79831531"/>
    <w:rsid w:val="7985301D"/>
    <w:rsid w:val="79892D64"/>
    <w:rsid w:val="79914BBC"/>
    <w:rsid w:val="79CA418D"/>
    <w:rsid w:val="79D129F2"/>
    <w:rsid w:val="79D87C9A"/>
    <w:rsid w:val="79DF3C9C"/>
    <w:rsid w:val="79F5721B"/>
    <w:rsid w:val="79FD75F2"/>
    <w:rsid w:val="79FE105C"/>
    <w:rsid w:val="7A0D5743"/>
    <w:rsid w:val="7A1C5986"/>
    <w:rsid w:val="7A290118"/>
    <w:rsid w:val="7A361F0E"/>
    <w:rsid w:val="7A396538"/>
    <w:rsid w:val="7A523156"/>
    <w:rsid w:val="7A570403"/>
    <w:rsid w:val="7A747570"/>
    <w:rsid w:val="7A8E1353"/>
    <w:rsid w:val="7AB20098"/>
    <w:rsid w:val="7ADE0E8D"/>
    <w:rsid w:val="7AFE6E3A"/>
    <w:rsid w:val="7B0025AE"/>
    <w:rsid w:val="7B2C7E4B"/>
    <w:rsid w:val="7B36328B"/>
    <w:rsid w:val="7B71585E"/>
    <w:rsid w:val="7B9A39AC"/>
    <w:rsid w:val="7BA21EBB"/>
    <w:rsid w:val="7BA67BFD"/>
    <w:rsid w:val="7BAF424E"/>
    <w:rsid w:val="7BB173BC"/>
    <w:rsid w:val="7BC97448"/>
    <w:rsid w:val="7BCD518A"/>
    <w:rsid w:val="7BDF6C6B"/>
    <w:rsid w:val="7BF22E42"/>
    <w:rsid w:val="7C105077"/>
    <w:rsid w:val="7C173A51"/>
    <w:rsid w:val="7C43544C"/>
    <w:rsid w:val="7C977546"/>
    <w:rsid w:val="7C9E2682"/>
    <w:rsid w:val="7CC16886"/>
    <w:rsid w:val="7CCB1602"/>
    <w:rsid w:val="7D036989"/>
    <w:rsid w:val="7D083FA0"/>
    <w:rsid w:val="7D0C10A0"/>
    <w:rsid w:val="7D0C3A90"/>
    <w:rsid w:val="7D4476CE"/>
    <w:rsid w:val="7D6670F1"/>
    <w:rsid w:val="7D810472"/>
    <w:rsid w:val="7D8B70AB"/>
    <w:rsid w:val="7D910439"/>
    <w:rsid w:val="7D9A7679"/>
    <w:rsid w:val="7DB67EA0"/>
    <w:rsid w:val="7DE22A43"/>
    <w:rsid w:val="7DF05160"/>
    <w:rsid w:val="7DFC3B04"/>
    <w:rsid w:val="7DFD7770"/>
    <w:rsid w:val="7E1074DD"/>
    <w:rsid w:val="7E28795D"/>
    <w:rsid w:val="7E2968C4"/>
    <w:rsid w:val="7E3037AE"/>
    <w:rsid w:val="7E355268"/>
    <w:rsid w:val="7E366AD6"/>
    <w:rsid w:val="7E736504"/>
    <w:rsid w:val="7E907359"/>
    <w:rsid w:val="7E9D4FA7"/>
    <w:rsid w:val="7EA45F4A"/>
    <w:rsid w:val="7EB75C7D"/>
    <w:rsid w:val="7EC65EC0"/>
    <w:rsid w:val="7ECD54A1"/>
    <w:rsid w:val="7EE6781D"/>
    <w:rsid w:val="7F141322"/>
    <w:rsid w:val="7F333000"/>
    <w:rsid w:val="7F517E80"/>
    <w:rsid w:val="7F547970"/>
    <w:rsid w:val="7F5C22B2"/>
    <w:rsid w:val="7F6A2CF0"/>
    <w:rsid w:val="7F9B10FB"/>
    <w:rsid w:val="7FCE7ECF"/>
    <w:rsid w:val="7FE934FA"/>
    <w:rsid w:val="7FFC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qFormat/>
    <w:uiPriority w:val="0"/>
    <w:pPr>
      <w:widowControl/>
      <w:spacing w:before="120" w:after="0" w:line="240" w:lineRule="auto"/>
      <w:ind w:left="0" w:firstLine="3584"/>
    </w:pPr>
  </w:style>
  <w:style w:type="paragraph" w:styleId="5">
    <w:name w:val="Body Text"/>
    <w:basedOn w:val="1"/>
    <w:next w:val="1"/>
    <w:autoRedefine/>
    <w:semiHidden/>
    <w:qFormat/>
    <w:uiPriority w:val="0"/>
    <w:rPr>
      <w:rFonts w:ascii="Arial" w:hAnsi="Arial" w:eastAsia="Arial" w:cs="Arial"/>
      <w:sz w:val="21"/>
      <w:szCs w:val="21"/>
      <w:lang w:val="en-US" w:eastAsia="en-US" w:bidi="ar-SA"/>
    </w:rPr>
  </w:style>
  <w:style w:type="paragraph" w:styleId="6">
    <w:name w:val="Body Text Indent"/>
    <w:basedOn w:val="1"/>
    <w:next w:val="1"/>
    <w:autoRedefine/>
    <w:qFormat/>
    <w:uiPriority w:val="0"/>
    <w:pPr>
      <w:spacing w:after="120"/>
      <w:ind w:left="200" w:leftChars="200"/>
    </w:pPr>
  </w:style>
  <w:style w:type="paragraph" w:styleId="7">
    <w:name w:val="Plain Text"/>
    <w:basedOn w:val="1"/>
    <w:next w:val="8"/>
    <w:qFormat/>
    <w:uiPriority w:val="0"/>
    <w:rPr>
      <w:rFonts w:ascii="宋体"/>
      <w:color w:val="000000"/>
      <w:szCs w:val="20"/>
      <w:u w:val="none" w:color="000000"/>
    </w:rPr>
  </w:style>
  <w:style w:type="paragraph" w:styleId="8">
    <w:name w:val="index 7"/>
    <w:basedOn w:val="1"/>
    <w:next w:val="1"/>
    <w:qFormat/>
    <w:uiPriority w:val="0"/>
    <w:pPr>
      <w:autoSpaceDE/>
      <w:autoSpaceDN/>
      <w:adjustRightInd/>
      <w:ind w:left="1200" w:leftChars="1200"/>
    </w:pPr>
    <w:rPr>
      <w:color w:val="auto"/>
      <w:kern w:val="2"/>
      <w:szCs w:val="24"/>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autoRedefine/>
    <w:qFormat/>
    <w:uiPriority w:val="99"/>
    <w:pPr>
      <w:snapToGrid w:val="0"/>
      <w:jc w:val="left"/>
    </w:pPr>
    <w:rPr>
      <w:rFonts w:eastAsia="楷体_GB2312"/>
      <w:sz w:val="18"/>
      <w:szCs w:val="18"/>
    </w:rPr>
  </w:style>
  <w:style w:type="paragraph" w:styleId="12">
    <w:name w:val="table of figures"/>
    <w:basedOn w:val="1"/>
    <w:next w:val="1"/>
    <w:unhideWhenUsed/>
    <w:qFormat/>
    <w:uiPriority w:val="99"/>
    <w:pPr>
      <w:ind w:left="200" w:leftChars="200" w:hanging="200" w:hangingChars="200"/>
    </w:pPr>
    <w:rPr>
      <w:rFonts w:ascii="Times New Roman" w:hAnsi="Times New Roman" w:eastAsia="宋体" w:cs="Times New Roman"/>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5">
    <w:name w:val="Body Text First Indent"/>
    <w:basedOn w:val="5"/>
    <w:autoRedefine/>
    <w:unhideWhenUsed/>
    <w:qFormat/>
    <w:uiPriority w:val="0"/>
    <w:pPr>
      <w:adjustRightInd/>
      <w:spacing w:after="120" w:line="240" w:lineRule="auto"/>
      <w:ind w:firstLine="420" w:firstLineChars="100"/>
      <w:jc w:val="both"/>
    </w:pPr>
    <w:rPr>
      <w:rFonts w:ascii="Times New Roman"/>
      <w:kern w:val="2"/>
      <w:sz w:val="21"/>
      <w:szCs w:val="24"/>
    </w:rPr>
  </w:style>
  <w:style w:type="paragraph" w:styleId="16">
    <w:name w:val="Body Text First Indent 2"/>
    <w:basedOn w:val="6"/>
    <w:next w:val="15"/>
    <w:autoRedefine/>
    <w:qFormat/>
    <w:uiPriority w:val="0"/>
    <w:pPr>
      <w:ind w:firstLine="420" w:firstLineChars="200"/>
    </w:pPr>
  </w:style>
  <w:style w:type="character" w:styleId="19">
    <w:name w:val="Strong"/>
    <w:basedOn w:val="18"/>
    <w:autoRedefine/>
    <w:qFormat/>
    <w:uiPriority w:val="0"/>
    <w:rPr>
      <w:b/>
    </w:rPr>
  </w:style>
  <w:style w:type="character" w:styleId="20">
    <w:name w:val="HTML Sample"/>
    <w:basedOn w:val="18"/>
    <w:autoRedefine/>
    <w:qFormat/>
    <w:uiPriority w:val="0"/>
    <w:rPr>
      <w:rFonts w:ascii="Courier New" w:hAnsi="Courier New"/>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宋体" w:hAnsi="宋体" w:eastAsia="宋体" w:cs="宋体"/>
      <w:sz w:val="23"/>
      <w:szCs w:val="23"/>
      <w:lang w:val="en-US" w:eastAsia="en-US" w:bidi="ar-SA"/>
    </w:rPr>
  </w:style>
  <w:style w:type="character" w:customStyle="1" w:styleId="23">
    <w:name w:val="font21"/>
    <w:basedOn w:val="18"/>
    <w:autoRedefine/>
    <w:qFormat/>
    <w:uiPriority w:val="0"/>
    <w:rPr>
      <w:rFonts w:ascii="黑体" w:hAnsi="宋体" w:eastAsia="黑体" w:cs="黑体"/>
      <w:color w:val="000000"/>
      <w:sz w:val="18"/>
      <w:szCs w:val="18"/>
      <w:u w:val="none"/>
    </w:rPr>
  </w:style>
  <w:style w:type="character" w:customStyle="1" w:styleId="24">
    <w:name w:val="font11"/>
    <w:basedOn w:val="18"/>
    <w:autoRedefine/>
    <w:qFormat/>
    <w:uiPriority w:val="0"/>
    <w:rPr>
      <w:rFonts w:hint="eastAsia" w:ascii="宋体" w:hAnsi="宋体" w:eastAsia="宋体" w:cs="宋体"/>
      <w:color w:val="000000"/>
      <w:sz w:val="18"/>
      <w:szCs w:val="18"/>
      <w:u w:val="none"/>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大标题"/>
    <w:basedOn w:val="1"/>
    <w:next w:val="16"/>
    <w:autoRedefine/>
    <w:qFormat/>
    <w:uiPriority w:val="0"/>
    <w:pPr>
      <w:jc w:val="center"/>
    </w:pPr>
    <w:rPr>
      <w:rFonts w:ascii="Arial" w:hAnsi="Arial" w:eastAsia="宋体" w:cs="Times New Roman"/>
      <w:b/>
      <w:sz w:val="28"/>
      <w:szCs w:val="24"/>
    </w:rPr>
  </w:style>
  <w:style w:type="paragraph" w:customStyle="1" w:styleId="27">
    <w:name w:val="正文格式"/>
    <w:basedOn w:val="1"/>
    <w:autoRedefine/>
    <w:qFormat/>
    <w:uiPriority w:val="99"/>
    <w:pPr>
      <w:widowControl/>
      <w:adjustRightInd w:val="0"/>
      <w:snapToGrid w:val="0"/>
      <w:spacing w:line="400" w:lineRule="atLeast"/>
      <w:ind w:firstLine="482"/>
      <w:textAlignment w:val="baseline"/>
    </w:pPr>
  </w:style>
  <w:style w:type="paragraph" w:customStyle="1" w:styleId="28">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正文"/>
    <w:basedOn w:val="1"/>
    <w:autoRedefine/>
    <w:qFormat/>
    <w:uiPriority w:val="99"/>
    <w:pPr>
      <w:spacing w:line="360" w:lineRule="auto"/>
      <w:ind w:firstLine="480"/>
    </w:pPr>
    <w:rPr>
      <w:kern w:val="0"/>
      <w:sz w:val="24"/>
      <w:szCs w:val="24"/>
      <w:lang w:val="zh-CN"/>
    </w:rPr>
  </w:style>
  <w:style w:type="paragraph" w:customStyle="1" w:styleId="30">
    <w:name w:val="Table Paragraph"/>
    <w:basedOn w:val="1"/>
    <w:autoRedefine/>
    <w:unhideWhenUsed/>
    <w:qFormat/>
    <w:uiPriority w:val="1"/>
    <w:pPr>
      <w:spacing w:beforeLines="0" w:afterLines="0"/>
    </w:pPr>
    <w:rPr>
      <w:rFonts w:hint="eastAsia"/>
      <w:sz w:val="24"/>
      <w:szCs w:val="24"/>
    </w:rPr>
  </w:style>
  <w:style w:type="paragraph" w:customStyle="1" w:styleId="31">
    <w:name w:val="样式 样式 左侧:  2 字符 + 左侧:  0.85 厘米 首行缩进:  2 字符1"/>
    <w:basedOn w:val="1"/>
    <w:qFormat/>
    <w:uiPriority w:val="0"/>
    <w:pPr>
      <w:ind w:left="482" w:firstLine="200" w:firstLineChars="200"/>
    </w:pPr>
    <w:rPr>
      <w:szCs w:val="20"/>
    </w:rPr>
  </w:style>
  <w:style w:type="paragraph" w:customStyle="1" w:styleId="32">
    <w:name w:val="Table caption|1"/>
    <w:basedOn w:val="1"/>
    <w:qFormat/>
    <w:uiPriority w:val="0"/>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18902</Words>
  <Characters>20917</Characters>
  <TotalTime>67</TotalTime>
  <ScaleCrop>false</ScaleCrop>
  <LinksUpToDate>false</LinksUpToDate>
  <CharactersWithSpaces>21127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2024-02-27T11:46:00Z</dcterms:created>
  <dc:creator>Z先生</dc:creator>
  <cp:lastModifiedBy>简单就好　。</cp:lastModifiedBy>
  <cp:lastPrinted>2026-06-11T03:33:00Z</cp:lastPrinted>
  <dcterms:modified xsi:type="dcterms:W3CDTF">2026-06-11T09:41:09Z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2024-02-27T18:02:52Z</vt:filetime>
  </property>
  <property fmtid="{D5CDD505-2E9C-101B-9397-08002B2CF9AE}" pid="4" name="KSOProductBuildVer">
    <vt:lpwstr>2052-12.1.0.26375</vt:lpwstr>
  </property>
  <property fmtid="{D5CDD505-2E9C-101B-9397-08002B2CF9AE}" pid="5" name="ICV">
    <vt:lpwstr>8C84232618BE4F76BE93BE98CA393FD1_13</vt:lpwstr>
  </property>
  <property fmtid="{D5CDD505-2E9C-101B-9397-08002B2CF9AE}" pid="6" name="KSOTemplateDocerSaveRecord">
    <vt:lpwstr>eyJoZGlkIjoiZGE4YTFlNWMzNmZlMDBlODQwMDJjZDczYmUzMThkY2EiLCJ1c2VySWQiOiI3MDg1MjYxOTQifQ==</vt:lpwstr>
  </property>
</Properties>
</file>