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 w:hAnsi="仿宋" w:eastAsia="仿宋" w:cs="仿宋"/>
          <w:color w:val="auto"/>
          <w:sz w:val="36"/>
          <w:szCs w:val="36"/>
          <w:lang w:val="en-US" w:eastAsia="zh-CN"/>
        </w:rPr>
      </w:pPr>
      <w:r>
        <w:rPr>
          <w:rFonts w:hint="eastAsia" w:ascii="仿宋" w:hAnsi="仿宋" w:eastAsia="仿宋" w:cs="仿宋"/>
          <w:color w:val="auto"/>
          <w:sz w:val="76"/>
          <w:szCs w:val="76"/>
          <w:lang w:val="en-US" w:eastAsia="zh-CN"/>
        </w:rPr>
        <w:t xml:space="preserve"> </w:t>
      </w:r>
    </w:p>
    <w:p>
      <w:pPr>
        <w:pStyle w:val="7"/>
        <w:bidi w:val="0"/>
        <w:jc w:val="center"/>
        <w:rPr>
          <w:rFonts w:hint="eastAsia" w:ascii="仿宋" w:hAnsi="仿宋" w:eastAsia="仿宋" w:cs="仿宋"/>
          <w:color w:val="auto"/>
          <w:sz w:val="76"/>
          <w:szCs w:val="76"/>
        </w:rPr>
      </w:pPr>
      <w:r>
        <w:rPr>
          <w:rFonts w:hint="eastAsia" w:ascii="仿宋" w:hAnsi="仿宋" w:eastAsia="仿宋" w:cs="仿宋"/>
          <w:color w:val="auto"/>
          <w:sz w:val="76"/>
          <w:szCs w:val="76"/>
        </w:rPr>
        <w:t>单一来源采购谈判文件</w:t>
      </w:r>
    </w:p>
    <w:p>
      <w:pPr>
        <w:pStyle w:val="7"/>
        <w:bidi w:val="0"/>
        <w:jc w:val="center"/>
        <w:rPr>
          <w:rFonts w:hint="default" w:ascii="仿宋" w:hAnsi="仿宋" w:eastAsia="仿宋" w:cs="仿宋"/>
          <w:b/>
          <w:bCs/>
          <w:color w:val="auto"/>
          <w:kern w:val="2"/>
          <w:sz w:val="44"/>
          <w:szCs w:val="44"/>
          <w:lang w:val="en-US" w:eastAsia="zh-CN" w:bidi="ar-SA"/>
        </w:rPr>
      </w:pPr>
      <w:r>
        <w:rPr>
          <w:rFonts w:hint="eastAsia" w:ascii="仿宋" w:hAnsi="仿宋" w:eastAsia="仿宋" w:cs="仿宋"/>
          <w:b/>
          <w:bCs/>
          <w:color w:val="auto"/>
          <w:kern w:val="2"/>
          <w:sz w:val="44"/>
          <w:szCs w:val="44"/>
          <w:lang w:val="en-US" w:eastAsia="zh-CN" w:bidi="ar-SA"/>
        </w:rPr>
        <w:t>项目编号：KZZB-2024005-1</w:t>
      </w:r>
    </w:p>
    <w:p>
      <w:pPr>
        <w:pStyle w:val="7"/>
        <w:bidi w:val="0"/>
        <w:jc w:val="both"/>
        <w:rPr>
          <w:rFonts w:hint="eastAsia" w:ascii="仿宋" w:hAnsi="仿宋" w:eastAsia="仿宋" w:cs="仿宋"/>
          <w:b/>
          <w:bCs/>
          <w:color w:val="auto"/>
          <w:kern w:val="2"/>
          <w:sz w:val="44"/>
          <w:szCs w:val="44"/>
          <w:lang w:val="en-US" w:eastAsia="zh-CN" w:bidi="ar-SA"/>
        </w:rPr>
      </w:pPr>
    </w:p>
    <w:p>
      <w:pPr>
        <w:jc w:val="center"/>
        <w:rPr>
          <w:rFonts w:hint="eastAsia" w:ascii="仿宋" w:hAnsi="仿宋" w:eastAsia="仿宋" w:cs="仿宋"/>
          <w:color w:val="auto"/>
          <w:sz w:val="76"/>
          <w:szCs w:val="76"/>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ind w:left="1280" w:hanging="1280" w:hangingChars="400"/>
        <w:jc w:val="left"/>
        <w:rPr>
          <w:rFonts w:hint="eastAsia" w:ascii="仿宋" w:hAnsi="仿宋" w:eastAsia="仿宋" w:cs="仿宋"/>
          <w:color w:val="auto"/>
          <w:w w:val="80"/>
          <w:sz w:val="32"/>
          <w:lang w:val="en-US" w:eastAsia="zh-CN"/>
        </w:rPr>
      </w:pPr>
      <w:r>
        <w:rPr>
          <w:rFonts w:hint="eastAsia" w:ascii="仿宋" w:hAnsi="仿宋" w:eastAsia="仿宋" w:cs="仿宋"/>
          <w:color w:val="auto"/>
          <w:sz w:val="32"/>
          <w:lang w:eastAsia="zh-CN"/>
        </w:rPr>
        <w:t>项目名称：</w:t>
      </w:r>
      <w:r>
        <w:rPr>
          <w:rFonts w:hint="eastAsia" w:ascii="仿宋" w:hAnsi="仿宋" w:eastAsia="仿宋" w:cs="仿宋"/>
          <w:color w:val="auto"/>
          <w:w w:val="80"/>
          <w:sz w:val="32"/>
          <w:lang w:val="en-US" w:eastAsia="zh-CN"/>
        </w:rPr>
        <w:t>克州动物疾病控制与诊断中心动物疫苗采购项目（一包）</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招</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标</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人：</w:t>
      </w:r>
      <w:r>
        <w:rPr>
          <w:rFonts w:hint="eastAsia" w:ascii="仿宋" w:hAnsi="仿宋" w:eastAsia="仿宋" w:cs="仿宋"/>
          <w:color w:val="auto"/>
          <w:sz w:val="32"/>
          <w:lang w:val="en-US" w:eastAsia="zh-CN"/>
        </w:rPr>
        <w:t>克孜勒苏柯尔克孜自治州动物疾病控制与诊断中心</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 xml:space="preserve">联 系 人：图先生     </w:t>
      </w:r>
    </w:p>
    <w:p>
      <w:pPr>
        <w:jc w:val="left"/>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联系电话：15909083856</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代理机构：</w:t>
      </w:r>
      <w:r>
        <w:rPr>
          <w:rFonts w:hint="eastAsia" w:ascii="仿宋" w:hAnsi="仿宋" w:eastAsia="仿宋" w:cs="仿宋"/>
          <w:color w:val="auto"/>
          <w:sz w:val="36"/>
          <w:szCs w:val="36"/>
          <w:lang w:eastAsia="zh-CN"/>
        </w:rPr>
        <w:t>新疆飞耀项目管理有限公司</w:t>
      </w:r>
    </w:p>
    <w:p>
      <w:pPr>
        <w:jc w:val="left"/>
        <w:rPr>
          <w:rFonts w:hint="eastAsia" w:ascii="仿宋" w:hAnsi="仿宋" w:eastAsia="仿宋" w:cs="仿宋"/>
          <w:color w:val="auto"/>
          <w:sz w:val="36"/>
          <w:szCs w:val="36"/>
          <w:lang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eastAsia="zh-CN"/>
        </w:rPr>
        <w:t>段女士</w:t>
      </w:r>
    </w:p>
    <w:p>
      <w:pPr>
        <w:autoSpaceDE w:val="0"/>
        <w:autoSpaceDN w:val="0"/>
        <w:adjustRightInd w:val="0"/>
        <w:jc w:val="both"/>
        <w:rPr>
          <w:rFonts w:hint="eastAsia" w:ascii="仿宋" w:hAnsi="仿宋" w:eastAsia="仿宋" w:cs="仿宋"/>
          <w:b/>
          <w:bCs/>
          <w:color w:val="auto"/>
          <w:sz w:val="32"/>
          <w:szCs w:val="20"/>
          <w:lang w:val="en-US" w:eastAsia="zh-CN"/>
        </w:rPr>
      </w:pPr>
      <w:r>
        <w:rPr>
          <w:rFonts w:hint="eastAsia" w:ascii="仿宋" w:hAnsi="仿宋" w:eastAsia="仿宋" w:cs="仿宋"/>
          <w:color w:val="auto"/>
          <w:sz w:val="36"/>
          <w:szCs w:val="36"/>
          <w:lang w:val="en-US" w:eastAsia="zh-CN"/>
        </w:rPr>
        <w:t>联系电话:17599108896</w:t>
      </w:r>
      <w:r>
        <w:rPr>
          <w:rFonts w:hint="eastAsia" w:ascii="仿宋" w:hAnsi="仿宋" w:eastAsia="仿宋" w:cs="仿宋"/>
          <w:b/>
          <w:bCs/>
          <w:color w:val="auto"/>
          <w:sz w:val="32"/>
          <w:szCs w:val="20"/>
          <w:lang w:val="en-US" w:eastAsia="zh-CN"/>
        </w:rPr>
        <w:t xml:space="preserve">  </w:t>
      </w:r>
    </w:p>
    <w:p>
      <w:pPr>
        <w:autoSpaceDE w:val="0"/>
        <w:autoSpaceDN w:val="0"/>
        <w:adjustRightInd w:val="0"/>
        <w:jc w:val="center"/>
        <w:rPr>
          <w:rFonts w:hint="eastAsia" w:ascii="仿宋" w:hAnsi="仿宋" w:eastAsia="仿宋" w:cs="仿宋"/>
          <w:b/>
          <w:bCs/>
          <w:color w:val="auto"/>
          <w:sz w:val="32"/>
          <w:szCs w:val="20"/>
          <w:lang w:val="en-US" w:eastAsia="zh-CN"/>
        </w:rPr>
      </w:pPr>
      <w:r>
        <w:rPr>
          <w:rFonts w:hint="eastAsia" w:ascii="仿宋" w:hAnsi="仿宋" w:eastAsia="仿宋" w:cs="仿宋"/>
          <w:b/>
          <w:bCs/>
          <w:color w:val="auto"/>
          <w:sz w:val="32"/>
          <w:szCs w:val="20"/>
          <w:lang w:val="en-US" w:eastAsia="zh-CN"/>
        </w:rPr>
        <w:t xml:space="preserve"> </w:t>
      </w: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招投标监督管理机构备案登记表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87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
                <w:color w:val="auto"/>
                <w:kern w:val="0"/>
                <w:sz w:val="32"/>
                <w:szCs w:val="32"/>
              </w:rPr>
            </w:pPr>
          </w:p>
          <w:p>
            <w:pPr>
              <w:autoSpaceDE w:val="0"/>
              <w:autoSpaceDN w:val="0"/>
              <w:adjustRightInd w:val="0"/>
              <w:rPr>
                <w:rFonts w:hint="eastAsia" w:ascii="仿宋" w:hAnsi="仿宋" w:eastAsia="仿宋" w:cs="仿宋"/>
                <w:b/>
                <w:color w:val="auto"/>
                <w:kern w:val="0"/>
                <w:sz w:val="32"/>
                <w:szCs w:val="32"/>
              </w:rPr>
            </w:pPr>
          </w:p>
          <w:p>
            <w:pPr>
              <w:spacing w:line="640" w:lineRule="exact"/>
              <w:ind w:left="-41" w:leftChars="-50" w:hanging="64" w:hangingChars="20"/>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招标单位：</w:t>
            </w:r>
            <w:r>
              <w:rPr>
                <w:rFonts w:hint="eastAsia" w:ascii="仿宋" w:hAnsi="仿宋" w:eastAsia="仿宋" w:cs="仿宋"/>
                <w:b w:val="0"/>
                <w:bCs/>
                <w:color w:val="auto"/>
                <w:kern w:val="0"/>
                <w:sz w:val="32"/>
                <w:szCs w:val="32"/>
                <w:lang w:val="en-US" w:eastAsia="zh-CN"/>
              </w:rPr>
              <w:t xml:space="preserve">克孜勒苏柯尔克孜自治州动物疾病控制与诊断中心 </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盖章</w:t>
            </w:r>
            <w:r>
              <w:rPr>
                <w:rFonts w:hint="eastAsia" w:ascii="仿宋" w:hAnsi="仿宋" w:eastAsia="仿宋" w:cs="仿宋"/>
                <w:b w:val="0"/>
                <w:bCs/>
                <w:color w:val="auto"/>
                <w:kern w:val="0"/>
                <w:sz w:val="32"/>
                <w:szCs w:val="32"/>
                <w:lang w:eastAsia="zh-CN"/>
              </w:rPr>
              <w:t>）</w:t>
            </w:r>
          </w:p>
          <w:p>
            <w:pPr>
              <w:pStyle w:val="11"/>
              <w:rPr>
                <w:rFonts w:hint="eastAsia" w:ascii="仿宋" w:hAnsi="仿宋" w:eastAsia="仿宋" w:cs="仿宋"/>
                <w:b w:val="0"/>
                <w:bCs/>
                <w:color w:val="auto"/>
                <w:lang w:eastAsia="zh-CN"/>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spacing w:line="640" w:lineRule="exact"/>
              <w:ind w:left="1555" w:leftChars="-50" w:hanging="1660" w:hangingChars="51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项目名称：</w:t>
            </w:r>
            <w:r>
              <w:rPr>
                <w:rFonts w:hint="eastAsia" w:ascii="仿宋" w:hAnsi="仿宋" w:eastAsia="仿宋" w:cs="仿宋"/>
                <w:b w:val="0"/>
                <w:bCs/>
                <w:color w:val="auto"/>
                <w:sz w:val="32"/>
                <w:szCs w:val="32"/>
                <w:lang w:val="en-US" w:eastAsia="zh-CN"/>
              </w:rPr>
              <w:t>克州动物疾病控制与诊断中心动物疫苗采购项目</w:t>
            </w:r>
          </w:p>
          <w:p>
            <w:pPr>
              <w:spacing w:line="640" w:lineRule="exact"/>
              <w:ind w:left="1555" w:leftChars="-50" w:hanging="1660" w:hangingChars="51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（一包）</w:t>
            </w:r>
          </w:p>
          <w:p>
            <w:pPr>
              <w:autoSpaceDE w:val="0"/>
              <w:autoSpaceDN w:val="0"/>
              <w:adjustRightInd w:val="0"/>
              <w:jc w:val="left"/>
              <w:rPr>
                <w:rFonts w:hint="eastAsia" w:ascii="仿宋" w:hAnsi="仿宋" w:eastAsia="仿宋" w:cs="仿宋"/>
                <w:b w:val="0"/>
                <w:bCs/>
                <w:color w:val="auto"/>
                <w:kern w:val="0"/>
                <w:sz w:val="32"/>
                <w:szCs w:val="32"/>
              </w:rPr>
            </w:pPr>
          </w:p>
          <w:p>
            <w:pPr>
              <w:pStyle w:val="6"/>
              <w:rPr>
                <w:rFonts w:hint="eastAsia"/>
                <w:b w:val="0"/>
                <w:bCs/>
              </w:rPr>
            </w:pPr>
          </w:p>
          <w:p>
            <w:pPr>
              <w:autoSpaceDE w:val="0"/>
              <w:autoSpaceDN w:val="0"/>
              <w:adjustRightInd w:val="0"/>
              <w:jc w:val="left"/>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代理机构：</w:t>
            </w:r>
            <w:r>
              <w:rPr>
                <w:rFonts w:hint="eastAsia" w:ascii="仿宋" w:hAnsi="仿宋" w:eastAsia="仿宋" w:cs="仿宋"/>
                <w:b w:val="0"/>
                <w:bCs/>
                <w:color w:val="auto"/>
                <w:kern w:val="0"/>
                <w:sz w:val="32"/>
                <w:szCs w:val="32"/>
                <w:lang w:eastAsia="zh-CN"/>
              </w:rPr>
              <w:t>新疆飞耀项目管理有限公司</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盖章</w:t>
            </w:r>
            <w:r>
              <w:rPr>
                <w:rFonts w:hint="eastAsia" w:ascii="仿宋" w:hAnsi="仿宋" w:eastAsia="仿宋" w:cs="仿宋"/>
                <w:b w:val="0"/>
                <w:bCs/>
                <w:color w:val="auto"/>
                <w:sz w:val="32"/>
                <w:szCs w:val="32"/>
                <w:lang w:eastAsia="zh-CN"/>
              </w:rPr>
              <w:t>）</w:t>
            </w: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val="0"/>
                <w:bCs/>
                <w:color w:val="auto"/>
                <w:kern w:val="0"/>
                <w:sz w:val="32"/>
                <w:szCs w:val="32"/>
              </w:rPr>
              <w:t>本采购</w:t>
            </w:r>
            <w:r>
              <w:rPr>
                <w:rFonts w:hint="eastAsia" w:ascii="仿宋" w:hAnsi="仿宋" w:eastAsia="仿宋" w:cs="仿宋"/>
                <w:b w:val="0"/>
                <w:bCs/>
                <w:color w:val="auto"/>
                <w:kern w:val="0"/>
                <w:sz w:val="32"/>
                <w:szCs w:val="32"/>
                <w:lang w:val="en-US" w:eastAsia="zh-CN"/>
              </w:rPr>
              <w:t>单一来源谈判文件</w:t>
            </w:r>
            <w:r>
              <w:rPr>
                <w:rFonts w:hint="eastAsia" w:ascii="仿宋" w:hAnsi="仿宋" w:eastAsia="仿宋" w:cs="仿宋"/>
                <w:b w:val="0"/>
                <w:bCs/>
                <w:color w:val="auto"/>
                <w:kern w:val="0"/>
                <w:sz w:val="32"/>
                <w:szCs w:val="32"/>
              </w:rPr>
              <w:t>已报备</w:t>
            </w:r>
          </w:p>
          <w:p>
            <w:pPr>
              <w:autoSpaceDE w:val="0"/>
              <w:autoSpaceDN w:val="0"/>
              <w:adjustRightInd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tc>
      </w:tr>
    </w:tbl>
    <w:p>
      <w:pPr>
        <w:widowControl/>
        <w:spacing w:line="375" w:lineRule="atLeast"/>
        <w:jc w:val="both"/>
        <w:rPr>
          <w:rFonts w:hint="eastAsia" w:ascii="仿宋" w:hAnsi="仿宋" w:eastAsia="仿宋" w:cs="仿宋"/>
          <w:b/>
          <w:bCs/>
          <w:color w:val="auto"/>
          <w:w w:val="95"/>
          <w:kern w:val="0"/>
          <w:sz w:val="36"/>
          <w:szCs w:val="36"/>
          <w:lang w:val="en-US" w:eastAsia="zh-CN" w:bidi="ar"/>
        </w:rPr>
        <w:sectPr>
          <w:pgSz w:w="11906" w:h="16838"/>
          <w:pgMar w:top="1440" w:right="1797" w:bottom="1440" w:left="1797" w:header="851" w:footer="1247" w:gutter="0"/>
          <w:pgNumType w:fmt="decimal" w:start="1"/>
          <w:cols w:space="720" w:num="1"/>
          <w:docGrid w:type="linesAndChars" w:linePitch="312" w:charSpace="0"/>
        </w:sectPr>
      </w:pPr>
    </w:p>
    <w:p>
      <w:pPr>
        <w:pStyle w:val="5"/>
        <w:bidi w:val="0"/>
        <w:jc w:val="center"/>
        <w:rPr>
          <w:rFonts w:hint="eastAsia" w:ascii="仿宋" w:hAnsi="仿宋" w:eastAsia="仿宋" w:cs="仿宋"/>
          <w:color w:val="auto"/>
        </w:rPr>
      </w:pPr>
      <w:r>
        <w:rPr>
          <w:rFonts w:hint="eastAsia" w:ascii="仿宋" w:hAnsi="仿宋" w:eastAsia="仿宋" w:cs="仿宋"/>
          <w:color w:val="auto"/>
        </w:rPr>
        <w:t>目录</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
          <w:bCs/>
          <w:color w:val="auto"/>
          <w:w w:val="95"/>
          <w:kern w:val="0"/>
          <w:sz w:val="24"/>
          <w:szCs w:val="24"/>
          <w:lang w:val="en-US" w:eastAsia="zh-CN" w:bidi="ar"/>
        </w:rPr>
        <w:fldChar w:fldCharType="begin"/>
      </w:r>
      <w:r>
        <w:rPr>
          <w:rFonts w:hint="eastAsia" w:ascii="仿宋" w:hAnsi="仿宋" w:eastAsia="仿宋" w:cs="仿宋"/>
          <w:b/>
          <w:bCs/>
          <w:color w:val="auto"/>
          <w:w w:val="95"/>
          <w:kern w:val="0"/>
          <w:sz w:val="24"/>
          <w:szCs w:val="24"/>
          <w:lang w:val="en-US" w:eastAsia="zh-CN" w:bidi="ar"/>
        </w:rPr>
        <w:instrText xml:space="preserve">TOC \o "1-1" \h \u </w:instrText>
      </w:r>
      <w:r>
        <w:rPr>
          <w:rFonts w:hint="eastAsia" w:ascii="仿宋" w:hAnsi="仿宋" w:eastAsia="仿宋" w:cs="仿宋"/>
          <w:b/>
          <w:bCs/>
          <w:color w:val="auto"/>
          <w:w w:val="95"/>
          <w:kern w:val="0"/>
          <w:sz w:val="24"/>
          <w:szCs w:val="24"/>
          <w:lang w:val="en-US" w:eastAsia="zh-CN" w:bidi="ar"/>
        </w:rPr>
        <w:fldChar w:fldCharType="separate"/>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_Toc213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单一来源谈判论证公示</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_Toc132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第一章 单一来源</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bCs/>
          <w:color w:val="auto"/>
          <w:w w:val="95"/>
          <w:kern w:val="0"/>
          <w:sz w:val="24"/>
          <w:szCs w:val="24"/>
          <w:lang w:val="en-US" w:eastAsia="zh-CN" w:bidi="ar"/>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_Toc6668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第二章 单一来源谈判须知</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3</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_Toc21972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kern w:val="0"/>
          <w:sz w:val="24"/>
          <w:szCs w:val="24"/>
          <w:lang w:eastAsia="zh-CN"/>
        </w:rPr>
        <w:t xml:space="preserve">第三章 </w:t>
      </w:r>
      <w:r>
        <w:rPr>
          <w:rFonts w:hint="eastAsia" w:ascii="仿宋" w:hAnsi="仿宋" w:eastAsia="仿宋" w:cs="仿宋"/>
          <w:color w:val="auto"/>
          <w:kern w:val="0"/>
          <w:sz w:val="24"/>
          <w:szCs w:val="24"/>
          <w:lang w:val="en-US" w:eastAsia="zh-CN"/>
        </w:rPr>
        <w:t>技术及参数</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7</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_Toc24496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 xml:space="preserve">第四章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资质及其他要求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6</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_Toc31857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第五章 合  同</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8</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_Toc24929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资格性审查表</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0</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_Toc620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第七章 投标函格式（格式自拟）</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2</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_Toc27497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政府采购投诉书（范本）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4</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_Toc22790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第九</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投诉相关说明</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5</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_Toc12193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质疑函范本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7</w:t>
      </w:r>
    </w:p>
    <w:p>
      <w:pPr>
        <w:widowControl/>
        <w:spacing w:line="375" w:lineRule="atLeast"/>
        <w:jc w:val="center"/>
        <w:rPr>
          <w:rFonts w:hint="eastAsia" w:ascii="仿宋" w:hAnsi="仿宋" w:eastAsia="仿宋" w:cs="仿宋"/>
          <w:b/>
          <w:bCs/>
          <w:color w:val="auto"/>
          <w:w w:val="95"/>
          <w:kern w:val="0"/>
          <w:sz w:val="24"/>
          <w:szCs w:val="24"/>
          <w:lang w:val="en-US" w:eastAsia="zh-CN" w:bidi="ar"/>
        </w:rPr>
      </w:pPr>
      <w:r>
        <w:rPr>
          <w:rFonts w:hint="eastAsia" w:ascii="仿宋" w:hAnsi="仿宋" w:eastAsia="仿宋" w:cs="仿宋"/>
          <w:bCs/>
          <w:color w:val="auto"/>
          <w:w w:val="95"/>
          <w:kern w:val="0"/>
          <w:sz w:val="24"/>
          <w:szCs w:val="24"/>
          <w:lang w:val="en-US" w:eastAsia="zh-CN" w:bidi="ar"/>
        </w:rPr>
        <w:fldChar w:fldCharType="end"/>
      </w:r>
    </w:p>
    <w:p>
      <w:pPr>
        <w:widowControl/>
        <w:spacing w:line="375" w:lineRule="atLeast"/>
        <w:jc w:val="both"/>
        <w:rPr>
          <w:rFonts w:hint="eastAsia" w:ascii="仿宋" w:hAnsi="仿宋" w:eastAsia="仿宋" w:cs="仿宋"/>
          <w:b/>
          <w:bCs/>
          <w:color w:val="auto"/>
          <w:w w:val="95"/>
          <w:kern w:val="0"/>
          <w:sz w:val="24"/>
          <w:szCs w:val="24"/>
          <w:lang w:val="en-US" w:eastAsia="zh-CN" w:bidi="ar"/>
        </w:rPr>
        <w:sectPr>
          <w:footerReference r:id="rId3" w:type="default"/>
          <w:pgSz w:w="11906" w:h="16838"/>
          <w:pgMar w:top="1440" w:right="1797" w:bottom="1440" w:left="1797" w:header="851" w:footer="1247"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克州动物疾病控制与诊断中心动物疫苗采购项目（一包）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单一来源采购公示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一、项目信息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克</w:t>
      </w:r>
      <w:r>
        <w:rPr>
          <w:rFonts w:hint="eastAsia" w:ascii="仿宋" w:hAnsi="仿宋" w:eastAsia="仿宋" w:cs="仿宋"/>
          <w:color w:val="auto"/>
          <w:sz w:val="24"/>
          <w:szCs w:val="24"/>
          <w:lang w:eastAsia="zh-CN"/>
        </w:rPr>
        <w:t>孜勒苏柯尔克孜自治州动物疾病控制与诊断中心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克州动物疾病控制与诊断中心动物疫苗采购项目（一包）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拟采购的货物或服务的说明：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标的名称：</w:t>
      </w:r>
      <w:r>
        <w:rPr>
          <w:rFonts w:hint="eastAsia" w:ascii="仿宋" w:hAnsi="仿宋" w:eastAsia="仿宋" w:cs="仿宋"/>
          <w:color w:val="auto"/>
          <w:sz w:val="24"/>
          <w:szCs w:val="24"/>
          <w:lang w:eastAsia="zh-CN"/>
        </w:rPr>
        <w:t>克州动物疾病控制与诊断中心动物疫苗采购项目（一包）</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数量：</w:t>
      </w:r>
      <w:r>
        <w:rPr>
          <w:rFonts w:hint="eastAsia" w:ascii="仿宋" w:hAnsi="仿宋" w:eastAsia="仿宋" w:cs="仿宋"/>
          <w:color w:val="auto"/>
          <w:sz w:val="24"/>
          <w:szCs w:val="24"/>
          <w:lang w:val="en-US" w:eastAsia="zh-CN"/>
        </w:rPr>
        <w:t xml:space="preserve">175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3500000.00</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w:t>
      </w:r>
      <w:r>
        <w:rPr>
          <w:rFonts w:hint="eastAsia" w:ascii="仿宋" w:hAnsi="仿宋" w:eastAsia="仿宋" w:cs="仿宋"/>
          <w:color w:val="auto"/>
          <w:sz w:val="24"/>
          <w:szCs w:val="24"/>
          <w:lang w:val="en-US" w:eastAsia="zh-CN"/>
        </w:rPr>
        <w:t>万头份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货物或服务的说明：</w:t>
      </w:r>
      <w:r>
        <w:rPr>
          <w:rFonts w:hint="eastAsia" w:ascii="仿宋" w:hAnsi="仿宋" w:eastAsia="仿宋" w:cs="仿宋"/>
          <w:color w:val="auto"/>
          <w:sz w:val="24"/>
          <w:szCs w:val="24"/>
          <w:lang w:eastAsia="zh-CN"/>
        </w:rPr>
        <w:t>羊棘球蚴（包虫）病基因工程疫苗采购</w:t>
      </w:r>
      <w:r>
        <w:rPr>
          <w:rFonts w:hint="eastAsia" w:ascii="仿宋" w:hAnsi="仿宋" w:eastAsia="仿宋" w:cs="仿宋"/>
          <w:color w:val="auto"/>
          <w:sz w:val="24"/>
          <w:szCs w:val="24"/>
        </w:rPr>
        <w:t>（具体详见谈判文件）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拟采购的货物或服务的预算总金额（元）：</w:t>
      </w:r>
      <w:r>
        <w:rPr>
          <w:rFonts w:hint="eastAsia" w:ascii="仿宋" w:hAnsi="仿宋" w:eastAsia="仿宋" w:cs="仿宋"/>
          <w:color w:val="auto"/>
          <w:sz w:val="24"/>
          <w:szCs w:val="24"/>
          <w:lang w:val="en-US" w:eastAsia="zh-CN"/>
        </w:rPr>
        <w:t>3500000.00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采用单一来源采购方式的原因及说明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auto"/>
          <w:sz w:val="24"/>
          <w:szCs w:val="24"/>
          <w:lang w:val="en-US" w:eastAsia="zh-CN"/>
        </w:rPr>
        <w:t>根据《中华人民共和国政府采购法》规定有下列情形之一的，可以采用单一来源采购方式</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是只能从唯一供应商处采购的；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必须保证原有采购项目一致性或者服务配套的要求，需要从原供应商处添购，且添购资金总额不超过原合同采购金额百分之十的。属于第三种情况的，经同级政府采购监管部门批准后，采购人可从单一供应商处直接续签合同购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FF"/>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经查证国家兽药基础数据库只有重庆澳龙生物制品有限公司一家企业生产羊棘球蚴（包虫）病基因工程苗。故本项目采用单一来源方式进行采购。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二、拟定</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名称：重庆澳龙生物制品有限公司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FF"/>
          <w:sz w:val="24"/>
          <w:szCs w:val="24"/>
        </w:rPr>
      </w:pPr>
      <w:r>
        <w:rPr>
          <w:rFonts w:hint="eastAsia" w:ascii="仿宋" w:hAnsi="仿宋" w:eastAsia="仿宋" w:cs="仿宋"/>
          <w:color w:val="auto"/>
          <w:sz w:val="24"/>
          <w:szCs w:val="24"/>
        </w:rPr>
        <w:t>地址：重庆市荣昌工业园区(板桥工业园区四支路)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三、公示期限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2024年01月16日</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2024年01月23日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四、其他补充事宜</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图先生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15909083856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联系地址：阿图什市帕米尔路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2.财政部门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 系 人：刘先生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联系电话：0908-4230287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3.采购代理机构（如有）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段女士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17599108896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r>
        <w:rPr>
          <w:rFonts w:hint="eastAsia" w:ascii="仿宋" w:hAnsi="仿宋" w:eastAsia="仿宋" w:cs="仿宋"/>
          <w:color w:val="auto"/>
          <w:sz w:val="24"/>
          <w:szCs w:val="24"/>
          <w:lang w:val="en-US" w:eastAsia="zh-CN"/>
        </w:rPr>
        <w:t>克州阿图什市肖鲁克路10-1号5楼（州财政局斜对面）</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专业人员论证意见（格式见附件）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p>
    <w:p>
      <w:pPr>
        <w:pStyle w:val="6"/>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numPr>
          <w:ilvl w:val="0"/>
          <w:numId w:val="1"/>
        </w:numPr>
        <w:jc w:val="center"/>
        <w:outlineLvl w:val="0"/>
        <w:rPr>
          <w:rFonts w:hint="eastAsia" w:ascii="仿宋" w:hAnsi="仿宋" w:eastAsia="仿宋" w:cs="仿宋"/>
          <w:b/>
          <w:bCs/>
          <w:color w:val="auto"/>
          <w:sz w:val="32"/>
        </w:rPr>
      </w:pPr>
      <w:bookmarkStart w:id="0" w:name="_Toc132"/>
      <w:r>
        <w:rPr>
          <w:rFonts w:hint="eastAsia" w:ascii="仿宋" w:hAnsi="仿宋" w:eastAsia="仿宋" w:cs="仿宋"/>
          <w:b/>
          <w:bCs/>
          <w:color w:val="auto"/>
          <w:sz w:val="32"/>
        </w:rPr>
        <w:t>单一来源</w:t>
      </w:r>
      <w:r>
        <w:rPr>
          <w:rFonts w:hint="eastAsia" w:ascii="仿宋" w:hAnsi="仿宋" w:eastAsia="仿宋" w:cs="仿宋"/>
          <w:b/>
          <w:bCs/>
          <w:color w:val="auto"/>
          <w:sz w:val="32"/>
          <w:lang w:eastAsia="zh-CN"/>
        </w:rPr>
        <w:t>采购</w:t>
      </w:r>
      <w:bookmarkEnd w:id="0"/>
    </w:p>
    <w:p>
      <w:pPr>
        <w:pStyle w:val="4"/>
        <w:spacing w:before="120" w:after="120" w:line="400" w:lineRule="exact"/>
        <w:jc w:val="center"/>
        <w:rPr>
          <w:rFonts w:hint="eastAsia" w:ascii="仿宋" w:hAnsi="仿宋" w:eastAsia="仿宋" w:cs="仿宋"/>
          <w:color w:val="auto"/>
          <w:sz w:val="32"/>
          <w:szCs w:val="32"/>
        </w:rPr>
      </w:pPr>
      <w:bookmarkStart w:id="1" w:name="_Toc30595"/>
      <w:bookmarkStart w:id="2" w:name="_Toc3613"/>
      <w:r>
        <w:rPr>
          <w:rFonts w:hint="eastAsia" w:ascii="仿宋" w:hAnsi="仿宋" w:eastAsia="仿宋" w:cs="仿宋"/>
          <w:color w:val="auto"/>
          <w:sz w:val="32"/>
          <w:szCs w:val="32"/>
        </w:rPr>
        <w:t>投标人须知前附表</w:t>
      </w:r>
      <w:bookmarkEnd w:id="1"/>
      <w:bookmarkEnd w:id="2"/>
    </w:p>
    <w:tbl>
      <w:tblPr>
        <w:tblStyle w:val="24"/>
        <w:tblW w:w="9052" w:type="dxa"/>
        <w:jc w:val="center"/>
        <w:tblLayout w:type="fixed"/>
        <w:tblCellMar>
          <w:top w:w="0" w:type="dxa"/>
          <w:left w:w="108" w:type="dxa"/>
          <w:bottom w:w="0" w:type="dxa"/>
          <w:right w:w="108" w:type="dxa"/>
        </w:tblCellMar>
      </w:tblPr>
      <w:tblGrid>
        <w:gridCol w:w="512"/>
        <w:gridCol w:w="1124"/>
        <w:gridCol w:w="188"/>
        <w:gridCol w:w="7228"/>
      </w:tblGrid>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color w:val="auto"/>
                <w:lang w:val="en-US" w:eastAsia="zh-CN"/>
              </w:rPr>
            </w:pPr>
            <w:r>
              <w:rPr>
                <w:rFonts w:hint="eastAsia"/>
                <w:color w:val="auto"/>
                <w:lang w:val="en-US" w:eastAsia="zh-CN"/>
              </w:rPr>
              <w:t>项目名称</w:t>
            </w:r>
          </w:p>
          <w:p>
            <w:pPr>
              <w:shd w:val="clear" w:color="auto" w:fill="auto"/>
              <w:spacing w:line="360" w:lineRule="auto"/>
              <w:jc w:val="left"/>
              <w:rPr>
                <w:rFonts w:hint="eastAsia"/>
                <w:color w:val="auto"/>
                <w:lang w:val="en-US" w:eastAsia="zh-CN"/>
              </w:rPr>
            </w:pPr>
            <w:r>
              <w:rPr>
                <w:rFonts w:hint="eastAsia"/>
                <w:color w:val="auto"/>
                <w:lang w:val="en-US" w:eastAsia="zh-CN"/>
              </w:rPr>
              <w:t>项目编号</w:t>
            </w:r>
          </w:p>
          <w:p>
            <w:pPr>
              <w:shd w:val="clear" w:color="auto" w:fill="auto"/>
              <w:spacing w:line="360" w:lineRule="auto"/>
              <w:jc w:val="left"/>
              <w:rPr>
                <w:rFonts w:hint="eastAsia"/>
                <w:color w:val="auto"/>
                <w:lang w:val="en-US" w:eastAsia="zh-CN"/>
              </w:rPr>
            </w:pPr>
            <w:r>
              <w:rPr>
                <w:rFonts w:hint="eastAsia"/>
                <w:color w:val="auto"/>
                <w:lang w:val="en-US" w:eastAsia="zh-CN"/>
              </w:rPr>
              <w:t xml:space="preserve">采购内容  </w:t>
            </w:r>
          </w:p>
          <w:p>
            <w:pPr>
              <w:shd w:val="clear" w:color="auto" w:fill="auto"/>
              <w:spacing w:line="360" w:lineRule="auto"/>
              <w:jc w:val="left"/>
              <w:rPr>
                <w:rFonts w:hint="default"/>
                <w:color w:val="auto"/>
                <w:lang w:val="en-US" w:eastAsia="zh-CN"/>
              </w:rPr>
            </w:pPr>
            <w:r>
              <w:rPr>
                <w:rFonts w:hint="eastAsia"/>
                <w:color w:val="auto"/>
                <w:lang w:val="en-US" w:eastAsia="zh-CN"/>
              </w:rPr>
              <w:t>供货期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w w:val="90"/>
                <w:sz w:val="24"/>
                <w:szCs w:val="24"/>
                <w:lang w:val="en-US" w:eastAsia="zh-CN"/>
              </w:rPr>
            </w:pPr>
            <w:r>
              <w:rPr>
                <w:rFonts w:hint="eastAsia" w:ascii="仿宋" w:hAnsi="仿宋" w:eastAsia="仿宋" w:cs="仿宋"/>
                <w:color w:val="auto"/>
                <w:sz w:val="24"/>
                <w:szCs w:val="24"/>
                <w:lang w:val="en-US" w:eastAsia="zh-CN"/>
              </w:rPr>
              <w:t>项目名称：</w:t>
            </w:r>
            <w:r>
              <w:rPr>
                <w:rFonts w:hint="eastAsia" w:ascii="仿宋" w:hAnsi="仿宋" w:eastAsia="仿宋" w:cs="仿宋"/>
                <w:color w:val="auto"/>
                <w:w w:val="90"/>
                <w:sz w:val="24"/>
                <w:szCs w:val="24"/>
                <w:lang w:val="en-US" w:eastAsia="zh-CN"/>
              </w:rPr>
              <w:t xml:space="preserve">克州动物疾病控制与诊断中心动物疫苗采购项目（一包） </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项目编号：KZZB-2024005-1</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采购内容：羊棘球蚴（包虫）病基因工程疫苗采购</w:t>
            </w:r>
            <w:r>
              <w:rPr>
                <w:rFonts w:hint="eastAsia" w:ascii="仿宋" w:hAnsi="仿宋" w:eastAsia="仿宋" w:cs="仿宋"/>
                <w:color w:val="auto"/>
                <w:sz w:val="24"/>
                <w:szCs w:val="24"/>
                <w:lang w:eastAsia="zh-CN"/>
              </w:rPr>
              <w:t>（具体详见谈判文件）</w:t>
            </w:r>
            <w:r>
              <w:rPr>
                <w:rFonts w:hint="eastAsia" w:ascii="仿宋" w:hAnsi="仿宋" w:eastAsia="仿宋" w:cs="仿宋"/>
                <w:color w:val="auto"/>
                <w:sz w:val="24"/>
                <w:szCs w:val="24"/>
                <w:lang w:val="en-US" w:eastAsia="zh-CN"/>
              </w:rPr>
              <w:t> </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供货期：合同签订后，供货方10个日历日内完成供货。</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名  称：克</w:t>
            </w:r>
            <w:r>
              <w:rPr>
                <w:rFonts w:hint="eastAsia" w:ascii="仿宋" w:hAnsi="仿宋" w:eastAsia="仿宋" w:cs="仿宋"/>
                <w:color w:val="auto"/>
                <w:sz w:val="24"/>
                <w:szCs w:val="24"/>
                <w:lang w:val="en-US" w:eastAsia="zh-CN"/>
              </w:rPr>
              <w:t>孜勒苏柯尔克孜自治州动物疾病控制与诊断中心</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联系人：图先生      电  话：15909083856</w:t>
            </w:r>
          </w:p>
        </w:tc>
      </w:tr>
      <w:tr>
        <w:tblPrEx>
          <w:tblCellMar>
            <w:top w:w="0" w:type="dxa"/>
            <w:left w:w="108" w:type="dxa"/>
            <w:bottom w:w="0" w:type="dxa"/>
            <w:right w:w="108" w:type="dxa"/>
          </w:tblCellMar>
        </w:tblPrEx>
        <w:trPr>
          <w:trHeight w:val="87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称：新疆飞耀项目管理有限公司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址：克州阿图什市肖鲁克路10-1号5楼（州财政局斜对面）</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联系人：段女士      电  话：17599108896</w:t>
            </w:r>
          </w:p>
        </w:tc>
      </w:tr>
      <w:tr>
        <w:tblPrEx>
          <w:tblCellMar>
            <w:top w:w="0" w:type="dxa"/>
            <w:left w:w="108" w:type="dxa"/>
            <w:bottom w:w="0" w:type="dxa"/>
            <w:right w:w="108" w:type="dxa"/>
          </w:tblCellMar>
        </w:tblPrEx>
        <w:trPr>
          <w:trHeight w:val="14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最终交货地点 </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CellMar>
            <w:top w:w="0" w:type="dxa"/>
            <w:left w:w="108" w:type="dxa"/>
            <w:bottom w:w="0" w:type="dxa"/>
            <w:right w:w="108" w:type="dxa"/>
          </w:tblCellMar>
        </w:tblPrEx>
        <w:trPr>
          <w:trHeight w:val="34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2.落实政府采购政策需满足的资格要求：供应商为中小企业。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（1）有效的三证合一营业执照副本；</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（3）投标企业须提供投标人（被授权在职人员）近期社保证明；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（4）未被“信用中国”（www.creditchina.gov.cn）、中国政府采购网（www.ccgp.gov.cn）列入失信被执行人、重大税收违法案件当事人名单、政府采购严重违法失信行为记录名单；</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（5）投标人须提供有效的《兽药经营许可证》或《兽药生产许可证》。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4.本项目不接受联合体投标。</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中央动物防疫补助资金</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单一来源谈判(本项目采用网上电子招投标)  </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投标企业信用查询</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投标企业，将被拒绝其参与政府采购活动。</w:t>
            </w:r>
          </w:p>
        </w:tc>
      </w:tr>
      <w:tr>
        <w:tblPrEx>
          <w:tblCellMar>
            <w:top w:w="0" w:type="dxa"/>
            <w:left w:w="108" w:type="dxa"/>
            <w:bottom w:w="0" w:type="dxa"/>
            <w:right w:w="108" w:type="dxa"/>
          </w:tblCellMar>
        </w:tblPrEx>
        <w:trPr>
          <w:trHeight w:val="53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截止时间：2024年01月29日上午10时30分（北京时间）</w:t>
            </w:r>
          </w:p>
        </w:tc>
      </w:tr>
      <w:tr>
        <w:tblPrEx>
          <w:tblCellMar>
            <w:top w:w="0" w:type="dxa"/>
            <w:left w:w="108" w:type="dxa"/>
            <w:bottom w:w="0" w:type="dxa"/>
            <w:right w:w="108" w:type="dxa"/>
          </w:tblCellMar>
        </w:tblPrEx>
        <w:trPr>
          <w:trHeight w:val="30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CellMar>
            <w:top w:w="0" w:type="dxa"/>
            <w:left w:w="108" w:type="dxa"/>
            <w:bottom w:w="0" w:type="dxa"/>
            <w:right w:w="108" w:type="dxa"/>
          </w:tblCellMar>
        </w:tblPrEx>
        <w:trPr>
          <w:trHeight w:val="63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一、投标保证金交纳要求：</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投标保证金应当以支票、汇票、本票、网上银行支付或者金融机构、担保机构出具的保函等非现金形式缴纳。</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投标保证金金额</w:t>
            </w:r>
            <w:r>
              <w:rPr>
                <w:rFonts w:hint="eastAsia" w:ascii="仿宋" w:hAnsi="仿宋" w:eastAsia="仿宋" w:cs="仿宋"/>
                <w:b/>
                <w:bCs/>
                <w:color w:val="auto"/>
                <w:sz w:val="24"/>
                <w:szCs w:val="24"/>
                <w:lang w:val="en-US" w:eastAsia="zh-CN"/>
              </w:rPr>
              <w:t>：60000.00元     大写：陆万元整</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1、投标保证金以电汇、网银形式提交的，应在</w:t>
            </w:r>
            <w:r>
              <w:rPr>
                <w:rFonts w:hint="eastAsia" w:ascii="仿宋" w:hAnsi="仿宋" w:eastAsia="仿宋" w:cs="仿宋"/>
                <w:b/>
                <w:bCs/>
                <w:color w:val="auto"/>
                <w:sz w:val="24"/>
                <w:szCs w:val="24"/>
                <w:lang w:val="en-US" w:eastAsia="zh-CN"/>
              </w:rPr>
              <w:t>投标截止前</w:t>
            </w:r>
            <w:r>
              <w:rPr>
                <w:rFonts w:hint="eastAsia" w:ascii="仿宋" w:hAnsi="仿宋" w:eastAsia="仿宋" w:cs="仿宋"/>
                <w:b w:val="0"/>
                <w:bCs w:val="0"/>
                <w:color w:val="auto"/>
                <w:sz w:val="24"/>
                <w:szCs w:val="24"/>
                <w:lang w:val="en-US" w:eastAsia="zh-CN"/>
              </w:rPr>
              <w:t>以总公司的基本账户一次性汇入指定账户（以到账时间为准），不接受现金及任何个人汇款。汇款凭证作为该项目投标保证金的缴纳依据。</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2、其他特殊情况处理：有效投标保证金成功交纳后，截止开标时间，投标企业无正当理由不参加该项目投标且不递交弃标函，投标保证金不予退还。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户名：克孜勒苏柯尔克孜自治州政务服务和公共资源交易中心</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账号：30456301040005069</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行名：中国农业银行阿图什市天山分理处</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行号：103893045636</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联系人：张女士</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电话：0908-4220265    18199721001</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（备注：必须写清楚xx公司xx项目保证金）</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二、申请退还投标保证金资料（招投标结束中标结果公示后）：</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1、投标企业：待开标完成后，未中标企业3个工作日内政资中心将收取的项目投标保证金按投标企业基本户退回。</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2、中标企业：需提供已签订合同复印件一份，复印件每页需加盖企业鲜章（并携带合同原件，由中心工作人员核对后退还）。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三、其他特殊情况处理：</w:t>
            </w:r>
          </w:p>
          <w:p>
            <w:pPr>
              <w:numPr>
                <w:ilvl w:val="0"/>
                <w:numId w:val="0"/>
              </w:numPr>
              <w:shd w:val="clear" w:color="auto" w:fill="auto"/>
              <w:spacing w:line="360" w:lineRule="auto"/>
              <w:ind w:left="0" w:leftChars="0" w:firstLine="0" w:firstLineChars="0"/>
              <w:jc w:val="left"/>
              <w:rPr>
                <w:rFonts w:hint="eastAsia"/>
                <w:color w:val="auto"/>
                <w:kern w:val="2"/>
                <w:sz w:val="21"/>
                <w:szCs w:val="24"/>
                <w:lang w:val="en-US" w:eastAsia="zh-CN" w:bidi="ar-SA"/>
              </w:rPr>
            </w:pPr>
            <w:r>
              <w:rPr>
                <w:rFonts w:hint="eastAsia" w:ascii="仿宋" w:hAnsi="仿宋" w:eastAsia="仿宋" w:cs="仿宋"/>
                <w:b w:val="0"/>
                <w:bCs w:val="0"/>
                <w:color w:val="auto"/>
                <w:sz w:val="24"/>
                <w:szCs w:val="24"/>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54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  投标方案</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谈判文件领取</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时</w:t>
            </w:r>
            <w:r>
              <w:rPr>
                <w:rFonts w:hint="eastAsia" w:ascii="仿宋" w:hAnsi="仿宋" w:eastAsia="仿宋" w:cs="仿宋"/>
                <w:b w:val="0"/>
                <w:bCs w:val="0"/>
                <w:color w:val="auto"/>
                <w:sz w:val="24"/>
                <w:szCs w:val="24"/>
                <w:u w:val="single"/>
                <w:lang w:val="en-US" w:eastAsia="zh-CN"/>
              </w:rPr>
              <w:t>间：2024年01月16日至2024年01月23日，每天上午10:00至14:00，下午16:00至19：30</w:t>
            </w:r>
            <w:r>
              <w:rPr>
                <w:rFonts w:hint="eastAsia" w:ascii="仿宋" w:hAnsi="仿宋" w:eastAsia="仿宋" w:cs="仿宋"/>
                <w:b w:val="0"/>
                <w:bCs w:val="0"/>
                <w:color w:val="auto"/>
                <w:sz w:val="24"/>
                <w:szCs w:val="24"/>
                <w:lang w:val="en-US" w:eastAsia="zh-CN"/>
              </w:rPr>
              <w:t>（北京时间，节假日除外）</w:t>
            </w:r>
          </w:p>
          <w:p>
            <w:pPr>
              <w:shd w:val="clear" w:color="auto" w:fill="auto"/>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地点：政采云平台线上获取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响应文件形式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电子响应文件包括“电子加密响应文件”和“备份响应文件”，在响应文件编制完成后同时生成。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1、“电子加密响应文件”是指通过“政采云电子交易客户端”完成响应文件编制后生成并加密的数据电文形式的响应文件。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2、“备份响应文件”是指与“电子加密响应文件”同时生成的数据电文形式的电子文件（备份标书，用于投标企业标书解密异常时应急使用），其他方式编制的备份响应文件视为无效备份响应文件。</w:t>
            </w:r>
          </w:p>
        </w:tc>
      </w:tr>
      <w:tr>
        <w:tblPrEx>
          <w:tblCellMar>
            <w:top w:w="0" w:type="dxa"/>
            <w:left w:w="108" w:type="dxa"/>
            <w:bottom w:w="0" w:type="dxa"/>
            <w:right w:w="108" w:type="dxa"/>
          </w:tblCellMar>
        </w:tblPrEx>
        <w:trPr>
          <w:trHeight w:val="731"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响应文件份数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w w:val="90"/>
                <w:sz w:val="24"/>
                <w:szCs w:val="24"/>
                <w:lang w:val="en-US" w:eastAsia="zh-CN"/>
              </w:rPr>
              <w:t>每份电子响应文件应包括资格证明文件和商务及技术文件两部分。</w:t>
            </w:r>
          </w:p>
        </w:tc>
      </w:tr>
      <w:tr>
        <w:tblPrEx>
          <w:tblCellMar>
            <w:top w:w="0" w:type="dxa"/>
            <w:left w:w="108" w:type="dxa"/>
            <w:bottom w:w="0" w:type="dxa"/>
            <w:right w:w="108" w:type="dxa"/>
          </w:tblCellMar>
        </w:tblPrEx>
        <w:trPr>
          <w:trHeight w:val="731"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响应文件的上传和递交</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1.电子加密响应文件：响应文件制作完成并生成加密标书，在投标截止时间前，投标企业需将加密的响应文件上传至政采云平台，在开标时间开始后，待采购组织机构发出解密通知后30分钟内解密响应文件。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a.投标企业未能在投标截止时间前成功上传电子加密响应文件的投标无效。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b.投标企业成功上传电子加密响应文件后，可自行打印响应文件接收回执。</w:t>
            </w:r>
          </w:p>
        </w:tc>
      </w:tr>
      <w:tr>
        <w:tblPrEx>
          <w:tblCellMar>
            <w:top w:w="0" w:type="dxa"/>
            <w:left w:w="108" w:type="dxa"/>
            <w:bottom w:w="0" w:type="dxa"/>
            <w:right w:w="108" w:type="dxa"/>
          </w:tblCellMar>
        </w:tblPrEx>
        <w:trPr>
          <w:trHeight w:val="731"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投标企业在投标截止时间前将加密的响应文件上传至政府采购云平台，还可以在投标截止时间前以电子邮件方式提供备份响应文件1份（接收人邮箱：923150488@qq.com，接收人：段女士，电话：17599108896），“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响应文件提供要求：投标企业可以将备份响应文件打包压缩并加密，压缩包命名为“XX单位备份响应文件”，加密密码由投标企业自行保管；送达时间以采购代理机构实际接收时间为准。“备份响应文件”逾期或未按要求提供的视为未提供，建议投标企业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响应文件”已按时解密的，“备份响应文件”自动失效。投标截止时间前，投标投标企业仅提供了“备份响应文件”而未将“电子加密响应文件”成功上传至“政府采购云平台”的，投标无效。</w:t>
            </w:r>
          </w:p>
        </w:tc>
      </w:tr>
      <w:tr>
        <w:tblPrEx>
          <w:tblCellMar>
            <w:top w:w="0" w:type="dxa"/>
            <w:left w:w="108" w:type="dxa"/>
            <w:bottom w:w="0" w:type="dxa"/>
            <w:right w:w="108" w:type="dxa"/>
          </w:tblCellMar>
        </w:tblPrEx>
        <w:trPr>
          <w:trHeight w:val="82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评标委员会的组建</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评标委员会成员由招标人的代表1名和随机抽取的有关方面的专家</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eastAsia="zh-CN"/>
              </w:rPr>
              <w:t>名组成，成员共为</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val="zh-CN" w:eastAsia="zh-CN"/>
              </w:rPr>
              <w:t>人，评标委员会的成员在评标过程中必须严格遵守政府采购的有关规定。</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756"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递交响应文件地点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投标截止时间：2024年01月29日上午10时30分（北京时间）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312" w:type="dxa"/>
            <w:gridSpan w:val="2"/>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开标时间：2024年01月29 日  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1.本项目采用全流程不见面电子开评标，投标投标企业需要使用CA加密设备，投标企业可通过新疆数字证书认证中心官网（https://www.xjca.com.cn/）或下载“新疆政务通”APP自行进行申领。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2.本项目实行网上投标，采用加密电子响应文件(投标企业须使用CA加密设备通过政采云电子投标客户端制作响应文件)。若投标企业参与投标，自行承担投标一切费用。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3.各投标企业在开标前应确保成为新疆维吾尔自治区政府采购网正式注册入库投标企业，并完成CA数字证书申领。因未注册入库、未办理CA数字证书等原因造成无法投标或投标失败等后果由投标企业自行承担。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企业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5.投标企业在开标时须使用制作加密电子响应文件所使用的CA锁及电脑，电脑须提前配置好浏览器（建议使用谷歌浏览器），以便开标时解锁。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企业”版面获取操作指南，同时对自助查询无法解决的问题可通过钉钉群及政采云在线客服获取服务支持。投标企业钉钉群号：投标企业钉钉群号：政采云新疆投标企业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7.为了保证开评标顺利进行，政采云线上开标功能完全实现，投标企业开标所使用的电脑设备须具有视频及语音功能。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投标企业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（3）谈判文件的获取：使用账号登录或者短信验证码或者使用CA登录政采云平台；进入“项目采购”应用，在获取谈判文件 菜单中选择项目，获取谈判文件 。申请获取谈判文件 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投标企业公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（4）响应文件的制作：在“政采云电子交易客户端”中完成“填写基本信息”、“导入响应文件”、“标书关联”、“标书检查”、“电子签名”、“生成电子标书”等操作。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响应文件的传输递交：投标企业在投标截止时间前将加密的响应文件上传至政府采购云平台，还可以在投标截止时间前以电子邮件方式提供备份响应文件1份（接收人邮箱：923150488@qq.com，接收人：段女士，电话：17599108896），备份响应文件可以打包压缩并加密，压缩包命名为“XX单位备份响应文件”，加密密码由投标企业自行保管（“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（6）响应文件的解密：投标企业按照平台提示和谈判文件 的规定在半小时内完成在线解密。通过“政府采购云平台”上传递交的响应文件无法按时解密，投标投标企业提供了备份响应文件的，以备份响应文件为依据，否则视为响应文件撤回。通过“政府采购云平台”上传递交的响应文件已按时解密的，备份响应文件自动失效。投标企业仅提供备份响应文件，没有在电子交易平台传输递交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（7）具体操作指南：详见政采云平台“服务中心-帮助文档-项目采购-操作流程-电子招投标-政府采购项目电子交易管理操作指南-投标企业”。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（8）投标企业在进行上述操作时，如遇技术问题可登录政采云（https://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），点击右侧咨询小采，获取采小蜜智能服务管家帮助，或拨打政采云服务热线95763获取热线服务帮助。</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温馨提醒：投标企业应提前上传，以便在上传时遇到技术问题，有充足的时间请教平台的技术人员。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2、投标企业认为谈判文件 使自己的权益受到损害的，可以自收到谈判文件 之日（谈判文件 公告期限届满之前收到谈判文件 的，以完成获取谈判文件 申请后下载谈判文件 的时间为准）或者谈判文件 公告期限届满之日（公告发布后的第6个工作日）起7个工作日内且应当在采购响应截止时间之前，以书面形式一次性向采购人和采购代理机构提出同一环节的质疑。否则，被质疑人可不予接受。质疑投标企业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或逾期提出的不予受理、答复。</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中标候选人公示媒介</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CellMar>
            <w:top w:w="0" w:type="dxa"/>
            <w:left w:w="108" w:type="dxa"/>
            <w:bottom w:w="0" w:type="dxa"/>
            <w:right w:w="108" w:type="dxa"/>
          </w:tblCellMar>
        </w:tblPrEx>
        <w:trPr>
          <w:trHeight w:val="65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24"/>
              <w:tblpPr w:leftFromText="180" w:rightFromText="180" w:vertAnchor="text" w:horzAnchor="page" w:tblpXSpec="center" w:tblpY="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评标办法：(单一来源谈判)比照最低评标价法</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本次招标预算价：3500000.00元，投标报价超过招标预算价作废标处理。</w:t>
            </w:r>
          </w:p>
        </w:tc>
      </w:tr>
      <w:tr>
        <w:tblPrEx>
          <w:tblCellMar>
            <w:top w:w="0" w:type="dxa"/>
            <w:left w:w="108" w:type="dxa"/>
            <w:bottom w:w="0" w:type="dxa"/>
            <w:right w:w="108" w:type="dxa"/>
          </w:tblCellMar>
        </w:tblPrEx>
        <w:trPr>
          <w:trHeight w:val="90" w:hRule="atLeast"/>
          <w:jc w:val="center"/>
        </w:trPr>
        <w:tc>
          <w:tcPr>
            <w:tcW w:w="51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11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履约保证金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应在领取《</w:t>
            </w:r>
            <w:r>
              <w:rPr>
                <w:rFonts w:hint="eastAsia" w:ascii="仿宋" w:hAnsi="仿宋" w:eastAsia="仿宋" w:cs="仿宋"/>
                <w:color w:val="auto"/>
                <w:kern w:val="0"/>
                <w:sz w:val="24"/>
                <w:szCs w:val="24"/>
                <w:lang w:val="zh-CN"/>
              </w:rPr>
              <w:t>成交通知书</w:t>
            </w:r>
            <w:r>
              <w:rPr>
                <w:rFonts w:hint="eastAsia" w:ascii="仿宋" w:hAnsi="仿宋" w:eastAsia="仿宋" w:cs="仿宋"/>
                <w:color w:val="auto"/>
                <w:kern w:val="0"/>
                <w:sz w:val="24"/>
                <w:szCs w:val="24"/>
              </w:rPr>
              <w:t>》后的十个日历日内，办理履约保证金，</w:t>
            </w:r>
            <w:r>
              <w:rPr>
                <w:rFonts w:hint="eastAsia" w:ascii="仿宋" w:hAnsi="仿宋" w:eastAsia="仿宋" w:cs="仿宋"/>
                <w:b/>
                <w:color w:val="auto"/>
                <w:kern w:val="0"/>
                <w:sz w:val="24"/>
                <w:szCs w:val="24"/>
                <w:lang w:val="zh-CN"/>
              </w:rPr>
              <w:t>合同总金额的</w:t>
            </w:r>
            <w:r>
              <w:rPr>
                <w:rFonts w:hint="eastAsia" w:ascii="仿宋" w:hAnsi="仿宋" w:eastAsia="仿宋" w:cs="仿宋"/>
                <w:b/>
                <w:color w:val="auto"/>
                <w:kern w:val="0"/>
                <w:sz w:val="24"/>
                <w:szCs w:val="24"/>
                <w:lang w:val="en-US" w:eastAsia="zh-CN"/>
              </w:rPr>
              <w:t>/</w:t>
            </w:r>
            <w:r>
              <w:rPr>
                <w:rFonts w:hint="eastAsia" w:ascii="仿宋" w:hAnsi="仿宋" w:eastAsia="仿宋" w:cs="仿宋"/>
                <w:b/>
                <w:color w:val="auto"/>
                <w:kern w:val="0"/>
                <w:sz w:val="24"/>
                <w:szCs w:val="24"/>
                <w:lang w:val="zh-CN"/>
              </w:rPr>
              <w:t>%，</w:t>
            </w:r>
            <w:r>
              <w:rPr>
                <w:rFonts w:hint="eastAsia" w:ascii="仿宋" w:hAnsi="仿宋" w:eastAsia="仿宋" w:cs="仿宋"/>
                <w:color w:val="auto"/>
                <w:kern w:val="0"/>
                <w:sz w:val="24"/>
                <w:szCs w:val="24"/>
              </w:rPr>
              <w:t>否则招标人可取消</w:t>
            </w: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zh-CN"/>
              </w:rPr>
              <w:t>成交</w:t>
            </w:r>
            <w:r>
              <w:rPr>
                <w:rFonts w:hint="eastAsia" w:ascii="仿宋" w:hAnsi="仿宋" w:eastAsia="仿宋" w:cs="仿宋"/>
                <w:color w:val="auto"/>
                <w:kern w:val="0"/>
                <w:sz w:val="24"/>
                <w:szCs w:val="24"/>
              </w:rPr>
              <w:t>资格，并没收其投标保证金</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w:t>
            </w:r>
            <w:r>
              <w:rPr>
                <w:rFonts w:hint="eastAsia" w:ascii="仿宋" w:hAnsi="仿宋" w:eastAsia="仿宋" w:cs="仿宋"/>
                <w:color w:val="auto"/>
                <w:kern w:val="0"/>
                <w:sz w:val="24"/>
                <w:szCs w:val="24"/>
                <w:lang w:val="en-US" w:eastAsia="zh-CN"/>
              </w:rPr>
              <w:t>小微企业政策文件</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eastAsia="zh-CN"/>
              </w:rPr>
              <w:t>（1）根据财政部、工业和信息化部关于印发《政府采购促进中小企业发展管理办法》的通知（财库[2020]46号）和（财库[2022]19号），投标企业所投产品的制造商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文件格式提供《中小企业声明函》。</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3）根据财政部、民政部、中国残疾人联合会《关于促进残疾人就业政府采购政策的通知》（财库[2017]141号），在政府采购活动中，残疾人福利性单位视同小型、微型企业。投标企业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（1）专门面向中小企业，资金为全部预留，必须提供上述《中小企业声明函》，不再执行价格评审优惠扶持政策。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（2）本项目货物所属行业：</w:t>
            </w:r>
            <w:r>
              <w:rPr>
                <w:rFonts w:hint="eastAsia" w:ascii="仿宋" w:hAnsi="仿宋" w:eastAsia="仿宋" w:cs="仿宋"/>
                <w:color w:val="auto"/>
                <w:kern w:val="0"/>
                <w:sz w:val="24"/>
                <w:szCs w:val="24"/>
                <w:lang w:val="en-US" w:eastAsia="zh-CN"/>
              </w:rPr>
              <w:t>制造业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着重提醒：投标企业在提供《中小企业声明函》时，必须将</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文件采购标的物全部列入《中小企业声明函》，否则专门面向中小企业的项目做废标处理。</w:t>
            </w:r>
          </w:p>
        </w:tc>
      </w:tr>
      <w:tr>
        <w:tblPrEx>
          <w:tblCellMar>
            <w:top w:w="0" w:type="dxa"/>
            <w:left w:w="108" w:type="dxa"/>
            <w:bottom w:w="0" w:type="dxa"/>
            <w:right w:w="108" w:type="dxa"/>
          </w:tblCellMar>
        </w:tblPrEx>
        <w:trPr>
          <w:trHeight w:val="84" w:hRule="atLeast"/>
          <w:jc w:val="center"/>
        </w:trPr>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采购人若发现成交候选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pPr>
        <w:spacing w:line="360" w:lineRule="auto"/>
        <w:jc w:val="both"/>
        <w:outlineLvl w:val="0"/>
        <w:rPr>
          <w:rFonts w:hint="eastAsia" w:ascii="仿宋" w:hAnsi="仿宋" w:eastAsia="仿宋" w:cs="仿宋"/>
          <w:b/>
          <w:bCs/>
          <w:color w:val="auto"/>
          <w:sz w:val="32"/>
        </w:rPr>
      </w:pPr>
      <w:bookmarkStart w:id="3" w:name="_Toc6668"/>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pStyle w:val="2"/>
        <w:rPr>
          <w:rFonts w:hint="eastAsia" w:ascii="仿宋" w:hAnsi="仿宋" w:eastAsia="仿宋" w:cs="仿宋"/>
          <w:b/>
          <w:bCs/>
          <w:color w:val="auto"/>
          <w:sz w:val="32"/>
        </w:rPr>
      </w:pPr>
    </w:p>
    <w:p>
      <w:pPr>
        <w:pStyle w:val="3"/>
        <w:rPr>
          <w:rFonts w:hint="eastAsia" w:ascii="仿宋" w:hAnsi="仿宋" w:eastAsia="仿宋" w:cs="仿宋"/>
          <w:b/>
          <w:bCs/>
          <w:color w:val="auto"/>
          <w:sz w:val="32"/>
        </w:rPr>
      </w:pPr>
    </w:p>
    <w:p>
      <w:pPr>
        <w:rPr>
          <w:rFonts w:hint="eastAsia" w:ascii="仿宋" w:hAnsi="仿宋" w:eastAsia="仿宋" w:cs="仿宋"/>
          <w:b/>
          <w:bCs/>
          <w:color w:val="auto"/>
          <w:sz w:val="32"/>
        </w:rPr>
      </w:pPr>
    </w:p>
    <w:p>
      <w:pPr>
        <w:pStyle w:val="2"/>
        <w:rPr>
          <w:rFonts w:hint="eastAsia"/>
        </w:rPr>
      </w:pPr>
    </w:p>
    <w:p>
      <w:pPr>
        <w:spacing w:line="360" w:lineRule="auto"/>
        <w:jc w:val="center"/>
        <w:outlineLvl w:val="0"/>
        <w:rPr>
          <w:rFonts w:hint="eastAsia" w:ascii="仿宋" w:hAnsi="仿宋" w:eastAsia="仿宋" w:cs="仿宋"/>
          <w:b/>
          <w:bCs/>
          <w:color w:val="auto"/>
          <w:sz w:val="32"/>
        </w:rPr>
      </w:pPr>
      <w:r>
        <w:rPr>
          <w:rFonts w:hint="eastAsia" w:ascii="仿宋" w:hAnsi="仿宋" w:eastAsia="仿宋" w:cs="仿宋"/>
          <w:b/>
          <w:bCs/>
          <w:color w:val="auto"/>
          <w:sz w:val="32"/>
        </w:rPr>
        <w:t>第二章  单一来源谈判须知</w:t>
      </w:r>
      <w:bookmarkEnd w:id="3"/>
    </w:p>
    <w:p>
      <w:pPr>
        <w:spacing w:line="360" w:lineRule="auto"/>
        <w:ind w:firstLine="420"/>
        <w:rPr>
          <w:rFonts w:hint="eastAsia" w:ascii="仿宋" w:hAnsi="仿宋" w:eastAsia="仿宋" w:cs="仿宋"/>
          <w:b/>
          <w:color w:val="auto"/>
          <w:sz w:val="24"/>
          <w:szCs w:val="24"/>
        </w:rPr>
      </w:pPr>
      <w:r>
        <w:rPr>
          <w:rFonts w:hint="eastAsia" w:ascii="仿宋" w:hAnsi="仿宋" w:eastAsia="仿宋" w:cs="仿宋"/>
          <w:b/>
          <w:color w:val="auto"/>
          <w:sz w:val="24"/>
          <w:szCs w:val="24"/>
        </w:rPr>
        <w:t>一、时间安排</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在单一来源谈判文件规定的递交申报文件截止后，按照递交申报文件顺序，</w:t>
      </w:r>
      <w:r>
        <w:rPr>
          <w:rFonts w:hint="eastAsia" w:ascii="仿宋" w:hAnsi="仿宋" w:eastAsia="仿宋" w:cs="仿宋"/>
          <w:color w:val="auto"/>
          <w:sz w:val="24"/>
          <w:szCs w:val="24"/>
          <w:lang w:val="en-US" w:eastAsia="zh-CN"/>
        </w:rPr>
        <w:t>孜勒苏柯尔克孜自治州动物疾病控制与诊断中心</w:t>
      </w:r>
      <w:r>
        <w:rPr>
          <w:rFonts w:hint="eastAsia" w:ascii="仿宋" w:hAnsi="仿宋" w:eastAsia="仿宋" w:cs="仿宋"/>
          <w:color w:val="auto"/>
          <w:sz w:val="24"/>
          <w:szCs w:val="24"/>
        </w:rPr>
        <w:t>组织谈判小组与申报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就采购项目的技术性能、配置、价格和售后服务等进行商谈。</w:t>
      </w:r>
    </w:p>
    <w:p>
      <w:pPr>
        <w:spacing w:line="360" w:lineRule="auto"/>
        <w:ind w:firstLine="42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二、申报文件组成</w:t>
      </w:r>
    </w:p>
    <w:p>
      <w:pPr>
        <w:spacing w:line="360" w:lineRule="auto"/>
        <w:ind w:left="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1、谈判申请及声明格</w:t>
      </w:r>
      <w:r>
        <w:rPr>
          <w:rFonts w:hint="eastAsia" w:ascii="仿宋" w:hAnsi="仿宋" w:eastAsia="仿宋" w:cs="仿宋"/>
          <w:color w:val="000000" w:themeColor="text1"/>
          <w:sz w:val="24"/>
          <w:szCs w:val="24"/>
          <w:lang w:eastAsia="zh-CN"/>
          <w14:textFill>
            <w14:solidFill>
              <w14:schemeClr w14:val="tx1"/>
            </w14:solidFill>
          </w14:textFill>
        </w:rPr>
        <w:t>式</w:t>
      </w:r>
      <w:r>
        <w:rPr>
          <w:rFonts w:hint="eastAsia" w:ascii="仿宋" w:hAnsi="仿宋" w:eastAsia="仿宋" w:cs="仿宋"/>
          <w:color w:val="000000" w:themeColor="text1"/>
          <w:sz w:val="24"/>
          <w:szCs w:val="24"/>
          <w14:textFill>
            <w14:solidFill>
              <w14:schemeClr w14:val="tx1"/>
            </w14:solidFill>
          </w14:textFill>
        </w:rPr>
        <w:t>（附件1）</w:t>
      </w:r>
    </w:p>
    <w:p>
      <w:pPr>
        <w:spacing w:line="360" w:lineRule="auto"/>
        <w:ind w:left="42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、法定代表人授权书格式（附件2）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spacing w:line="360" w:lineRule="auto"/>
        <w:ind w:left="42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公司相关资质证明材料</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附件</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ind w:left="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、开标一览表（投标文件格式一）（附件</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left="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、投标分项报价表（投标文件格式）（附件</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left="42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6、商 务 条 款 偏 离 表</w:t>
      </w:r>
      <w:r>
        <w:rPr>
          <w:rFonts w:hint="eastAsia" w:ascii="仿宋" w:hAnsi="仿宋" w:eastAsia="仿宋" w:cs="仿宋"/>
          <w:color w:val="000000" w:themeColor="text1"/>
          <w:sz w:val="24"/>
          <w:szCs w:val="24"/>
          <w14:textFill>
            <w14:solidFill>
              <w14:schemeClr w14:val="tx1"/>
            </w14:solidFill>
          </w14:textFill>
        </w:rPr>
        <w:t>（附件</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、技术偏差表格式（附件</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、诚 信 声 明（附件</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9、投标单位（投标企业）反商业贿赂承诺书</w:t>
      </w:r>
      <w:r>
        <w:rPr>
          <w:rFonts w:hint="eastAsia" w:ascii="仿宋" w:hAnsi="仿宋" w:eastAsia="仿宋" w:cs="仿宋"/>
          <w:color w:val="000000" w:themeColor="text1"/>
          <w:sz w:val="24"/>
          <w:szCs w:val="24"/>
          <w14:textFill>
            <w14:solidFill>
              <w14:schemeClr w14:val="tx1"/>
            </w14:solidFill>
          </w14:textFill>
        </w:rPr>
        <w:t>（附件</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10、售后服务方案</w:t>
      </w:r>
    </w:p>
    <w:p>
      <w:pPr>
        <w:spacing w:line="360" w:lineRule="auto"/>
        <w:ind w:firstLine="420"/>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11、其他资料及公司相关资质证明材料（目录没有的投标企业认为有必要提交的材料）</w:t>
      </w:r>
    </w:p>
    <w:p>
      <w:pPr>
        <w:pStyle w:val="19"/>
        <w:ind w:firstLine="420" w:firstLineChars="0"/>
        <w:rPr>
          <w:rFonts w:hint="eastAsia" w:ascii="仿宋" w:hAnsi="仿宋" w:eastAsia="仿宋" w:cs="仿宋"/>
          <w:b w:val="0"/>
          <w:bCs w:val="0"/>
          <w:sz w:val="24"/>
          <w:szCs w:val="24"/>
        </w:rPr>
      </w:pPr>
      <w:r>
        <w:rPr>
          <w:rFonts w:hint="eastAsia" w:ascii="仿宋" w:hAnsi="仿宋" w:eastAsia="仿宋" w:cs="仿宋"/>
          <w:sz w:val="24"/>
          <w:szCs w:val="24"/>
        </w:rPr>
        <w:t>备注：响应</w:t>
      </w:r>
      <w:r>
        <w:rPr>
          <w:rFonts w:hint="eastAsia" w:ascii="仿宋" w:hAnsi="仿宋" w:eastAsia="仿宋" w:cs="仿宋"/>
          <w:sz w:val="24"/>
          <w:szCs w:val="24"/>
          <w:lang w:eastAsia="zh-CN"/>
        </w:rPr>
        <w:t>投标企业</w:t>
      </w:r>
      <w:r>
        <w:rPr>
          <w:rFonts w:hint="eastAsia" w:ascii="仿宋" w:hAnsi="仿宋" w:eastAsia="仿宋" w:cs="仿宋"/>
          <w:sz w:val="24"/>
          <w:szCs w:val="24"/>
        </w:rPr>
        <w:t>的报价一览表：本次报价为人民币报价，</w:t>
      </w:r>
      <w:r>
        <w:rPr>
          <w:rFonts w:hint="eastAsia" w:ascii="仿宋" w:hAnsi="仿宋" w:eastAsia="仿宋" w:cs="仿宋"/>
          <w:b w:val="0"/>
          <w:bCs w:val="0"/>
          <w:sz w:val="24"/>
          <w:szCs w:val="24"/>
        </w:rPr>
        <w:t>投标报价应包括：服务本身价格、安装费、包装费、运输费用、二次搬运费、损耗、技术指导、税金费用、技术服务费、技术考察费、培训费、验收合格前发生的一切费用、应当提供的伴随服务/售后服务费用。</w:t>
      </w:r>
    </w:p>
    <w:p>
      <w:pPr>
        <w:pStyle w:val="19"/>
        <w:ind w:firstLine="420" w:firstLineChars="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注：格式自拟</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三、申报文件递交</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于单一来源谈判</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规定的时间之前递交至</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政府采购云平台（www.zcygov.cn）</w:t>
      </w:r>
      <w:r>
        <w:rPr>
          <w:rFonts w:hint="eastAsia" w:ascii="仿宋" w:hAnsi="仿宋" w:eastAsia="仿宋" w:cs="仿宋"/>
          <w:color w:val="auto"/>
          <w:sz w:val="24"/>
          <w:szCs w:val="24"/>
          <w:lang w:val="en-US" w:eastAsia="zh-CN"/>
        </w:rPr>
        <w:t>上开启</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1、谈判小组：谈判小组依法由相关专家和采购人代表组成。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2、谈判程序：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（1）谈判小组审阅申报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所递交的申报文件；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（2）谈判小组所有成员集中与单一</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（3）谈判文件如有实质性变动的，谈判小组将以书面形式通知参加谈判的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（4）建议或最终确定成交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五、合同授予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1、采购方向成交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发出成交通知书，成交通知书将是合同的一个组成部分。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应按成交通知书规定的时间、地点签订采购合同。</w:t>
      </w:r>
    </w:p>
    <w:p>
      <w:pPr>
        <w:pStyle w:val="5"/>
        <w:tabs>
          <w:tab w:val="left" w:pos="540"/>
        </w:tabs>
        <w:jc w:val="center"/>
        <w:rPr>
          <w:rFonts w:hint="eastAsia" w:ascii="仿宋" w:hAnsi="仿宋" w:eastAsia="仿宋" w:cs="仿宋"/>
          <w:color w:val="auto"/>
          <w:sz w:val="32"/>
          <w:szCs w:val="32"/>
        </w:rPr>
      </w:pPr>
      <w:bookmarkStart w:id="4" w:name="_Toc497129141"/>
      <w:bookmarkStart w:id="5" w:name="_Toc452657556"/>
      <w:r>
        <w:rPr>
          <w:rFonts w:hint="eastAsia" w:ascii="仿宋" w:hAnsi="仿宋" w:eastAsia="仿宋" w:cs="仿宋"/>
          <w:color w:val="auto"/>
          <w:sz w:val="32"/>
          <w:szCs w:val="32"/>
        </w:rPr>
        <w:t>开标程序及最终报价</w:t>
      </w:r>
      <w:bookmarkEnd w:id="4"/>
      <w:bookmarkEnd w:id="5"/>
    </w:p>
    <w:p>
      <w:pPr>
        <w:snapToGrid w:val="0"/>
        <w:spacing w:line="360" w:lineRule="auto"/>
        <w:ind w:firstLine="470"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评标原则</w:t>
      </w:r>
    </w:p>
    <w:p>
      <w:pPr>
        <w:adjustRightInd w:val="0"/>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将根据这一原则，公正、平等地对待各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adjustRightInd w:val="0"/>
        <w:snapToGrid w:val="0"/>
        <w:spacing w:line="360" w:lineRule="auto"/>
        <w:ind w:firstLine="352" w:firstLineChars="147"/>
        <w:rPr>
          <w:rFonts w:hint="eastAsia" w:ascii="仿宋" w:hAnsi="仿宋" w:eastAsia="仿宋" w:cs="仿宋"/>
          <w:b/>
          <w:color w:val="auto"/>
          <w:sz w:val="24"/>
          <w:szCs w:val="24"/>
          <w:lang w:eastAsia="zh-CN"/>
        </w:rPr>
      </w:pPr>
      <w:r>
        <w:rPr>
          <w:rFonts w:hint="eastAsia" w:ascii="仿宋" w:hAnsi="仿宋" w:eastAsia="仿宋" w:cs="仿宋"/>
          <w:b/>
          <w:bCs/>
          <w:color w:val="auto"/>
          <w:sz w:val="24"/>
          <w:szCs w:val="24"/>
          <w:lang w:eastAsia="zh-CN"/>
        </w:rPr>
        <w:t>二、</w:t>
      </w:r>
      <w:r>
        <w:rPr>
          <w:rFonts w:hint="eastAsia" w:ascii="仿宋" w:hAnsi="仿宋" w:eastAsia="仿宋" w:cs="仿宋"/>
          <w:b/>
          <w:color w:val="auto"/>
          <w:sz w:val="24"/>
          <w:szCs w:val="24"/>
          <w:lang w:eastAsia="zh-CN"/>
        </w:rPr>
        <w:t>谈判小组</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人，评标委员会的成员在评标过程中必须严格遵守政府采购的有关规定。专家从当地专家库中随机抽取产生，负责对响应文件进行审查、质询、评审、推选中标候选人。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负责，并独立履行下列职责：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（b）要求</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对响应文件有关事项做出澄清或答复；</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（c）推荐中标候选人名单，或者直接确定中标</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成员的义务</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文件规定的评标方法和标准进行评标，对评审意见承担个人责任；</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（c）对评标过程和结果，以及</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的商业秘密保密；</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（d）参与评标报告的起草；</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提出的质疑。</w:t>
      </w:r>
    </w:p>
    <w:p>
      <w:pPr>
        <w:snapToGrid w:val="0"/>
        <w:spacing w:line="360" w:lineRule="auto"/>
        <w:ind w:firstLine="352" w:firstLineChars="147"/>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开标程序（先资格、商务技术后报价）</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，投标企业</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923150488@qq.com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文件进行审查（具体见资格性检查）， 审查结束公布投标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的报价，公布开标一览表有关内容，</w:t>
      </w:r>
      <w:r>
        <w:rPr>
          <w:rFonts w:hint="eastAsia" w:ascii="仿宋" w:hAnsi="仿宋" w:eastAsia="仿宋" w:cs="仿宋"/>
          <w:color w:val="auto"/>
          <w:sz w:val="24"/>
          <w:szCs w:val="24"/>
          <w:highlight w:val="none"/>
          <w:lang w:bidi="zh-CN"/>
        </w:rPr>
        <w:t>并【开启签字时段】，投标企业对开标纪录进行在线签字确认（不予确认的应说明理由，否则视为无异议）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，其报价不再进入评审。</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投标企业</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所提交的资格证明材料不合法或与事实不符，采购人可取消其中标资格并追究投标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的法律责任。</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提交的资格证明材料无法证明其符合</w:t>
      </w:r>
      <w:r>
        <w:rPr>
          <w:rFonts w:hint="eastAsia" w:ascii="仿宋" w:hAnsi="仿宋" w:eastAsia="仿宋" w:cs="仿宋"/>
          <w:b w:val="0"/>
          <w:bCs/>
          <w:color w:val="auto"/>
          <w:sz w:val="24"/>
          <w:szCs w:val="24"/>
          <w:highlight w:val="none"/>
          <w:lang w:eastAsia="zh-CN"/>
        </w:rPr>
        <w:t xml:space="preserve">谈判文件 </w:t>
      </w:r>
      <w:r>
        <w:rPr>
          <w:rFonts w:hint="eastAsia" w:ascii="仿宋" w:hAnsi="仿宋" w:eastAsia="仿宋" w:cs="仿宋"/>
          <w:b w:val="0"/>
          <w:bCs/>
          <w:color w:val="auto"/>
          <w:sz w:val="24"/>
          <w:szCs w:val="24"/>
          <w:highlight w:val="none"/>
        </w:rPr>
        <w:t>规定的“投标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kern w:val="0"/>
          <w:sz w:val="24"/>
          <w:szCs w:val="24"/>
          <w:highlight w:val="none"/>
        </w:rPr>
        <w:t>须知前附表》。</w:t>
      </w:r>
    </w:p>
    <w:p>
      <w:pPr>
        <w:snapToGrid w:val="0"/>
        <w:spacing w:line="360" w:lineRule="auto"/>
        <w:ind w:firstLine="352" w:firstLineChars="147"/>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提交的响应性文件中的报价，该报价只允许有一个报价，任何有选择性的报价将不予接受。</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的技术资料、价格和其他信息。</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lang w:val="en-US" w:eastAsia="zh-CN"/>
        </w:rPr>
        <w:t>政采云不见面开评标系统</w:t>
      </w:r>
      <w:r>
        <w:rPr>
          <w:rFonts w:hint="eastAsia" w:ascii="仿宋" w:hAnsi="仿宋" w:eastAsia="仿宋" w:cs="仿宋"/>
          <w:color w:val="auto"/>
          <w:sz w:val="24"/>
          <w:szCs w:val="24"/>
        </w:rPr>
        <w:t>填写提交。所有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的二次报价收集齐全后，二次报价不进行公开唱标</w:t>
      </w:r>
      <w:r>
        <w:rPr>
          <w:rFonts w:hint="eastAsia" w:ascii="仿宋" w:hAnsi="仿宋" w:eastAsia="仿宋" w:cs="仿宋"/>
          <w:color w:val="auto"/>
          <w:sz w:val="24"/>
          <w:szCs w:val="24"/>
          <w:lang w:eastAsia="zh-CN"/>
        </w:rPr>
        <w:t>，依次类推。</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不接受修正后的价格，则其报价将被拒绝。</w:t>
      </w:r>
    </w:p>
    <w:p>
      <w:pPr>
        <w:pStyle w:val="6"/>
        <w:rPr>
          <w:rFonts w:hint="eastAsia" w:ascii="仿宋" w:hAnsi="仿宋" w:eastAsia="仿宋" w:cs="仿宋"/>
          <w:b/>
          <w:bCs/>
          <w:color w:val="auto"/>
          <w:sz w:val="24"/>
          <w:szCs w:val="24"/>
        </w:rPr>
      </w:pPr>
    </w:p>
    <w:p>
      <w:pPr>
        <w:pStyle w:val="6"/>
        <w:rPr>
          <w:rFonts w:hint="eastAsia" w:ascii="仿宋" w:hAnsi="仿宋" w:eastAsia="仿宋" w:cs="仿宋"/>
          <w:color w:val="auto"/>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技术规格、数量及质量要求</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羊棘球蚴（包虫）病基因工程疫苗-参数</w:t>
      </w:r>
    </w:p>
    <w:tbl>
      <w:tblPr>
        <w:tblStyle w:val="24"/>
        <w:tblpPr w:leftFromText="180" w:rightFromText="180" w:vertAnchor="text" w:horzAnchor="page" w:tblpX="1197" w:tblpY="70"/>
        <w:tblOverlap w:val="never"/>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2"/>
        <w:gridCol w:w="1118"/>
        <w:gridCol w:w="1568"/>
        <w:gridCol w:w="4173"/>
        <w:gridCol w:w="598"/>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疫苗品名</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作用与用途</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主要技术参数及要求</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羊棘球蚴（包虫）病基因工程疫苗</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用于预防绵羊、山羊包虫病</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规格：100头份/瓶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贮藏与有效期：2-8℃避光保存，有效期12个月；</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产品的安全检验指标应符合中国兽医药品监察所审核认可的“兽用生物制品生产与检验报告”要求。</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交货时有效期在</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个月以上。每头份含羊棘球蚴EG95抗原50ug，免疫佐剂QuilA1mg。</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175</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default" w:ascii="仿宋" w:hAnsi="仿宋" w:eastAsia="仿宋" w:cs="仿宋"/>
                <w:color w:val="auto"/>
                <w:sz w:val="24"/>
                <w:szCs w:val="24"/>
                <w:lang w:val="en-US"/>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万头份</w:t>
            </w:r>
          </w:p>
        </w:tc>
      </w:tr>
    </w:tbl>
    <w:p>
      <w:pPr>
        <w:snapToGrid w:val="0"/>
        <w:jc w:val="left"/>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sectPr>
          <w:footerReference r:id="rId4" w:type="default"/>
          <w:pgSz w:w="11906" w:h="16838"/>
          <w:pgMar w:top="1440" w:right="1417" w:bottom="1440" w:left="1417" w:header="851" w:footer="1247" w:gutter="0"/>
          <w:pgNumType w:fmt="decimal" w:start="1"/>
          <w:cols w:space="720" w:num="1"/>
          <w:rtlGutter w:val="0"/>
          <w:docGrid w:type="linesAndChars" w:linePitch="312" w:charSpace="0"/>
        </w:sectPr>
      </w:pPr>
      <w:r>
        <w:rPr>
          <w:rFonts w:hint="eastAsia" w:ascii="仿宋" w:hAnsi="仿宋" w:eastAsia="仿宋" w:cs="仿宋"/>
          <w:color w:val="auto"/>
          <w:sz w:val="24"/>
          <w:szCs w:val="24"/>
        </w:rPr>
        <w:t>4、招标之前或之后，如遇农业农村部政策调整，有关疫苗毒株变更，相应产品直接变更。</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32"/>
        </w:rPr>
      </w:pPr>
      <w:bookmarkStart w:id="6" w:name="_Toc24496"/>
      <w:r>
        <w:rPr>
          <w:rFonts w:hint="eastAsia" w:ascii="仿宋" w:hAnsi="仿宋" w:eastAsia="仿宋" w:cs="仿宋"/>
          <w:b/>
          <w:bCs/>
          <w:color w:val="auto"/>
          <w:sz w:val="32"/>
        </w:rPr>
        <w:t xml:space="preserve">  </w:t>
      </w:r>
      <w:r>
        <w:rPr>
          <w:rFonts w:hint="eastAsia" w:ascii="仿宋" w:hAnsi="仿宋" w:eastAsia="仿宋" w:cs="仿宋"/>
          <w:b/>
          <w:bCs/>
          <w:color w:val="auto"/>
          <w:sz w:val="32"/>
          <w:lang w:eastAsia="zh-CN"/>
        </w:rPr>
        <w:t>投标企业</w:t>
      </w:r>
      <w:r>
        <w:rPr>
          <w:rFonts w:hint="eastAsia" w:ascii="仿宋" w:hAnsi="仿宋" w:eastAsia="仿宋" w:cs="仿宋"/>
          <w:b/>
          <w:bCs/>
          <w:color w:val="auto"/>
          <w:sz w:val="32"/>
        </w:rPr>
        <w:t>资质及其他要求</w:t>
      </w:r>
      <w:bookmarkEnd w:id="6"/>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eastAsia="zh-CN"/>
        </w:rPr>
        <w:t>投标企业</w:t>
      </w:r>
      <w:r>
        <w:rPr>
          <w:rFonts w:hint="eastAsia" w:ascii="仿宋" w:hAnsi="仿宋" w:eastAsia="仿宋" w:cs="仿宋"/>
          <w:b/>
          <w:bCs/>
          <w:color w:val="auto"/>
          <w:sz w:val="24"/>
          <w:szCs w:val="24"/>
        </w:rPr>
        <w:t>资格：</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1、符合《政府采购法》第二十二条规定的合格投标投标企业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2.落实政府采购政策需满足的资格要求：</w:t>
      </w:r>
      <w:r>
        <w:rPr>
          <w:rFonts w:hint="eastAsia" w:ascii="仿宋" w:hAnsi="仿宋" w:eastAsia="仿宋" w:cs="仿宋"/>
          <w:color w:val="000000" w:themeColor="text1"/>
          <w:kern w:val="0"/>
          <w:sz w:val="24"/>
          <w:szCs w:val="24"/>
          <w:lang w:val="en-US" w:eastAsia="zh-CN"/>
          <w14:textFill>
            <w14:solidFill>
              <w14:schemeClr w14:val="tx1"/>
            </w14:solidFill>
          </w14:textFill>
        </w:rPr>
        <w:t>供应商为中小企业。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3、有效的三证合一营业执照副本；</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4、法定代表人投标需提供法定代表人资格证明书，委托代理人投标需提供法定代表人授权委托书；</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5、投标企业须提供投标人（被授权在职人员）近期有效的社保证明；</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b w:val="0"/>
          <w:bCs w:val="0"/>
          <w:color w:val="auto"/>
          <w:kern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19"/>
        <w:ind w:left="0" w:leftChars="0"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r>
        <w:rPr>
          <w:rFonts w:hint="eastAsia" w:ascii="仿宋" w:hAnsi="仿宋" w:eastAsia="仿宋" w:cs="仿宋"/>
          <w:b w:val="0"/>
          <w:bCs w:val="0"/>
          <w:color w:val="auto"/>
          <w:sz w:val="24"/>
          <w:szCs w:val="24"/>
          <w:lang w:val="en-US" w:eastAsia="zh-CN"/>
        </w:rPr>
        <w:t>投标保证金汇款凭证或担保函等</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kern w:val="0"/>
          <w:sz w:val="24"/>
          <w:szCs w:val="24"/>
          <w:lang w:val="en-US" w:eastAsia="zh-CN" w:bidi="ar-SA"/>
        </w:rPr>
        <w:t>投标人具有有效的《兽药经营许可证》或《兽药生产许可证》。</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9.本项目不接受联合体投标。</w:t>
      </w:r>
    </w:p>
    <w:p>
      <w:pPr>
        <w:pStyle w:val="19"/>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二、技术偏差和供货、报价说明要求</w:t>
      </w:r>
      <w:bookmarkStart w:id="7" w:name="_Hlt26670373"/>
      <w:bookmarkEnd w:id="7"/>
    </w:p>
    <w:p>
      <w:pPr>
        <w:spacing w:line="300" w:lineRule="auto"/>
        <w:ind w:firstLine="470" w:firstLineChars="196"/>
        <w:rPr>
          <w:rFonts w:hint="eastAsia" w:ascii="仿宋" w:hAnsi="仿宋" w:eastAsia="仿宋" w:cs="仿宋"/>
          <w:color w:val="auto"/>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参与谈判人应严格按照招标文件规定的性能指标，结合参与谈判设备的型号和性能，将技术偏差进行详细说明</w:t>
      </w:r>
      <w:r>
        <w:rPr>
          <w:rFonts w:hint="eastAsia" w:ascii="仿宋" w:hAnsi="仿宋" w:eastAsia="仿宋" w:cs="仿宋"/>
          <w:bCs/>
          <w:color w:val="auto"/>
          <w:sz w:val="24"/>
          <w:szCs w:val="24"/>
        </w:rPr>
        <w:t>。</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供至采购人指定地点的设备必须是原厂生产的、全新的、未使用过的合格产品（附检验合格证书及其他必须的证明文件），达到要求的性能规格。</w:t>
      </w:r>
    </w:p>
    <w:p>
      <w:pPr>
        <w:widowControl/>
        <w:spacing w:line="440" w:lineRule="exact"/>
        <w:ind w:firstLine="480"/>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本次报价为人民币报价，</w:t>
      </w:r>
      <w:r>
        <w:rPr>
          <w:rFonts w:hint="eastAsia" w:ascii="仿宋" w:hAnsi="仿宋" w:eastAsia="仿宋" w:cs="仿宋"/>
          <w:color w:val="auto"/>
          <w:kern w:val="0"/>
          <w:sz w:val="24"/>
          <w:szCs w:val="24"/>
        </w:rPr>
        <w:t>投标报价应包括：货物本身价格、安装费、包装费、运输费用、二次搬运费、损耗、技术指导、税金费用、随产品备品备件费、专用工具费、随产品资料费、技术服务费、技术考察费、培训费、自检费及验收合格前和质保期内发生的一切费用、应当提供的伴随服务/售后服务费用。</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三、报价注意事项</w:t>
      </w:r>
    </w:p>
    <w:p>
      <w:pPr>
        <w:numPr>
          <w:ilvl w:val="0"/>
          <w:numId w:val="0"/>
        </w:numPr>
        <w:spacing w:line="440" w:lineRule="exact"/>
        <w:ind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价格一律以人民币计算，以元为单位标准；</w:t>
      </w:r>
    </w:p>
    <w:p>
      <w:pPr>
        <w:numPr>
          <w:ilvl w:val="0"/>
          <w:numId w:val="0"/>
        </w:numPr>
        <w:spacing w:line="440" w:lineRule="exact"/>
        <w:ind w:leftChars="0"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2、投标人应在表上标明单价和总价。如单价和总价不符，以单价累计为准，小写与大写不符的，以大写为准。如果投标人不接受对其错误的更正，其投标将被拒绝 </w:t>
      </w:r>
    </w:p>
    <w:p>
      <w:pPr>
        <w:numPr>
          <w:ilvl w:val="0"/>
          <w:numId w:val="0"/>
        </w:numPr>
        <w:spacing w:line="440" w:lineRule="exact"/>
        <w:ind w:leftChars="0"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投标报价表中标明的价格在合同执行过程中是固定不变的，不得以任何理由予以变更，投标人在报价时应充分考虑所有可能影响到报价的因素，在合同执行期间中标价不在实行政策性调整和变动，以可调整的价格提交的投标将作为非实质性响应投标而予以拒绝。</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、交货时</w:t>
      </w:r>
      <w:r>
        <w:rPr>
          <w:rFonts w:hint="eastAsia" w:ascii="仿宋" w:hAnsi="仿宋" w:eastAsia="仿宋" w:cs="仿宋"/>
          <w:b/>
          <w:bCs/>
          <w:color w:val="auto"/>
          <w:sz w:val="24"/>
          <w:szCs w:val="24"/>
          <w:lang w:eastAsia="zh-CN"/>
        </w:rPr>
        <w:t>交货地点</w:t>
      </w:r>
      <w:r>
        <w:rPr>
          <w:rFonts w:hint="eastAsia" w:ascii="仿宋" w:hAnsi="仿宋" w:eastAsia="仿宋" w:cs="仿宋"/>
          <w:b/>
          <w:bCs/>
          <w:color w:val="auto"/>
          <w:sz w:val="24"/>
          <w:szCs w:val="24"/>
        </w:rPr>
        <w:t>：</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交货时间：</w:t>
      </w:r>
      <w:r>
        <w:rPr>
          <w:rFonts w:hint="eastAsia" w:ascii="仿宋" w:hAnsi="仿宋" w:eastAsia="仿宋" w:cs="仿宋"/>
          <w:color w:val="000000" w:themeColor="text1"/>
          <w:sz w:val="24"/>
          <w:szCs w:val="24"/>
          <w:lang w:val="en-US" w:eastAsia="zh-CN"/>
          <w14:textFill>
            <w14:solidFill>
              <w14:schemeClr w14:val="tx1"/>
            </w14:solidFill>
          </w14:textFill>
        </w:rPr>
        <w:t>甲方提出供货计划后10天内送达甲方指定地点。</w:t>
      </w:r>
    </w:p>
    <w:p>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质保期： 1年（起止时间按甲乙双方签订合同为准）</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交货地点：</w:t>
      </w:r>
      <w:r>
        <w:rPr>
          <w:rFonts w:hint="eastAsia" w:ascii="仿宋" w:hAnsi="仿宋" w:eastAsia="仿宋" w:cs="仿宋"/>
          <w:color w:val="000000" w:themeColor="text1"/>
          <w:sz w:val="24"/>
          <w:szCs w:val="24"/>
          <w:lang w:val="en-US" w:eastAsia="zh-CN"/>
          <w14:textFill>
            <w14:solidFill>
              <w14:schemeClr w14:val="tx1"/>
            </w14:solidFill>
          </w14:textFill>
        </w:rPr>
        <w:t xml:space="preserve">采购单位指定地点 </w:t>
      </w:r>
    </w:p>
    <w:p>
      <w:pPr>
        <w:spacing w:line="360" w:lineRule="auto"/>
        <w:ind w:firstLine="482" w:firstLineChars="200"/>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、付款方式：</w:t>
      </w:r>
      <w:r>
        <w:rPr>
          <w:rFonts w:hint="eastAsia" w:ascii="仿宋" w:hAnsi="仿宋" w:eastAsia="仿宋" w:cs="仿宋"/>
          <w:b/>
          <w:bCs/>
          <w:color w:val="000000" w:themeColor="text1"/>
          <w:sz w:val="24"/>
          <w:szCs w:val="24"/>
          <w:lang w:eastAsia="zh-CN"/>
          <w14:textFill>
            <w14:solidFill>
              <w14:schemeClr w14:val="tx1"/>
            </w14:solidFill>
          </w14:textFill>
        </w:rPr>
        <w:t>合同签订后，供货方</w:t>
      </w: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b/>
          <w:bCs/>
          <w:color w:val="000000" w:themeColor="text1"/>
          <w:sz w:val="24"/>
          <w:szCs w:val="24"/>
          <w:lang w:eastAsia="zh-CN"/>
          <w14:textFill>
            <w14:solidFill>
              <w14:schemeClr w14:val="tx1"/>
            </w14:solidFill>
          </w14:textFill>
        </w:rPr>
        <w:t>个日历日内完成供货。</w:t>
      </w:r>
    </w:p>
    <w:p>
      <w:pPr>
        <w:spacing w:line="360" w:lineRule="auto"/>
        <w:ind w:firstLine="482" w:firstLineChars="200"/>
        <w:rPr>
          <w:rFonts w:hint="eastAsia" w:ascii="仿宋" w:hAnsi="仿宋" w:eastAsia="仿宋" w:cs="仿宋"/>
          <w:b/>
          <w:bCs/>
          <w:color w:val="auto"/>
          <w:sz w:val="24"/>
          <w:szCs w:val="24"/>
          <w:lang w:eastAsia="zh-CN"/>
        </w:rPr>
      </w:pPr>
      <w:bookmarkStart w:id="8" w:name="_Toc21807"/>
      <w:bookmarkStart w:id="9" w:name="_Toc16945"/>
      <w:bookmarkStart w:id="10" w:name="_Toc8238"/>
      <w:r>
        <w:rPr>
          <w:rFonts w:hint="eastAsia" w:ascii="仿宋" w:hAnsi="仿宋" w:eastAsia="仿宋" w:cs="仿宋"/>
          <w:b/>
          <w:bCs/>
          <w:color w:val="auto"/>
          <w:sz w:val="24"/>
          <w:szCs w:val="24"/>
          <w:lang w:eastAsia="zh-CN"/>
        </w:rPr>
        <w:t>六、 知识产权</w:t>
      </w:r>
      <w:bookmarkEnd w:id="8"/>
      <w:bookmarkEnd w:id="9"/>
      <w:bookmarkEnd w:id="10"/>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ind w:firstLine="482" w:firstLineChars="200"/>
        <w:rPr>
          <w:rFonts w:hint="eastAsia" w:ascii="仿宋" w:hAnsi="仿宋" w:eastAsia="仿宋" w:cs="仿宋"/>
          <w:b/>
          <w:bCs/>
          <w:color w:val="auto"/>
          <w:sz w:val="24"/>
          <w:szCs w:val="24"/>
          <w:lang w:eastAsia="zh-CN"/>
        </w:rPr>
      </w:pPr>
      <w:bookmarkStart w:id="11" w:name="_Toc12239"/>
      <w:bookmarkStart w:id="12" w:name="_Toc20832"/>
      <w:bookmarkStart w:id="13" w:name="_Toc7598"/>
      <w:bookmarkStart w:id="14" w:name="_Toc12840_WPSOffice_Level1"/>
      <w:bookmarkStart w:id="15" w:name="_Toc439255252"/>
      <w:bookmarkStart w:id="16" w:name="_Toc267320054"/>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 xml:space="preserve"> 其他</w:t>
      </w:r>
      <w:bookmarkEnd w:id="11"/>
      <w:bookmarkEnd w:id="12"/>
      <w:bookmarkEnd w:id="13"/>
    </w:p>
    <w:bookmarkEnd w:id="14"/>
    <w:bookmarkEnd w:id="15"/>
    <w:bookmarkEnd w:id="16"/>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投标人必须在投标文件中对以上条款和服务承诺明确列出，承诺内容必须达到本篇及招标文件其他条款的要求。</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中标人与采购人签订《协议》后，须与用户方签订《合同》（包括供货范围、需求数量、单价等），明确具体供货数量、供货时间、送达地点等内容。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lang w:eastAsia="zh-CN"/>
        </w:rPr>
        <w:t>若供货服务商不能按招标文件规定的交货期正常交货，采购方有权终止采购合同，并将相关情况上报给采购计划主管部门，取消其中标资格。</w:t>
      </w:r>
    </w:p>
    <w:p>
      <w:pPr>
        <w:spacing w:line="360" w:lineRule="auto"/>
        <w:ind w:firstLine="480"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5、其他未尽事宜由供需双方在采购合同中详细约定。</w:t>
      </w:r>
    </w:p>
    <w:p>
      <w:pPr>
        <w:pStyle w:val="6"/>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pStyle w:val="6"/>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6"/>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1"/>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numPr>
          <w:ilvl w:val="0"/>
          <w:numId w:val="3"/>
        </w:numPr>
        <w:spacing w:line="360" w:lineRule="auto"/>
        <w:ind w:firstLine="723" w:firstLineChars="200"/>
        <w:jc w:val="center"/>
        <w:outlineLvl w:val="0"/>
        <w:rPr>
          <w:rFonts w:hint="eastAsia" w:ascii="仿宋" w:hAnsi="仿宋" w:eastAsia="仿宋" w:cs="仿宋"/>
          <w:b/>
          <w:bCs/>
          <w:color w:val="auto"/>
          <w:sz w:val="36"/>
          <w:szCs w:val="36"/>
        </w:rPr>
      </w:pPr>
      <w:bookmarkStart w:id="17" w:name="_Toc31857"/>
      <w:r>
        <w:rPr>
          <w:rFonts w:hint="eastAsia" w:ascii="仿宋" w:hAnsi="仿宋" w:eastAsia="仿宋" w:cs="仿宋"/>
          <w:b/>
          <w:bCs/>
          <w:color w:val="auto"/>
          <w:sz w:val="36"/>
          <w:szCs w:val="36"/>
        </w:rPr>
        <w:t xml:space="preserve"> 合  同</w:t>
      </w:r>
      <w:bookmarkEnd w:id="17"/>
    </w:p>
    <w:p>
      <w:pPr>
        <w:jc w:val="center"/>
        <w:rPr>
          <w:rFonts w:hint="eastAsia" w:ascii="仿宋" w:hAnsi="仿宋" w:eastAsia="仿宋" w:cs="仿宋"/>
          <w:b/>
          <w:bCs/>
          <w:color w:val="auto"/>
          <w:sz w:val="28"/>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甲方：</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及相关法律法规之规定，甲、乙双方本着平等、互惠互利、共同发展的原则，经友好协商，就甲方购置乙方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达成如下条款，共同遵守。</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一、产品名称、数量</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color w:val="0000FF"/>
          <w:sz w:val="24"/>
          <w:szCs w:val="24"/>
        </w:rPr>
      </w:pPr>
      <w:r>
        <w:rPr>
          <w:rFonts w:hint="eastAsia" w:ascii="仿宋" w:hAnsi="仿宋" w:eastAsia="仿宋" w:cs="仿宋"/>
          <w:b w:val="0"/>
          <w:bCs w:val="0"/>
          <w:spacing w:val="20"/>
          <w:sz w:val="24"/>
          <w:szCs w:val="24"/>
          <w:lang w:val="en-US" w:eastAsia="zh-CN"/>
        </w:rPr>
        <w:t>产品名称：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，总数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条。</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二．合同价格</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rPr>
        <w:t>产品</w:t>
      </w:r>
      <w:r>
        <w:rPr>
          <w:rFonts w:hint="eastAsia" w:ascii="仿宋" w:hAnsi="仿宋" w:eastAsia="仿宋" w:cs="仿宋"/>
          <w:sz w:val="24"/>
          <w:szCs w:val="24"/>
        </w:rPr>
        <w:t>总价为人民币（大写）：</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lang w:val="en-US"/>
        </w:rPr>
        <w:t>元整</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rPr>
        <w:t>元整</w:t>
      </w:r>
      <w:r>
        <w:rPr>
          <w:rFonts w:hint="eastAsia" w:ascii="仿宋" w:hAnsi="仿宋" w:eastAsia="仿宋" w:cs="仿宋"/>
          <w:sz w:val="24"/>
          <w:szCs w:val="24"/>
        </w:rPr>
        <w:t>）。总价中包括产品金额、包装、运输保险费、装卸费、</w:t>
      </w:r>
      <w:r>
        <w:rPr>
          <w:rFonts w:hint="eastAsia" w:ascii="仿宋" w:hAnsi="仿宋" w:eastAsia="仿宋" w:cs="仿宋"/>
          <w:sz w:val="24"/>
          <w:szCs w:val="24"/>
          <w:lang w:val="en-US"/>
        </w:rPr>
        <w:t xml:space="preserve"> </w:t>
      </w:r>
      <w:r>
        <w:rPr>
          <w:rFonts w:hint="eastAsia" w:ascii="仿宋" w:hAnsi="仿宋" w:eastAsia="仿宋" w:cs="仿宋"/>
          <w:sz w:val="24"/>
          <w:szCs w:val="24"/>
        </w:rPr>
        <w:t>相关材料费及培训所需费用及税金。本合同总金额不得做任何变更与调整。</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三．交货及验收</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1、供货期限：</w:t>
      </w:r>
      <w:r>
        <w:rPr>
          <w:rFonts w:hint="eastAsia" w:ascii="仿宋" w:hAnsi="仿宋" w:eastAsia="仿宋" w:cs="仿宋"/>
          <w:sz w:val="24"/>
          <w:szCs w:val="24"/>
          <w:lang w:val="en-US"/>
        </w:rPr>
        <w:t>乙方</w:t>
      </w:r>
      <w:r>
        <w:rPr>
          <w:rFonts w:hint="eastAsia" w:ascii="仿宋" w:hAnsi="仿宋" w:eastAsia="仿宋" w:cs="仿宋"/>
          <w:sz w:val="24"/>
          <w:szCs w:val="24"/>
        </w:rPr>
        <w:t>自合同签订之日起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天内免费送货至买方制定的地点存放。</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rPr>
        <w:t>产品</w:t>
      </w:r>
      <w:r>
        <w:rPr>
          <w:rFonts w:hint="eastAsia" w:ascii="仿宋" w:hAnsi="仿宋" w:eastAsia="仿宋" w:cs="仿宋"/>
          <w:sz w:val="24"/>
          <w:szCs w:val="24"/>
        </w:rPr>
        <w:t>验收：</w:t>
      </w:r>
      <w:r>
        <w:rPr>
          <w:rFonts w:hint="eastAsia" w:ascii="仿宋" w:hAnsi="仿宋" w:eastAsia="仿宋" w:cs="仿宋"/>
          <w:sz w:val="24"/>
          <w:szCs w:val="24"/>
          <w:lang w:val="en-US"/>
        </w:rPr>
        <w:t>甲方</w:t>
      </w:r>
      <w:r>
        <w:rPr>
          <w:rFonts w:hint="eastAsia" w:ascii="仿宋" w:hAnsi="仿宋" w:eastAsia="仿宋" w:cs="仿宋"/>
          <w:sz w:val="24"/>
          <w:szCs w:val="24"/>
        </w:rPr>
        <w:t>按国家规定的标准验收，使用确认</w:t>
      </w:r>
      <w:r>
        <w:rPr>
          <w:rFonts w:hint="eastAsia" w:ascii="仿宋" w:hAnsi="仿宋" w:eastAsia="仿宋" w:cs="仿宋"/>
          <w:sz w:val="24"/>
          <w:szCs w:val="24"/>
          <w:lang w:val="en-US"/>
        </w:rPr>
        <w:t>产品</w:t>
      </w:r>
      <w:r>
        <w:rPr>
          <w:rFonts w:hint="eastAsia" w:ascii="仿宋" w:hAnsi="仿宋" w:eastAsia="仿宋" w:cs="仿宋"/>
          <w:sz w:val="24"/>
          <w:szCs w:val="24"/>
        </w:rPr>
        <w:t>良好，并在验收报告上签字盖章。</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产品</w:t>
      </w:r>
      <w:r>
        <w:rPr>
          <w:rFonts w:hint="eastAsia" w:ascii="仿宋" w:hAnsi="仿宋" w:eastAsia="仿宋" w:cs="仿宋"/>
          <w:sz w:val="24"/>
          <w:szCs w:val="24"/>
        </w:rPr>
        <w:t>质量：</w:t>
      </w:r>
      <w:r>
        <w:rPr>
          <w:rFonts w:hint="eastAsia" w:ascii="仿宋" w:hAnsi="仿宋" w:eastAsia="仿宋" w:cs="仿宋"/>
          <w:sz w:val="24"/>
          <w:szCs w:val="24"/>
          <w:lang w:val="en-US"/>
        </w:rPr>
        <w:t>产品</w:t>
      </w:r>
      <w:r>
        <w:rPr>
          <w:rFonts w:hint="eastAsia" w:ascii="仿宋" w:hAnsi="仿宋" w:eastAsia="仿宋" w:cs="仿宋"/>
          <w:sz w:val="24"/>
          <w:szCs w:val="24"/>
        </w:rPr>
        <w:t>出现质量问题，</w:t>
      </w:r>
      <w:r>
        <w:rPr>
          <w:rFonts w:hint="eastAsia" w:ascii="仿宋" w:hAnsi="仿宋" w:eastAsia="仿宋" w:cs="仿宋"/>
          <w:sz w:val="24"/>
          <w:szCs w:val="24"/>
          <w:lang w:val="en-US"/>
        </w:rPr>
        <w:t>乙方</w:t>
      </w:r>
      <w:r>
        <w:rPr>
          <w:rFonts w:hint="eastAsia" w:ascii="仿宋" w:hAnsi="仿宋" w:eastAsia="仿宋" w:cs="仿宋"/>
          <w:sz w:val="24"/>
          <w:szCs w:val="24"/>
        </w:rPr>
        <w:t>负责免费“三包”，7天包退、15天包换。</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14:textFill>
            <w14:solidFill>
              <w14:schemeClr w14:val="tx1"/>
            </w14:solidFill>
          </w14:textFill>
        </w:rPr>
        <w:t>四、付款方式</w:t>
      </w:r>
      <w:r>
        <w:rPr>
          <w:rFonts w:hint="eastAsia" w:ascii="仿宋" w:hAnsi="仿宋" w:eastAsia="仿宋" w:cs="仿宋"/>
          <w:b/>
          <w:bCs/>
          <w:color w:val="000000" w:themeColor="text1"/>
          <w:sz w:val="24"/>
          <w:szCs w:val="24"/>
          <w:lang w:val="en-US" w:eastAsia="zh-CN"/>
          <w14:textFill>
            <w14:solidFill>
              <w14:schemeClr w14:val="tx1"/>
            </w14:solidFill>
          </w14:textFill>
        </w:rPr>
        <w:t>：</w:t>
      </w:r>
      <w:r>
        <w:rPr>
          <w:rFonts w:hint="eastAsia" w:ascii="仿宋" w:hAnsi="仿宋" w:eastAsia="仿宋" w:cs="仿宋"/>
          <w:b/>
          <w:bCs/>
          <w:color w:val="000000" w:themeColor="text1"/>
          <w:sz w:val="24"/>
          <w:szCs w:val="24"/>
          <w:lang w:eastAsia="zh-CN"/>
          <w14:textFill>
            <w14:solidFill>
              <w14:schemeClr w14:val="tx1"/>
            </w14:solidFill>
          </w14:textFill>
        </w:rPr>
        <w:t>合同签订后，供货方</w:t>
      </w: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b/>
          <w:bCs/>
          <w:color w:val="000000" w:themeColor="text1"/>
          <w:sz w:val="24"/>
          <w:szCs w:val="24"/>
          <w:lang w:eastAsia="zh-CN"/>
          <w14:textFill>
            <w14:solidFill>
              <w14:schemeClr w14:val="tx1"/>
            </w14:solidFill>
          </w14:textFill>
        </w:rPr>
        <w:t>个日历日内完成供货。</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五</w:t>
      </w:r>
      <w:r>
        <w:rPr>
          <w:rFonts w:hint="eastAsia" w:ascii="仿宋" w:hAnsi="仿宋" w:eastAsia="仿宋" w:cs="仿宋"/>
          <w:sz w:val="24"/>
          <w:szCs w:val="24"/>
        </w:rPr>
        <w:t>、甲方的权利和义务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1、甲方有权对该专用</w:t>
      </w:r>
      <w:r>
        <w:rPr>
          <w:rFonts w:hint="eastAsia" w:ascii="仿宋" w:hAnsi="仿宋" w:eastAsia="仿宋" w:cs="仿宋"/>
          <w:sz w:val="24"/>
          <w:szCs w:val="24"/>
          <w:lang w:val="en-US" w:eastAsia="zh-CN"/>
        </w:rPr>
        <w:t>指示剂</w:t>
      </w:r>
      <w:r>
        <w:rPr>
          <w:rFonts w:hint="eastAsia" w:ascii="仿宋" w:hAnsi="仿宋" w:eastAsia="仿宋" w:cs="仿宋"/>
          <w:sz w:val="24"/>
          <w:szCs w:val="24"/>
        </w:rPr>
        <w:t>的质量进行检验。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2、甲方在收到货物经检验质量符合规定后，</w:t>
      </w:r>
      <w:r>
        <w:rPr>
          <w:rFonts w:hint="eastAsia" w:ascii="仿宋" w:hAnsi="仿宋" w:eastAsia="仿宋" w:cs="仿宋"/>
          <w:sz w:val="24"/>
          <w:szCs w:val="24"/>
        </w:rPr>
        <w:t>按约定及时向乙方支付相关费用。</w:t>
      </w:r>
    </w:p>
    <w:p>
      <w:pPr>
        <w:pStyle w:val="58"/>
        <w:keepNext w:val="0"/>
        <w:keepLines w:val="0"/>
        <w:pageBreakBefore w:val="0"/>
        <w:widowControl w:val="0"/>
        <w:shd w:val="clear" w:color="auto" w:fill="auto"/>
        <w:tabs>
          <w:tab w:val="left" w:pos="1037"/>
        </w:tabs>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六</w:t>
      </w:r>
      <w:r>
        <w:rPr>
          <w:rFonts w:hint="eastAsia" w:ascii="仿宋" w:hAnsi="仿宋" w:eastAsia="仿宋" w:cs="仿宋"/>
          <w:sz w:val="24"/>
          <w:szCs w:val="24"/>
        </w:rPr>
        <w:t>、乙方的权利和义务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1.乙方有权要求甲方依约按时、足额支付费用。</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乙方需向甲方提供培训相关材料</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该项目</w:t>
      </w:r>
      <w:r>
        <w:rPr>
          <w:rFonts w:hint="eastAsia" w:ascii="仿宋" w:hAnsi="仿宋" w:eastAsia="仿宋" w:cs="仿宋"/>
          <w:color w:val="auto"/>
          <w:sz w:val="24"/>
          <w:szCs w:val="24"/>
        </w:rPr>
        <w:t>相关培训提供技术支撑。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260" w:firstLine="241"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七</w:t>
      </w:r>
      <w:r>
        <w:rPr>
          <w:rFonts w:hint="eastAsia" w:ascii="仿宋" w:hAnsi="仿宋" w:eastAsia="仿宋" w:cs="仿宋"/>
          <w:sz w:val="24"/>
          <w:szCs w:val="24"/>
        </w:rPr>
        <w:t>、违约责任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违反本合同约定，违约方应当《按照中华人民共和国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有关条款的规定承担违约责任。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1.甲方未在规定时限内付款的，甲方应按延迟付款金额和同期银行存款利率，向乙方支付利息。</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2.乙方未按甲方要求完成相关事项的，甲方有权要求乙方支付必要的违约金。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八</w:t>
      </w:r>
      <w:r>
        <w:rPr>
          <w:rFonts w:hint="eastAsia" w:ascii="仿宋" w:hAnsi="仿宋" w:eastAsia="仿宋" w:cs="仿宋"/>
          <w:sz w:val="24"/>
          <w:szCs w:val="24"/>
        </w:rPr>
        <w:t>、争议解决条款</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1.在本合同执行期间发生争议，双方应通过友好协商解决，也可以向合同签订所在地仲裁委员会</w:t>
      </w:r>
      <w:r>
        <w:rPr>
          <w:rFonts w:hint="eastAsia" w:ascii="仿宋" w:hAnsi="仿宋" w:eastAsia="仿宋" w:cs="仿宋"/>
          <w:sz w:val="24"/>
          <w:szCs w:val="24"/>
          <w:lang w:val="en-US"/>
        </w:rPr>
        <w:t>或</w:t>
      </w:r>
      <w:r>
        <w:rPr>
          <w:rFonts w:hint="eastAsia" w:ascii="仿宋" w:hAnsi="仿宋" w:eastAsia="仿宋" w:cs="仿宋"/>
          <w:sz w:val="24"/>
          <w:szCs w:val="24"/>
        </w:rPr>
        <w:t>人民法院提出诉讼。</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2.仲裁裁决是终局裁决，对双方均有约束力，双方均应履行。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4.仲裁期间，除仲裁事由本身外，双方应继续履行合同规定的各自的义务。</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九</w:t>
      </w:r>
      <w:r>
        <w:rPr>
          <w:rFonts w:hint="eastAsia" w:ascii="仿宋" w:hAnsi="仿宋" w:eastAsia="仿宋" w:cs="仿宋"/>
          <w:sz w:val="24"/>
          <w:szCs w:val="24"/>
        </w:rPr>
        <w:t>、附则</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1.本合同如有未尽事宜，甲、乙双方协商后可另行签署补充合同。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.本合同一式四份，甲方持两份、乙方持两份。经双方签字盖章后生效。</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794" w:rightChars="-378"/>
        <w:jc w:val="both"/>
        <w:textAlignment w:val="auto"/>
        <w:rPr>
          <w:rFonts w:hint="eastAsia" w:ascii="仿宋" w:hAnsi="仿宋" w:eastAsia="仿宋" w:cs="仿宋"/>
          <w:sz w:val="24"/>
          <w:szCs w:val="24"/>
        </w:rPr>
      </w:pPr>
      <w:r>
        <w:rPr>
          <w:rFonts w:hint="eastAsia" w:ascii="仿宋" w:hAnsi="仿宋" w:eastAsia="仿宋" w:cs="仿宋"/>
          <w:b/>
          <w:sz w:val="24"/>
          <w:szCs w:val="24"/>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840" w:firstLineChars="3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乙方代表: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签字日期：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签字日期</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5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both"/>
        <w:textAlignment w:val="auto"/>
        <w:outlineLvl w:val="0"/>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lang w:val="en-US" w:eastAsia="zh-CN"/>
        </w:rPr>
      </w:pPr>
      <w:r>
        <w:rPr>
          <w:rFonts w:hint="eastAsia" w:ascii="仿宋" w:hAnsi="仿宋" w:eastAsia="仿宋" w:cs="仿宋"/>
          <w:b/>
          <w:bCs/>
          <w:color w:val="auto"/>
          <w:sz w:val="28"/>
          <w:szCs w:val="36"/>
          <w:lang w:val="en-US" w:eastAsia="zh-CN"/>
        </w:rPr>
        <w:t>第六章  资格性审查表</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资格性检查是指评标委员会依据法律法规和采购文件的规定，对投标文件中的资格证明、投标保证金等进行审查，以确定投标投标人是否具备投标资格。</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资格性检查包含如下内容：</w:t>
      </w:r>
    </w:p>
    <w:tbl>
      <w:tblPr>
        <w:tblStyle w:val="25"/>
        <w:tblpPr w:leftFromText="180" w:rightFromText="180" w:vertAnchor="text" w:tblpXSpec="center" w:tblpY="341"/>
        <w:tblOverlap w:val="neve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25"/>
        <w:gridCol w:w="7317"/>
        <w:gridCol w:w="67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1" w:type="dxa"/>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w:t>
            </w:r>
          </w:p>
        </w:tc>
        <w:tc>
          <w:tcPr>
            <w:tcW w:w="7742" w:type="dxa"/>
            <w:gridSpan w:val="2"/>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评审内容</w:t>
            </w:r>
          </w:p>
        </w:tc>
        <w:tc>
          <w:tcPr>
            <w:tcW w:w="1332" w:type="dxa"/>
            <w:gridSpan w:val="2"/>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7742" w:type="dxa"/>
            <w:gridSpan w:val="2"/>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670"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是</w:t>
            </w:r>
          </w:p>
        </w:tc>
        <w:tc>
          <w:tcPr>
            <w:tcW w:w="662"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restart"/>
            <w:noWrap w:val="0"/>
            <w:vAlign w:val="top"/>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审查标准（适用于资格后审）</w:t>
            </w: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317" w:type="dxa"/>
            <w:noWrap w:val="0"/>
            <w:vAlign w:val="center"/>
          </w:tcPr>
          <w:p>
            <w:pPr>
              <w:widowControl/>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auto"/>
                <w:kern w:val="2"/>
                <w:sz w:val="24"/>
                <w:szCs w:val="24"/>
                <w:lang w:val="en-US" w:eastAsia="zh-CN" w:bidi="ar-SA"/>
              </w:rPr>
              <w:t>供应商为中小企业；</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7317" w:type="dxa"/>
            <w:noWrap w:val="0"/>
            <w:vAlign w:val="center"/>
          </w:tcPr>
          <w:p>
            <w:pPr>
              <w:widowControl/>
              <w:jc w:val="both"/>
              <w:rPr>
                <w:rFonts w:hint="eastAsia" w:ascii="仿宋" w:hAnsi="仿宋" w:eastAsia="仿宋" w:cs="仿宋"/>
                <w:color w:val="auto"/>
                <w:sz w:val="24"/>
                <w:lang w:eastAsia="zh-CN"/>
              </w:rPr>
            </w:pPr>
            <w:r>
              <w:rPr>
                <w:rFonts w:hint="eastAsia" w:ascii="仿宋" w:hAnsi="仿宋" w:eastAsia="仿宋" w:cs="仿宋"/>
                <w:color w:val="auto"/>
                <w:kern w:val="0"/>
                <w:sz w:val="24"/>
                <w:lang w:eastAsia="zh-CN" w:bidi="ar"/>
              </w:rPr>
              <w:t>投标企业须提</w:t>
            </w:r>
            <w:r>
              <w:rPr>
                <w:rFonts w:hint="eastAsia" w:ascii="仿宋" w:hAnsi="仿宋" w:eastAsia="仿宋" w:cs="仿宋"/>
                <w:color w:val="auto"/>
                <w:sz w:val="24"/>
                <w:lang w:eastAsia="zh-CN"/>
              </w:rPr>
              <w:t>有效的三证合一营业执照副本；</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法定代表人投标需提供法定代表人资格证明书，委托代理人投标需提供法定代表人授权委托书；</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投标企业须提供投标人（被授权在职人员）近期社保证明；</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加政府采购活动前三年内，在经营活动中没有重大违法记录；未被“信用中国”（www.creditchina.gov.cn）、中国政府采购网（www.ccgp.gov.cn）列入失信被执行人、税收违法黑名单、政府采购严重违法失信行为记录名单。</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7317" w:type="dxa"/>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投标保证金汇款凭证或担保函等；</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7317" w:type="dxa"/>
            <w:noWrap w:val="0"/>
            <w:vAlign w:val="center"/>
          </w:tcPr>
          <w:p>
            <w:pPr>
              <w:widowControl/>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w:t>
            </w:r>
            <w:r>
              <w:rPr>
                <w:rFonts w:hint="eastAsia" w:ascii="仿宋" w:hAnsi="仿宋" w:eastAsia="仿宋" w:cs="仿宋"/>
                <w:b w:val="0"/>
                <w:bCs w:val="0"/>
                <w:color w:val="auto"/>
                <w:kern w:val="0"/>
                <w:sz w:val="24"/>
                <w:szCs w:val="24"/>
                <w:lang w:val="en-US" w:eastAsia="zh-CN" w:bidi="ar-SA"/>
              </w:rPr>
              <w:t>有效的《兽药经营许可证》或《兽药生产许可证》；</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03" w:type="dxa"/>
            <w:gridSpan w:val="3"/>
            <w:noWrap w:val="0"/>
            <w:vAlign w:val="top"/>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通过上述资格性检查，可初步判定投标人的投标文件是否符合采购文件的要求。对于评审结果“√”表示合格；“×”表示不合格。有一项不合格结果为不合格，如不合格，请在结果中写明原因。</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bl>
    <w:p>
      <w:pPr>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both"/>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符合性审查</w:t>
      </w:r>
      <w:r>
        <w:rPr>
          <w:rFonts w:hint="eastAsia" w:ascii="仿宋" w:hAnsi="仿宋" w:eastAsia="仿宋" w:cs="仿宋"/>
          <w:b/>
          <w:bCs/>
          <w:color w:val="auto"/>
          <w:sz w:val="28"/>
          <w:szCs w:val="28"/>
          <w:lang w:eastAsia="zh-CN"/>
        </w:rPr>
        <w:t>表</w:t>
      </w:r>
    </w:p>
    <w:tbl>
      <w:tblPr>
        <w:tblStyle w:val="24"/>
        <w:tblpPr w:leftFromText="180" w:rightFromText="180" w:vertAnchor="text" w:horzAnchor="page" w:tblpX="1519" w:tblpY="659"/>
        <w:tblOverlap w:val="never"/>
        <w:tblW w:w="8836" w:type="dxa"/>
        <w:tblInd w:w="0" w:type="dxa"/>
        <w:tblLayout w:type="fixed"/>
        <w:tblCellMar>
          <w:top w:w="15" w:type="dxa"/>
          <w:left w:w="15" w:type="dxa"/>
          <w:bottom w:w="15" w:type="dxa"/>
          <w:right w:w="15" w:type="dxa"/>
        </w:tblCellMar>
      </w:tblPr>
      <w:tblGrid>
        <w:gridCol w:w="656"/>
        <w:gridCol w:w="7084"/>
        <w:gridCol w:w="1096"/>
      </w:tblGrid>
      <w:tr>
        <w:tblPrEx>
          <w:tblCellMar>
            <w:top w:w="15" w:type="dxa"/>
            <w:left w:w="15" w:type="dxa"/>
            <w:bottom w:w="15" w:type="dxa"/>
            <w:right w:w="15" w:type="dxa"/>
          </w:tblCellMar>
        </w:tblPrEx>
        <w:trPr>
          <w:trHeight w:val="32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70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项目</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r>
      <w:tr>
        <w:tblPrEx>
          <w:tblCellMar>
            <w:top w:w="15" w:type="dxa"/>
            <w:left w:w="15" w:type="dxa"/>
            <w:bottom w:w="15" w:type="dxa"/>
            <w:right w:w="15" w:type="dxa"/>
          </w:tblCellMar>
        </w:tblPrEx>
        <w:trPr>
          <w:trHeight w:val="382"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70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是否合格</w:t>
            </w: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由政府立项核准、审批的采购项目, 投标报价高于设定的采购预算价的；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投标人对同一招标项目作出两个以上报价未明确效力的；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未按</w:t>
            </w:r>
            <w:r>
              <w:rPr>
                <w:rFonts w:hint="eastAsia" w:ascii="仿宋" w:hAnsi="仿宋" w:eastAsia="仿宋" w:cs="仿宋"/>
                <w:color w:val="auto"/>
                <w:kern w:val="0"/>
                <w:sz w:val="24"/>
                <w:lang w:val="en-US" w:eastAsia="zh-CN" w:bidi="ar"/>
              </w:rPr>
              <w:t>单一来源谈判文件</w:t>
            </w:r>
            <w:r>
              <w:rPr>
                <w:rFonts w:hint="eastAsia" w:ascii="仿宋" w:hAnsi="仿宋" w:eastAsia="仿宋" w:cs="仿宋"/>
                <w:color w:val="auto"/>
                <w:kern w:val="0"/>
                <w:sz w:val="24"/>
                <w:lang w:bidi="ar"/>
              </w:rPr>
              <w:t>规定的格式填写，内容不全或关键字迹模糊、无法辨认的；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4</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有两个以上不同的投标价，且未注明何者有效的(以投标函为准)</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5</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投标人名称、组织机构与资格预审时不符，涉嫌以他人名义投标的；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3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6</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投标人之间或者投标人与采购人串通投标的；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7</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以行贿手段谋取中标或者以其他弄虚作假方式投标的；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8</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评标委员会共同确定有实质上不响应</w:t>
            </w:r>
            <w:r>
              <w:rPr>
                <w:rFonts w:hint="eastAsia" w:ascii="仿宋" w:hAnsi="仿宋" w:eastAsia="仿宋" w:cs="仿宋"/>
                <w:color w:val="auto"/>
                <w:kern w:val="0"/>
                <w:sz w:val="24"/>
                <w:lang w:eastAsia="zh-CN" w:bidi="ar"/>
              </w:rPr>
              <w:t>采购文件</w:t>
            </w:r>
            <w:r>
              <w:rPr>
                <w:rFonts w:hint="eastAsia" w:ascii="仿宋" w:hAnsi="仿宋" w:eastAsia="仿宋" w:cs="仿宋"/>
                <w:color w:val="auto"/>
                <w:kern w:val="0"/>
                <w:sz w:val="24"/>
                <w:lang w:bidi="ar"/>
              </w:rPr>
              <w:t>要求的；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9</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投标文件没有投标单位法定代表人或其授权代表签字（章）和加盖投标单位公章的；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10</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投标的政府采购项目完成期限超过</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规定期限的；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11</w:t>
            </w:r>
          </w:p>
        </w:tc>
        <w:tc>
          <w:tcPr>
            <w:tcW w:w="7084" w:type="dxa"/>
            <w:noWrap w:val="0"/>
            <w:vAlign w:val="center"/>
          </w:tcPr>
          <w:p>
            <w:pPr>
              <w:widowControl/>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投标文件附有采购人不能接受条件的；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投标人详细地址、联系人、电话、</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不满足</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实质性要求的其他情形</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77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2"/>
                <w:sz w:val="24"/>
                <w:szCs w:val="24"/>
                <w:lang w:val="en-US" w:eastAsia="zh-CN" w:bidi="ar-SA"/>
              </w:rPr>
              <w:t>“√”表示合格；“×”表示不合格。有一项不合格结果为不合格，如不合格，请在结果中写明原因。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bl>
    <w:p>
      <w:pPr>
        <w:pStyle w:val="6"/>
        <w:rPr>
          <w:rFonts w:hint="eastAsia" w:ascii="仿宋" w:hAnsi="仿宋" w:eastAsia="仿宋" w:cs="仿宋"/>
          <w:color w:val="auto"/>
          <w:lang w:eastAsia="zh-CN"/>
        </w:rPr>
      </w:pPr>
    </w:p>
    <w:p>
      <w:pPr>
        <w:rPr>
          <w:rFonts w:hint="eastAsia" w:ascii="仿宋" w:hAnsi="仿宋" w:eastAsia="仿宋" w:cs="仿宋"/>
          <w:color w:val="auto"/>
        </w:rPr>
      </w:pPr>
    </w:p>
    <w:p>
      <w:pPr>
        <w:pStyle w:val="11"/>
        <w:rPr>
          <w:rFonts w:hint="eastAsia" w:ascii="仿宋" w:hAnsi="仿宋" w:eastAsia="仿宋" w:cs="仿宋"/>
          <w:b/>
          <w:bCs/>
          <w:color w:val="auto"/>
        </w:rPr>
      </w:pPr>
    </w:p>
    <w:p>
      <w:pPr>
        <w:numPr>
          <w:ilvl w:val="0"/>
          <w:numId w:val="0"/>
        </w:numPr>
        <w:spacing w:line="360" w:lineRule="auto"/>
        <w:ind w:left="1680" w:leftChars="0"/>
        <w:jc w:val="both"/>
        <w:outlineLvl w:val="0"/>
        <w:rPr>
          <w:rFonts w:hint="eastAsia" w:ascii="仿宋" w:hAnsi="仿宋" w:eastAsia="仿宋" w:cs="仿宋"/>
          <w:b/>
          <w:bCs/>
          <w:color w:val="auto"/>
          <w:sz w:val="36"/>
          <w:szCs w:val="36"/>
        </w:rPr>
      </w:pPr>
      <w:bookmarkStart w:id="18" w:name="_Toc24929"/>
    </w:p>
    <w:p>
      <w:pPr>
        <w:numPr>
          <w:ilvl w:val="0"/>
          <w:numId w:val="0"/>
        </w:numPr>
        <w:spacing w:line="360" w:lineRule="auto"/>
        <w:ind w:left="1680" w:leftChars="0"/>
        <w:jc w:val="both"/>
        <w:outlineLvl w:val="0"/>
        <w:rPr>
          <w:rFonts w:hint="eastAsia" w:ascii="仿宋" w:hAnsi="仿宋" w:eastAsia="仿宋" w:cs="仿宋"/>
          <w:b/>
          <w:bCs/>
          <w:color w:val="auto"/>
          <w:sz w:val="36"/>
          <w:szCs w:val="36"/>
        </w:rPr>
      </w:pPr>
    </w:p>
    <w:p>
      <w:pPr>
        <w:numPr>
          <w:ilvl w:val="0"/>
          <w:numId w:val="0"/>
        </w:numPr>
        <w:spacing w:line="360" w:lineRule="auto"/>
        <w:ind w:left="1680" w:leftChars="0"/>
        <w:jc w:val="both"/>
        <w:outlineLvl w:val="0"/>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七</w:t>
      </w:r>
      <w:r>
        <w:rPr>
          <w:rFonts w:hint="eastAsia" w:ascii="仿宋" w:hAnsi="仿宋" w:eastAsia="仿宋" w:cs="仿宋"/>
          <w:b/>
          <w:bCs/>
          <w:color w:val="auto"/>
          <w:sz w:val="36"/>
          <w:szCs w:val="36"/>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40"/>
          <w:szCs w:val="40"/>
          <w:lang w:val="en-US" w:eastAsia="zh-CN"/>
        </w:rPr>
        <w:t>投标函格式（格式自拟）</w:t>
      </w:r>
      <w:bookmarkEnd w:id="18"/>
    </w:p>
    <w:p>
      <w:pPr>
        <w:numPr>
          <w:ilvl w:val="0"/>
          <w:numId w:val="0"/>
        </w:numPr>
        <w:spacing w:line="360" w:lineRule="auto"/>
        <w:jc w:val="center"/>
        <w:rPr>
          <w:rFonts w:hint="eastAsia" w:ascii="仿宋" w:hAnsi="仿宋" w:eastAsia="仿宋" w:cs="仿宋"/>
          <w:b/>
          <w:bCs/>
          <w:color w:val="auto"/>
          <w:lang w:eastAsia="zh-CN"/>
        </w:rPr>
      </w:pPr>
      <w:r>
        <w:rPr>
          <w:rFonts w:hint="eastAsia" w:ascii="仿宋" w:hAnsi="仿宋" w:eastAsia="仿宋" w:cs="仿宋"/>
          <w:b/>
          <w:bCs/>
          <w:color w:val="auto"/>
        </w:rPr>
        <w:t>附件1：谈判申请及声明格</w:t>
      </w:r>
      <w:r>
        <w:rPr>
          <w:rFonts w:hint="eastAsia" w:ascii="仿宋" w:hAnsi="仿宋" w:eastAsia="仿宋" w:cs="仿宋"/>
          <w:b/>
          <w:bCs/>
          <w:color w:val="auto"/>
          <w:lang w:eastAsia="zh-CN"/>
        </w:rPr>
        <w:t>式</w:t>
      </w:r>
    </w:p>
    <w:p>
      <w:pPr>
        <w:spacing w:line="360" w:lineRule="auto"/>
        <w:ind w:firstLine="2891" w:firstLineChars="1200"/>
        <w:rPr>
          <w:rFonts w:hint="eastAsia" w:ascii="仿宋" w:hAnsi="仿宋" w:eastAsia="仿宋" w:cs="仿宋"/>
          <w:b/>
          <w:bCs/>
          <w:color w:val="auto"/>
          <w:sz w:val="24"/>
          <w:szCs w:val="24"/>
        </w:rPr>
      </w:pPr>
      <w:r>
        <w:rPr>
          <w:rFonts w:hint="eastAsia" w:ascii="仿宋" w:hAnsi="仿宋" w:eastAsia="仿宋" w:cs="仿宋"/>
          <w:b/>
          <w:bCs/>
          <w:color w:val="auto"/>
          <w:sz w:val="24"/>
          <w:szCs w:val="24"/>
        </w:rPr>
        <w:t>谈判申请及声明</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致：</w:t>
      </w: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根据贵方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谈判文件，正式授权下述签字人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(姓名和职务)代表申报人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（谈判</w:t>
      </w:r>
      <w:r>
        <w:rPr>
          <w:rFonts w:hint="eastAsia" w:ascii="仿宋" w:hAnsi="仿宋" w:eastAsia="仿宋" w:cs="仿宋"/>
          <w:color w:val="auto"/>
          <w:sz w:val="24"/>
          <w:lang w:eastAsia="zh-CN"/>
        </w:rPr>
        <w:t>投标企业</w:t>
      </w:r>
      <w:r>
        <w:rPr>
          <w:rFonts w:hint="eastAsia" w:ascii="仿宋" w:hAnsi="仿宋" w:eastAsia="仿宋" w:cs="仿宋"/>
          <w:color w:val="auto"/>
          <w:sz w:val="24"/>
        </w:rPr>
        <w:t>名称）</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据此函，签字人兹宣布同意如下：</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1、总报价为（大写）</w:t>
      </w:r>
      <w:r>
        <w:rPr>
          <w:rFonts w:hint="eastAsia" w:ascii="仿宋" w:hAnsi="仿宋" w:eastAsia="仿宋" w:cs="仿宋"/>
          <w:b/>
          <w:bCs/>
          <w:color w:val="auto"/>
          <w:sz w:val="24"/>
          <w:u w:val="single"/>
        </w:rPr>
        <w:t xml:space="preserve">             </w:t>
      </w:r>
      <w:r>
        <w:rPr>
          <w:rFonts w:hint="eastAsia" w:ascii="仿宋" w:hAnsi="仿宋" w:eastAsia="仿宋" w:cs="仿宋"/>
          <w:color w:val="auto"/>
          <w:sz w:val="24"/>
        </w:rPr>
        <w:t>元人民币。</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2、我们同意向贵方提供贵方可能要求的与本次谈判有关的任何真实的证据或资料。</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3、一旦我方成交，我方将根据谈判文件的规定，严格履行合同，保证于承诺的时间内完成货物的启动、调试等服务，并交付采购人验收、使用。</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4、我方将严格遵守《中华人民共和国政府采购法》第七十七条规定。</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5、通讯方式为：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邮   编：</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   真：</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Cs w:val="21"/>
        </w:rPr>
        <w:t xml:space="preserve"> 投标人</w:t>
      </w:r>
      <w:r>
        <w:rPr>
          <w:rFonts w:hint="eastAsia" w:ascii="仿宋" w:hAnsi="仿宋" w:eastAsia="仿宋" w:cs="仿宋"/>
          <w:color w:val="auto"/>
          <w:sz w:val="24"/>
        </w:rPr>
        <w:t xml:space="preserve">（盖章）：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p>
    <w:p>
      <w:pPr>
        <w:spacing w:line="360" w:lineRule="auto"/>
        <w:ind w:firstLine="5280" w:firstLineChars="2200"/>
        <w:rPr>
          <w:rFonts w:hint="eastAsia" w:ascii="仿宋" w:hAnsi="仿宋" w:eastAsia="仿宋" w:cs="仿宋"/>
          <w:color w:val="auto"/>
          <w:sz w:val="24"/>
          <w:u w:val="single"/>
        </w:rPr>
      </w:pPr>
    </w:p>
    <w:p>
      <w:pPr>
        <w:spacing w:line="360" w:lineRule="auto"/>
        <w:ind w:firstLine="5280" w:firstLineChars="22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color w:val="auto"/>
        </w:rPr>
      </w:pPr>
    </w:p>
    <w:p>
      <w:pPr>
        <w:spacing w:line="360" w:lineRule="auto"/>
        <w:rPr>
          <w:rFonts w:hint="eastAsia" w:ascii="仿宋" w:hAnsi="仿宋" w:eastAsia="仿宋" w:cs="仿宋"/>
          <w:b/>
          <w:bCs/>
          <w:color w:val="auto"/>
          <w:lang w:val="en-US" w:eastAsia="zh-CN"/>
        </w:rPr>
      </w:pPr>
    </w:p>
    <w:p>
      <w:pPr>
        <w:spacing w:line="360" w:lineRule="auto"/>
        <w:rPr>
          <w:rFonts w:hint="eastAsia" w:ascii="仿宋" w:hAnsi="仿宋" w:eastAsia="仿宋" w:cs="仿宋"/>
          <w:b/>
          <w:bCs/>
          <w:color w:val="auto"/>
          <w:lang w:val="en-US" w:eastAsia="zh-CN"/>
        </w:rPr>
      </w:pPr>
    </w:p>
    <w:p>
      <w:pPr>
        <w:pStyle w:val="31"/>
        <w:rPr>
          <w:rFonts w:hint="eastAsia" w:ascii="仿宋" w:hAnsi="仿宋" w:eastAsia="仿宋" w:cs="仿宋"/>
          <w:b/>
          <w:bCs/>
          <w:color w:val="auto"/>
          <w:lang w:val="en-US" w:eastAsia="zh-CN"/>
        </w:rPr>
      </w:pPr>
    </w:p>
    <w:p>
      <w:pPr>
        <w:pStyle w:val="31"/>
        <w:rPr>
          <w:rFonts w:hint="eastAsia" w:ascii="仿宋" w:hAnsi="仿宋" w:eastAsia="仿宋" w:cs="仿宋"/>
          <w:b/>
          <w:bCs/>
          <w:color w:val="auto"/>
          <w:lang w:val="en-US" w:eastAsia="zh-CN"/>
        </w:rPr>
      </w:pPr>
    </w:p>
    <w:p>
      <w:pPr>
        <w:spacing w:line="360" w:lineRule="auto"/>
        <w:jc w:val="center"/>
        <w:rPr>
          <w:rFonts w:hint="eastAsia" w:ascii="仿宋" w:hAnsi="仿宋" w:eastAsia="仿宋" w:cs="仿宋"/>
          <w:b/>
          <w:bCs/>
          <w:color w:val="auto"/>
          <w:sz w:val="28"/>
          <w:szCs w:val="36"/>
        </w:rPr>
      </w:pPr>
    </w:p>
    <w:p>
      <w:pPr>
        <w:spacing w:line="360" w:lineRule="auto"/>
        <w:jc w:val="center"/>
        <w:rPr>
          <w:rFonts w:hint="eastAsia" w:ascii="仿宋" w:hAnsi="仿宋" w:eastAsia="仿宋" w:cs="仿宋"/>
          <w:b/>
          <w:bCs/>
          <w:color w:val="auto"/>
          <w:sz w:val="28"/>
          <w:szCs w:val="3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36"/>
        </w:rPr>
        <w:t>：法定代表人授权书格式</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（1）法定代表人资格证明书</w:t>
      </w:r>
    </w:p>
    <w:p>
      <w:pPr>
        <w:adjustRightInd w:val="0"/>
        <w:snapToGrid w:val="0"/>
        <w:spacing w:before="240" w:beforeLines="100" w:after="240" w:afterLines="100"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同志，现任我单位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职务，为法定代表人，特此证明。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签发日期：                  单位：           （盖章）</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附：代表人性别：            年龄：           身份证号码：</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营业执照号码：              经济性质：</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1、法定代表人为企业事业单位、国家机关、社会团体的主要行政负责人。</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2、内容必须填写真实、清楚、涂改无效，不得转让。</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3、将此证明书原件提交</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作为投标文件附件。</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(为避免废标，请投标人务必提供本附件)</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自选图形 2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wps:txbx>
                      <wps:bodyPr wrap="square" upright="1"/>
                    </wps:wsp>
                  </a:graphicData>
                </a:graphic>
              </wp:anchor>
            </w:drawing>
          </mc:Choice>
          <mc:Fallback>
            <w:pict>
              <v:shape id="自选图形 23"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Ln72wclAgAAVAQAAA4AAAAAAAAAAQAgAAAAJ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000000"/>
          <w:sz w:val="24"/>
          <w:szCs w:val="24"/>
          <w:highlight w:val="none"/>
        </w:rPr>
      </w:pPr>
    </w:p>
    <w:p>
      <w:pPr>
        <w:spacing w:line="500" w:lineRule="exact"/>
        <w:jc w:val="center"/>
        <w:rPr>
          <w:rFonts w:hint="eastAsia" w:ascii="仿宋" w:hAnsi="仿宋" w:eastAsia="仿宋" w:cs="仿宋"/>
          <w:color w:val="00000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投标人（盖章）：</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期：</w:t>
      </w:r>
      <w:r>
        <w:rPr>
          <w:rFonts w:hint="eastAsia" w:ascii="仿宋" w:hAnsi="仿宋" w:eastAsia="仿宋" w:cs="仿宋"/>
          <w:color w:val="000000"/>
          <w:sz w:val="24"/>
          <w:szCs w:val="24"/>
          <w:highlight w:val="none"/>
          <w:u w:val="single"/>
        </w:rPr>
        <w:t xml:space="preserve">                                       </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（2）法定代表人授权委托书</w:t>
      </w:r>
    </w:p>
    <w:p>
      <w:pPr>
        <w:spacing w:line="500" w:lineRule="exact"/>
        <w:rPr>
          <w:rFonts w:hint="eastAsia" w:ascii="仿宋" w:hAnsi="仿宋" w:eastAsia="仿宋" w:cs="仿宋"/>
          <w:color w:val="000000"/>
          <w:szCs w:val="21"/>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单位）：</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我（法人姓名）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兹委托</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（被委托人名称、职务）（居民身份证编号：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）为我单位的委托代理人，代表我单位就</w:t>
      </w:r>
      <w:r>
        <w:rPr>
          <w:rFonts w:hint="eastAsia" w:ascii="仿宋" w:hAnsi="仿宋" w:eastAsia="仿宋" w:cs="仿宋"/>
          <w:color w:val="000000"/>
          <w:sz w:val="24"/>
          <w:szCs w:val="24"/>
          <w:highlight w:val="none"/>
          <w:u w:val="single"/>
          <w:lang w:eastAsia="zh-CN"/>
        </w:rPr>
        <w:t>项目名称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）签署投标文件、进行谈判、签订合同和处理与之有关的一切事务，其签名真迹如本授权委托书末尾所示，特此证明。</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本授权自</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日有效。</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4" name="自选图形 24"/>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wps:txbx>
                      <wps:bodyPr wrap="square" upright="1"/>
                    </wps:wsp>
                  </a:graphicData>
                </a:graphic>
              </wp:anchor>
            </w:drawing>
          </mc:Choice>
          <mc:Fallback>
            <w:pict>
              <v:roundrect id="自选图形 24"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faB9sAAAAKAQAADwAAAAAAAAABACAAAAAiAAAAZHJzL2Rvd25yZXYueG1s&#10;UEsBAhQAFAAAAAgAh07iQARYSM8uAgAAZwQAAA4AAAAAAAAAAQAgAAAAKgEAAGRycy9lMm9Eb2Mu&#10;eG1sUEsFBgAAAAAGAAYAWQEAAMoFA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426335" cy="1292225"/>
                <wp:effectExtent l="4445" t="4445" r="7620" b="17780"/>
                <wp:wrapNone/>
                <wp:docPr id="3" name="自选图形 25"/>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wps:txbx>
                      <wps:bodyPr wrap="square" upright="1"/>
                    </wps:wsp>
                  </a:graphicData>
                </a:graphic>
              </wp:anchor>
            </w:drawing>
          </mc:Choice>
          <mc:Fallback>
            <w:pict>
              <v:shape id="自选图形 25" o:spid="_x0000_s1026" o:spt="176" type="#_x0000_t176" style="position:absolute;left:0pt;margin-left:1.65pt;margin-top:10.7pt;height:101.75pt;width:191.05pt;z-index:251661312;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TAPmvXAAAACAEAAA8AAAAAAAAAAQAgAAAAIgAAAGRycy9kb3ducmV2LnhtbFBLAQIUABQAAAAI&#10;AIdO4kDko2oYJwIAAFQEAAAOAAAAAAAAAAEAIAAAACY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6" name="自选图形 26"/>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wps:txbx>
                      <wps:bodyPr wrap="square" upright="1"/>
                    </wps:wsp>
                  </a:graphicData>
                </a:graphic>
              </wp:anchor>
            </w:drawing>
          </mc:Choice>
          <mc:Fallback>
            <w:pict>
              <v:roundrect id="自选图形 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b/742gAAAAoBAAAPAAAAAAAAAAEAIAAAACIAAABkcnMvZG93bnJldi54bWxQ&#10;SwECFAAUAAAACACHTuJA7C6aRy4CAABnBAAADgAAAAAAAAABACAAAAApAQAAZHJzL2Uyb0RvYy54&#10;bWxQSwUGAAAAAAYABgBZAQAAyQU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5" name="自选图形 27"/>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wrap="square" upright="1"/>
                    </wps:wsp>
                  </a:graphicData>
                </a:graphic>
              </wp:anchor>
            </w:drawing>
          </mc:Choice>
          <mc:Fallback>
            <w:pict>
              <v:roundrect id="自选图形 27" o:spid="_x0000_s1026" o:spt="2" style="position:absolute;left:0pt;margin-left:-0.85pt;margin-top:2.35pt;height:100.5pt;width:198pt;z-index:251663360;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Co1QEwMA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ehI/vaAAAACAEAAA8AAAAAAAAAAQAgAAAAIgAAAGRycy9kb3ducmV2Lnht&#10;bFBLAQIUABQAAAAIAIdO4kCo1QEwMAIAAGcEAAAOAAAAAAAAAAEAIAAAACkBAABkcnMvZTJvRG9j&#10;LnhtbFBLBQYAAAAABgAGAFkBAADLBQ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v:roundrect>
            </w:pict>
          </mc:Fallback>
        </mc:AlternateContent>
      </w: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投标单位：（盖章）</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期：年   月   日 </w:t>
      </w:r>
    </w:p>
    <w:p>
      <w:pPr>
        <w:spacing w:line="360" w:lineRule="auto"/>
        <w:jc w:val="left"/>
        <w:rPr>
          <w:rFonts w:hint="eastAsia" w:ascii="仿宋" w:hAnsi="仿宋" w:eastAsia="仿宋" w:cs="仿宋"/>
          <w:b/>
          <w:bCs/>
          <w:color w:val="auto"/>
        </w:rPr>
      </w:pPr>
    </w:p>
    <w:p>
      <w:pPr>
        <w:spacing w:line="360" w:lineRule="auto"/>
        <w:jc w:val="left"/>
        <w:rPr>
          <w:rFonts w:hint="eastAsia" w:ascii="仿宋" w:hAnsi="仿宋" w:eastAsia="仿宋" w:cs="仿宋"/>
          <w:b/>
          <w:bCs/>
          <w:color w:val="auto"/>
          <w:sz w:val="28"/>
          <w:szCs w:val="36"/>
        </w:rPr>
      </w:pPr>
    </w:p>
    <w:p>
      <w:pPr>
        <w:pStyle w:val="5"/>
        <w:numPr>
          <w:ilvl w:val="0"/>
          <w:numId w:val="0"/>
        </w:numPr>
        <w:shd w:val="clear" w:color="auto" w:fill="auto"/>
        <w:spacing w:before="0" w:line="240" w:lineRule="atLeast"/>
        <w:jc w:val="center"/>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8"/>
          <w:szCs w:val="36"/>
          <w:highlight w:val="none"/>
          <w:lang w:val="en-US" w:eastAsia="zh-CN"/>
        </w:rPr>
        <w:t>公司相关资质证明材料</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1、有效的三证合一营业执照副本；</w:t>
      </w:r>
    </w:p>
    <w:p>
      <w:pPr>
        <w:spacing w:line="360" w:lineRule="auto"/>
        <w:ind w:left="480" w:hanging="480" w:hanging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2、法定代表人投标需提供法定代表人资格证明书，委托代理人投标需提供法定代表人授权委托书；</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3、投标企业须提供投标人（被授权在职人员）近期有效的社保证明；</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5、投标保证金汇款凭证或担保函等；</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6、投标人需提供有效的《兽药经营许可证》或《兽药生产许可证》；</w:t>
      </w:r>
    </w:p>
    <w:p>
      <w:pPr>
        <w:pStyle w:val="2"/>
        <w:rPr>
          <w:rFonts w:hint="default"/>
          <w:lang w:val="en-US" w:eastAsia="zh-CN"/>
        </w:rPr>
      </w:pPr>
      <w:r>
        <w:rPr>
          <w:rFonts w:hint="eastAsia" w:ascii="仿宋" w:hAnsi="仿宋" w:eastAsia="仿宋" w:cs="仿宋"/>
          <w:color w:val="auto"/>
          <w:sz w:val="24"/>
          <w:szCs w:val="24"/>
          <w:lang w:val="en-US" w:eastAsia="zh-CN"/>
        </w:rPr>
        <w:t>7、供应商为中小企业；</w:t>
      </w:r>
    </w:p>
    <w:p>
      <w:pPr>
        <w:spacing w:line="360" w:lineRule="auto"/>
        <w:jc w:val="center"/>
        <w:rPr>
          <w:rFonts w:hint="eastAsia" w:ascii="仿宋" w:hAnsi="仿宋" w:eastAsia="仿宋" w:cs="仿宋"/>
          <w:color w:val="auto"/>
          <w:sz w:val="24"/>
          <w:szCs w:val="24"/>
          <w:lang w:val="en-US" w:eastAsia="zh-CN"/>
        </w:rPr>
      </w:pPr>
      <w:bookmarkStart w:id="28" w:name="_GoBack"/>
      <w:bookmarkEnd w:id="28"/>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val="en-US" w:eastAsia="zh-CN"/>
        </w:rPr>
        <w:t xml:space="preserve"> 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仿宋"/>
          <w:color w:val="auto"/>
          <w:lang w:eastAsia="zh-CN"/>
        </w:rPr>
      </w:pP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20" w:firstLineChars="200"/>
        <w:rPr>
          <w:rFonts w:ascii="仿宋" w:hAnsi="仿宋" w:eastAsia="仿宋" w:cs="仿宋"/>
          <w:color w:val="auto"/>
          <w:lang w:eastAsia="zh-CN"/>
        </w:rPr>
      </w:pPr>
    </w:p>
    <w:p>
      <w:pPr>
        <w:spacing w:line="360" w:lineRule="auto"/>
        <w:ind w:firstLine="399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20"/>
        <w:rPr>
          <w:rFonts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lang w:val="en-US" w:eastAsia="zh-CN"/>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6"/>
        <w:rPr>
          <w:rFonts w:hint="eastAsia" w:ascii="仿宋" w:hAnsi="仿宋" w:eastAsia="仿宋" w:cs="仿宋"/>
          <w:color w:val="auto"/>
        </w:rPr>
      </w:pPr>
    </w:p>
    <w:p>
      <w:pPr>
        <w:pStyle w:val="11"/>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：开标一览表（投标文件格式一）</w:t>
      </w:r>
    </w:p>
    <w:p>
      <w:pPr>
        <w:numPr>
          <w:ilvl w:val="0"/>
          <w:numId w:val="0"/>
        </w:numPr>
        <w:spacing w:line="360" w:lineRule="auto"/>
        <w:jc w:val="center"/>
        <w:rPr>
          <w:rFonts w:hint="eastAsia" w:ascii="仿宋" w:hAnsi="仿宋" w:eastAsia="仿宋" w:cs="仿宋"/>
          <w:b/>
          <w:bCs/>
          <w:color w:val="auto"/>
          <w:kern w:val="0"/>
          <w:sz w:val="28"/>
          <w:szCs w:val="28"/>
          <w:lang w:val="en-US" w:eastAsia="zh-CN" w:bidi="ar"/>
        </w:rPr>
      </w:pPr>
      <w:bookmarkStart w:id="19" w:name="_Hlt520356241"/>
      <w:bookmarkEnd w:id="19"/>
      <w:bookmarkStart w:id="20" w:name="_Toc216582815"/>
      <w:bookmarkStart w:id="21" w:name="_Toc1881"/>
      <w:bookmarkStart w:id="22" w:name="_Toc515647818"/>
      <w:bookmarkStart w:id="23" w:name="_Toc10313"/>
      <w:bookmarkStart w:id="24" w:name="_Toc20897"/>
      <w:r>
        <w:rPr>
          <w:rFonts w:hint="eastAsia" w:ascii="仿宋" w:hAnsi="仿宋" w:eastAsia="仿宋" w:cs="仿宋"/>
          <w:b/>
          <w:bCs/>
          <w:color w:val="auto"/>
          <w:kern w:val="0"/>
          <w:sz w:val="28"/>
          <w:szCs w:val="28"/>
          <w:lang w:val="en-US" w:eastAsia="zh-CN" w:bidi="ar"/>
        </w:rPr>
        <w:t>投 标 一 览 表</w:t>
      </w:r>
    </w:p>
    <w:p>
      <w:pPr>
        <w:numPr>
          <w:ilvl w:val="0"/>
          <w:numId w:val="0"/>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投标企业名称:  </w:t>
      </w:r>
      <w:r>
        <w:rPr>
          <w:rFonts w:hint="eastAsia" w:ascii="仿宋" w:hAnsi="仿宋" w:eastAsia="仿宋" w:cs="仿宋"/>
          <w:b/>
          <w:bCs/>
          <w:color w:val="auto"/>
          <w:kern w:val="0"/>
          <w:sz w:val="28"/>
          <w:szCs w:val="28"/>
          <w:lang w:val="en-US" w:eastAsia="zh-CN" w:bidi="ar"/>
        </w:rPr>
        <w:t xml:space="preserve">                                  </w:t>
      </w: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 目 名 称 ：                         项目编号：</w:t>
      </w:r>
    </w:p>
    <w:tbl>
      <w:tblPr>
        <w:tblStyle w:val="24"/>
        <w:tblpPr w:leftFromText="180" w:rightFromText="180" w:vertAnchor="text" w:horzAnchor="page" w:tblpX="1702"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548"/>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投标项目名称</w:t>
            </w:r>
          </w:p>
        </w:tc>
        <w:tc>
          <w:tcPr>
            <w:tcW w:w="5818"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投标内容</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供货</w:t>
            </w:r>
            <w:r>
              <w:rPr>
                <w:rFonts w:hint="eastAsia" w:ascii="仿宋" w:hAnsi="仿宋" w:eastAsia="仿宋" w:cs="仿宋"/>
                <w:color w:val="auto"/>
                <w:sz w:val="24"/>
                <w:szCs w:val="24"/>
              </w:rPr>
              <w:t>期</w:t>
            </w:r>
            <w:r>
              <w:rPr>
                <w:rFonts w:hint="eastAsia" w:ascii="仿宋" w:hAnsi="仿宋" w:eastAsia="仿宋" w:cs="仿宋"/>
                <w:color w:val="auto"/>
                <w:sz w:val="24"/>
                <w:szCs w:val="24"/>
                <w:lang w:eastAsia="zh-CN"/>
              </w:rPr>
              <w:t>（天）</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5818"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restart"/>
            <w:tcBorders>
              <w:top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投标总价</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548" w:type="dxa"/>
            <w:tcBorders>
              <w:top w:val="single" w:color="auto" w:sz="4" w:space="0"/>
              <w:bottom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continue"/>
            <w:noWrap w:val="0"/>
            <w:vAlign w:val="center"/>
          </w:tcPr>
          <w:p>
            <w:pPr>
              <w:jc w:val="center"/>
              <w:rPr>
                <w:rFonts w:hint="eastAsia" w:ascii="仿宋" w:hAnsi="仿宋" w:eastAsia="仿宋" w:cs="仿宋"/>
                <w:color w:val="auto"/>
                <w:sz w:val="24"/>
                <w:szCs w:val="24"/>
              </w:rPr>
            </w:pPr>
          </w:p>
        </w:tc>
        <w:tc>
          <w:tcPr>
            <w:tcW w:w="548" w:type="dxa"/>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366" w:type="dxa"/>
            <w:gridSpan w:val="2"/>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1"/>
          <w:szCs w:val="21"/>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1.上述报价包含一切由供方承担的费用。                                                    </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2．各表格长度方向可做扩展。</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.运杂费包括：运输至</w:t>
      </w: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现场过程中所发生的运输费、装卸费、包装费和运输保险费以及其它可能发生的费用。</w:t>
      </w:r>
    </w:p>
    <w:p>
      <w:pPr>
        <w:pStyle w:val="5"/>
        <w:numPr>
          <w:ilvl w:val="0"/>
          <w:numId w:val="0"/>
        </w:numPr>
        <w:shd w:val="clear" w:color="auto" w:fill="auto"/>
        <w:spacing w:before="0" w:line="240" w:lineRule="atLeas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6"/>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投标分项报价表</w:t>
      </w:r>
      <w:bookmarkEnd w:id="20"/>
      <w:r>
        <w:rPr>
          <w:rFonts w:hint="eastAsia" w:ascii="仿宋" w:hAnsi="仿宋" w:eastAsia="仿宋" w:cs="仿宋"/>
          <w:b/>
          <w:bCs/>
          <w:color w:val="auto"/>
          <w:sz w:val="24"/>
          <w:highlight w:val="none"/>
        </w:rPr>
        <w:t>（投标文件格式）</w:t>
      </w:r>
      <w:bookmarkEnd w:id="21"/>
      <w:bookmarkEnd w:id="22"/>
      <w:bookmarkEnd w:id="23"/>
      <w:bookmarkEnd w:id="24"/>
    </w:p>
    <w:p>
      <w:pPr>
        <w:pStyle w:val="2"/>
        <w:shd w:val="clear" w:color="auto" w:fill="auto"/>
        <w:spacing w:line="240" w:lineRule="atLeast"/>
        <w:ind w:left="1080" w:leftChars="257" w:hanging="540"/>
        <w:rPr>
          <w:rFonts w:hint="eastAsia" w:ascii="仿宋" w:hAnsi="仿宋" w:eastAsia="仿宋" w:cs="仿宋"/>
          <w:color w:val="auto"/>
          <w:sz w:val="24"/>
          <w:highlight w:val="none"/>
        </w:rPr>
      </w:pPr>
    </w:p>
    <w:p>
      <w:pPr>
        <w:pStyle w:val="2"/>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 xml:space="preserve">编号:                   </w:t>
      </w:r>
    </w:p>
    <w:p>
      <w:pPr>
        <w:pStyle w:val="2"/>
        <w:shd w:val="clear" w:color="auto" w:fill="auto"/>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4"/>
        <w:tblW w:w="98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64"/>
        <w:gridCol w:w="1766"/>
        <w:gridCol w:w="1115"/>
        <w:gridCol w:w="1115"/>
        <w:gridCol w:w="718"/>
        <w:gridCol w:w="891"/>
        <w:gridCol w:w="910"/>
        <w:gridCol w:w="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76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rPr>
              <w:t>规格</w:t>
            </w:r>
            <w:r>
              <w:rPr>
                <w:rFonts w:hint="eastAsia" w:ascii="仿宋" w:hAnsi="仿宋" w:eastAsia="仿宋" w:cs="仿宋"/>
                <w:color w:val="auto"/>
                <w:szCs w:val="21"/>
                <w:lang w:val="en-US" w:eastAsia="zh-CN"/>
              </w:rPr>
              <w:t>/</w:t>
            </w:r>
            <w:r>
              <w:rPr>
                <w:rFonts w:hint="eastAsia" w:ascii="仿宋" w:hAnsi="仿宋" w:eastAsia="仿宋" w:cs="仿宋"/>
                <w:color w:val="auto"/>
                <w:szCs w:val="21"/>
              </w:rPr>
              <w:t>型号</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718"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91"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910"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4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61" w:type="dxa"/>
            <w:gridSpan w:val="9"/>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ab/>
            </w:r>
            <w:r>
              <w:rPr>
                <w:rFonts w:hint="eastAsia" w:ascii="仿宋" w:hAnsi="仿宋" w:eastAsia="仿宋" w:cs="仿宋"/>
                <w:color w:val="auto"/>
                <w:szCs w:val="21"/>
                <w:lang w:eastAsia="zh-CN"/>
              </w:rPr>
              <w:t>合计：</w:t>
            </w:r>
          </w:p>
        </w:tc>
      </w:tr>
    </w:tbl>
    <w:p>
      <w:pPr>
        <w:spacing w:line="50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    注：总价金额与按单价汇总金额不一致的，以单价金额计算结果为准。</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（加盖公章）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法定代表人签字或盖章：</w:t>
      </w:r>
      <w:r>
        <w:rPr>
          <w:rFonts w:hint="eastAsia" w:ascii="仿宋" w:hAnsi="仿宋" w:eastAsia="仿宋" w:cs="仿宋"/>
          <w:color w:val="auto"/>
          <w:szCs w:val="21"/>
          <w:u w:val="single"/>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授权代表：</w:t>
      </w:r>
      <w:r>
        <w:rPr>
          <w:rFonts w:hint="eastAsia" w:ascii="仿宋" w:hAnsi="仿宋" w:eastAsia="仿宋" w:cs="仿宋"/>
          <w:color w:val="auto"/>
          <w:szCs w:val="21"/>
          <w:u w:val="single"/>
        </w:rPr>
        <w:t xml:space="preserve"> （签</w:t>
      </w:r>
      <w:r>
        <w:rPr>
          <w:rFonts w:hint="eastAsia" w:ascii="仿宋" w:hAnsi="仿宋" w:eastAsia="仿宋" w:cs="仿宋"/>
          <w:color w:val="auto"/>
          <w:szCs w:val="21"/>
          <w:u w:val="single"/>
          <w:lang w:eastAsia="zh-CN"/>
        </w:rPr>
        <w:t>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b/>
          <w:color w:val="auto"/>
          <w:szCs w:val="21"/>
        </w:rPr>
      </w:pPr>
      <w:r>
        <w:rPr>
          <w:rFonts w:hint="eastAsia" w:ascii="仿宋" w:hAnsi="仿宋" w:eastAsia="仿宋" w:cs="仿宋"/>
          <w:color w:val="auto"/>
          <w:szCs w:val="21"/>
        </w:rPr>
        <w:t>签署日期：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widowControl/>
        <w:spacing w:line="500" w:lineRule="atLeast"/>
        <w:ind w:firstLine="235"/>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注：投标人应根据货物清单分项进行填报，表中表格行数可自行添加。招标文件中未列出的相关辅助材料和在实施过程中涉及到的其它一切费用应在报价时一并考虑，项目实施过程中不再单独结算。  </w:t>
      </w:r>
    </w:p>
    <w:p>
      <w:pPr>
        <w:pageBreakBefore w:val="0"/>
        <w:kinsoku/>
        <w:wordWrap/>
        <w:overflowPunct/>
        <w:topLinePunct w:val="0"/>
        <w:bidi w:val="0"/>
        <w:adjustRightInd/>
        <w:spacing w:afterAutospacing="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pPr>
        <w:rPr>
          <w:rFonts w:hint="eastAsia"/>
        </w:rPr>
      </w:pPr>
    </w:p>
    <w:p>
      <w:pPr>
        <w:pageBreakBefore w:val="0"/>
        <w:kinsoku/>
        <w:wordWrap/>
        <w:overflowPunct/>
        <w:topLinePunct w:val="0"/>
        <w:bidi w:val="0"/>
        <w:adjustRightInd/>
        <w:spacing w:afterAutospacing="0" w:line="360" w:lineRule="auto"/>
        <w:jc w:val="both"/>
        <w:rPr>
          <w:rFonts w:hint="eastAsia" w:ascii="仿宋" w:hAnsi="仿宋" w:eastAsia="仿宋" w:cs="仿宋"/>
          <w:b/>
          <w:color w:val="auto"/>
          <w:sz w:val="28"/>
          <w:szCs w:val="28"/>
        </w:rPr>
      </w:pPr>
    </w:p>
    <w:p>
      <w:pPr>
        <w:pageBreakBefore w:val="0"/>
        <w:kinsoku/>
        <w:wordWrap/>
        <w:overflowPunct/>
        <w:topLinePunct w:val="0"/>
        <w:bidi w:val="0"/>
        <w:adjustRightInd/>
        <w:spacing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color w:val="auto"/>
          <w:sz w:val="28"/>
          <w:szCs w:val="28"/>
        </w:rPr>
        <w:t>附</w:t>
      </w:r>
      <w:r>
        <w:rPr>
          <w:rFonts w:hint="eastAsia" w:ascii="仿宋" w:hAnsi="仿宋" w:eastAsia="仿宋" w:cs="仿宋"/>
          <w:b/>
          <w:color w:val="auto"/>
          <w:sz w:val="30"/>
          <w:szCs w:val="30"/>
        </w:rPr>
        <w:t>件</w:t>
      </w:r>
      <w:r>
        <w:rPr>
          <w:rFonts w:hint="eastAsia" w:ascii="仿宋" w:hAnsi="仿宋" w:eastAsia="仿宋" w:cs="仿宋"/>
          <w:b/>
          <w:color w:val="auto"/>
          <w:sz w:val="30"/>
          <w:szCs w:val="30"/>
          <w:lang w:val="en-US" w:eastAsia="zh-CN"/>
        </w:rPr>
        <w:t>6</w:t>
      </w:r>
      <w:r>
        <w:rPr>
          <w:rFonts w:hint="eastAsia" w:ascii="仿宋" w:hAnsi="仿宋" w:eastAsia="仿宋" w:cs="仿宋"/>
          <w:b/>
          <w:color w:val="auto"/>
          <w:sz w:val="28"/>
          <w:szCs w:val="28"/>
        </w:rPr>
        <w:t>：商 务 条 款 偏 离 表</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20"/>
        <w:gridCol w:w="1886"/>
        <w:gridCol w:w="1830"/>
        <w:gridCol w:w="114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93"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2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招标文件条目号</w:t>
            </w:r>
          </w:p>
        </w:tc>
        <w:tc>
          <w:tcPr>
            <w:tcW w:w="1886"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招标文件的商务条款</w:t>
            </w:r>
          </w:p>
        </w:tc>
        <w:tc>
          <w:tcPr>
            <w:tcW w:w="183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投标文件的商务条款</w:t>
            </w:r>
          </w:p>
        </w:tc>
        <w:tc>
          <w:tcPr>
            <w:tcW w:w="1148"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04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 xml:space="preserve"> (盖章)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left"/>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pStyle w:val="6"/>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5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7</w:t>
      </w:r>
      <w:r>
        <w:rPr>
          <w:rFonts w:hint="eastAsia" w:ascii="仿宋" w:hAnsi="仿宋" w:eastAsia="仿宋" w:cs="仿宋"/>
          <w:b/>
          <w:bCs/>
          <w:color w:val="auto"/>
          <w:sz w:val="28"/>
          <w:szCs w:val="36"/>
        </w:rPr>
        <w:t>：技术偏差表</w:t>
      </w:r>
      <w:r>
        <w:rPr>
          <w:rFonts w:hint="eastAsia" w:ascii="仿宋" w:hAnsi="仿宋" w:eastAsia="仿宋" w:cs="仿宋"/>
          <w:b/>
          <w:bCs/>
          <w:color w:val="auto"/>
          <w:sz w:val="28"/>
          <w:szCs w:val="56"/>
        </w:rPr>
        <w:t>格式</w:t>
      </w: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32"/>
        <w:gridCol w:w="2175"/>
        <w:gridCol w:w="1791"/>
        <w:gridCol w:w="111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3"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32"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2175"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1791"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16"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740"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pStyle w:val="6"/>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spacing w:line="360" w:lineRule="auto"/>
        <w:jc w:val="center"/>
        <w:rPr>
          <w:rFonts w:hint="eastAsia" w:ascii="仿宋" w:hAnsi="仿宋" w:eastAsia="仿宋" w:cs="仿宋"/>
          <w:b/>
          <w:bCs/>
          <w:color w:val="auto"/>
          <w:sz w:val="28"/>
          <w:szCs w:val="28"/>
          <w:lang w:val="en-US" w:eastAsia="zh-CN"/>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附件8:</w:t>
      </w:r>
      <w:r>
        <w:rPr>
          <w:rFonts w:hint="eastAsia" w:ascii="仿宋" w:hAnsi="仿宋" w:eastAsia="仿宋" w:cs="仿宋"/>
          <w:b/>
          <w:bCs/>
          <w:color w:val="auto"/>
          <w:sz w:val="28"/>
          <w:szCs w:val="28"/>
        </w:rPr>
        <w:t>诚 信 声 明</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tabs>
          <w:tab w:val="left" w:pos="6300"/>
        </w:tabs>
        <w:snapToGrid w:val="0"/>
        <w:spacing w:line="440" w:lineRule="exact"/>
        <w:ind w:firstLine="57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w:t>
      </w:r>
      <w:r>
        <w:rPr>
          <w:rFonts w:hint="eastAsia" w:ascii="仿宋" w:hAnsi="仿宋" w:eastAsia="仿宋" w:cs="仿宋"/>
          <w:color w:val="auto"/>
          <w:sz w:val="24"/>
          <w:szCs w:val="24"/>
        </w:rPr>
        <w:t>：</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资格条件。申明内容如有不实，我方愿意承担全部责任，自觉接受相关处罚。</w:t>
      </w:r>
    </w:p>
    <w:p>
      <w:pPr>
        <w:tabs>
          <w:tab w:val="left" w:pos="6300"/>
        </w:tabs>
        <w:snapToGrid w:val="0"/>
        <w:spacing w:line="440" w:lineRule="exact"/>
        <w:ind w:firstLine="480" w:firstLineChars="20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（投标人公章）</w:t>
      </w:r>
    </w:p>
    <w:p>
      <w:pPr>
        <w:tabs>
          <w:tab w:val="left" w:pos="6300"/>
        </w:tabs>
        <w:snapToGrid w:val="0"/>
        <w:spacing w:line="440" w:lineRule="exact"/>
        <w:ind w:right="480" w:firstLine="57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pPr>
        <w:spacing w:line="360" w:lineRule="auto"/>
        <w:ind w:firstLine="480" w:firstLineChars="200"/>
        <w:rPr>
          <w:rFonts w:hint="eastAsia" w:ascii="仿宋" w:hAnsi="仿宋" w:eastAsia="仿宋" w:cs="仿宋"/>
          <w:color w:val="auto"/>
          <w:sz w:val="24"/>
          <w:szCs w:val="24"/>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spacing w:before="100" w:beforeAutospacing="1" w:after="100" w:afterAutospacing="1" w:line="360" w:lineRule="auto"/>
        <w:jc w:val="center"/>
        <w:rPr>
          <w:rFonts w:hint="eastAsia" w:ascii="仿宋" w:hAnsi="仿宋" w:eastAsia="仿宋" w:cs="仿宋"/>
          <w:b/>
          <w:color w:val="auto"/>
          <w:sz w:val="30"/>
        </w:rPr>
      </w:pPr>
      <w:r>
        <w:rPr>
          <w:rFonts w:hint="eastAsia" w:ascii="仿宋" w:hAnsi="仿宋" w:eastAsia="仿宋" w:cs="仿宋"/>
          <w:b/>
          <w:color w:val="auto"/>
          <w:sz w:val="30"/>
          <w:lang w:val="en-US" w:eastAsia="zh-CN"/>
        </w:rPr>
        <w:t>附件9：</w:t>
      </w:r>
      <w:r>
        <w:rPr>
          <w:rFonts w:hint="eastAsia" w:ascii="仿宋" w:hAnsi="仿宋" w:eastAsia="仿宋" w:cs="仿宋"/>
          <w:b/>
          <w:color w:val="auto"/>
          <w:sz w:val="30"/>
        </w:rPr>
        <w:t>投标单位（</w:t>
      </w:r>
      <w:r>
        <w:rPr>
          <w:rFonts w:hint="eastAsia" w:ascii="仿宋" w:hAnsi="仿宋" w:eastAsia="仿宋" w:cs="仿宋"/>
          <w:b/>
          <w:color w:val="auto"/>
          <w:sz w:val="30"/>
          <w:lang w:val="en-US" w:eastAsia="zh-CN"/>
        </w:rPr>
        <w:t>供应商</w:t>
      </w:r>
      <w:r>
        <w:rPr>
          <w:rFonts w:hint="eastAsia" w:ascii="仿宋" w:hAnsi="仿宋" w:eastAsia="仿宋" w:cs="仿宋"/>
          <w:b/>
          <w:color w:val="auto"/>
          <w:sz w:val="30"/>
        </w:rPr>
        <w:t>）反商业贿赂承诺书</w:t>
      </w:r>
    </w:p>
    <w:p>
      <w:pPr>
        <w:widowControl/>
        <w:spacing w:before="100" w:beforeAutospacing="1" w:after="100" w:afterAutospacing="1" w:line="360" w:lineRule="auto"/>
        <w:ind w:firstLine="435"/>
        <w:jc w:val="left"/>
        <w:rPr>
          <w:rFonts w:hint="eastAsia" w:ascii="仿宋" w:hAnsi="仿宋" w:eastAsia="仿宋" w:cs="仿宋"/>
          <w:color w:val="auto"/>
          <w:sz w:val="24"/>
        </w:rPr>
      </w:pPr>
      <w:r>
        <w:rPr>
          <w:rFonts w:hint="eastAsia" w:ascii="仿宋" w:hAnsi="仿宋" w:eastAsia="仿宋" w:cs="仿宋"/>
          <w:color w:val="auto"/>
          <w:sz w:val="24"/>
        </w:rPr>
        <w:t>我公司承诺</w:t>
      </w:r>
      <w:r>
        <w:rPr>
          <w:rFonts w:hint="eastAsia" w:ascii="仿宋" w:hAnsi="仿宋" w:eastAsia="仿宋" w:cs="仿宋"/>
          <w:color w:val="auto"/>
          <w:sz w:val="24"/>
          <w:u w:val="none"/>
        </w:rPr>
        <w:t>在（项目编号、项目名称）招标</w:t>
      </w:r>
      <w:r>
        <w:rPr>
          <w:rFonts w:hint="eastAsia" w:ascii="仿宋" w:hAnsi="仿宋" w:eastAsia="仿宋" w:cs="仿宋"/>
          <w:color w:val="auto"/>
          <w:sz w:val="24"/>
        </w:rPr>
        <w:t>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912" w:firstLineChars="380"/>
        <w:jc w:val="left"/>
        <w:rPr>
          <w:rFonts w:hint="eastAsia" w:ascii="仿宋" w:hAnsi="仿宋" w:eastAsia="仿宋" w:cs="仿宋"/>
          <w:color w:val="auto"/>
          <w:sz w:val="24"/>
        </w:rPr>
      </w:pPr>
      <w:r>
        <w:rPr>
          <w:rFonts w:hint="eastAsia" w:ascii="仿宋" w:hAnsi="仿宋" w:eastAsia="仿宋" w:cs="仿宋"/>
          <w:color w:val="auto"/>
          <w:sz w:val="24"/>
        </w:rPr>
        <w:t>公司法人代表：</w:t>
      </w:r>
    </w:p>
    <w:p>
      <w:pPr>
        <w:widowControl/>
        <w:spacing w:before="100" w:beforeAutospacing="1" w:after="100" w:afterAutospacing="1" w:line="360" w:lineRule="auto"/>
        <w:ind w:firstLine="899"/>
        <w:jc w:val="left"/>
        <w:rPr>
          <w:rFonts w:hint="eastAsia" w:ascii="仿宋" w:hAnsi="仿宋" w:eastAsia="仿宋" w:cs="仿宋"/>
          <w:color w:val="auto"/>
          <w:sz w:val="24"/>
        </w:rPr>
      </w:pPr>
      <w:r>
        <w:rPr>
          <w:rFonts w:hint="eastAsia" w:ascii="仿宋" w:hAnsi="仿宋" w:eastAsia="仿宋" w:cs="仿宋"/>
          <w:color w:val="auto"/>
          <w:sz w:val="24"/>
        </w:rPr>
        <w:t>法人授权代表：</w:t>
      </w:r>
    </w:p>
    <w:p>
      <w:pPr>
        <w:rPr>
          <w:rFonts w:hint="eastAsia" w:ascii="仿宋" w:hAnsi="仿宋" w:eastAsia="仿宋" w:cs="仿宋"/>
          <w:color w:val="auto"/>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pPr>
        <w:rPr>
          <w:rFonts w:hint="eastAsia" w:ascii="仿宋" w:hAnsi="仿宋" w:eastAsia="仿宋" w:cs="仿宋"/>
          <w:color w:val="auto"/>
        </w:rPr>
      </w:pPr>
    </w:p>
    <w:p>
      <w:pPr>
        <w:pageBreakBefore w:val="0"/>
        <w:kinsoku/>
        <w:wordWrap/>
        <w:overflowPunct/>
        <w:topLinePunct w:val="0"/>
        <w:bidi w:val="0"/>
        <w:spacing w:line="240" w:lineRule="auto"/>
        <w:textAlignment w:val="auto"/>
        <w:rPr>
          <w:rFonts w:hint="eastAsia" w:ascii="仿宋" w:hAnsi="仿宋" w:eastAsia="仿宋" w:cs="仿宋"/>
          <w:color w:val="auto"/>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widowControl/>
        <w:spacing w:before="100" w:beforeAutospacing="1" w:after="100" w:afterAutospacing="1" w:line="360" w:lineRule="auto"/>
        <w:jc w:val="center"/>
        <w:rPr>
          <w:rFonts w:hint="eastAsia" w:ascii="仿宋" w:hAnsi="仿宋" w:eastAsia="仿宋" w:cs="仿宋"/>
          <w:b/>
          <w:color w:val="auto"/>
          <w:sz w:val="28"/>
          <w:szCs w:val="22"/>
          <w:lang w:eastAsia="zh-CN"/>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10、售后</w:t>
      </w:r>
      <w:r>
        <w:rPr>
          <w:rFonts w:hint="eastAsia" w:ascii="仿宋" w:hAnsi="仿宋" w:eastAsia="仿宋" w:cs="仿宋"/>
          <w:b/>
          <w:color w:val="auto"/>
          <w:sz w:val="28"/>
          <w:szCs w:val="22"/>
          <w:lang w:eastAsia="zh-CN"/>
        </w:rPr>
        <w:t>服务方案</w:t>
      </w:r>
    </w:p>
    <w:p>
      <w:pPr>
        <w:pStyle w:val="6"/>
        <w:rPr>
          <w:rFonts w:hint="eastAsia" w:ascii="仿宋" w:hAnsi="仿宋" w:eastAsia="仿宋" w:cs="仿宋"/>
          <w:b/>
          <w:color w:val="auto"/>
          <w:sz w:val="28"/>
          <w:szCs w:val="22"/>
          <w:lang w:eastAsia="zh-CN"/>
        </w:rPr>
      </w:pPr>
    </w:p>
    <w:p>
      <w:pPr>
        <w:rPr>
          <w:rFonts w:hint="eastAsia"/>
          <w:lang w:eastAsia="zh-CN"/>
        </w:rPr>
      </w:pPr>
    </w:p>
    <w:p>
      <w:pPr>
        <w:rPr>
          <w:rFonts w:hint="eastAsia" w:ascii="仿宋" w:hAnsi="仿宋" w:eastAsia="仿宋" w:cs="仿宋"/>
          <w:color w:val="auto"/>
          <w:sz w:val="24"/>
          <w:szCs w:val="24"/>
        </w:rPr>
      </w:pPr>
    </w:p>
    <w:p>
      <w:pPr>
        <w:widowControl/>
        <w:spacing w:before="100" w:beforeAutospacing="1" w:after="100" w:afterAutospacing="1"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11、</w:t>
      </w:r>
      <w:r>
        <w:rPr>
          <w:rFonts w:hint="eastAsia" w:ascii="仿宋" w:hAnsi="仿宋" w:eastAsia="仿宋" w:cs="仿宋"/>
          <w:b/>
          <w:color w:val="auto"/>
          <w:sz w:val="28"/>
          <w:szCs w:val="22"/>
        </w:rPr>
        <w:t xml:space="preserve"> 提供其它有利于投标的资料</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该承诺格式由</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自行确定</w:t>
      </w:r>
    </w:p>
    <w:p>
      <w:pPr>
        <w:pStyle w:val="6"/>
        <w:rPr>
          <w:rFonts w:hint="eastAsia"/>
          <w:lang w:val="en-US" w:eastAsia="zh-CN"/>
        </w:rPr>
      </w:pPr>
    </w:p>
    <w:p>
      <w:pPr>
        <w:jc w:val="center"/>
        <w:rPr>
          <w:rFonts w:hint="eastAsia" w:ascii="仿宋" w:hAnsi="仿宋" w:eastAsia="仿宋" w:cs="仿宋"/>
          <w:b/>
          <w:bCs/>
          <w:color w:val="auto"/>
          <w:sz w:val="44"/>
          <w:szCs w:val="44"/>
          <w:lang w:eastAsia="zh-CN"/>
        </w:rPr>
      </w:pPr>
    </w:p>
    <w:p>
      <w:pPr>
        <w:jc w:val="center"/>
        <w:rPr>
          <w:rFonts w:hint="eastAsia" w:ascii="仿宋" w:hAnsi="仿宋" w:eastAsia="仿宋" w:cs="仿宋"/>
          <w:b/>
          <w:bCs/>
          <w:color w:val="auto"/>
          <w:sz w:val="44"/>
          <w:szCs w:val="44"/>
        </w:rPr>
      </w:pPr>
    </w:p>
    <w:p>
      <w:pPr>
        <w:pStyle w:val="13"/>
        <w:jc w:val="center"/>
        <w:rPr>
          <w:rFonts w:hint="eastAsia" w:ascii="仿宋" w:hAnsi="仿宋" w:eastAsia="仿宋" w:cs="仿宋"/>
          <w:b/>
          <w:bCs/>
          <w:color w:val="auto"/>
          <w:spacing w:val="60"/>
          <w:sz w:val="32"/>
        </w:rPr>
      </w:pPr>
      <w:r>
        <w:rPr>
          <w:rFonts w:hint="eastAsia" w:ascii="仿宋" w:hAnsi="仿宋" w:eastAsia="仿宋" w:cs="仿宋"/>
          <w:b/>
          <w:bCs/>
          <w:color w:val="auto"/>
          <w:spacing w:val="60"/>
          <w:sz w:val="32"/>
          <w:szCs w:val="32"/>
        </w:rPr>
        <w:t>注意事项</w:t>
      </w:r>
    </w:p>
    <w:p>
      <w:pPr>
        <w:rPr>
          <w:rFonts w:hint="eastAsia" w:ascii="仿宋" w:hAnsi="仿宋" w:eastAsia="仿宋" w:cs="仿宋"/>
          <w:color w:val="auto"/>
          <w:sz w:val="32"/>
          <w:szCs w:val="32"/>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1、投标人对所附表格中要求的资料和询问应做出肯定的回答。</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2、采购文件的签字人应保证他所做的声明及对一切问题的回答的真实性和准确。</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3、投标人提供的采购文件将由招标人使用，并据此进行评价和判断，确定投标人的能力。</w:t>
      </w:r>
    </w:p>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4、投标人提交的文件将给予保密，但不退还。</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温馨</w:t>
      </w:r>
      <w:r>
        <w:rPr>
          <w:rFonts w:hint="eastAsia" w:ascii="仿宋" w:hAnsi="仿宋" w:eastAsia="仿宋" w:cs="仿宋"/>
          <w:b/>
          <w:bCs/>
          <w:color w:val="auto"/>
          <w:sz w:val="24"/>
        </w:rPr>
        <w:t>提示：</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投标企业应提前上传，以便在上传时遇到技术问题，有充足的时间请教平台的技术人员！</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jc w:val="center"/>
        <w:outlineLvl w:val="0"/>
        <w:rPr>
          <w:rFonts w:hint="eastAsia" w:ascii="仿宋" w:hAnsi="仿宋" w:eastAsia="仿宋" w:cs="仿宋"/>
          <w:b/>
          <w:bCs/>
          <w:color w:val="auto"/>
          <w:sz w:val="44"/>
          <w:szCs w:val="44"/>
        </w:rPr>
      </w:pPr>
      <w:bookmarkStart w:id="25" w:name="_Toc27497"/>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八</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政府采购投诉书（范本）</w:t>
      </w:r>
      <w:bookmarkEnd w:id="25"/>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32"/>
          <w:szCs w:val="32"/>
          <w:lang w:val="en-US" w:eastAsia="zh-CN"/>
        </w:rPr>
        <w:t>政府采购投诉书（范本）</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委托代理人姓名：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住址：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被投诉人：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电话：</w:t>
      </w:r>
      <w:r>
        <w:rPr>
          <w:rFonts w:hint="eastAsia" w:ascii="仿宋" w:hAnsi="仿宋" w:eastAsia="仿宋" w:cs="仿宋"/>
          <w:color w:val="auto"/>
          <w:sz w:val="24"/>
          <w:szCs w:val="24"/>
          <w:u w:val="single"/>
        </w:rPr>
        <w:t xml:space="preserve">               </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我公司参加了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日被投诉人组织的</w:t>
      </w:r>
      <w:r>
        <w:rPr>
          <w:rFonts w:hint="eastAsia" w:ascii="仿宋" w:hAnsi="仿宋" w:eastAsia="仿宋" w:cs="仿宋"/>
          <w:color w:val="auto"/>
          <w:sz w:val="24"/>
          <w:szCs w:val="24"/>
          <w:u w:val="single"/>
        </w:rPr>
        <w:t>（采购人）（项目名称）（项目编号）</w:t>
      </w:r>
      <w:r>
        <w:rPr>
          <w:rFonts w:hint="eastAsia" w:ascii="仿宋" w:hAnsi="仿宋" w:eastAsia="仿宋" w:cs="仿宋"/>
          <w:color w:val="auto"/>
          <w:sz w:val="24"/>
          <w:szCs w:val="24"/>
        </w:rPr>
        <w:t>的采购活动，我公司认为该项目的</w:t>
      </w:r>
      <w:r>
        <w:rPr>
          <w:rFonts w:hint="eastAsia" w:ascii="仿宋" w:hAnsi="仿宋" w:eastAsia="仿宋" w:cs="仿宋"/>
          <w:color w:val="auto"/>
          <w:sz w:val="24"/>
          <w:szCs w:val="24"/>
          <w:u w:val="single"/>
        </w:rPr>
        <w:t>（采购文件/采购过程/中标（成交）结果）</w:t>
      </w:r>
      <w:r>
        <w:rPr>
          <w:rFonts w:hint="eastAsia" w:ascii="仿宋" w:hAnsi="仿宋" w:eastAsia="仿宋" w:cs="仿宋"/>
          <w:color w:val="auto"/>
          <w:sz w:val="24"/>
          <w:szCs w:val="24"/>
        </w:rPr>
        <w:t>损害了我公司权益，对此，我公司于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（采购人或者政府采购代理机构）</w:t>
      </w:r>
      <w:r>
        <w:rPr>
          <w:rFonts w:hint="eastAsia" w:ascii="仿宋" w:hAnsi="仿宋" w:eastAsia="仿宋" w:cs="仿宋"/>
          <w:color w:val="auto"/>
          <w:sz w:val="24"/>
          <w:szCs w:val="24"/>
        </w:rPr>
        <w:t>提出了质疑，</w:t>
      </w:r>
      <w:r>
        <w:rPr>
          <w:rFonts w:hint="eastAsia" w:ascii="仿宋" w:hAnsi="仿宋" w:eastAsia="仿宋" w:cs="仿宋"/>
          <w:color w:val="auto"/>
          <w:sz w:val="24"/>
          <w:szCs w:val="24"/>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rPr>
        <w:t>，现向贵机关提起投诉：</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1.具体的投诉事项及事实依据；</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2.质疑和质疑答复情况简要描述；</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3.投诉请求。</w:t>
      </w:r>
    </w:p>
    <w:p>
      <w:pP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附件：</w:t>
      </w:r>
    </w:p>
    <w:p>
      <w:pPr>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pPr>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pPr>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pPr>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pPr>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pPr>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投诉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法定代表人（或主要负责人）：（签字）</w:t>
      </w:r>
    </w:p>
    <w:p>
      <w:pPr>
        <w:ind w:firstLine="3840" w:firstLineChars="16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份并附电子文档。</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jc w:val="both"/>
        <w:rPr>
          <w:rFonts w:hint="eastAsia" w:ascii="仿宋" w:hAnsi="仿宋" w:eastAsia="仿宋" w:cs="仿宋"/>
          <w:b/>
          <w:bCs/>
          <w:color w:val="auto"/>
          <w:sz w:val="24"/>
          <w:szCs w:val="24"/>
        </w:rPr>
      </w:pPr>
    </w:p>
    <w:p>
      <w:pPr>
        <w:jc w:val="both"/>
        <w:rPr>
          <w:rFonts w:hint="eastAsia" w:ascii="仿宋" w:hAnsi="仿宋" w:eastAsia="仿宋" w:cs="仿宋"/>
          <w:b/>
          <w:bCs/>
          <w:color w:val="auto"/>
          <w:sz w:val="24"/>
          <w:szCs w:val="24"/>
        </w:rPr>
      </w:pPr>
    </w:p>
    <w:p>
      <w:pPr>
        <w:ind w:left="7951" w:hanging="7951" w:hangingChars="1800"/>
        <w:jc w:val="center"/>
        <w:outlineLvl w:val="0"/>
        <w:rPr>
          <w:rFonts w:hint="eastAsia" w:ascii="仿宋" w:hAnsi="仿宋" w:eastAsia="仿宋" w:cs="仿宋"/>
          <w:color w:val="auto"/>
          <w:sz w:val="44"/>
          <w:szCs w:val="44"/>
        </w:rPr>
      </w:pPr>
      <w:bookmarkStart w:id="26" w:name="_Toc22790"/>
      <w:r>
        <w:rPr>
          <w:rFonts w:hint="eastAsia" w:ascii="仿宋" w:hAnsi="仿宋" w:eastAsia="仿宋" w:cs="仿宋"/>
          <w:b/>
          <w:bCs/>
          <w:color w:val="auto"/>
          <w:sz w:val="44"/>
          <w:szCs w:val="44"/>
          <w:lang w:val="en-US" w:eastAsia="zh-CN"/>
        </w:rPr>
        <w:t>第九</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投诉相关说明</w:t>
      </w:r>
      <w:bookmarkEnd w:id="26"/>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w:t>
      </w:r>
    </w:p>
    <w:p>
      <w:pPr>
        <w:rPr>
          <w:rFonts w:hint="eastAsia" w:ascii="仿宋" w:hAnsi="仿宋" w:eastAsia="仿宋" w:cs="仿宋"/>
          <w:color w:val="auto"/>
          <w:sz w:val="24"/>
          <w:szCs w:val="24"/>
        </w:rPr>
      </w:pPr>
      <w:r>
        <w:rPr>
          <w:rFonts w:hint="eastAsia" w:ascii="仿宋" w:hAnsi="仿宋" w:eastAsia="仿宋" w:cs="仿宋"/>
          <w:color w:val="auto"/>
          <w:sz w:val="24"/>
          <w:szCs w:val="24"/>
        </w:rPr>
        <w:t>例》和《政府采购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投诉处理办法》的相关规定。</w:t>
      </w:r>
    </w:p>
    <w:p>
      <w:pPr>
        <w:numPr>
          <w:ilvl w:val="0"/>
          <w:numId w:val="5"/>
        </w:numPr>
        <w:ind w:left="4493" w:leftChars="304" w:hanging="3855" w:hangingChars="160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质疑前置及时间要求</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sz w:val="24"/>
          <w:szCs w:val="24"/>
        </w:rPr>
        <w:t>《中华人民共和国政府采购法》</w:t>
      </w:r>
      <w:r>
        <w:rPr>
          <w:rFonts w:hint="eastAsia" w:ascii="仿宋" w:hAnsi="仿宋" w:eastAsia="仿宋" w:cs="仿宋"/>
          <w:color w:val="auto"/>
          <w:kern w:val="0"/>
          <w:sz w:val="24"/>
          <w:szCs w:val="24"/>
          <w:shd w:val="clear" w:color="auto" w:fill="FFFFFF"/>
        </w:rPr>
        <w:t>第五十一条：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对政府采购活动事项有疑问的，可以向采购人提出询问，采购人应当及时作出答复，但答复的内容不得涉及商业秘密。</w:t>
      </w:r>
    </w:p>
    <w:p>
      <w:pPr>
        <w:widowControl/>
        <w:shd w:val="clear" w:color="auto" w:fill="FFFFFF"/>
        <w:ind w:firstLine="420"/>
        <w:jc w:val="left"/>
        <w:rPr>
          <w:rFonts w:hint="eastAsia" w:ascii="仿宋" w:hAnsi="仿宋" w:eastAsia="仿宋" w:cs="仿宋"/>
          <w:color w:val="auto"/>
          <w:sz w:val="24"/>
          <w:szCs w:val="24"/>
        </w:rPr>
      </w:pPr>
      <w:r>
        <w:rPr>
          <w:rFonts w:hint="eastAsia" w:ascii="仿宋" w:hAnsi="仿宋" w:eastAsia="仿宋" w:cs="仿宋"/>
          <w:color w:val="auto"/>
          <w:kern w:val="0"/>
          <w:sz w:val="24"/>
          <w:szCs w:val="24"/>
          <w:shd w:val="clear" w:color="auto" w:fill="FFFFFF"/>
        </w:rPr>
        <w:t xml:space="preserve"> 第五十二条：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认为采购文件、采购过程和中标、成交结果使自己的权益受到损害的，可以在知道或者应知其权益受到损害之日起七个工作日内，以书面形式向采购人提出质疑。</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第五十三条：采购人应当在收到</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的书面质疑后七个工作日内作出答复，并以书面形式通知质疑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和其他有关</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，但答复的内容不得涉及商业秘密。</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第五十五条:质疑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《政府采购实施条例》第五十五条：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质疑、投诉应当有明确的请求和必要的证明材料。</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投诉的事项不得超出质疑事项的范围。</w:t>
      </w: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二、书面方式</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投诉处理办法》第八条：投诉人投诉</w:t>
      </w:r>
    </w:p>
    <w:p>
      <w:pPr>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数量提供投诉书的副本。</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投诉人和被投诉人的名称、地址、电话等；</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具体的投诉事项及事实依据；</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质疑和质疑答复情况及相关证明材料；</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提起投诉的日期。</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投诉处理办法》第九条：投诉人可以委托代理人办理投诉事务。代理人办理投书事务时，除提交投诉书外，还应当向同级财政部门提交投诉人的授权委托书，授权委托书应当载明委托代理的具体权限和事项。</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投诉处理办法》第十条：投诉人提起投诉应当符合下列条件：</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投诉人是参与所投诉政府采购活动的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提起投诉诉前已依法进行质疑；</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投诉书内容符合本办法的规定；</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在投诉有效期内提起投诉；</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属于本级财政部门管辖；</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同一投诉事项未经财政部门投诉处理；</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国务院财政部门规定的其他条件。</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三、虚假、恶意投诉法律责任</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第七十三条：</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捏造实施、提供虚假材料或者以非</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法手段取得证明材料进行投诉的，由财政部门列入不良行为</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记录名单，禁止其1至3年内参加政府采购活动。</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投诉处理办法》第二十六条：投诉人有下列情形之一的，属于虚假、恶意投诉，财政部门应当驳回投诉，将其列入不良行为记录名单，并依法予以处罚：</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（一）1年内3次以上投诉均查无实据的；</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（二）捏造事实或者提供虚假投诉材料的。</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3"/>
        <w:jc w:val="center"/>
        <w:rPr>
          <w:rFonts w:hint="eastAsia" w:ascii="仿宋" w:hAnsi="仿宋" w:eastAsia="仿宋" w:cs="仿宋"/>
          <w:b/>
          <w:bCs/>
          <w:color w:val="auto"/>
          <w:spacing w:val="60"/>
          <w:sz w:val="32"/>
          <w:szCs w:val="32"/>
        </w:rPr>
      </w:pPr>
    </w:p>
    <w:p>
      <w:pPr>
        <w:spacing w:line="500" w:lineRule="exact"/>
        <w:jc w:val="center"/>
        <w:rPr>
          <w:rFonts w:hint="eastAsia" w:ascii="仿宋" w:hAnsi="仿宋" w:eastAsia="仿宋" w:cs="仿宋"/>
          <w:b/>
          <w:bCs/>
          <w:color w:val="auto"/>
          <w:sz w:val="44"/>
          <w:szCs w:val="44"/>
        </w:rPr>
      </w:pPr>
    </w:p>
    <w:p>
      <w:pPr>
        <w:spacing w:line="500" w:lineRule="exact"/>
        <w:jc w:val="both"/>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11"/>
        <w:rPr>
          <w:rFonts w:hint="eastAsia" w:ascii="仿宋" w:hAnsi="仿宋" w:eastAsia="仿宋" w:cs="仿宋"/>
          <w:color w:val="auto"/>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6"/>
        <w:outlineLvl w:val="9"/>
        <w:rPr>
          <w:rFonts w:hint="eastAsia" w:ascii="仿宋" w:hAnsi="仿宋" w:eastAsia="仿宋" w:cs="仿宋"/>
          <w:color w:val="auto"/>
        </w:rPr>
      </w:pPr>
    </w:p>
    <w:p>
      <w:pPr>
        <w:rPr>
          <w:rFonts w:hint="eastAsia" w:ascii="仿宋" w:hAnsi="仿宋" w:eastAsia="仿宋" w:cs="仿宋"/>
          <w:color w:val="auto"/>
        </w:rPr>
      </w:pPr>
    </w:p>
    <w:p>
      <w:pPr>
        <w:spacing w:line="500" w:lineRule="exact"/>
        <w:jc w:val="center"/>
        <w:outlineLvl w:val="0"/>
        <w:rPr>
          <w:rFonts w:hint="eastAsia" w:ascii="仿宋" w:hAnsi="仿宋" w:eastAsia="仿宋" w:cs="仿宋"/>
          <w:b/>
          <w:bCs/>
          <w:color w:val="auto"/>
          <w:sz w:val="44"/>
          <w:szCs w:val="44"/>
        </w:rPr>
      </w:pPr>
      <w:bookmarkStart w:id="27" w:name="_Toc12193"/>
    </w:p>
    <w:p>
      <w:pPr>
        <w:spacing w:line="500" w:lineRule="exact"/>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十</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质疑函范本</w:t>
      </w:r>
      <w:bookmarkEnd w:id="27"/>
    </w:p>
    <w:p>
      <w:pPr>
        <w:spacing w:line="5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质疑函范本</w:t>
      </w:r>
    </w:p>
    <w:p>
      <w:pPr>
        <w:adjustRightInd w:val="0"/>
        <w:snapToGrid w:val="0"/>
        <w:spacing w:beforeLines="100"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一、质疑</w:t>
      </w:r>
      <w:r>
        <w:rPr>
          <w:rFonts w:hint="eastAsia" w:ascii="仿宋" w:hAnsi="仿宋" w:eastAsia="仿宋" w:cs="仿宋"/>
          <w:bCs/>
          <w:color w:val="auto"/>
          <w:sz w:val="24"/>
          <w:szCs w:val="24"/>
          <w:lang w:eastAsia="zh-CN"/>
        </w:rPr>
        <w:t>投标企业</w:t>
      </w:r>
      <w:r>
        <w:rPr>
          <w:rFonts w:hint="eastAsia" w:ascii="仿宋" w:hAnsi="仿宋" w:eastAsia="仿宋" w:cs="仿宋"/>
          <w:bCs/>
          <w:color w:val="auto"/>
          <w:sz w:val="24"/>
          <w:szCs w:val="24"/>
        </w:rPr>
        <w:t>基本信息</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500" w:lineRule="exact"/>
        <w:rPr>
          <w:rFonts w:hint="eastAsia" w:ascii="仿宋" w:hAnsi="仿宋" w:eastAsia="仿宋" w:cs="仿宋"/>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提出质疑时，应提交质疑函和必要的证明材料。</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若委托代理人进行质疑的，质疑函应按要求列明“授权代表”的有关内容，并在附件中提交由质疑</w:t>
      </w:r>
      <w:r>
        <w:rPr>
          <w:rFonts w:hint="eastAsia" w:ascii="仿宋" w:hAnsi="仿宋" w:eastAsia="仿宋" w:cs="仿宋"/>
          <w:color w:val="auto"/>
          <w:kern w:val="0"/>
          <w:sz w:val="24"/>
          <w:szCs w:val="24"/>
          <w:lang w:eastAsia="zh-CN"/>
        </w:rPr>
        <w:t>投标企业</w:t>
      </w:r>
      <w:r>
        <w:rPr>
          <w:rFonts w:hint="eastAsia" w:ascii="仿宋" w:hAnsi="仿宋" w:eastAsia="仿宋" w:cs="仿宋"/>
          <w:color w:val="auto"/>
          <w:kern w:val="0"/>
          <w:sz w:val="24"/>
          <w:szCs w:val="24"/>
        </w:rPr>
        <w:t>签署的授权委托书。授权委托书应载明代理人的姓名或者名称、代理事项、具体权限、期限和相关事项。</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若对项目的某一分包进行质疑，质疑函中应列明具体分包号。</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为自然人的，质疑函应由本人签字；质疑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为法人或者其他组织的，质疑函应由法定代表人、主要负责人，或者其授权代表签字或者盖章，并加盖公章。</w:t>
      </w:r>
    </w:p>
    <w:p>
      <w:pPr>
        <w:rPr>
          <w:rFonts w:hint="eastAsia" w:ascii="仿宋" w:hAnsi="仿宋" w:eastAsia="仿宋" w:cs="仿宋"/>
          <w:b/>
          <w:bCs/>
          <w:color w:val="auto"/>
          <w:spacing w:val="60"/>
          <w:sz w:val="32"/>
          <w:szCs w:val="32"/>
        </w:rPr>
      </w:pPr>
    </w:p>
    <w:p>
      <w:pPr>
        <w:pStyle w:val="13"/>
        <w:ind w:left="0" w:leftChars="0" w:firstLine="0" w:firstLineChars="0"/>
        <w:jc w:val="both"/>
        <w:rPr>
          <w:rFonts w:hint="eastAsia" w:ascii="仿宋" w:hAnsi="仿宋" w:eastAsia="仿宋" w:cs="仿宋"/>
          <w:b/>
          <w:bCs/>
          <w:color w:val="auto"/>
          <w:spacing w:val="60"/>
          <w:sz w:val="32"/>
          <w:szCs w:val="32"/>
        </w:rPr>
      </w:pPr>
    </w:p>
    <w:p>
      <w:pPr>
        <w:rPr>
          <w:rFonts w:hint="eastAsia" w:ascii="仿宋" w:hAnsi="仿宋" w:eastAsia="仿宋" w:cs="仿宋"/>
          <w:b/>
          <w:bCs/>
          <w:color w:val="auto"/>
          <w:spacing w:val="60"/>
          <w:sz w:val="32"/>
          <w:szCs w:val="32"/>
        </w:rPr>
      </w:pPr>
    </w:p>
    <w:p>
      <w:pPr>
        <w:pStyle w:val="13"/>
        <w:jc w:val="center"/>
        <w:rPr>
          <w:rFonts w:hint="eastAsia" w:ascii="仿宋" w:hAnsi="仿宋" w:eastAsia="仿宋" w:cs="仿宋"/>
          <w:b/>
          <w:bCs/>
          <w:color w:val="auto"/>
          <w:spacing w:val="60"/>
          <w:sz w:val="32"/>
          <w:szCs w:val="32"/>
        </w:rPr>
      </w:pPr>
    </w:p>
    <w:p>
      <w:pPr>
        <w:spacing w:line="420" w:lineRule="exact"/>
        <w:jc w:val="left"/>
        <w:rPr>
          <w:rFonts w:hint="eastAsia" w:ascii="仿宋" w:hAnsi="仿宋" w:eastAsia="仿宋" w:cs="仿宋"/>
          <w:color w:val="auto"/>
        </w:rPr>
      </w:pPr>
    </w:p>
    <w:p>
      <w:pPr>
        <w:numPr>
          <w:ilvl w:val="0"/>
          <w:numId w:val="0"/>
        </w:numPr>
        <w:tabs>
          <w:tab w:val="left" w:pos="1260"/>
        </w:tabs>
        <w:spacing w:line="360" w:lineRule="auto"/>
        <w:rPr>
          <w:rFonts w:hint="eastAsia" w:ascii="仿宋" w:hAnsi="仿宋" w:eastAsia="仿宋" w:cs="仿宋"/>
          <w:color w:val="auto"/>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216"/>
        <w:tab w:val="left" w:pos="472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CFB2B65F"/>
    <w:multiLevelType w:val="singleLevel"/>
    <w:tmpl w:val="CFB2B65F"/>
    <w:lvl w:ilvl="0" w:tentative="0">
      <w:start w:val="4"/>
      <w:numFmt w:val="chineseCounting"/>
      <w:suff w:val="space"/>
      <w:lvlText w:val="第%1章"/>
      <w:lvlJc w:val="left"/>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55CD4C99"/>
    <w:multiLevelType w:val="singleLevel"/>
    <w:tmpl w:val="55CD4C99"/>
    <w:lvl w:ilvl="0" w:tentative="0">
      <w:start w:val="1"/>
      <w:numFmt w:val="chineseCounting"/>
      <w:suff w:val="nothing"/>
      <w:lvlText w:val="%1、"/>
      <w:lvlJc w:val="left"/>
    </w:lvl>
  </w:abstractNum>
  <w:abstractNum w:abstractNumId="4">
    <w:nsid w:val="5948EE1E"/>
    <w:multiLevelType w:val="singleLevel"/>
    <w:tmpl w:val="5948EE1E"/>
    <w:lvl w:ilvl="0" w:tentative="0">
      <w:start w:val="1"/>
      <w:numFmt w:val="chineseCounting"/>
      <w:suff w:val="space"/>
      <w:lvlText w:val="第%1章"/>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96A1B45"/>
    <w:multiLevelType w:val="singleLevel"/>
    <w:tmpl w:val="796A1B45"/>
    <w:lvl w:ilvl="0" w:tentative="0">
      <w:start w:val="5"/>
      <w:numFmt w:val="chineseCounting"/>
      <w:suff w:val="space"/>
      <w:lvlText w:val="第%1章"/>
      <w:lvlJc w:val="left"/>
      <w:rPr>
        <w:rFonts w:hint="eastAsia"/>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UxMGNhODBjMWJhNGE5NzdiZWUyMzM4ZjljZGEifQ=="/>
  </w:docVars>
  <w:rsids>
    <w:rsidRoot w:val="4CE4740A"/>
    <w:rsid w:val="00017920"/>
    <w:rsid w:val="0004675A"/>
    <w:rsid w:val="00054350"/>
    <w:rsid w:val="00062DD0"/>
    <w:rsid w:val="00063694"/>
    <w:rsid w:val="00064A41"/>
    <w:rsid w:val="00093F6F"/>
    <w:rsid w:val="000A4EB2"/>
    <w:rsid w:val="000C5E03"/>
    <w:rsid w:val="000C65EA"/>
    <w:rsid w:val="000D531E"/>
    <w:rsid w:val="000E67F3"/>
    <w:rsid w:val="000F031A"/>
    <w:rsid w:val="000F6C99"/>
    <w:rsid w:val="000F7090"/>
    <w:rsid w:val="00154AB6"/>
    <w:rsid w:val="0016199E"/>
    <w:rsid w:val="001A5922"/>
    <w:rsid w:val="001C2188"/>
    <w:rsid w:val="001D142B"/>
    <w:rsid w:val="001E08F3"/>
    <w:rsid w:val="001E6877"/>
    <w:rsid w:val="001F1597"/>
    <w:rsid w:val="001F17C1"/>
    <w:rsid w:val="002233B7"/>
    <w:rsid w:val="002259F6"/>
    <w:rsid w:val="00232802"/>
    <w:rsid w:val="002429B0"/>
    <w:rsid w:val="00243592"/>
    <w:rsid w:val="002761EB"/>
    <w:rsid w:val="00294A00"/>
    <w:rsid w:val="002A0EC2"/>
    <w:rsid w:val="002A7C0E"/>
    <w:rsid w:val="002C0FF7"/>
    <w:rsid w:val="002C2FEC"/>
    <w:rsid w:val="002E62EC"/>
    <w:rsid w:val="003211B8"/>
    <w:rsid w:val="00324745"/>
    <w:rsid w:val="0034758C"/>
    <w:rsid w:val="003516F4"/>
    <w:rsid w:val="00395AA9"/>
    <w:rsid w:val="003B7093"/>
    <w:rsid w:val="003C1186"/>
    <w:rsid w:val="003C65AC"/>
    <w:rsid w:val="003F0407"/>
    <w:rsid w:val="003F5A0B"/>
    <w:rsid w:val="004300F3"/>
    <w:rsid w:val="004404ED"/>
    <w:rsid w:val="004424C9"/>
    <w:rsid w:val="00452E5C"/>
    <w:rsid w:val="00461D55"/>
    <w:rsid w:val="004718AE"/>
    <w:rsid w:val="00491A0E"/>
    <w:rsid w:val="004925FA"/>
    <w:rsid w:val="004B57D0"/>
    <w:rsid w:val="004C0FFE"/>
    <w:rsid w:val="004D3360"/>
    <w:rsid w:val="004F72FC"/>
    <w:rsid w:val="00503A87"/>
    <w:rsid w:val="00504795"/>
    <w:rsid w:val="005126EC"/>
    <w:rsid w:val="00532F18"/>
    <w:rsid w:val="00533D22"/>
    <w:rsid w:val="0054028E"/>
    <w:rsid w:val="00552360"/>
    <w:rsid w:val="00554B63"/>
    <w:rsid w:val="00596BCA"/>
    <w:rsid w:val="005A56F9"/>
    <w:rsid w:val="005C035C"/>
    <w:rsid w:val="005E4750"/>
    <w:rsid w:val="006025D8"/>
    <w:rsid w:val="0064078A"/>
    <w:rsid w:val="00655204"/>
    <w:rsid w:val="00665BBB"/>
    <w:rsid w:val="00665E2D"/>
    <w:rsid w:val="0069215C"/>
    <w:rsid w:val="006C3CD6"/>
    <w:rsid w:val="006C68D0"/>
    <w:rsid w:val="006E0831"/>
    <w:rsid w:val="006E4EF9"/>
    <w:rsid w:val="006F3D88"/>
    <w:rsid w:val="00703FE1"/>
    <w:rsid w:val="0071034F"/>
    <w:rsid w:val="00714F02"/>
    <w:rsid w:val="00715461"/>
    <w:rsid w:val="007215FD"/>
    <w:rsid w:val="0073081E"/>
    <w:rsid w:val="00750FA8"/>
    <w:rsid w:val="00763830"/>
    <w:rsid w:val="00763BD4"/>
    <w:rsid w:val="0078064E"/>
    <w:rsid w:val="007916C5"/>
    <w:rsid w:val="00795F43"/>
    <w:rsid w:val="007F2BC1"/>
    <w:rsid w:val="007F6918"/>
    <w:rsid w:val="00824686"/>
    <w:rsid w:val="00830FDC"/>
    <w:rsid w:val="00832120"/>
    <w:rsid w:val="00852B07"/>
    <w:rsid w:val="00896CD0"/>
    <w:rsid w:val="00902E92"/>
    <w:rsid w:val="00903E07"/>
    <w:rsid w:val="009153CE"/>
    <w:rsid w:val="009253B6"/>
    <w:rsid w:val="00937BA8"/>
    <w:rsid w:val="009656CC"/>
    <w:rsid w:val="009A402E"/>
    <w:rsid w:val="009D1C01"/>
    <w:rsid w:val="00A02F47"/>
    <w:rsid w:val="00A12BB8"/>
    <w:rsid w:val="00A24C6D"/>
    <w:rsid w:val="00A35168"/>
    <w:rsid w:val="00A55DB5"/>
    <w:rsid w:val="00A571C3"/>
    <w:rsid w:val="00A61A32"/>
    <w:rsid w:val="00A8347F"/>
    <w:rsid w:val="00A94754"/>
    <w:rsid w:val="00AC21B2"/>
    <w:rsid w:val="00AC66A7"/>
    <w:rsid w:val="00AF1EFC"/>
    <w:rsid w:val="00B10DA3"/>
    <w:rsid w:val="00B42172"/>
    <w:rsid w:val="00B47EEE"/>
    <w:rsid w:val="00B66C55"/>
    <w:rsid w:val="00B81EE4"/>
    <w:rsid w:val="00BC5D46"/>
    <w:rsid w:val="00BD4784"/>
    <w:rsid w:val="00BE5399"/>
    <w:rsid w:val="00BE6E86"/>
    <w:rsid w:val="00BF6CCB"/>
    <w:rsid w:val="00C13772"/>
    <w:rsid w:val="00C17E11"/>
    <w:rsid w:val="00C65225"/>
    <w:rsid w:val="00C74C2A"/>
    <w:rsid w:val="00C929A8"/>
    <w:rsid w:val="00CA13F2"/>
    <w:rsid w:val="00D134A5"/>
    <w:rsid w:val="00D417AB"/>
    <w:rsid w:val="00D420FF"/>
    <w:rsid w:val="00D8191F"/>
    <w:rsid w:val="00D84F55"/>
    <w:rsid w:val="00DB0D04"/>
    <w:rsid w:val="00DE3B91"/>
    <w:rsid w:val="00E021B1"/>
    <w:rsid w:val="00E1218B"/>
    <w:rsid w:val="00E747FC"/>
    <w:rsid w:val="00ED6119"/>
    <w:rsid w:val="00F006F4"/>
    <w:rsid w:val="00F02BDD"/>
    <w:rsid w:val="00F055E9"/>
    <w:rsid w:val="00F13EEB"/>
    <w:rsid w:val="00F30187"/>
    <w:rsid w:val="00F46315"/>
    <w:rsid w:val="00F60614"/>
    <w:rsid w:val="00FC1006"/>
    <w:rsid w:val="00FD1FB7"/>
    <w:rsid w:val="00FE01B8"/>
    <w:rsid w:val="00FE0F68"/>
    <w:rsid w:val="01DF62C5"/>
    <w:rsid w:val="01E94CB0"/>
    <w:rsid w:val="02A07F3F"/>
    <w:rsid w:val="02AD27A0"/>
    <w:rsid w:val="03237D85"/>
    <w:rsid w:val="0382310B"/>
    <w:rsid w:val="03A44F5D"/>
    <w:rsid w:val="03B75236"/>
    <w:rsid w:val="03C47044"/>
    <w:rsid w:val="03D02B53"/>
    <w:rsid w:val="03F03B17"/>
    <w:rsid w:val="04120ADD"/>
    <w:rsid w:val="04BD65FF"/>
    <w:rsid w:val="04D65773"/>
    <w:rsid w:val="04F252E0"/>
    <w:rsid w:val="055A11A0"/>
    <w:rsid w:val="056D11B1"/>
    <w:rsid w:val="059E7635"/>
    <w:rsid w:val="069663B7"/>
    <w:rsid w:val="069F4116"/>
    <w:rsid w:val="06B70197"/>
    <w:rsid w:val="06B75ECC"/>
    <w:rsid w:val="06DD4128"/>
    <w:rsid w:val="06EC2B42"/>
    <w:rsid w:val="06FC7C13"/>
    <w:rsid w:val="076224AB"/>
    <w:rsid w:val="07B4434A"/>
    <w:rsid w:val="07B845E5"/>
    <w:rsid w:val="07C47123"/>
    <w:rsid w:val="07F47FBC"/>
    <w:rsid w:val="07F947E1"/>
    <w:rsid w:val="080E7206"/>
    <w:rsid w:val="081301D7"/>
    <w:rsid w:val="086B0162"/>
    <w:rsid w:val="096353B2"/>
    <w:rsid w:val="09696FF9"/>
    <w:rsid w:val="09840C26"/>
    <w:rsid w:val="09AD5867"/>
    <w:rsid w:val="09C11F46"/>
    <w:rsid w:val="0A0C02B3"/>
    <w:rsid w:val="0A4A49F8"/>
    <w:rsid w:val="0A553679"/>
    <w:rsid w:val="0A7F2CC5"/>
    <w:rsid w:val="0A81446E"/>
    <w:rsid w:val="0AA61372"/>
    <w:rsid w:val="0B1A1B23"/>
    <w:rsid w:val="0B742AC8"/>
    <w:rsid w:val="0B77473B"/>
    <w:rsid w:val="0BC905B9"/>
    <w:rsid w:val="0C085D6A"/>
    <w:rsid w:val="0C43539A"/>
    <w:rsid w:val="0CC65026"/>
    <w:rsid w:val="0D192E84"/>
    <w:rsid w:val="0DC2084A"/>
    <w:rsid w:val="0DEB09F4"/>
    <w:rsid w:val="0E527B1A"/>
    <w:rsid w:val="0E5C4C87"/>
    <w:rsid w:val="0F05769A"/>
    <w:rsid w:val="0F513F56"/>
    <w:rsid w:val="0F7857CD"/>
    <w:rsid w:val="0F841C1D"/>
    <w:rsid w:val="0FCB48CC"/>
    <w:rsid w:val="10215BA5"/>
    <w:rsid w:val="105B0B5E"/>
    <w:rsid w:val="10A112A0"/>
    <w:rsid w:val="10BF30F8"/>
    <w:rsid w:val="10D72ED7"/>
    <w:rsid w:val="10F85FF2"/>
    <w:rsid w:val="10FA2E0B"/>
    <w:rsid w:val="11453B87"/>
    <w:rsid w:val="114A4588"/>
    <w:rsid w:val="11892F68"/>
    <w:rsid w:val="1199609C"/>
    <w:rsid w:val="11A92540"/>
    <w:rsid w:val="11C7274C"/>
    <w:rsid w:val="133F4CE1"/>
    <w:rsid w:val="13A530E2"/>
    <w:rsid w:val="13C32ED7"/>
    <w:rsid w:val="13DC2B24"/>
    <w:rsid w:val="13F71087"/>
    <w:rsid w:val="13F8673C"/>
    <w:rsid w:val="14416118"/>
    <w:rsid w:val="148C15C6"/>
    <w:rsid w:val="14E36AD2"/>
    <w:rsid w:val="15172959"/>
    <w:rsid w:val="153712EC"/>
    <w:rsid w:val="15466888"/>
    <w:rsid w:val="158F0B41"/>
    <w:rsid w:val="15974FDB"/>
    <w:rsid w:val="164F1298"/>
    <w:rsid w:val="16F573DA"/>
    <w:rsid w:val="172E3A3D"/>
    <w:rsid w:val="179B3E4E"/>
    <w:rsid w:val="17B25A09"/>
    <w:rsid w:val="185E16B0"/>
    <w:rsid w:val="19590764"/>
    <w:rsid w:val="199C1797"/>
    <w:rsid w:val="19FF49EE"/>
    <w:rsid w:val="1A0E7CD3"/>
    <w:rsid w:val="1A3B33B9"/>
    <w:rsid w:val="1A6514EA"/>
    <w:rsid w:val="1AD649DB"/>
    <w:rsid w:val="1ADE17DC"/>
    <w:rsid w:val="1BF61F5C"/>
    <w:rsid w:val="1C9D748B"/>
    <w:rsid w:val="1D0D59FF"/>
    <w:rsid w:val="1D4330A6"/>
    <w:rsid w:val="1D7E0BCC"/>
    <w:rsid w:val="1DC565EB"/>
    <w:rsid w:val="1DD261BD"/>
    <w:rsid w:val="1DD455F1"/>
    <w:rsid w:val="1E355A60"/>
    <w:rsid w:val="1E5651A4"/>
    <w:rsid w:val="1E9F7323"/>
    <w:rsid w:val="1F3E730C"/>
    <w:rsid w:val="1F4C6C93"/>
    <w:rsid w:val="1F6D38F9"/>
    <w:rsid w:val="1F763768"/>
    <w:rsid w:val="1F953C26"/>
    <w:rsid w:val="20270107"/>
    <w:rsid w:val="20337172"/>
    <w:rsid w:val="203A5DA8"/>
    <w:rsid w:val="20565CE4"/>
    <w:rsid w:val="20E53156"/>
    <w:rsid w:val="21BC78A2"/>
    <w:rsid w:val="23714F6E"/>
    <w:rsid w:val="238F638A"/>
    <w:rsid w:val="239319B6"/>
    <w:rsid w:val="239C4CCA"/>
    <w:rsid w:val="23CD557F"/>
    <w:rsid w:val="23E72590"/>
    <w:rsid w:val="240E6F8A"/>
    <w:rsid w:val="24581231"/>
    <w:rsid w:val="24706494"/>
    <w:rsid w:val="24D150EB"/>
    <w:rsid w:val="250255F5"/>
    <w:rsid w:val="252D5899"/>
    <w:rsid w:val="256C013A"/>
    <w:rsid w:val="25D824FF"/>
    <w:rsid w:val="2600360B"/>
    <w:rsid w:val="26294CDB"/>
    <w:rsid w:val="26904CD9"/>
    <w:rsid w:val="26D92385"/>
    <w:rsid w:val="26ED7BDF"/>
    <w:rsid w:val="27065FD8"/>
    <w:rsid w:val="271138CD"/>
    <w:rsid w:val="27175664"/>
    <w:rsid w:val="2731093A"/>
    <w:rsid w:val="27BF784D"/>
    <w:rsid w:val="27C713A8"/>
    <w:rsid w:val="27CE4FF0"/>
    <w:rsid w:val="27ED22C2"/>
    <w:rsid w:val="27F47FC1"/>
    <w:rsid w:val="27FD514A"/>
    <w:rsid w:val="28A2031A"/>
    <w:rsid w:val="298E1781"/>
    <w:rsid w:val="2A3873A2"/>
    <w:rsid w:val="2AA9231B"/>
    <w:rsid w:val="2AB03E1F"/>
    <w:rsid w:val="2ABA6492"/>
    <w:rsid w:val="2AEE33CE"/>
    <w:rsid w:val="2AF52527"/>
    <w:rsid w:val="2B1F355A"/>
    <w:rsid w:val="2B3A5A24"/>
    <w:rsid w:val="2B4C7CAC"/>
    <w:rsid w:val="2B6E5DA7"/>
    <w:rsid w:val="2B8A29DA"/>
    <w:rsid w:val="2BC644D0"/>
    <w:rsid w:val="2C634AB8"/>
    <w:rsid w:val="2CDD407A"/>
    <w:rsid w:val="2D06244F"/>
    <w:rsid w:val="2D2A1BED"/>
    <w:rsid w:val="2DE774E0"/>
    <w:rsid w:val="2F322678"/>
    <w:rsid w:val="2F5B37CB"/>
    <w:rsid w:val="2F71093C"/>
    <w:rsid w:val="2FBA06B8"/>
    <w:rsid w:val="2FFC15A7"/>
    <w:rsid w:val="308C721F"/>
    <w:rsid w:val="30E06298"/>
    <w:rsid w:val="312C64B9"/>
    <w:rsid w:val="312F4882"/>
    <w:rsid w:val="316B7881"/>
    <w:rsid w:val="31C34313"/>
    <w:rsid w:val="325A6F8B"/>
    <w:rsid w:val="326E5010"/>
    <w:rsid w:val="32E85A71"/>
    <w:rsid w:val="3382161A"/>
    <w:rsid w:val="338D5218"/>
    <w:rsid w:val="34884D37"/>
    <w:rsid w:val="351D00DB"/>
    <w:rsid w:val="35CC1990"/>
    <w:rsid w:val="367A5708"/>
    <w:rsid w:val="367B0218"/>
    <w:rsid w:val="36F63E25"/>
    <w:rsid w:val="37596736"/>
    <w:rsid w:val="375A4842"/>
    <w:rsid w:val="379D382A"/>
    <w:rsid w:val="37DE27AD"/>
    <w:rsid w:val="383D2A85"/>
    <w:rsid w:val="386A7261"/>
    <w:rsid w:val="3902751A"/>
    <w:rsid w:val="39144D51"/>
    <w:rsid w:val="3958304B"/>
    <w:rsid w:val="396B70BD"/>
    <w:rsid w:val="39A65F0C"/>
    <w:rsid w:val="3A3D45E3"/>
    <w:rsid w:val="3A495D0B"/>
    <w:rsid w:val="3A7F7FD8"/>
    <w:rsid w:val="3A8378E7"/>
    <w:rsid w:val="3AAE50EC"/>
    <w:rsid w:val="3B146EE7"/>
    <w:rsid w:val="3B3533B0"/>
    <w:rsid w:val="3B522501"/>
    <w:rsid w:val="3B5271C6"/>
    <w:rsid w:val="3B625540"/>
    <w:rsid w:val="3BD13EB9"/>
    <w:rsid w:val="3BF75F5A"/>
    <w:rsid w:val="3BFE072E"/>
    <w:rsid w:val="3C6D1794"/>
    <w:rsid w:val="3D10193C"/>
    <w:rsid w:val="3D2E1485"/>
    <w:rsid w:val="3DEE04D6"/>
    <w:rsid w:val="3E0B18C4"/>
    <w:rsid w:val="3E41005D"/>
    <w:rsid w:val="3E880B18"/>
    <w:rsid w:val="3EA27E44"/>
    <w:rsid w:val="3EE216C4"/>
    <w:rsid w:val="3F061E76"/>
    <w:rsid w:val="3F363153"/>
    <w:rsid w:val="3F4E2769"/>
    <w:rsid w:val="3F5E30A2"/>
    <w:rsid w:val="3F802831"/>
    <w:rsid w:val="3F9C273D"/>
    <w:rsid w:val="3FC93D8B"/>
    <w:rsid w:val="3FFC4B7E"/>
    <w:rsid w:val="40143A59"/>
    <w:rsid w:val="4022384A"/>
    <w:rsid w:val="40553318"/>
    <w:rsid w:val="406427B3"/>
    <w:rsid w:val="4064702D"/>
    <w:rsid w:val="408336F2"/>
    <w:rsid w:val="40AB505A"/>
    <w:rsid w:val="40BD0DD2"/>
    <w:rsid w:val="40C04AC8"/>
    <w:rsid w:val="40F97454"/>
    <w:rsid w:val="413C1461"/>
    <w:rsid w:val="41740A91"/>
    <w:rsid w:val="41B76845"/>
    <w:rsid w:val="41DA19C3"/>
    <w:rsid w:val="41E16AF6"/>
    <w:rsid w:val="41ED459B"/>
    <w:rsid w:val="421E0D35"/>
    <w:rsid w:val="425725E8"/>
    <w:rsid w:val="427759E3"/>
    <w:rsid w:val="4413226F"/>
    <w:rsid w:val="442606E2"/>
    <w:rsid w:val="44437E40"/>
    <w:rsid w:val="44724496"/>
    <w:rsid w:val="44775660"/>
    <w:rsid w:val="447C0ED9"/>
    <w:rsid w:val="4494492D"/>
    <w:rsid w:val="44982B18"/>
    <w:rsid w:val="44B121CD"/>
    <w:rsid w:val="453301E6"/>
    <w:rsid w:val="454604A4"/>
    <w:rsid w:val="45600E98"/>
    <w:rsid w:val="45907471"/>
    <w:rsid w:val="46021F35"/>
    <w:rsid w:val="4669483B"/>
    <w:rsid w:val="46961D11"/>
    <w:rsid w:val="470E3FB9"/>
    <w:rsid w:val="47275E97"/>
    <w:rsid w:val="473A3AB3"/>
    <w:rsid w:val="47C841F6"/>
    <w:rsid w:val="47D02744"/>
    <w:rsid w:val="47DA3884"/>
    <w:rsid w:val="48A72D65"/>
    <w:rsid w:val="48C47026"/>
    <w:rsid w:val="4934792B"/>
    <w:rsid w:val="496B58C2"/>
    <w:rsid w:val="49826A03"/>
    <w:rsid w:val="49CA61EE"/>
    <w:rsid w:val="4A3E4DDF"/>
    <w:rsid w:val="4A7840AD"/>
    <w:rsid w:val="4A841454"/>
    <w:rsid w:val="4A9B7B7B"/>
    <w:rsid w:val="4B9A0D6A"/>
    <w:rsid w:val="4BDA2A4A"/>
    <w:rsid w:val="4BEE00C3"/>
    <w:rsid w:val="4C1F59B6"/>
    <w:rsid w:val="4C31097F"/>
    <w:rsid w:val="4CB04FE0"/>
    <w:rsid w:val="4CC57605"/>
    <w:rsid w:val="4CE4740A"/>
    <w:rsid w:val="4D8F54EC"/>
    <w:rsid w:val="4D942D9D"/>
    <w:rsid w:val="4DA93FC1"/>
    <w:rsid w:val="4DB749E4"/>
    <w:rsid w:val="4DCD7D12"/>
    <w:rsid w:val="4DDB5B6F"/>
    <w:rsid w:val="4E6A7BE3"/>
    <w:rsid w:val="4E9340F4"/>
    <w:rsid w:val="4E936D6F"/>
    <w:rsid w:val="4F186BE4"/>
    <w:rsid w:val="4F4A7312"/>
    <w:rsid w:val="4F7B2E9E"/>
    <w:rsid w:val="4FB715AF"/>
    <w:rsid w:val="4FD24C82"/>
    <w:rsid w:val="4FDB2920"/>
    <w:rsid w:val="4FDB7D1C"/>
    <w:rsid w:val="500B20EF"/>
    <w:rsid w:val="504D313B"/>
    <w:rsid w:val="50757359"/>
    <w:rsid w:val="50B13EF6"/>
    <w:rsid w:val="50D570A9"/>
    <w:rsid w:val="51E04B5F"/>
    <w:rsid w:val="521959E7"/>
    <w:rsid w:val="521A386A"/>
    <w:rsid w:val="523D0651"/>
    <w:rsid w:val="52477EF4"/>
    <w:rsid w:val="526C320E"/>
    <w:rsid w:val="52964527"/>
    <w:rsid w:val="52C775F5"/>
    <w:rsid w:val="52EA0E72"/>
    <w:rsid w:val="53023073"/>
    <w:rsid w:val="53931893"/>
    <w:rsid w:val="53CA312F"/>
    <w:rsid w:val="54161032"/>
    <w:rsid w:val="547502DF"/>
    <w:rsid w:val="54945B7E"/>
    <w:rsid w:val="549C2FFC"/>
    <w:rsid w:val="549D3C88"/>
    <w:rsid w:val="5509622B"/>
    <w:rsid w:val="554667AE"/>
    <w:rsid w:val="55685146"/>
    <w:rsid w:val="557A1E5A"/>
    <w:rsid w:val="55D00D78"/>
    <w:rsid w:val="55DA2664"/>
    <w:rsid w:val="56170DE9"/>
    <w:rsid w:val="56397762"/>
    <w:rsid w:val="56CF324C"/>
    <w:rsid w:val="56EF6ADC"/>
    <w:rsid w:val="5745258D"/>
    <w:rsid w:val="575D5BA3"/>
    <w:rsid w:val="576B2EDD"/>
    <w:rsid w:val="5784596B"/>
    <w:rsid w:val="58001EE6"/>
    <w:rsid w:val="582C010D"/>
    <w:rsid w:val="58603234"/>
    <w:rsid w:val="586B589D"/>
    <w:rsid w:val="58837783"/>
    <w:rsid w:val="58882E92"/>
    <w:rsid w:val="58AD0BE0"/>
    <w:rsid w:val="58F05C7F"/>
    <w:rsid w:val="58F334DC"/>
    <w:rsid w:val="592F5405"/>
    <w:rsid w:val="59AB6E3A"/>
    <w:rsid w:val="59C22D73"/>
    <w:rsid w:val="5A5722D7"/>
    <w:rsid w:val="5A57256D"/>
    <w:rsid w:val="5AC47961"/>
    <w:rsid w:val="5AD23D68"/>
    <w:rsid w:val="5AE4482D"/>
    <w:rsid w:val="5BD7773D"/>
    <w:rsid w:val="5BE54E9D"/>
    <w:rsid w:val="5CEE52F9"/>
    <w:rsid w:val="5DBF69CF"/>
    <w:rsid w:val="5E311179"/>
    <w:rsid w:val="5E3B4D5D"/>
    <w:rsid w:val="5E406621"/>
    <w:rsid w:val="5E554853"/>
    <w:rsid w:val="5E5A4D57"/>
    <w:rsid w:val="5E6A1831"/>
    <w:rsid w:val="5E7765A1"/>
    <w:rsid w:val="5EE00A98"/>
    <w:rsid w:val="5EFA350B"/>
    <w:rsid w:val="5F120FB5"/>
    <w:rsid w:val="5F6F5D16"/>
    <w:rsid w:val="5FD10DBA"/>
    <w:rsid w:val="5FEA1156"/>
    <w:rsid w:val="6061385E"/>
    <w:rsid w:val="606B096A"/>
    <w:rsid w:val="60760635"/>
    <w:rsid w:val="60D805E3"/>
    <w:rsid w:val="626A2A0F"/>
    <w:rsid w:val="62C1105C"/>
    <w:rsid w:val="63153E4F"/>
    <w:rsid w:val="632D338D"/>
    <w:rsid w:val="63994786"/>
    <w:rsid w:val="639A5A3C"/>
    <w:rsid w:val="63D11AB1"/>
    <w:rsid w:val="6447135A"/>
    <w:rsid w:val="64745FE2"/>
    <w:rsid w:val="6485327D"/>
    <w:rsid w:val="65927A8E"/>
    <w:rsid w:val="65A61D17"/>
    <w:rsid w:val="65A757A3"/>
    <w:rsid w:val="66651304"/>
    <w:rsid w:val="66B5465D"/>
    <w:rsid w:val="66B659E8"/>
    <w:rsid w:val="6782625B"/>
    <w:rsid w:val="67C01A74"/>
    <w:rsid w:val="67E5457F"/>
    <w:rsid w:val="67E62186"/>
    <w:rsid w:val="67F80854"/>
    <w:rsid w:val="680512BD"/>
    <w:rsid w:val="680E00AD"/>
    <w:rsid w:val="681577DB"/>
    <w:rsid w:val="69307CBE"/>
    <w:rsid w:val="6935133D"/>
    <w:rsid w:val="69715B81"/>
    <w:rsid w:val="698B737F"/>
    <w:rsid w:val="6A333127"/>
    <w:rsid w:val="6A5B0454"/>
    <w:rsid w:val="6A5B3EAF"/>
    <w:rsid w:val="6AC46BCF"/>
    <w:rsid w:val="6ADD1662"/>
    <w:rsid w:val="6ADF7D1D"/>
    <w:rsid w:val="6B4D53BC"/>
    <w:rsid w:val="6BCC6F0A"/>
    <w:rsid w:val="6BD72A40"/>
    <w:rsid w:val="6BF957AB"/>
    <w:rsid w:val="6C163895"/>
    <w:rsid w:val="6CB64674"/>
    <w:rsid w:val="6CEE27A6"/>
    <w:rsid w:val="6D0665CF"/>
    <w:rsid w:val="6D38048E"/>
    <w:rsid w:val="6DF60BEB"/>
    <w:rsid w:val="6E137D9F"/>
    <w:rsid w:val="6E2A10DF"/>
    <w:rsid w:val="6E4D7B10"/>
    <w:rsid w:val="6E835385"/>
    <w:rsid w:val="6ECB2DAA"/>
    <w:rsid w:val="6F100A32"/>
    <w:rsid w:val="6F376691"/>
    <w:rsid w:val="6F604AA5"/>
    <w:rsid w:val="6FF03272"/>
    <w:rsid w:val="702E352B"/>
    <w:rsid w:val="702F3F83"/>
    <w:rsid w:val="70391347"/>
    <w:rsid w:val="709D7653"/>
    <w:rsid w:val="71657E21"/>
    <w:rsid w:val="71F62096"/>
    <w:rsid w:val="72355316"/>
    <w:rsid w:val="730748D0"/>
    <w:rsid w:val="733503BE"/>
    <w:rsid w:val="73FE4BFC"/>
    <w:rsid w:val="7412169A"/>
    <w:rsid w:val="74122000"/>
    <w:rsid w:val="743B401B"/>
    <w:rsid w:val="745218EC"/>
    <w:rsid w:val="74CB707B"/>
    <w:rsid w:val="75120D89"/>
    <w:rsid w:val="751A2760"/>
    <w:rsid w:val="75520996"/>
    <w:rsid w:val="75B66211"/>
    <w:rsid w:val="76363284"/>
    <w:rsid w:val="76B74A1B"/>
    <w:rsid w:val="76BE3DF5"/>
    <w:rsid w:val="76EB21AD"/>
    <w:rsid w:val="77116EDF"/>
    <w:rsid w:val="77226CB4"/>
    <w:rsid w:val="77455410"/>
    <w:rsid w:val="775978E7"/>
    <w:rsid w:val="778D497C"/>
    <w:rsid w:val="779F1902"/>
    <w:rsid w:val="77D45100"/>
    <w:rsid w:val="77D51BB8"/>
    <w:rsid w:val="77EC5C8D"/>
    <w:rsid w:val="78374845"/>
    <w:rsid w:val="78466F81"/>
    <w:rsid w:val="79237DCF"/>
    <w:rsid w:val="795966CF"/>
    <w:rsid w:val="799F4A4A"/>
    <w:rsid w:val="7A0D6492"/>
    <w:rsid w:val="7A5D3E70"/>
    <w:rsid w:val="7A5F3600"/>
    <w:rsid w:val="7B0D1444"/>
    <w:rsid w:val="7BFA6EAC"/>
    <w:rsid w:val="7C311342"/>
    <w:rsid w:val="7C4663AE"/>
    <w:rsid w:val="7C533CE5"/>
    <w:rsid w:val="7C63417B"/>
    <w:rsid w:val="7C757553"/>
    <w:rsid w:val="7CF2071C"/>
    <w:rsid w:val="7D573369"/>
    <w:rsid w:val="7D9759F3"/>
    <w:rsid w:val="7D9B0296"/>
    <w:rsid w:val="7E307ABC"/>
    <w:rsid w:val="7E6A276E"/>
    <w:rsid w:val="7E7E0B93"/>
    <w:rsid w:val="7EA3166B"/>
    <w:rsid w:val="7F3746CF"/>
    <w:rsid w:val="7F3823EB"/>
    <w:rsid w:val="7F530B87"/>
    <w:rsid w:val="7FB658D3"/>
    <w:rsid w:val="7FBC6E71"/>
    <w:rsid w:val="7FF76A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szCs w:val="20"/>
    </w:rPr>
  </w:style>
  <w:style w:type="paragraph" w:styleId="3">
    <w:name w:val="index 7"/>
    <w:basedOn w:val="1"/>
    <w:next w:val="1"/>
    <w:autoRedefine/>
    <w:qFormat/>
    <w:uiPriority w:val="0"/>
    <w:pPr>
      <w:autoSpaceDE/>
      <w:autoSpaceDN/>
      <w:adjustRightInd/>
      <w:ind w:left="1200" w:leftChars="1200"/>
    </w:pPr>
    <w:rPr>
      <w:color w:val="auto"/>
      <w:kern w:val="2"/>
      <w:szCs w:val="24"/>
    </w:rPr>
  </w:style>
  <w:style w:type="paragraph" w:styleId="8">
    <w:name w:val="Normal Indent"/>
    <w:basedOn w:val="1"/>
    <w:next w:val="9"/>
    <w:autoRedefine/>
    <w:qFormat/>
    <w:uiPriority w:val="0"/>
    <w:pPr>
      <w:ind w:firstLine="420"/>
    </w:pPr>
    <w:rPr>
      <w:szCs w:val="20"/>
    </w:rPr>
  </w:style>
  <w:style w:type="paragraph" w:styleId="9">
    <w:name w:val="toa heading"/>
    <w:basedOn w:val="1"/>
    <w:next w:val="1"/>
    <w:autoRedefine/>
    <w:qFormat/>
    <w:uiPriority w:val="0"/>
    <w:pPr>
      <w:spacing w:before="120"/>
    </w:pPr>
    <w:rPr>
      <w:rFonts w:ascii="Cambria" w:hAnsi="Cambria"/>
      <w:szCs w:val="20"/>
    </w:rPr>
  </w:style>
  <w:style w:type="paragraph" w:styleId="10">
    <w:name w:val="annotation text"/>
    <w:basedOn w:val="1"/>
    <w:link w:val="34"/>
    <w:autoRedefine/>
    <w:qFormat/>
    <w:uiPriority w:val="0"/>
    <w:pPr>
      <w:jc w:val="left"/>
    </w:pPr>
    <w:rPr>
      <w:szCs w:val="20"/>
    </w:rPr>
  </w:style>
  <w:style w:type="paragraph" w:styleId="11">
    <w:name w:val="Body Text"/>
    <w:basedOn w:val="1"/>
    <w:autoRedefine/>
    <w:qFormat/>
    <w:uiPriority w:val="0"/>
    <w:rPr>
      <w:rFonts w:ascii="楷体_GB2312" w:hAnsi="Arial" w:eastAsia="楷体_GB2312"/>
      <w:sz w:val="28"/>
      <w:szCs w:val="20"/>
    </w:rPr>
  </w:style>
  <w:style w:type="paragraph" w:styleId="12">
    <w:name w:val="Body Text Indent"/>
    <w:basedOn w:val="1"/>
    <w:autoRedefine/>
    <w:qFormat/>
    <w:uiPriority w:val="0"/>
    <w:pPr>
      <w:spacing w:line="360" w:lineRule="auto"/>
      <w:ind w:firstLine="420" w:firstLineChars="200"/>
      <w:jc w:val="left"/>
    </w:pPr>
    <w:rPr>
      <w:rFonts w:ascii="宋体" w:hAnsi="宋体"/>
      <w:bCs/>
      <w:color w:val="000000"/>
    </w:rPr>
  </w:style>
  <w:style w:type="paragraph" w:styleId="13">
    <w:name w:val="Date"/>
    <w:basedOn w:val="1"/>
    <w:next w:val="1"/>
    <w:autoRedefine/>
    <w:qFormat/>
    <w:uiPriority w:val="0"/>
    <w:pPr>
      <w:ind w:left="100"/>
    </w:pPr>
    <w:rPr>
      <w:sz w:val="24"/>
      <w:szCs w:val="20"/>
    </w:rPr>
  </w:style>
  <w:style w:type="paragraph" w:styleId="14">
    <w:name w:val="Body Text Indent 2"/>
    <w:basedOn w:val="1"/>
    <w:autoRedefine/>
    <w:qFormat/>
    <w:uiPriority w:val="0"/>
    <w:pPr>
      <w:ind w:left="630" w:firstLine="645"/>
    </w:pPr>
    <w:rPr>
      <w:rFonts w:ascii="Arial" w:hAnsi="Arial" w:eastAsia="仿宋_GB2312"/>
      <w:sz w:val="32"/>
      <w:szCs w:val="20"/>
    </w:rPr>
  </w:style>
  <w:style w:type="paragraph" w:styleId="15">
    <w:name w:val="Balloon Text"/>
    <w:basedOn w:val="1"/>
    <w:link w:val="35"/>
    <w:autoRedefine/>
    <w:unhideWhenUsed/>
    <w:qFormat/>
    <w:uiPriority w:val="99"/>
    <w:rPr>
      <w:sz w:val="18"/>
      <w:szCs w:val="18"/>
    </w:rPr>
  </w:style>
  <w:style w:type="paragraph" w:styleId="16">
    <w:name w:val="footer"/>
    <w:basedOn w:val="1"/>
    <w:link w:val="36"/>
    <w:autoRedefine/>
    <w:qFormat/>
    <w:uiPriority w:val="99"/>
    <w:pPr>
      <w:tabs>
        <w:tab w:val="center" w:pos="4153"/>
        <w:tab w:val="right" w:pos="8306"/>
      </w:tabs>
      <w:snapToGrid w:val="0"/>
      <w:jc w:val="left"/>
    </w:pPr>
    <w:rPr>
      <w:sz w:val="18"/>
      <w:szCs w:val="18"/>
    </w:rPr>
  </w:style>
  <w:style w:type="paragraph" w:styleId="17">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index heading"/>
    <w:basedOn w:val="1"/>
    <w:next w:val="19"/>
    <w:autoRedefine/>
    <w:semiHidden/>
    <w:qFormat/>
    <w:uiPriority w:val="0"/>
    <w:rPr>
      <w:szCs w:val="20"/>
    </w:rPr>
  </w:style>
  <w:style w:type="paragraph" w:styleId="19">
    <w:name w:val="index 1"/>
    <w:basedOn w:val="1"/>
    <w:next w:val="1"/>
    <w:autoRedefine/>
    <w:semiHidden/>
    <w:qFormat/>
    <w:uiPriority w:val="0"/>
    <w:pPr>
      <w:spacing w:line="300" w:lineRule="auto"/>
      <w:ind w:firstLine="422" w:firstLineChars="200"/>
    </w:pPr>
    <w:rPr>
      <w:rFonts w:ascii="宋体" w:hAnsi="宋体"/>
      <w:b/>
      <w:bCs/>
      <w:szCs w:val="28"/>
    </w:rPr>
  </w:style>
  <w:style w:type="paragraph" w:styleId="20">
    <w:name w:val="footnote text"/>
    <w:basedOn w:val="1"/>
    <w:autoRedefine/>
    <w:unhideWhenUsed/>
    <w:qFormat/>
    <w:uiPriority w:val="99"/>
    <w:pPr>
      <w:snapToGrid w:val="0"/>
    </w:pPr>
    <w:rPr>
      <w:sz w:val="18"/>
      <w:szCs w:val="18"/>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tabs>
        <w:tab w:val="left" w:pos="1185"/>
      </w:tabs>
      <w:spacing w:before="240" w:after="60"/>
      <w:jc w:val="center"/>
      <w:outlineLvl w:val="0"/>
    </w:pPr>
    <w:rPr>
      <w:rFonts w:ascii="Cambria" w:hAnsi="Cambria" w:cs="Times New Roman"/>
      <w:b/>
      <w:bCs/>
      <w:sz w:val="32"/>
      <w:szCs w:val="32"/>
    </w:rPr>
  </w:style>
  <w:style w:type="paragraph" w:styleId="23">
    <w:name w:val="Body Text First Indent"/>
    <w:basedOn w:val="11"/>
    <w:autoRedefine/>
    <w:qFormat/>
    <w:uiPriority w:val="0"/>
    <w:pPr>
      <w:ind w:firstLine="420" w:firstLineChars="100"/>
    </w:p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FollowedHyperlink"/>
    <w:basedOn w:val="26"/>
    <w:autoRedefine/>
    <w:qFormat/>
    <w:uiPriority w:val="0"/>
    <w:rPr>
      <w:color w:val="000000"/>
      <w:u w:val="none"/>
    </w:rPr>
  </w:style>
  <w:style w:type="character" w:styleId="29">
    <w:name w:val="Hyperlink"/>
    <w:basedOn w:val="26"/>
    <w:autoRedefine/>
    <w:qFormat/>
    <w:uiPriority w:val="0"/>
    <w:rPr>
      <w:color w:val="000000"/>
      <w:u w:val="none"/>
    </w:rPr>
  </w:style>
  <w:style w:type="character" w:styleId="30">
    <w:name w:val="HTML Sample"/>
    <w:basedOn w:val="26"/>
    <w:autoRedefine/>
    <w:qFormat/>
    <w:uiPriority w:val="0"/>
    <w:rPr>
      <w:rFonts w:ascii="Courier New" w:hAnsi="Courier New"/>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basedOn w:val="26"/>
    <w:link w:val="4"/>
    <w:autoRedefine/>
    <w:qFormat/>
    <w:uiPriority w:val="0"/>
    <w:rPr>
      <w:b/>
      <w:bCs/>
      <w:kern w:val="44"/>
      <w:sz w:val="44"/>
      <w:szCs w:val="44"/>
    </w:rPr>
  </w:style>
  <w:style w:type="character" w:customStyle="1" w:styleId="33">
    <w:name w:val="标题 2 Char"/>
    <w:basedOn w:val="26"/>
    <w:link w:val="5"/>
    <w:autoRedefine/>
    <w:qFormat/>
    <w:uiPriority w:val="0"/>
    <w:rPr>
      <w:rFonts w:ascii="Arial Black" w:hAnsi="Arial Black" w:eastAsia="黑体"/>
      <w:b/>
      <w:bCs/>
      <w:kern w:val="2"/>
      <w:sz w:val="32"/>
      <w:szCs w:val="32"/>
    </w:rPr>
  </w:style>
  <w:style w:type="character" w:customStyle="1" w:styleId="34">
    <w:name w:val="批注文字 Char"/>
    <w:basedOn w:val="26"/>
    <w:link w:val="10"/>
    <w:autoRedefine/>
    <w:qFormat/>
    <w:uiPriority w:val="0"/>
    <w:rPr>
      <w:kern w:val="2"/>
      <w:sz w:val="21"/>
    </w:rPr>
  </w:style>
  <w:style w:type="character" w:customStyle="1" w:styleId="35">
    <w:name w:val="批注框文本 Char"/>
    <w:basedOn w:val="26"/>
    <w:link w:val="15"/>
    <w:autoRedefine/>
    <w:qFormat/>
    <w:uiPriority w:val="99"/>
    <w:rPr>
      <w:kern w:val="2"/>
      <w:sz w:val="18"/>
      <w:szCs w:val="18"/>
    </w:rPr>
  </w:style>
  <w:style w:type="character" w:customStyle="1" w:styleId="36">
    <w:name w:val="页脚 Char"/>
    <w:basedOn w:val="26"/>
    <w:link w:val="16"/>
    <w:autoRedefine/>
    <w:qFormat/>
    <w:uiPriority w:val="0"/>
    <w:rPr>
      <w:kern w:val="2"/>
      <w:sz w:val="18"/>
      <w:szCs w:val="18"/>
    </w:rPr>
  </w:style>
  <w:style w:type="character" w:customStyle="1" w:styleId="37">
    <w:name w:val="页眉 Char"/>
    <w:basedOn w:val="26"/>
    <w:link w:val="17"/>
    <w:autoRedefine/>
    <w:qFormat/>
    <w:uiPriority w:val="0"/>
    <w:rPr>
      <w:kern w:val="2"/>
      <w:sz w:val="18"/>
      <w:szCs w:val="18"/>
    </w:rPr>
  </w:style>
  <w:style w:type="paragraph" w:customStyle="1" w:styleId="38">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39">
    <w:name w:val="font41"/>
    <w:basedOn w:val="26"/>
    <w:autoRedefine/>
    <w:qFormat/>
    <w:uiPriority w:val="0"/>
    <w:rPr>
      <w:rFonts w:hint="eastAsia" w:ascii="宋体" w:hAnsi="宋体" w:eastAsia="宋体" w:cs="宋体"/>
      <w:color w:val="000000"/>
      <w:sz w:val="24"/>
      <w:szCs w:val="24"/>
      <w:u w:val="none"/>
    </w:rPr>
  </w:style>
  <w:style w:type="character" w:customStyle="1" w:styleId="40">
    <w:name w:val="font21"/>
    <w:basedOn w:val="26"/>
    <w:autoRedefine/>
    <w:qFormat/>
    <w:uiPriority w:val="0"/>
    <w:rPr>
      <w:rFonts w:hint="eastAsia" w:ascii="宋体" w:hAnsi="宋体" w:eastAsia="宋体" w:cs="宋体"/>
      <w:color w:val="000000"/>
      <w:sz w:val="20"/>
      <w:szCs w:val="20"/>
      <w:u w:val="none"/>
    </w:rPr>
  </w:style>
  <w:style w:type="character" w:customStyle="1" w:styleId="41">
    <w:name w:val="font11"/>
    <w:basedOn w:val="26"/>
    <w:autoRedefine/>
    <w:qFormat/>
    <w:uiPriority w:val="0"/>
    <w:rPr>
      <w:rFonts w:ascii="Calibri" w:hAnsi="Calibri" w:cs="Calibri"/>
      <w:color w:val="000000"/>
      <w:sz w:val="20"/>
      <w:szCs w:val="20"/>
      <w:u w:val="none"/>
    </w:rPr>
  </w:style>
  <w:style w:type="paragraph" w:customStyle="1" w:styleId="42">
    <w:name w:val="样式 Body1! + 首行缩进:  2 字符"/>
    <w:basedOn w:val="1"/>
    <w:autoRedefine/>
    <w:qFormat/>
    <w:uiPriority w:val="0"/>
    <w:pPr>
      <w:tabs>
        <w:tab w:val="left" w:pos="1247"/>
      </w:tabs>
      <w:spacing w:before="120" w:line="288" w:lineRule="auto"/>
      <w:ind w:left="1247" w:firstLine="420" w:firstLineChars="200"/>
    </w:pPr>
    <w:rPr>
      <w:rFonts w:ascii="Arial" w:hAnsi="Arial" w:cs="宋体"/>
      <w:szCs w:val="20"/>
      <w:lang w:eastAsia="en-US"/>
    </w:rPr>
  </w:style>
  <w:style w:type="paragraph" w:customStyle="1" w:styleId="43">
    <w:name w:val="表格"/>
    <w:basedOn w:val="1"/>
    <w:autoRedefine/>
    <w:qFormat/>
    <w:uiPriority w:val="0"/>
    <w:pPr>
      <w:spacing w:line="400" w:lineRule="exact"/>
    </w:pPr>
    <w:rPr>
      <w:sz w:val="24"/>
      <w:szCs w:val="20"/>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1标题4"/>
    <w:basedOn w:val="1"/>
    <w:autoRedefine/>
    <w:qFormat/>
    <w:uiPriority w:val="0"/>
    <w:pPr>
      <w:keepNext/>
      <w:keepLines/>
      <w:spacing w:before="100" w:beforeLines="0" w:beforeAutospacing="1" w:after="100" w:afterLines="0" w:afterAutospacing="1" w:line="360" w:lineRule="auto"/>
      <w:ind w:left="853" w:hanging="853" w:hangingChars="284"/>
      <w:jc w:val="left"/>
      <w:outlineLvl w:val="3"/>
    </w:pPr>
    <w:rPr>
      <w:rFonts w:ascii="黑体" w:hAnsi="宋体" w:eastAsia="黑体"/>
      <w:b/>
      <w:sz w:val="30"/>
    </w:rPr>
  </w:style>
  <w:style w:type="paragraph" w:customStyle="1" w:styleId="47">
    <w:name w:val="_Style 1"/>
    <w:basedOn w:val="1"/>
    <w:autoRedefine/>
    <w:qFormat/>
    <w:uiPriority w:val="34"/>
    <w:pPr>
      <w:ind w:firstLine="420" w:firstLineChars="200"/>
    </w:pPr>
  </w:style>
  <w:style w:type="paragraph" w:customStyle="1" w:styleId="48">
    <w:name w:val="Version Cover"/>
    <w:basedOn w:val="11"/>
    <w:autoRedefine/>
    <w:qFormat/>
    <w:uiPriority w:val="0"/>
    <w:pPr>
      <w:widowControl/>
      <w:spacing w:before="120" w:after="120" w:line="240" w:lineRule="atLeast"/>
      <w:ind w:left="1080"/>
      <w:jc w:val="left"/>
    </w:pPr>
    <w:rPr>
      <w:rFonts w:ascii="Book Antiqua" w:hAnsi="Book Antiqua" w:eastAsia="PMingLiU"/>
      <w:b/>
      <w:spacing w:val="-5"/>
      <w:kern w:val="0"/>
      <w:sz w:val="20"/>
      <w:lang w:eastAsia="en-US"/>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0">
    <w:name w:val="xl25"/>
    <w:basedOn w:val="1"/>
    <w:autoRedefine/>
    <w:qFormat/>
    <w:uiPriority w:val="0"/>
    <w:pPr>
      <w:widowControl/>
      <w:pBdr>
        <w:right w:val="single" w:color="auto" w:sz="4" w:space="0"/>
      </w:pBdr>
      <w:spacing w:before="100" w:beforeLines="0" w:beforeAutospacing="1" w:after="100" w:afterLines="0" w:afterAutospacing="1"/>
      <w:jc w:val="center"/>
    </w:pPr>
    <w:rPr>
      <w:kern w:val="0"/>
      <w:szCs w:val="21"/>
    </w:rPr>
  </w:style>
  <w:style w:type="paragraph" w:customStyle="1" w:styleId="51">
    <w:name w:val="保留正文"/>
    <w:basedOn w:val="11"/>
    <w:autoRedefine/>
    <w:qFormat/>
    <w:uiPriority w:val="0"/>
    <w:pPr>
      <w:keepNext/>
      <w:tabs>
        <w:tab w:val="left" w:pos="562"/>
        <w:tab w:val="left" w:pos="3372"/>
        <w:tab w:val="left" w:pos="3653"/>
      </w:tabs>
      <w:spacing w:after="160" w:afterLines="0"/>
    </w:pPr>
    <w:rPr>
      <w:sz w:val="21"/>
    </w:rPr>
  </w:style>
  <w:style w:type="paragraph" w:customStyle="1" w:styleId="52">
    <w:name w:val="正文1"/>
    <w:autoRedefine/>
    <w:qFormat/>
    <w:uiPriority w:val="0"/>
    <w:pPr>
      <w:framePr w:wrap="around" w:vAnchor="margin" w:hAnchor="text" w:y="1"/>
      <w:widowControl w:val="0"/>
      <w:spacing w:after="0" w:line="240"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53">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54">
    <w:name w:val="文档正文"/>
    <w:basedOn w:val="8"/>
    <w:autoRedefine/>
    <w:qFormat/>
    <w:uiPriority w:val="0"/>
    <w:pPr>
      <w:spacing w:line="360" w:lineRule="auto"/>
    </w:pPr>
    <w:rPr>
      <w:rFonts w:ascii="宋体" w:hAnsi="宋体"/>
      <w:b/>
      <w:bCs/>
    </w:rPr>
  </w:style>
  <w:style w:type="character" w:customStyle="1" w:styleId="55">
    <w:name w:val="font71"/>
    <w:basedOn w:val="26"/>
    <w:autoRedefine/>
    <w:qFormat/>
    <w:uiPriority w:val="0"/>
    <w:rPr>
      <w:rFonts w:hint="default" w:ascii="等线" w:hAnsi="等线" w:eastAsia="等线" w:cs="等线"/>
      <w:color w:val="000000"/>
      <w:sz w:val="16"/>
      <w:szCs w:val="16"/>
      <w:u w:val="none"/>
    </w:rPr>
  </w:style>
  <w:style w:type="character" w:customStyle="1" w:styleId="56">
    <w:name w:val="font51"/>
    <w:basedOn w:val="26"/>
    <w:autoRedefine/>
    <w:qFormat/>
    <w:uiPriority w:val="0"/>
    <w:rPr>
      <w:rFonts w:hint="default" w:ascii="等线" w:hAnsi="等线" w:eastAsia="等线" w:cs="等线"/>
      <w:color w:val="000000"/>
      <w:sz w:val="22"/>
      <w:szCs w:val="22"/>
      <w:u w:val="none"/>
      <w:vertAlign w:val="superscript"/>
    </w:rPr>
  </w:style>
  <w:style w:type="paragraph" w:customStyle="1" w:styleId="57">
    <w:name w:val="Body text|21"/>
    <w:basedOn w:val="1"/>
    <w:autoRedefine/>
    <w:qFormat/>
    <w:uiPriority w:val="0"/>
    <w:pPr>
      <w:shd w:val="clear" w:color="auto" w:fill="FFFFFF"/>
      <w:tabs>
        <w:tab w:val="left" w:pos="1185"/>
      </w:tabs>
      <w:spacing w:before="560" w:after="560" w:line="461" w:lineRule="exact"/>
    </w:pPr>
    <w:rPr>
      <w:rFonts w:ascii="PMingLiU" w:hAnsi="PMingLiU" w:eastAsia="PMingLiU" w:cs="PMingLiU"/>
      <w:spacing w:val="20"/>
      <w:sz w:val="22"/>
      <w:szCs w:val="22"/>
    </w:rPr>
  </w:style>
  <w:style w:type="paragraph" w:customStyle="1" w:styleId="58">
    <w:name w:val="Body text|3"/>
    <w:basedOn w:val="1"/>
    <w:autoRedefine/>
    <w:qFormat/>
    <w:uiPriority w:val="0"/>
    <w:pPr>
      <w:shd w:val="clear" w:color="auto" w:fill="FFFFFF"/>
      <w:tabs>
        <w:tab w:val="left" w:pos="1185"/>
      </w:tabs>
      <w:spacing w:before="140" w:after="400" w:line="220" w:lineRule="exact"/>
      <w:jc w:val="distribute"/>
    </w:pPr>
    <w:rPr>
      <w:rFonts w:ascii="PMingLiU" w:hAnsi="PMingLiU" w:eastAsia="PMingLiU" w:cs="PMingLiU"/>
      <w:b/>
      <w:bCs/>
      <w:sz w:val="22"/>
      <w:szCs w:val="22"/>
    </w:rPr>
  </w:style>
  <w:style w:type="character" w:customStyle="1" w:styleId="59">
    <w:name w:val="font31"/>
    <w:basedOn w:val="2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9033;&#30446;\&#24030;&#30142;&#25511;&#20013;&#24515;\&#21333;&#19968;&#26469;&#28304;&#37319;&#36141;&#35848;&#21028;&#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单一来源采购谈判文件.wpt</Template>
  <Pages>51</Pages>
  <Words>23242</Words>
  <Characters>25778</Characters>
  <Lines>137</Lines>
  <Paragraphs>38</Paragraphs>
  <TotalTime>42</TotalTime>
  <ScaleCrop>false</ScaleCrop>
  <LinksUpToDate>false</LinksUpToDate>
  <CharactersWithSpaces>28974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2024-01-02T05:17:00Z</dcterms:created>
  <dc:creator>顺其自然</dc:creator>
  <cp:lastModifiedBy>顺其自然</cp:lastModifiedBy>
  <cp:lastPrinted>2024-01-09T08:55:00Z</cp:lastPrinted>
  <dcterms:modified xsi:type="dcterms:W3CDTF">2024-01-16T11:11:49Z</dcterms:modified>
  <dc:title>单一来源采购谈判文件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1D8707DDA6E041E09E70B20875CBB1E9_11</vt:lpwstr>
  </property>
</Properties>
</file>