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ECEB9">
      <w:pPr>
        <w:jc w:val="center"/>
        <w:rPr>
          <w:rFonts w:hint="eastAsia" w:ascii="仿宋" w:hAnsi="仿宋" w:eastAsia="仿宋" w:cs="仿宋"/>
          <w:b/>
          <w:bCs/>
          <w:color w:val="auto"/>
          <w:w w:val="90"/>
          <w:sz w:val="40"/>
          <w:szCs w:val="40"/>
          <w:lang w:val="en-US" w:eastAsia="zh-CN"/>
        </w:rPr>
      </w:pPr>
    </w:p>
    <w:p w14:paraId="0BD1F351">
      <w:pPr>
        <w:spacing w:line="760" w:lineRule="exact"/>
        <w:jc w:val="center"/>
        <w:rPr>
          <w:rFonts w:hint="eastAsia" w:ascii="仿宋" w:hAnsi="仿宋" w:eastAsia="仿宋" w:cs="仿宋"/>
          <w:b/>
          <w:bCs/>
          <w:color w:val="auto"/>
          <w:w w:val="90"/>
          <w:sz w:val="40"/>
          <w:szCs w:val="40"/>
          <w:lang w:val="en-US" w:eastAsia="zh-CN"/>
        </w:rPr>
      </w:pPr>
      <w:r>
        <w:rPr>
          <w:rFonts w:hint="eastAsia" w:ascii="仿宋" w:hAnsi="仿宋" w:eastAsia="仿宋" w:cs="仿宋"/>
          <w:b/>
          <w:bCs/>
          <w:color w:val="auto"/>
          <w:w w:val="90"/>
          <w:sz w:val="40"/>
          <w:szCs w:val="40"/>
          <w:lang w:val="en-US" w:eastAsia="zh-CN"/>
        </w:rPr>
        <w:t>阿图什市哈拉峻乡大果沙枣改良项目</w:t>
      </w:r>
    </w:p>
    <w:p w14:paraId="27B628CF">
      <w:pPr>
        <w:spacing w:line="760" w:lineRule="exact"/>
        <w:jc w:val="center"/>
        <w:rPr>
          <w:rFonts w:hint="default"/>
          <w:color w:val="auto"/>
          <w:sz w:val="22"/>
          <w:szCs w:val="22"/>
          <w:lang w:val="en-US"/>
        </w:rPr>
      </w:pPr>
      <w:r>
        <w:rPr>
          <w:rFonts w:hint="eastAsia" w:ascii="仿宋" w:hAnsi="仿宋" w:eastAsia="仿宋" w:cs="仿宋"/>
          <w:b/>
          <w:bCs/>
          <w:color w:val="auto"/>
          <w:sz w:val="36"/>
          <w:szCs w:val="36"/>
          <w:lang w:eastAsia="zh-CN"/>
        </w:rPr>
        <w:t>项目编号：</w:t>
      </w:r>
      <w:r>
        <w:rPr>
          <w:rFonts w:hint="eastAsia" w:ascii="仿宋" w:hAnsi="仿宋" w:eastAsia="仿宋" w:cs="仿宋"/>
          <w:b/>
          <w:bCs/>
          <w:color w:val="auto"/>
          <w:sz w:val="36"/>
          <w:szCs w:val="36"/>
          <w:lang w:val="en-US" w:eastAsia="zh-CN"/>
        </w:rPr>
        <w:t xml:space="preserve">ATSCG-2025026 </w:t>
      </w:r>
    </w:p>
    <w:p w14:paraId="0A6434B8">
      <w:pPr>
        <w:pStyle w:val="31"/>
        <w:rPr>
          <w:rFonts w:ascii="仿宋" w:hAnsi="仿宋" w:eastAsia="仿宋" w:cs="仿宋"/>
          <w:color w:val="auto"/>
        </w:rPr>
      </w:pPr>
    </w:p>
    <w:p w14:paraId="71761E24">
      <w:pPr>
        <w:pStyle w:val="31"/>
        <w:jc w:val="center"/>
        <w:rPr>
          <w:rFonts w:hint="eastAsia" w:ascii="仿宋" w:hAnsi="仿宋" w:eastAsia="仿宋" w:cs="仿宋"/>
          <w:b/>
          <w:color w:val="auto"/>
          <w:sz w:val="96"/>
          <w:szCs w:val="96"/>
          <w:lang w:eastAsia="zh-CN"/>
        </w:rPr>
      </w:pPr>
      <w:r>
        <w:rPr>
          <w:rFonts w:hint="eastAsia" w:ascii="仿宋" w:hAnsi="仿宋" w:eastAsia="仿宋" w:cs="仿宋"/>
          <w:b/>
          <w:color w:val="auto"/>
          <w:sz w:val="96"/>
          <w:szCs w:val="96"/>
          <w:lang w:eastAsia="zh-CN"/>
        </w:rPr>
        <w:t>磋</w:t>
      </w:r>
    </w:p>
    <w:p w14:paraId="0D6B88DE">
      <w:pPr>
        <w:pStyle w:val="31"/>
        <w:jc w:val="center"/>
        <w:rPr>
          <w:rFonts w:ascii="仿宋" w:hAnsi="仿宋" w:eastAsia="仿宋" w:cs="仿宋"/>
          <w:b/>
          <w:bCs/>
          <w:color w:val="auto"/>
          <w:sz w:val="96"/>
          <w:szCs w:val="96"/>
        </w:rPr>
      </w:pPr>
      <w:r>
        <w:rPr>
          <w:rFonts w:hint="eastAsia" w:ascii="仿宋" w:hAnsi="仿宋" w:eastAsia="仿宋" w:cs="仿宋"/>
          <w:b/>
          <w:color w:val="auto"/>
          <w:sz w:val="96"/>
          <w:szCs w:val="96"/>
          <w:lang w:eastAsia="zh-CN"/>
        </w:rPr>
        <w:t>商</w:t>
      </w:r>
    </w:p>
    <w:p w14:paraId="0E6DAA41">
      <w:pPr>
        <w:pStyle w:val="31"/>
        <w:jc w:val="center"/>
        <w:rPr>
          <w:rFonts w:ascii="仿宋" w:hAnsi="仿宋" w:eastAsia="仿宋" w:cs="仿宋"/>
          <w:b/>
          <w:bCs/>
          <w:color w:val="auto"/>
          <w:sz w:val="96"/>
          <w:szCs w:val="96"/>
        </w:rPr>
      </w:pPr>
      <w:r>
        <w:rPr>
          <w:rFonts w:hint="eastAsia" w:ascii="仿宋" w:hAnsi="仿宋" w:eastAsia="仿宋" w:cs="仿宋"/>
          <w:b/>
          <w:bCs/>
          <w:color w:val="auto"/>
          <w:sz w:val="96"/>
          <w:szCs w:val="96"/>
        </w:rPr>
        <w:t>文</w:t>
      </w:r>
    </w:p>
    <w:p w14:paraId="5FBA4C54">
      <w:pPr>
        <w:pStyle w:val="31"/>
        <w:jc w:val="center"/>
        <w:rPr>
          <w:rFonts w:ascii="仿宋" w:hAnsi="仿宋" w:eastAsia="仿宋" w:cs="仿宋"/>
          <w:color w:val="auto"/>
          <w:sz w:val="96"/>
          <w:szCs w:val="96"/>
        </w:rPr>
      </w:pPr>
      <w:r>
        <w:rPr>
          <w:rFonts w:hint="eastAsia" w:ascii="仿宋" w:hAnsi="仿宋" w:eastAsia="仿宋" w:cs="仿宋"/>
          <w:b/>
          <w:bCs/>
          <w:color w:val="auto"/>
          <w:sz w:val="96"/>
          <w:szCs w:val="96"/>
        </w:rPr>
        <w:t>件</w:t>
      </w:r>
    </w:p>
    <w:p w14:paraId="1E47487D">
      <w:pPr>
        <w:pStyle w:val="31"/>
        <w:rPr>
          <w:rFonts w:ascii="仿宋" w:hAnsi="仿宋" w:eastAsia="仿宋" w:cs="仿宋"/>
          <w:color w:val="auto"/>
        </w:rPr>
      </w:pPr>
    </w:p>
    <w:p w14:paraId="2C27C06E">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采购单位：阿图什市哈拉峻乡人民政府</w:t>
      </w:r>
    </w:p>
    <w:p w14:paraId="299B1740">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w:t>
      </w:r>
      <w:r>
        <w:rPr>
          <w:rFonts w:hint="eastAsia" w:ascii="仿宋" w:hAnsi="仿宋" w:eastAsia="仿宋" w:cs="仿宋"/>
          <w:color w:val="auto"/>
          <w:sz w:val="32"/>
          <w:szCs w:val="32"/>
          <w:lang w:val="en-US" w:eastAsia="zh-CN"/>
        </w:rPr>
        <w:t>胡</w:t>
      </w:r>
      <w:r>
        <w:rPr>
          <w:rFonts w:hint="eastAsia" w:ascii="仿宋" w:hAnsi="仿宋" w:eastAsia="仿宋" w:cs="仿宋"/>
          <w:color w:val="auto"/>
          <w:sz w:val="32"/>
          <w:szCs w:val="32"/>
          <w:lang w:eastAsia="zh-CN"/>
        </w:rPr>
        <w:t xml:space="preserve">先生 </w:t>
      </w:r>
    </w:p>
    <w:p w14:paraId="47767E6B">
      <w:pPr>
        <w:spacing w:line="700" w:lineRule="exac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18299708526</w:t>
      </w:r>
    </w:p>
    <w:p w14:paraId="5B106F42">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代理机构：新疆飞耀项目管理有限公司</w:t>
      </w:r>
    </w:p>
    <w:p w14:paraId="434D21D2">
      <w:pPr>
        <w:spacing w:line="700" w:lineRule="exact"/>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人：段女士</w:t>
      </w:r>
    </w:p>
    <w:p w14:paraId="7CCDEA8F">
      <w:pPr>
        <w:spacing w:line="700" w:lineRule="exact"/>
        <w:rPr>
          <w:rFonts w:ascii="仿宋" w:hAnsi="仿宋" w:eastAsia="仿宋" w:cs="仿宋"/>
          <w:b/>
          <w:color w:val="auto"/>
          <w:sz w:val="32"/>
          <w:szCs w:val="32"/>
          <w:lang w:eastAsia="zh-CN"/>
        </w:rPr>
      </w:pPr>
      <w:r>
        <w:rPr>
          <w:rFonts w:hint="eastAsia" w:ascii="仿宋" w:hAnsi="仿宋" w:eastAsia="仿宋" w:cs="仿宋"/>
          <w:color w:val="auto"/>
          <w:sz w:val="32"/>
          <w:szCs w:val="32"/>
          <w:lang w:eastAsia="zh-CN"/>
        </w:rPr>
        <w:t>联系电话：</w:t>
      </w:r>
      <w:r>
        <w:rPr>
          <w:rFonts w:hint="eastAsia" w:ascii="仿宋" w:hAnsi="仿宋" w:eastAsia="仿宋" w:cs="仿宋"/>
          <w:color w:val="auto"/>
          <w:sz w:val="32"/>
          <w:szCs w:val="32"/>
          <w:lang w:val="en-US" w:eastAsia="zh-CN"/>
        </w:rPr>
        <w:t>15349977680</w:t>
      </w:r>
    </w:p>
    <w:p w14:paraId="563683B9">
      <w:pPr>
        <w:jc w:val="center"/>
        <w:rPr>
          <w:rFonts w:hint="eastAsia" w:ascii="仿宋" w:hAnsi="仿宋" w:eastAsia="仿宋" w:cs="仿宋"/>
          <w:b/>
          <w:color w:val="auto"/>
          <w:sz w:val="36"/>
          <w:szCs w:val="36"/>
          <w:lang w:eastAsia="zh-CN"/>
        </w:rPr>
      </w:pPr>
    </w:p>
    <w:p w14:paraId="0293D7DD">
      <w:pPr>
        <w:jc w:val="center"/>
        <w:rPr>
          <w:rFonts w:ascii="仿宋" w:hAnsi="仿宋" w:eastAsia="仿宋" w:cs="仿宋"/>
          <w:b/>
          <w:color w:val="auto"/>
          <w:sz w:val="36"/>
          <w:szCs w:val="36"/>
          <w:lang w:eastAsia="zh-CN"/>
        </w:rPr>
      </w:pPr>
      <w:r>
        <w:rPr>
          <w:rFonts w:hint="eastAsia" w:ascii="仿宋" w:hAnsi="仿宋" w:eastAsia="仿宋" w:cs="仿宋"/>
          <w:b/>
          <w:color w:val="auto"/>
          <w:sz w:val="36"/>
          <w:szCs w:val="36"/>
          <w:lang w:eastAsia="zh-CN"/>
        </w:rPr>
        <w:t>招投标监督管理机构备案登记栏</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4"/>
      </w:tblGrid>
      <w:tr w14:paraId="695E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55" w:hRule="atLeast"/>
          <w:jc w:val="center"/>
        </w:trPr>
        <w:tc>
          <w:tcPr>
            <w:tcW w:w="5000" w:type="pct"/>
          </w:tcPr>
          <w:p w14:paraId="3B575E1C">
            <w:pPr>
              <w:spacing w:line="500" w:lineRule="exact"/>
              <w:jc w:val="both"/>
              <w:rPr>
                <w:rFonts w:ascii="仿宋" w:hAnsi="仿宋" w:eastAsia="仿宋" w:cs="仿宋"/>
                <w:color w:val="auto"/>
                <w:lang w:eastAsia="zh-CN"/>
              </w:rPr>
            </w:pPr>
          </w:p>
          <w:p w14:paraId="3194426C">
            <w:pPr>
              <w:spacing w:line="500" w:lineRule="exact"/>
              <w:jc w:val="both"/>
              <w:rPr>
                <w:rFonts w:ascii="仿宋" w:hAnsi="仿宋" w:eastAsia="仿宋" w:cs="仿宋"/>
                <w:color w:val="auto"/>
                <w:sz w:val="32"/>
                <w:szCs w:val="32"/>
                <w:lang w:eastAsia="zh-CN"/>
              </w:rPr>
            </w:pPr>
          </w:p>
          <w:p w14:paraId="3B460762">
            <w:pPr>
              <w:spacing w:line="500" w:lineRule="exact"/>
              <w:jc w:val="both"/>
              <w:rPr>
                <w:rFonts w:ascii="仿宋" w:hAnsi="仿宋" w:eastAsia="仿宋" w:cs="仿宋"/>
                <w:color w:val="auto"/>
                <w:sz w:val="32"/>
                <w:szCs w:val="32"/>
                <w:lang w:eastAsia="zh-CN"/>
              </w:rPr>
            </w:pPr>
          </w:p>
          <w:p w14:paraId="2D904011">
            <w:pPr>
              <w:spacing w:line="500" w:lineRule="exact"/>
              <w:jc w:val="both"/>
              <w:rPr>
                <w:rFonts w:ascii="仿宋" w:hAnsi="仿宋" w:eastAsia="仿宋" w:cs="仿宋"/>
                <w:color w:val="auto"/>
                <w:w w:val="95"/>
                <w:sz w:val="32"/>
                <w:szCs w:val="32"/>
                <w:lang w:eastAsia="zh-CN"/>
              </w:rPr>
            </w:pPr>
            <w:r>
              <w:rPr>
                <w:rFonts w:hint="eastAsia" w:ascii="仿宋" w:hAnsi="仿宋" w:eastAsia="仿宋" w:cs="仿宋"/>
                <w:color w:val="auto"/>
                <w:sz w:val="32"/>
                <w:szCs w:val="32"/>
                <w:lang w:eastAsia="zh-CN"/>
              </w:rPr>
              <w:t>采购单位：阿图什市哈拉峻乡人民政府</w:t>
            </w:r>
            <w:r>
              <w:rPr>
                <w:rFonts w:hint="eastAsia" w:ascii="仿宋" w:hAnsi="仿宋" w:eastAsia="仿宋" w:cs="仿宋"/>
                <w:color w:val="auto"/>
                <w:w w:val="95"/>
                <w:sz w:val="32"/>
                <w:szCs w:val="32"/>
                <w:lang w:eastAsia="zh-CN"/>
              </w:rPr>
              <w:t>（盖章）</w:t>
            </w:r>
          </w:p>
          <w:p w14:paraId="1549E6A2">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14329014">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14:paraId="631E22A5">
            <w:pPr>
              <w:spacing w:line="500" w:lineRule="exact"/>
              <w:jc w:val="both"/>
              <w:rPr>
                <w:rFonts w:ascii="仿宋" w:hAnsi="仿宋" w:eastAsia="仿宋" w:cs="仿宋"/>
                <w:color w:val="auto"/>
                <w:sz w:val="32"/>
                <w:szCs w:val="32"/>
                <w:lang w:eastAsia="zh-CN"/>
              </w:rPr>
            </w:pPr>
          </w:p>
          <w:p w14:paraId="678582D7">
            <w:pPr>
              <w:spacing w:line="500" w:lineRule="exact"/>
              <w:jc w:val="both"/>
              <w:rPr>
                <w:rFonts w:ascii="仿宋" w:hAnsi="仿宋" w:eastAsia="仿宋" w:cs="仿宋"/>
                <w:color w:val="auto"/>
                <w:sz w:val="32"/>
                <w:szCs w:val="32"/>
                <w:lang w:eastAsia="zh-CN"/>
              </w:rPr>
            </w:pPr>
          </w:p>
          <w:p w14:paraId="044427C1">
            <w:pPr>
              <w:spacing w:line="500" w:lineRule="exact"/>
              <w:ind w:left="3520" w:hanging="3520" w:hangingChars="1100"/>
              <w:jc w:val="both"/>
              <w:rPr>
                <w:rFonts w:ascii="仿宋" w:hAnsi="仿宋" w:eastAsia="仿宋" w:cs="仿宋"/>
                <w:color w:val="auto"/>
                <w:sz w:val="32"/>
                <w:szCs w:val="32"/>
                <w:lang w:eastAsia="zh-CN"/>
              </w:rPr>
            </w:pPr>
          </w:p>
          <w:p w14:paraId="5B9145E1">
            <w:pPr>
              <w:spacing w:line="500" w:lineRule="exact"/>
              <w:ind w:left="3520" w:hanging="3520" w:hangingChars="11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采购项目名称：</w:t>
            </w:r>
            <w:r>
              <w:rPr>
                <w:rFonts w:hint="eastAsia" w:ascii="仿宋" w:hAnsi="仿宋" w:eastAsia="仿宋" w:cs="仿宋"/>
                <w:color w:val="auto"/>
                <w:sz w:val="32"/>
                <w:szCs w:val="32"/>
                <w:lang w:val="en-US" w:eastAsia="zh-CN"/>
              </w:rPr>
              <w:t>阿图什市哈拉峻乡大果沙枣改良项目</w:t>
            </w:r>
          </w:p>
          <w:p w14:paraId="739E4934">
            <w:pPr>
              <w:spacing w:line="500" w:lineRule="exact"/>
              <w:ind w:left="3520" w:hanging="3520" w:hangingChars="1100"/>
              <w:jc w:val="both"/>
              <w:rPr>
                <w:rFonts w:hint="eastAsia" w:ascii="仿宋" w:hAnsi="仿宋" w:eastAsia="仿宋" w:cs="仿宋"/>
                <w:color w:val="auto"/>
                <w:sz w:val="32"/>
                <w:szCs w:val="32"/>
                <w:lang w:val="en-US" w:eastAsia="zh-CN"/>
              </w:rPr>
            </w:pPr>
          </w:p>
          <w:p w14:paraId="586821DF">
            <w:pPr>
              <w:spacing w:line="500" w:lineRule="exact"/>
              <w:jc w:val="both"/>
              <w:rPr>
                <w:rFonts w:ascii="仿宋" w:hAnsi="仿宋" w:eastAsia="仿宋" w:cs="仿宋"/>
                <w:color w:val="auto"/>
                <w:sz w:val="32"/>
                <w:szCs w:val="32"/>
                <w:lang w:eastAsia="zh-CN"/>
              </w:rPr>
            </w:pPr>
          </w:p>
          <w:p w14:paraId="02F660A7">
            <w:pPr>
              <w:pStyle w:val="32"/>
              <w:jc w:val="both"/>
              <w:rPr>
                <w:rFonts w:ascii="仿宋" w:hAnsi="仿宋" w:eastAsia="仿宋" w:cs="仿宋"/>
                <w:color w:val="auto"/>
                <w:sz w:val="32"/>
                <w:szCs w:val="32"/>
                <w:lang w:eastAsia="zh-CN"/>
              </w:rPr>
            </w:pPr>
          </w:p>
          <w:p w14:paraId="6CD3D8A3">
            <w:pPr>
              <w:pStyle w:val="32"/>
              <w:jc w:val="both"/>
              <w:rPr>
                <w:rFonts w:ascii="仿宋" w:hAnsi="仿宋" w:eastAsia="仿宋" w:cs="仿宋"/>
                <w:color w:val="auto"/>
                <w:sz w:val="32"/>
                <w:szCs w:val="32"/>
                <w:lang w:eastAsia="zh-CN"/>
              </w:rPr>
            </w:pPr>
          </w:p>
          <w:p w14:paraId="7D545908">
            <w:pPr>
              <w:pStyle w:val="32"/>
              <w:jc w:val="both"/>
              <w:rPr>
                <w:rFonts w:ascii="仿宋" w:hAnsi="仿宋" w:eastAsia="仿宋" w:cs="仿宋"/>
                <w:color w:val="auto"/>
                <w:sz w:val="32"/>
                <w:szCs w:val="32"/>
                <w:lang w:eastAsia="zh-CN"/>
              </w:rPr>
            </w:pPr>
          </w:p>
          <w:p w14:paraId="4A099C55">
            <w:pPr>
              <w:pStyle w:val="32"/>
              <w:jc w:val="both"/>
              <w:rPr>
                <w:rFonts w:ascii="仿宋" w:hAnsi="仿宋" w:eastAsia="仿宋" w:cs="仿宋"/>
                <w:color w:val="auto"/>
                <w:sz w:val="32"/>
                <w:szCs w:val="32"/>
                <w:lang w:eastAsia="zh-CN"/>
              </w:rPr>
            </w:pPr>
          </w:p>
          <w:p w14:paraId="71C0ADC4">
            <w:pPr>
              <w:spacing w:line="500" w:lineRule="exact"/>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代理机构：新疆飞耀项目管理有限公司（盖章）</w:t>
            </w:r>
          </w:p>
          <w:p w14:paraId="1F7B85A7">
            <w:pPr>
              <w:pStyle w:val="5"/>
              <w:jc w:val="both"/>
              <w:outlineLvl w:val="2"/>
              <w:rPr>
                <w:rFonts w:ascii="仿宋" w:hAnsi="仿宋" w:eastAsia="仿宋" w:cs="仿宋"/>
                <w:color w:val="auto"/>
                <w:lang w:eastAsia="zh-CN"/>
              </w:rPr>
            </w:pPr>
          </w:p>
          <w:p w14:paraId="55225B08">
            <w:pPr>
              <w:jc w:val="both"/>
              <w:rPr>
                <w:color w:val="auto"/>
                <w:lang w:eastAsia="zh-CN"/>
              </w:rPr>
            </w:pPr>
          </w:p>
          <w:p w14:paraId="48246E93">
            <w:pPr>
              <w:pStyle w:val="5"/>
              <w:jc w:val="center"/>
              <w:outlineLvl w:val="2"/>
              <w:rPr>
                <w:rFonts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eastAsia="zh-CN"/>
              </w:rPr>
              <w:t>2</w:t>
            </w:r>
            <w:r>
              <w:rPr>
                <w:rFonts w:hint="eastAsia" w:ascii="仿宋" w:hAnsi="仿宋" w:eastAsia="仿宋" w:cs="仿宋"/>
                <w:color w:val="auto"/>
                <w:lang w:val="en-US" w:eastAsia="zh-CN"/>
              </w:rPr>
              <w:t>5</w:t>
            </w:r>
            <w:r>
              <w:rPr>
                <w:rFonts w:hint="eastAsia" w:ascii="仿宋" w:hAnsi="仿宋" w:eastAsia="仿宋" w:cs="仿宋"/>
                <w:color w:val="auto"/>
              </w:rPr>
              <w:t>年</w:t>
            </w:r>
            <w:r>
              <w:rPr>
                <w:rFonts w:hint="eastAsia" w:ascii="仿宋" w:hAnsi="仿宋" w:eastAsia="仿宋" w:cs="仿宋"/>
                <w:color w:val="auto"/>
                <w:lang w:val="en-US" w:eastAsia="zh-CN"/>
              </w:rPr>
              <w:t>4</w:t>
            </w:r>
            <w:r>
              <w:rPr>
                <w:rFonts w:hint="eastAsia" w:ascii="仿宋" w:hAnsi="仿宋" w:eastAsia="仿宋" w:cs="仿宋"/>
                <w:color w:val="auto"/>
              </w:rPr>
              <w:t>月</w:t>
            </w:r>
          </w:p>
          <w:p w14:paraId="2D033C2B">
            <w:pPr>
              <w:pStyle w:val="5"/>
              <w:jc w:val="both"/>
              <w:outlineLvl w:val="2"/>
              <w:rPr>
                <w:rFonts w:ascii="仿宋" w:hAnsi="仿宋" w:eastAsia="仿宋" w:cs="仿宋"/>
                <w:color w:val="auto"/>
              </w:rPr>
            </w:pPr>
          </w:p>
        </w:tc>
      </w:tr>
    </w:tbl>
    <w:p w14:paraId="1E7F68C1">
      <w:pPr>
        <w:spacing w:line="240" w:lineRule="exact"/>
        <w:rPr>
          <w:rFonts w:ascii="仿宋" w:hAnsi="仿宋" w:eastAsia="仿宋" w:cs="仿宋"/>
          <w:color w:val="auto"/>
          <w:sz w:val="44"/>
          <w:szCs w:val="44"/>
          <w:lang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p>
    <w:p w14:paraId="17A65202">
      <w:pPr>
        <w:pStyle w:val="10"/>
        <w:spacing w:before="0" w:line="360" w:lineRule="auto"/>
        <w:jc w:val="both"/>
        <w:rPr>
          <w:rFonts w:ascii="仿宋" w:hAnsi="仿宋" w:eastAsia="仿宋" w:cs="仿宋"/>
          <w:color w:val="auto"/>
          <w:sz w:val="44"/>
          <w:szCs w:val="44"/>
          <w:lang w:val="zh-CN"/>
        </w:rPr>
      </w:pPr>
    </w:p>
    <w:p w14:paraId="51DF169C">
      <w:pPr>
        <w:pStyle w:val="10"/>
        <w:spacing w:before="0" w:line="360" w:lineRule="auto"/>
        <w:jc w:val="center"/>
        <w:rPr>
          <w:rFonts w:ascii="仿宋" w:hAnsi="仿宋" w:eastAsia="仿宋" w:cs="仿宋"/>
          <w:color w:val="auto"/>
          <w:sz w:val="30"/>
          <w:szCs w:val="30"/>
        </w:rPr>
      </w:pPr>
      <w:r>
        <w:rPr>
          <w:rFonts w:hint="eastAsia" w:ascii="仿宋" w:hAnsi="仿宋" w:eastAsia="仿宋" w:cs="仿宋"/>
          <w:color w:val="auto"/>
          <w:sz w:val="44"/>
          <w:szCs w:val="44"/>
          <w:lang w:val="zh-CN"/>
        </w:rPr>
        <w:t>目    录</w:t>
      </w:r>
    </w:p>
    <w:p w14:paraId="5B5B077D">
      <w:pPr>
        <w:widowControl/>
        <w:rPr>
          <w:rFonts w:ascii="仿宋" w:hAnsi="仿宋" w:eastAsia="仿宋" w:cs="仿宋"/>
          <w:color w:val="auto"/>
          <w:sz w:val="30"/>
          <w:szCs w:val="30"/>
        </w:rPr>
      </w:pPr>
    </w:p>
    <w:p w14:paraId="5C24A316">
      <w:pPr>
        <w:spacing w:line="360" w:lineRule="auto"/>
        <w:ind w:firstLine="1800" w:firstLineChars="600"/>
        <w:rPr>
          <w:rFonts w:hint="eastAsia" w:ascii="仿宋" w:hAnsi="仿宋" w:eastAsia="仿宋" w:cs="仿宋"/>
          <w:b/>
          <w:color w:val="auto"/>
          <w:sz w:val="30"/>
          <w:szCs w:val="30"/>
        </w:rPr>
      </w:pPr>
      <w:r>
        <w:rPr>
          <w:rFonts w:hint="eastAsia" w:ascii="仿宋" w:hAnsi="仿宋" w:eastAsia="仿宋" w:cs="仿宋"/>
          <w:b/>
          <w:color w:val="auto"/>
          <w:sz w:val="30"/>
          <w:szCs w:val="30"/>
        </w:rPr>
        <w:t>第一</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val="en-US" w:eastAsia="zh-CN"/>
        </w:rPr>
        <w:t>竞争性磋商</w:t>
      </w:r>
      <w:r>
        <w:rPr>
          <w:rFonts w:hint="eastAsia" w:ascii="仿宋" w:hAnsi="仿宋" w:eastAsia="仿宋" w:cs="仿宋"/>
          <w:b/>
          <w:color w:val="auto"/>
          <w:sz w:val="30"/>
          <w:szCs w:val="30"/>
        </w:rPr>
        <w:t>公告</w:t>
      </w:r>
    </w:p>
    <w:p w14:paraId="0C669CB5">
      <w:pPr>
        <w:spacing w:line="360" w:lineRule="auto"/>
        <w:ind w:firstLine="1800" w:firstLineChars="600"/>
        <w:rPr>
          <w:rFonts w:hint="eastAsia" w:ascii="仿宋" w:hAnsi="仿宋" w:eastAsia="仿宋" w:cs="仿宋"/>
          <w:color w:val="auto"/>
        </w:rPr>
      </w:pPr>
      <w:r>
        <w:rPr>
          <w:rFonts w:hint="eastAsia" w:ascii="仿宋" w:hAnsi="仿宋" w:eastAsia="仿宋" w:cs="仿宋"/>
          <w:b/>
          <w:color w:val="auto"/>
          <w:sz w:val="30"/>
          <w:szCs w:val="30"/>
        </w:rPr>
        <w:t>第二</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供应商须知</w:t>
      </w:r>
    </w:p>
    <w:p w14:paraId="6A6A0CE4">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第三</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评标办法</w:t>
      </w:r>
    </w:p>
    <w:p w14:paraId="23378F46">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第四</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val="en-US" w:eastAsia="zh-CN"/>
        </w:rPr>
        <w:t>服务</w:t>
      </w:r>
      <w:r>
        <w:rPr>
          <w:rFonts w:hint="eastAsia" w:ascii="仿宋" w:hAnsi="仿宋" w:eastAsia="仿宋" w:cs="仿宋"/>
          <w:b/>
          <w:color w:val="auto"/>
          <w:sz w:val="30"/>
          <w:szCs w:val="30"/>
          <w:lang w:eastAsia="zh-CN"/>
        </w:rPr>
        <w:t>内容及技术要求</w:t>
      </w:r>
    </w:p>
    <w:p w14:paraId="63CFD15B">
      <w:pPr>
        <w:spacing w:line="360" w:lineRule="auto"/>
        <w:ind w:firstLine="1800" w:firstLineChars="600"/>
        <w:rPr>
          <w:rFonts w:hint="eastAsia" w:ascii="仿宋" w:hAnsi="仿宋" w:eastAsia="仿宋" w:cs="仿宋"/>
          <w:b/>
          <w:color w:val="auto"/>
          <w:sz w:val="30"/>
          <w:szCs w:val="30"/>
          <w:lang w:eastAsia="zh-CN"/>
        </w:rPr>
      </w:pPr>
      <w:r>
        <w:rPr>
          <w:rFonts w:hint="eastAsia" w:ascii="仿宋" w:hAnsi="仿宋" w:eastAsia="仿宋" w:cs="仿宋"/>
          <w:b/>
          <w:color w:val="auto"/>
          <w:sz w:val="30"/>
          <w:szCs w:val="30"/>
        </w:rPr>
        <w:t>第五</w:t>
      </w:r>
      <w:r>
        <w:rPr>
          <w:rFonts w:hint="eastAsia" w:ascii="仿宋" w:hAnsi="仿宋" w:eastAsia="仿宋" w:cs="仿宋"/>
          <w:b/>
          <w:color w:val="auto"/>
          <w:sz w:val="30"/>
          <w:szCs w:val="30"/>
          <w:lang w:val="en-US" w:eastAsia="zh-CN"/>
        </w:rPr>
        <w:t>章</w:t>
      </w:r>
      <w:r>
        <w:rPr>
          <w:rFonts w:hint="eastAsia" w:ascii="仿宋" w:hAnsi="仿宋" w:eastAsia="仿宋" w:cs="仿宋"/>
          <w:b/>
          <w:color w:val="auto"/>
          <w:sz w:val="30"/>
          <w:szCs w:val="30"/>
        </w:rPr>
        <w:t xml:space="preserve">     </w:t>
      </w:r>
      <w:r>
        <w:rPr>
          <w:rFonts w:hint="eastAsia" w:ascii="仿宋" w:hAnsi="仿宋" w:eastAsia="仿宋" w:cs="仿宋"/>
          <w:b/>
          <w:color w:val="auto"/>
          <w:sz w:val="30"/>
          <w:szCs w:val="30"/>
          <w:lang w:eastAsia="zh-CN"/>
        </w:rPr>
        <w:t>合同（参考）</w:t>
      </w:r>
    </w:p>
    <w:p w14:paraId="2F9F505A">
      <w:pPr>
        <w:pStyle w:val="32"/>
        <w:ind w:firstLine="1800" w:firstLineChars="600"/>
        <w:rPr>
          <w:rFonts w:hint="eastAsia" w:ascii="仿宋" w:hAnsi="仿宋" w:eastAsia="仿宋" w:cs="仿宋"/>
          <w:color w:val="auto"/>
          <w:lang w:val="en-US"/>
        </w:rPr>
      </w:pPr>
      <w:r>
        <w:rPr>
          <w:rFonts w:hint="eastAsia" w:ascii="仿宋" w:hAnsi="仿宋" w:eastAsia="仿宋" w:cs="仿宋"/>
          <w:b/>
          <w:color w:val="auto"/>
          <w:sz w:val="30"/>
          <w:szCs w:val="30"/>
          <w:lang w:eastAsia="zh-CN"/>
        </w:rPr>
        <w:t>第六</w:t>
      </w:r>
      <w:r>
        <w:rPr>
          <w:rFonts w:hint="eastAsia" w:ascii="仿宋" w:hAnsi="仿宋" w:eastAsia="仿宋" w:cs="仿宋"/>
          <w:b/>
          <w:color w:val="auto"/>
          <w:sz w:val="30"/>
          <w:szCs w:val="30"/>
          <w:lang w:val="en-US" w:eastAsia="zh-CN"/>
        </w:rPr>
        <w:t>章     响应文件格式</w:t>
      </w:r>
    </w:p>
    <w:p w14:paraId="3191EBA4">
      <w:pPr>
        <w:pStyle w:val="9"/>
        <w:numPr>
          <w:ilvl w:val="0"/>
          <w:numId w:val="0"/>
        </w:numPr>
        <w:spacing w:line="480" w:lineRule="auto"/>
        <w:rPr>
          <w:rFonts w:ascii="仿宋" w:hAnsi="仿宋" w:eastAsia="仿宋" w:cs="仿宋"/>
          <w:color w:val="auto"/>
          <w:lang w:eastAsia="zh-CN"/>
        </w:rPr>
      </w:pPr>
    </w:p>
    <w:p w14:paraId="60F76931">
      <w:pPr>
        <w:spacing w:line="480" w:lineRule="auto"/>
        <w:rPr>
          <w:rFonts w:ascii="仿宋" w:hAnsi="仿宋" w:eastAsia="仿宋" w:cs="仿宋"/>
          <w:color w:val="auto"/>
          <w:lang w:eastAsia="zh-CN"/>
        </w:rPr>
      </w:pPr>
    </w:p>
    <w:p w14:paraId="4700D9B1">
      <w:pPr>
        <w:pStyle w:val="5"/>
        <w:rPr>
          <w:rFonts w:ascii="仿宋" w:hAnsi="仿宋" w:eastAsia="仿宋" w:cs="仿宋"/>
          <w:color w:val="auto"/>
          <w:lang w:eastAsia="zh-CN"/>
        </w:rPr>
      </w:pPr>
    </w:p>
    <w:p w14:paraId="7BE6D503">
      <w:pPr>
        <w:rPr>
          <w:rFonts w:ascii="仿宋" w:hAnsi="仿宋" w:eastAsia="仿宋" w:cs="仿宋"/>
          <w:color w:val="auto"/>
          <w:lang w:eastAsia="zh-CN"/>
        </w:rPr>
      </w:pPr>
    </w:p>
    <w:p w14:paraId="1E583EC6">
      <w:pPr>
        <w:pStyle w:val="5"/>
        <w:rPr>
          <w:rFonts w:ascii="仿宋" w:hAnsi="仿宋" w:eastAsia="仿宋" w:cs="仿宋"/>
          <w:color w:val="auto"/>
          <w:lang w:eastAsia="zh-CN"/>
        </w:rPr>
      </w:pPr>
    </w:p>
    <w:p w14:paraId="24EDC41A">
      <w:pPr>
        <w:rPr>
          <w:rFonts w:ascii="仿宋" w:hAnsi="仿宋" w:eastAsia="仿宋" w:cs="仿宋"/>
          <w:color w:val="auto"/>
          <w:lang w:eastAsia="zh-CN"/>
        </w:rPr>
      </w:pPr>
    </w:p>
    <w:p w14:paraId="6790B1EE">
      <w:pPr>
        <w:pStyle w:val="5"/>
        <w:rPr>
          <w:rFonts w:ascii="仿宋" w:hAnsi="仿宋" w:eastAsia="仿宋" w:cs="仿宋"/>
          <w:color w:val="auto"/>
          <w:lang w:eastAsia="zh-CN"/>
        </w:rPr>
      </w:pPr>
    </w:p>
    <w:p w14:paraId="6F8BEA11">
      <w:pPr>
        <w:rPr>
          <w:rFonts w:ascii="仿宋" w:hAnsi="仿宋" w:eastAsia="仿宋" w:cs="仿宋"/>
          <w:color w:val="auto"/>
          <w:lang w:eastAsia="zh-CN"/>
        </w:rPr>
      </w:pPr>
    </w:p>
    <w:p w14:paraId="6D29C7F1">
      <w:pPr>
        <w:pStyle w:val="5"/>
        <w:rPr>
          <w:rFonts w:ascii="仿宋" w:hAnsi="仿宋" w:eastAsia="仿宋" w:cs="仿宋"/>
          <w:color w:val="auto"/>
          <w:lang w:eastAsia="zh-CN"/>
        </w:rPr>
      </w:pPr>
    </w:p>
    <w:p w14:paraId="26506ABD">
      <w:pPr>
        <w:pStyle w:val="34"/>
        <w:keepNext/>
        <w:keepLines/>
        <w:spacing w:before="120" w:after="300"/>
        <w:jc w:val="both"/>
        <w:rPr>
          <w:rFonts w:ascii="仿宋" w:hAnsi="仿宋" w:eastAsia="仿宋" w:cs="仿宋"/>
          <w:b/>
          <w:bCs/>
          <w:color w:val="auto"/>
        </w:rPr>
        <w:sectPr>
          <w:footerReference r:id="rId5" w:type="default"/>
          <w:pgSz w:w="11906" w:h="16838"/>
          <w:pgMar w:top="1440" w:right="1080" w:bottom="1440" w:left="1080" w:header="851" w:footer="992" w:gutter="0"/>
          <w:pgNumType w:start="1"/>
          <w:cols w:space="720" w:num="1"/>
          <w:docGrid w:type="linesAndChars" w:linePitch="312" w:charSpace="0"/>
        </w:sectPr>
      </w:pPr>
    </w:p>
    <w:p w14:paraId="46724370">
      <w:pPr>
        <w:pStyle w:val="34"/>
        <w:keepNext/>
        <w:keepLines/>
        <w:spacing w:before="120" w:after="300"/>
        <w:rPr>
          <w:rFonts w:ascii="仿宋" w:hAnsi="仿宋" w:eastAsia="仿宋" w:cs="仿宋"/>
          <w:b/>
          <w:bCs/>
          <w:color w:val="auto"/>
          <w:lang w:eastAsia="zh-CN"/>
        </w:rPr>
      </w:pPr>
      <w:r>
        <w:rPr>
          <w:rFonts w:hint="eastAsia" w:ascii="仿宋" w:hAnsi="仿宋" w:eastAsia="仿宋" w:cs="仿宋"/>
          <w:b/>
          <w:bCs/>
          <w:color w:val="auto"/>
        </w:rPr>
        <w:t>第一</w:t>
      </w:r>
      <w:r>
        <w:rPr>
          <w:rFonts w:hint="eastAsia" w:ascii="仿宋" w:hAnsi="仿宋" w:eastAsia="仿宋" w:cs="仿宋"/>
          <w:b/>
          <w:bCs/>
          <w:color w:val="auto"/>
          <w:lang w:eastAsia="zh-CN"/>
        </w:rPr>
        <w:t>章</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竞争性磋商公告</w:t>
      </w:r>
    </w:p>
    <w:p w14:paraId="71420DB9">
      <w:pPr>
        <w:pStyle w:val="3"/>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32"/>
          <w:szCs w:val="32"/>
          <w:lang w:val="en-US" w:eastAsia="zh-CN" w:bidi="ar"/>
        </w:rPr>
      </w:pPr>
      <w:r>
        <w:rPr>
          <w:rFonts w:hint="eastAsia" w:ascii="仿宋" w:hAnsi="仿宋" w:eastAsia="仿宋" w:cs="仿宋"/>
          <w:b/>
          <w:bCs/>
          <w:i w:val="0"/>
          <w:iCs w:val="0"/>
          <w:caps w:val="0"/>
          <w:color w:val="auto"/>
          <w:spacing w:val="0"/>
          <w:kern w:val="0"/>
          <w:sz w:val="32"/>
          <w:szCs w:val="32"/>
          <w:lang w:val="en-US" w:eastAsia="zh-CN" w:bidi="ar"/>
        </w:rPr>
        <w:t>阿图什市哈拉峻乡大果沙枣改良项目竞争性磋商公告</w:t>
      </w:r>
    </w:p>
    <w:tbl>
      <w:tblPr>
        <w:tblStyle w:val="26"/>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2"/>
      </w:tblGrid>
      <w:tr w14:paraId="6DA2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9502" w:type="dxa"/>
            <w:noWrap w:val="0"/>
            <w:vAlign w:val="top"/>
          </w:tcPr>
          <w:p w14:paraId="780758D4">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lang w:eastAsia="zh-CN"/>
              </w:rPr>
              <w:t>项目概况</w:t>
            </w:r>
          </w:p>
          <w:p w14:paraId="337F9D2C">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240" w:lineRule="auto"/>
              <w:ind w:left="0" w:right="0" w:firstLine="486" w:firstLineChars="200"/>
              <w:jc w:val="left"/>
              <w:textAlignment w:val="auto"/>
              <w:rPr>
                <w:b w:val="0"/>
                <w:bCs w:val="0"/>
                <w:color w:val="auto"/>
                <w:sz w:val="36"/>
                <w:szCs w:val="36"/>
                <w:vertAlign w:val="baseline"/>
              </w:rPr>
            </w:pPr>
            <w:r>
              <w:rPr>
                <w:rFonts w:hint="eastAsia" w:ascii="仿宋" w:hAnsi="仿宋" w:eastAsia="仿宋" w:cs="仿宋"/>
                <w:i w:val="0"/>
                <w:iCs w:val="0"/>
                <w:caps w:val="0"/>
                <w:color w:val="auto"/>
                <w:spacing w:val="0"/>
                <w:sz w:val="24"/>
                <w:szCs w:val="24"/>
                <w:lang w:val="en-US" w:eastAsia="zh-CN"/>
              </w:rPr>
              <w:t>阿图什市哈拉峻乡大果沙枣改良项目</w:t>
            </w:r>
            <w:r>
              <w:rPr>
                <w:rFonts w:hint="eastAsia" w:ascii="仿宋" w:hAnsi="仿宋" w:eastAsia="仿宋" w:cs="仿宋"/>
                <w:i w:val="0"/>
                <w:iCs w:val="0"/>
                <w:caps w:val="0"/>
                <w:color w:val="auto"/>
                <w:spacing w:val="0"/>
                <w:sz w:val="24"/>
                <w:szCs w:val="24"/>
              </w:rPr>
              <w:t>的潜在供应商应在政采云平台线上获取采购文件，并于202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 xml:space="preserve">5 </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 xml:space="preserve"> 12</w:t>
            </w:r>
            <w:r>
              <w:rPr>
                <w:rFonts w:hint="eastAsia" w:ascii="仿宋" w:hAnsi="仿宋" w:eastAsia="仿宋" w:cs="仿宋"/>
                <w:i w:val="0"/>
                <w:iCs w:val="0"/>
                <w:caps w:val="0"/>
                <w:color w:val="auto"/>
                <w:spacing w:val="0"/>
                <w:sz w:val="24"/>
                <w:szCs w:val="24"/>
              </w:rPr>
              <w:t>日 10:</w:t>
            </w:r>
            <w:r>
              <w:rPr>
                <w:rFonts w:hint="eastAsia" w:ascii="仿宋" w:hAnsi="仿宋" w:eastAsia="仿宋" w:cs="仿宋"/>
                <w:i w:val="0"/>
                <w:iCs w:val="0"/>
                <w:caps w:val="0"/>
                <w:color w:val="auto"/>
                <w:spacing w:val="0"/>
                <w:sz w:val="24"/>
                <w:szCs w:val="24"/>
                <w:lang w:val="en-US" w:eastAsia="zh-CN"/>
              </w:rPr>
              <w:t>15</w:t>
            </w:r>
            <w:r>
              <w:rPr>
                <w:rFonts w:hint="eastAsia" w:ascii="仿宋" w:hAnsi="仿宋" w:eastAsia="仿宋" w:cs="仿宋"/>
                <w:i w:val="0"/>
                <w:iCs w:val="0"/>
                <w:caps w:val="0"/>
                <w:color w:val="auto"/>
                <w:spacing w:val="0"/>
                <w:sz w:val="24"/>
                <w:szCs w:val="24"/>
              </w:rPr>
              <w:t>（北京时间）前提交响应文件。  </w:t>
            </w:r>
            <w:r>
              <w:rPr>
                <w:rFonts w:hint="eastAsia"/>
                <w:b w:val="0"/>
                <w:bCs w:val="0"/>
                <w:color w:val="auto"/>
                <w:sz w:val="36"/>
                <w:szCs w:val="36"/>
                <w:vertAlign w:val="baseline"/>
              </w:rPr>
              <w:t> </w:t>
            </w:r>
          </w:p>
        </w:tc>
      </w:tr>
    </w:tbl>
    <w:p w14:paraId="4AEC2008">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14:paraId="18018D0D">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auto"/>
          <w:spacing w:val="0"/>
          <w:sz w:val="27"/>
          <w:szCs w:val="27"/>
          <w:lang w:val="en-US" w:eastAsia="zh-CN"/>
        </w:rPr>
      </w:pPr>
      <w:r>
        <w:rPr>
          <w:rFonts w:hint="eastAsia" w:ascii="仿宋" w:hAnsi="仿宋" w:eastAsia="仿宋" w:cs="仿宋"/>
          <w:b w:val="0"/>
          <w:bCs w:val="0"/>
          <w:i w:val="0"/>
          <w:iCs w:val="0"/>
          <w:caps w:val="0"/>
          <w:color w:val="auto"/>
          <w:spacing w:val="0"/>
          <w:sz w:val="24"/>
          <w:szCs w:val="24"/>
        </w:rPr>
        <w:t>项目编号：</w:t>
      </w:r>
      <w:r>
        <w:rPr>
          <w:rFonts w:ascii="仿宋" w:hAnsi="仿宋" w:eastAsia="仿宋" w:cs="仿宋"/>
          <w:i w:val="0"/>
          <w:iCs w:val="0"/>
          <w:caps w:val="0"/>
          <w:color w:val="auto"/>
          <w:spacing w:val="0"/>
          <w:sz w:val="27"/>
          <w:szCs w:val="27"/>
        </w:rPr>
        <w:t>ATSCG-2025</w:t>
      </w:r>
      <w:r>
        <w:rPr>
          <w:rFonts w:hint="eastAsia" w:ascii="仿宋" w:hAnsi="仿宋" w:eastAsia="仿宋" w:cs="仿宋"/>
          <w:i w:val="0"/>
          <w:iCs w:val="0"/>
          <w:caps w:val="0"/>
          <w:color w:val="auto"/>
          <w:spacing w:val="0"/>
          <w:sz w:val="27"/>
          <w:szCs w:val="27"/>
          <w:lang w:val="en-US" w:eastAsia="zh-CN"/>
        </w:rPr>
        <w:t>026</w:t>
      </w:r>
    </w:p>
    <w:p w14:paraId="75B61C67">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项目名称：</w:t>
      </w:r>
      <w:r>
        <w:rPr>
          <w:rFonts w:hint="eastAsia" w:ascii="仿宋" w:hAnsi="仿宋" w:eastAsia="仿宋" w:cs="仿宋"/>
          <w:i w:val="0"/>
          <w:iCs w:val="0"/>
          <w:caps w:val="0"/>
          <w:color w:val="auto"/>
          <w:spacing w:val="0"/>
          <w:sz w:val="24"/>
          <w:szCs w:val="24"/>
          <w:lang w:val="en-US" w:eastAsia="zh-CN"/>
        </w:rPr>
        <w:t>阿图什市哈拉峻乡大果沙枣改良项目</w:t>
      </w:r>
    </w:p>
    <w:p w14:paraId="22F216D5">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采购方式：竞争性磋商 </w:t>
      </w:r>
    </w:p>
    <w:p w14:paraId="6466C454">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w:t>
      </w:r>
      <w:r>
        <w:rPr>
          <w:rFonts w:hint="eastAsia" w:ascii="仿宋" w:hAnsi="仿宋" w:eastAsia="仿宋" w:cs="仿宋"/>
          <w:i w:val="0"/>
          <w:iCs w:val="0"/>
          <w:caps w:val="0"/>
          <w:color w:val="auto"/>
          <w:spacing w:val="0"/>
          <w:sz w:val="24"/>
          <w:szCs w:val="24"/>
          <w:lang w:val="en-US" w:eastAsia="zh-CN"/>
        </w:rPr>
        <w:t>1040000.00</w:t>
      </w:r>
    </w:p>
    <w:p w14:paraId="51B7E76B">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w:t>
      </w:r>
      <w:r>
        <w:rPr>
          <w:rFonts w:hint="eastAsia" w:ascii="仿宋" w:hAnsi="仿宋" w:eastAsia="仿宋" w:cs="仿宋"/>
          <w:i w:val="0"/>
          <w:iCs w:val="0"/>
          <w:caps w:val="0"/>
          <w:color w:val="auto"/>
          <w:spacing w:val="0"/>
          <w:sz w:val="24"/>
          <w:szCs w:val="24"/>
          <w:lang w:val="en-US" w:eastAsia="zh-CN"/>
        </w:rPr>
        <w:t>1040000.00</w:t>
      </w:r>
    </w:p>
    <w:p w14:paraId="6BE0E337">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14:paraId="3610CA78">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   标项名称:</w:t>
      </w:r>
      <w:r>
        <w:rPr>
          <w:rFonts w:hint="eastAsia" w:ascii="仿宋" w:hAnsi="仿宋" w:eastAsia="仿宋" w:cs="仿宋"/>
          <w:i w:val="0"/>
          <w:iCs w:val="0"/>
          <w:caps w:val="0"/>
          <w:color w:val="auto"/>
          <w:spacing w:val="0"/>
          <w:sz w:val="24"/>
          <w:szCs w:val="24"/>
          <w:lang w:val="en-US" w:eastAsia="zh-CN"/>
        </w:rPr>
        <w:t>阿图什市哈拉峻乡大果沙枣改良项目</w:t>
      </w:r>
      <w:r>
        <w:rPr>
          <w:rFonts w:hint="eastAsia" w:ascii="仿宋" w:hAnsi="仿宋" w:eastAsia="仿宋" w:cs="仿宋"/>
          <w:i w:val="0"/>
          <w:iCs w:val="0"/>
          <w:caps w:val="0"/>
          <w:color w:val="auto"/>
          <w:spacing w:val="0"/>
          <w:sz w:val="24"/>
          <w:szCs w:val="24"/>
        </w:rPr>
        <w:t> </w:t>
      </w:r>
    </w:p>
    <w:p w14:paraId="568248FA">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 xml:space="preserve">  数量</w:t>
      </w:r>
      <w:r>
        <w:rPr>
          <w:rFonts w:hint="eastAsia" w:ascii="仿宋" w:hAnsi="仿宋" w:eastAsia="仿宋" w:cs="仿宋"/>
          <w:i w:val="0"/>
          <w:iCs w:val="0"/>
          <w:caps w:val="0"/>
          <w:color w:val="auto"/>
          <w:spacing w:val="0"/>
          <w:sz w:val="24"/>
          <w:szCs w:val="24"/>
          <w:lang w:eastAsia="zh-CN"/>
        </w:rPr>
        <w:t>：</w:t>
      </w:r>
      <w:r>
        <w:rPr>
          <w:rFonts w:hint="eastAsia" w:ascii="仿宋" w:hAnsi="仿宋" w:eastAsia="仿宋" w:cs="仿宋"/>
          <w:i w:val="0"/>
          <w:iCs w:val="0"/>
          <w:caps w:val="0"/>
          <w:color w:val="auto"/>
          <w:spacing w:val="0"/>
          <w:sz w:val="24"/>
          <w:szCs w:val="24"/>
        </w:rPr>
        <w:t>1</w:t>
      </w:r>
    </w:p>
    <w:p w14:paraId="735DF7A0">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   预算金额（元）:</w:t>
      </w:r>
      <w:r>
        <w:rPr>
          <w:rFonts w:hint="eastAsia" w:ascii="仿宋" w:hAnsi="仿宋" w:eastAsia="仿宋" w:cs="仿宋"/>
          <w:i w:val="0"/>
          <w:iCs w:val="0"/>
          <w:caps w:val="0"/>
          <w:color w:val="auto"/>
          <w:spacing w:val="0"/>
          <w:sz w:val="24"/>
          <w:szCs w:val="24"/>
          <w:lang w:val="en-US" w:eastAsia="zh-CN"/>
        </w:rPr>
        <w:t>1040000.00</w:t>
      </w:r>
    </w:p>
    <w:p w14:paraId="317AB833">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lang w:eastAsia="zh-CN"/>
        </w:rPr>
        <w:t>单位：</w:t>
      </w:r>
      <w:r>
        <w:rPr>
          <w:rFonts w:hint="eastAsia" w:ascii="仿宋" w:hAnsi="仿宋" w:eastAsia="仿宋" w:cs="仿宋"/>
          <w:i w:val="0"/>
          <w:iCs w:val="0"/>
          <w:caps w:val="0"/>
          <w:color w:val="auto"/>
          <w:spacing w:val="0"/>
          <w:sz w:val="24"/>
          <w:szCs w:val="24"/>
          <w:lang w:val="en-US" w:eastAsia="zh-CN"/>
        </w:rPr>
        <w:t>批</w:t>
      </w:r>
    </w:p>
    <w:p w14:paraId="1EB64B3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caps w:val="0"/>
          <w:color w:val="auto"/>
          <w:spacing w:val="0"/>
          <w:sz w:val="24"/>
          <w:szCs w:val="24"/>
          <w:lang w:val="en-US" w:eastAsia="zh-CN" w:bidi="en-US"/>
        </w:rPr>
      </w:pPr>
      <w:r>
        <w:rPr>
          <w:rFonts w:hint="eastAsia" w:ascii="仿宋" w:hAnsi="仿宋" w:eastAsia="仿宋" w:cs="仿宋"/>
          <w:i w:val="0"/>
          <w:iCs w:val="0"/>
          <w:caps w:val="0"/>
          <w:color w:val="auto"/>
          <w:spacing w:val="0"/>
          <w:sz w:val="24"/>
          <w:szCs w:val="24"/>
          <w:lang w:val="en-US" w:eastAsia="zh-CN" w:bidi="en-US"/>
        </w:rPr>
        <w:t>简要规格描述或项目基本概况介绍、用途：</w:t>
      </w:r>
    </w:p>
    <w:p w14:paraId="7B14067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243" w:leftChars="100" w:firstLine="486" w:firstLineChars="200"/>
        <w:jc w:val="left"/>
        <w:textAlignment w:val="auto"/>
        <w:rPr>
          <w:rFonts w:hint="eastAsia" w:ascii="仿宋" w:hAnsi="仿宋" w:eastAsia="仿宋" w:cs="仿宋"/>
          <w:i w:val="0"/>
          <w:iCs w:val="0"/>
          <w:caps w:val="0"/>
          <w:color w:val="auto"/>
          <w:spacing w:val="0"/>
          <w:sz w:val="24"/>
          <w:szCs w:val="24"/>
          <w:lang w:val="en-US" w:eastAsia="zh-CN" w:bidi="en-US"/>
        </w:rPr>
      </w:pPr>
      <w:r>
        <w:rPr>
          <w:rFonts w:hint="eastAsia" w:ascii="仿宋" w:hAnsi="仿宋" w:eastAsia="仿宋" w:cs="仿宋"/>
          <w:i w:val="0"/>
          <w:iCs w:val="0"/>
          <w:caps w:val="0"/>
          <w:color w:val="auto"/>
          <w:spacing w:val="0"/>
          <w:sz w:val="24"/>
          <w:szCs w:val="24"/>
          <w:lang w:val="en-US" w:eastAsia="zh-CN" w:bidi="en-US"/>
        </w:rPr>
        <w:t>1、对已有的45000棵沙枣苗进行嫁接，供应商需提供45000棵金皇后沙枣嫁接条，要求胸径1.5-2公分；</w:t>
      </w:r>
    </w:p>
    <w:p w14:paraId="222495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29" w:firstLineChars="300"/>
        <w:jc w:val="left"/>
        <w:textAlignment w:val="auto"/>
        <w:rPr>
          <w:rFonts w:hint="default" w:ascii="仿宋" w:hAnsi="仿宋" w:eastAsia="仿宋" w:cs="仿宋"/>
          <w:i w:val="0"/>
          <w:iCs w:val="0"/>
          <w:caps w:val="0"/>
          <w:color w:val="auto"/>
          <w:spacing w:val="0"/>
          <w:sz w:val="24"/>
          <w:szCs w:val="24"/>
          <w:lang w:val="en-US" w:eastAsia="zh-CN" w:bidi="en-US"/>
        </w:rPr>
      </w:pPr>
      <w:r>
        <w:rPr>
          <w:rFonts w:hint="eastAsia" w:ascii="仿宋" w:hAnsi="仿宋" w:eastAsia="仿宋" w:cs="仿宋"/>
          <w:i w:val="0"/>
          <w:iCs w:val="0"/>
          <w:caps w:val="0"/>
          <w:color w:val="auto"/>
          <w:spacing w:val="0"/>
          <w:sz w:val="24"/>
          <w:szCs w:val="24"/>
          <w:lang w:val="en-US" w:eastAsia="zh-CN" w:bidi="en-US"/>
        </w:rPr>
        <w:t>2、金皇后沙枣苗补植75000棵  供应商需提供金皇后沙枣75000棵，要求：胸径2—3公分。全冠、根系好，生长旺盛 、无病虫害、无冻害；</w:t>
      </w:r>
    </w:p>
    <w:p w14:paraId="320E4FA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29" w:firstLineChars="300"/>
        <w:jc w:val="left"/>
        <w:textAlignment w:val="auto"/>
        <w:rPr>
          <w:rFonts w:hint="eastAsia" w:ascii="仿宋" w:hAnsi="仿宋" w:eastAsia="仿宋" w:cs="仿宋"/>
          <w:b/>
          <w:bCs/>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bidi="en-US"/>
        </w:rPr>
        <w:t>3、服务期内供应商根据当地气候环境，水土等提供适合树苗生长的化肥及农药，按照树苗生长周期及时灌溉施肥、喷洒农药防止病虫害；</w:t>
      </w:r>
    </w:p>
    <w:p w14:paraId="0014DDE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729" w:firstLineChars="3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备注：</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具体服务要求</w:t>
      </w:r>
      <w:r>
        <w:rPr>
          <w:rFonts w:hint="eastAsia" w:ascii="仿宋" w:hAnsi="仿宋" w:eastAsia="仿宋" w:cs="仿宋"/>
          <w:b w:val="0"/>
          <w:bCs w:val="0"/>
          <w:i w:val="0"/>
          <w:iCs w:val="0"/>
          <w:caps w:val="0"/>
          <w:color w:val="auto"/>
          <w:spacing w:val="0"/>
          <w:sz w:val="24"/>
          <w:szCs w:val="24"/>
          <w:lang w:eastAsia="zh-CN"/>
        </w:rPr>
        <w:t>详见</w:t>
      </w:r>
      <w:r>
        <w:rPr>
          <w:rFonts w:hint="eastAsia" w:ascii="仿宋" w:hAnsi="仿宋" w:eastAsia="仿宋" w:cs="仿宋"/>
          <w:b w:val="0"/>
          <w:bCs w:val="0"/>
          <w:i w:val="0"/>
          <w:iCs w:val="0"/>
          <w:caps w:val="0"/>
          <w:color w:val="auto"/>
          <w:spacing w:val="0"/>
          <w:sz w:val="24"/>
          <w:szCs w:val="24"/>
          <w:lang w:val="en-US" w:eastAsia="zh-CN"/>
        </w:rPr>
        <w:t>磋商文件</w:t>
      </w:r>
      <w:r>
        <w:rPr>
          <w:rFonts w:hint="eastAsia" w:ascii="仿宋" w:hAnsi="仿宋" w:eastAsia="仿宋" w:cs="仿宋"/>
          <w:b w:val="0"/>
          <w:bCs w:val="0"/>
          <w:i w:val="0"/>
          <w:iCs w:val="0"/>
          <w:caps w:val="0"/>
          <w:color w:val="auto"/>
          <w:spacing w:val="0"/>
          <w:sz w:val="24"/>
          <w:szCs w:val="24"/>
          <w:lang w:eastAsia="zh-CN"/>
        </w:rPr>
        <w:t>）</w:t>
      </w:r>
    </w:p>
    <w:p w14:paraId="5E083EAB">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3" w:firstLineChars="1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合同履约期限：</w:t>
      </w:r>
      <w:r>
        <w:rPr>
          <w:rFonts w:hint="eastAsia" w:ascii="仿宋" w:hAnsi="仿宋" w:eastAsia="仿宋" w:cs="仿宋"/>
          <w:i w:val="0"/>
          <w:iCs w:val="0"/>
          <w:caps w:val="0"/>
          <w:color w:val="auto"/>
          <w:spacing w:val="0"/>
          <w:sz w:val="24"/>
          <w:szCs w:val="24"/>
          <w:lang w:val="en-US" w:eastAsia="zh-CN"/>
        </w:rPr>
        <w:t>具体以甲乙双方签订合同为准;</w:t>
      </w:r>
    </w:p>
    <w:p w14:paraId="02EBC89A">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3" w:firstLineChars="10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本项目</w:t>
      </w:r>
      <w:r>
        <w:rPr>
          <w:rFonts w:hint="eastAsia" w:ascii="仿宋" w:hAnsi="仿宋" w:eastAsia="仿宋" w:cs="仿宋"/>
          <w:b w:val="0"/>
          <w:bCs w:val="0"/>
          <w:i w:val="0"/>
          <w:iCs w:val="0"/>
          <w:caps w:val="0"/>
          <w:color w:val="auto"/>
          <w:spacing w:val="0"/>
          <w:sz w:val="24"/>
          <w:szCs w:val="24"/>
          <w:lang w:eastAsia="zh-CN"/>
        </w:rPr>
        <w:t>不</w:t>
      </w:r>
      <w:r>
        <w:rPr>
          <w:rFonts w:hint="eastAsia" w:ascii="仿宋" w:hAnsi="仿宋" w:eastAsia="仿宋" w:cs="仿宋"/>
          <w:b w:val="0"/>
          <w:bCs w:val="0"/>
          <w:i w:val="0"/>
          <w:iCs w:val="0"/>
          <w:caps w:val="0"/>
          <w:color w:val="auto"/>
          <w:spacing w:val="0"/>
          <w:sz w:val="24"/>
          <w:szCs w:val="24"/>
        </w:rPr>
        <w:t>接受联合体投标。</w:t>
      </w:r>
    </w:p>
    <w:p w14:paraId="3BBC5FDC">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14:paraId="24DA4E0B">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14:paraId="11102377">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rPr>
        <w:t>2.落实政府采购政策需满足的资格要求：</w:t>
      </w:r>
      <w:r>
        <w:rPr>
          <w:rFonts w:hint="eastAsia" w:ascii="仿宋" w:hAnsi="仿宋" w:eastAsia="仿宋" w:cs="仿宋"/>
          <w:b w:val="0"/>
          <w:bCs w:val="0"/>
          <w:i w:val="0"/>
          <w:iCs w:val="0"/>
          <w:caps w:val="0"/>
          <w:color w:val="auto"/>
          <w:spacing w:val="0"/>
          <w:sz w:val="24"/>
          <w:szCs w:val="24"/>
          <w:highlight w:val="none"/>
          <w:lang w:val="en-US" w:eastAsia="zh-CN"/>
        </w:rPr>
        <w:t>供应商为中小企业</w:t>
      </w:r>
      <w:r>
        <w:rPr>
          <w:rFonts w:hint="eastAsia" w:ascii="仿宋" w:hAnsi="仿宋" w:eastAsia="仿宋" w:cs="仿宋"/>
          <w:b w:val="0"/>
          <w:bCs w:val="0"/>
          <w:i w:val="0"/>
          <w:iCs w:val="0"/>
          <w:caps w:val="0"/>
          <w:color w:val="auto"/>
          <w:spacing w:val="0"/>
          <w:sz w:val="24"/>
          <w:szCs w:val="24"/>
          <w:highlight w:val="none"/>
          <w:lang w:eastAsia="zh-CN"/>
        </w:rPr>
        <w:t>。</w:t>
      </w:r>
    </w:p>
    <w:p w14:paraId="04BB824E">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 3.本项目的特定资格要求：</w:t>
      </w:r>
    </w:p>
    <w:p w14:paraId="65B7AD99">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rPr>
        <w:t>具备三证合一营业执照副本；</w:t>
      </w:r>
    </w:p>
    <w:p w14:paraId="423A65E6">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（2</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rPr>
        <w:t>法定代表人投标需提供法定代表人资格证明书，委托代理人投标需提供法定代表人授权委托书；</w:t>
      </w:r>
    </w:p>
    <w:p w14:paraId="0A536867">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3</w:t>
      </w:r>
      <w:r>
        <w:rPr>
          <w:rFonts w:hint="eastAsia" w:ascii="仿宋" w:hAnsi="仿宋" w:eastAsia="仿宋" w:cs="仿宋"/>
          <w:b w:val="0"/>
          <w:bCs w:val="0"/>
          <w:i w:val="0"/>
          <w:iCs w:val="0"/>
          <w:caps w:val="0"/>
          <w:color w:val="auto"/>
          <w:spacing w:val="0"/>
          <w:sz w:val="24"/>
          <w:szCs w:val="24"/>
          <w:lang w:eastAsia="zh-CN"/>
        </w:rPr>
        <w:t>）投标企业须提供投标人（被授权在职人员）近6个月内任意一个月有效的社保证明；</w:t>
      </w:r>
    </w:p>
    <w:p w14:paraId="1F671B48">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4）参加政府采购活动前三年内，在经营活动中没有重大违法记录；未被“信用中国”（www.creditchina.gov.cn）、中国政府采购网（www.ccgp.gov.cn）列入失信被执行人、税收违法黑名单、政府采购严重违法失信行为记录名单。</w:t>
      </w:r>
    </w:p>
    <w:p w14:paraId="2CC1AD70">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三、获取</w:t>
      </w:r>
      <w:r>
        <w:rPr>
          <w:rFonts w:hint="eastAsia" w:ascii="仿宋" w:hAnsi="仿宋" w:eastAsia="仿宋" w:cs="仿宋"/>
          <w:b/>
          <w:bCs/>
          <w:i w:val="0"/>
          <w:iCs w:val="0"/>
          <w:caps w:val="0"/>
          <w:color w:val="auto"/>
          <w:spacing w:val="0"/>
          <w:sz w:val="24"/>
          <w:szCs w:val="24"/>
          <w:lang w:eastAsia="zh-CN"/>
        </w:rPr>
        <w:t>采购</w:t>
      </w:r>
      <w:r>
        <w:rPr>
          <w:rFonts w:hint="eastAsia" w:ascii="仿宋" w:hAnsi="仿宋" w:eastAsia="仿宋" w:cs="仿宋"/>
          <w:b/>
          <w:bCs/>
          <w:i w:val="0"/>
          <w:iCs w:val="0"/>
          <w:caps w:val="0"/>
          <w:color w:val="auto"/>
          <w:spacing w:val="0"/>
          <w:sz w:val="24"/>
          <w:szCs w:val="24"/>
        </w:rPr>
        <w:t>文件</w:t>
      </w:r>
    </w:p>
    <w:p w14:paraId="673C9C0A">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时间：20</w:t>
      </w:r>
      <w:r>
        <w:rPr>
          <w:rFonts w:hint="eastAsia" w:ascii="仿宋" w:hAnsi="仿宋" w:eastAsia="仿宋" w:cs="仿宋"/>
          <w:i w:val="0"/>
          <w:iCs w:val="0"/>
          <w:caps w:val="0"/>
          <w:color w:val="auto"/>
          <w:spacing w:val="0"/>
          <w:sz w:val="24"/>
          <w:szCs w:val="24"/>
          <w:lang w:val="en-US" w:eastAsia="zh-CN"/>
        </w:rPr>
        <w:t>25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 xml:space="preserve"> 4</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 xml:space="preserve"> 29</w:t>
      </w:r>
      <w:r>
        <w:rPr>
          <w:rFonts w:hint="eastAsia" w:ascii="仿宋" w:hAnsi="仿宋" w:eastAsia="仿宋" w:cs="仿宋"/>
          <w:i w:val="0"/>
          <w:iCs w:val="0"/>
          <w:caps w:val="0"/>
          <w:color w:val="auto"/>
          <w:spacing w:val="0"/>
          <w:sz w:val="24"/>
          <w:szCs w:val="24"/>
        </w:rPr>
        <w:t>日至202</w:t>
      </w:r>
      <w:r>
        <w:rPr>
          <w:rFonts w:hint="eastAsia" w:ascii="仿宋" w:hAnsi="仿宋" w:eastAsia="仿宋" w:cs="仿宋"/>
          <w:i w:val="0"/>
          <w:iCs w:val="0"/>
          <w:caps w:val="0"/>
          <w:color w:val="auto"/>
          <w:spacing w:val="0"/>
          <w:sz w:val="24"/>
          <w:szCs w:val="24"/>
          <w:lang w:val="en-US" w:eastAsia="zh-CN"/>
        </w:rPr>
        <w:t>5</w:t>
      </w:r>
      <w:r>
        <w:rPr>
          <w:rFonts w:hint="eastAsia" w:ascii="仿宋" w:hAnsi="仿宋" w:eastAsia="仿宋" w:cs="仿宋"/>
          <w:i w:val="0"/>
          <w:iCs w:val="0"/>
          <w:caps w:val="0"/>
          <w:color w:val="auto"/>
          <w:spacing w:val="0"/>
          <w:sz w:val="24"/>
          <w:szCs w:val="24"/>
        </w:rPr>
        <w:t>年</w:t>
      </w:r>
      <w:r>
        <w:rPr>
          <w:rFonts w:hint="eastAsia" w:ascii="仿宋" w:hAnsi="仿宋" w:eastAsia="仿宋" w:cs="仿宋"/>
          <w:i w:val="0"/>
          <w:iCs w:val="0"/>
          <w:caps w:val="0"/>
          <w:color w:val="auto"/>
          <w:spacing w:val="0"/>
          <w:sz w:val="24"/>
          <w:szCs w:val="24"/>
          <w:lang w:val="en-US" w:eastAsia="zh-CN"/>
        </w:rPr>
        <w:t xml:space="preserve"> 5</w:t>
      </w:r>
      <w:r>
        <w:rPr>
          <w:rFonts w:hint="eastAsia" w:ascii="仿宋" w:hAnsi="仿宋" w:eastAsia="仿宋" w:cs="仿宋"/>
          <w:i w:val="0"/>
          <w:iCs w:val="0"/>
          <w:caps w:val="0"/>
          <w:color w:val="auto"/>
          <w:spacing w:val="0"/>
          <w:sz w:val="24"/>
          <w:szCs w:val="24"/>
        </w:rPr>
        <w:t>月</w:t>
      </w:r>
      <w:r>
        <w:rPr>
          <w:rFonts w:hint="eastAsia" w:ascii="仿宋" w:hAnsi="仿宋" w:eastAsia="仿宋" w:cs="仿宋"/>
          <w:i w:val="0"/>
          <w:iCs w:val="0"/>
          <w:caps w:val="0"/>
          <w:color w:val="auto"/>
          <w:spacing w:val="0"/>
          <w:sz w:val="24"/>
          <w:szCs w:val="24"/>
          <w:lang w:val="en-US" w:eastAsia="zh-CN"/>
        </w:rPr>
        <w:t xml:space="preserve"> 9</w:t>
      </w:r>
      <w:r>
        <w:rPr>
          <w:rFonts w:hint="eastAsia" w:ascii="仿宋" w:hAnsi="仿宋" w:eastAsia="仿宋" w:cs="仿宋"/>
          <w:i w:val="0"/>
          <w:iCs w:val="0"/>
          <w:caps w:val="0"/>
          <w:color w:val="auto"/>
          <w:spacing w:val="0"/>
          <w:sz w:val="24"/>
          <w:szCs w:val="24"/>
        </w:rPr>
        <w:t>日，每天上午10:00至</w:t>
      </w:r>
      <w:r>
        <w:rPr>
          <w:rFonts w:hint="eastAsia" w:ascii="仿宋" w:hAnsi="仿宋" w:eastAsia="仿宋" w:cs="仿宋"/>
          <w:i w:val="0"/>
          <w:iCs w:val="0"/>
          <w:caps w:val="0"/>
          <w:color w:val="auto"/>
          <w:spacing w:val="0"/>
          <w:sz w:val="24"/>
          <w:szCs w:val="24"/>
          <w:lang w:val="en-US" w:eastAsia="zh-CN"/>
        </w:rPr>
        <w:t>14</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，下午16:</w:t>
      </w:r>
      <w:r>
        <w:rPr>
          <w:rFonts w:hint="eastAsia" w:ascii="仿宋" w:hAnsi="仿宋" w:eastAsia="仿宋" w:cs="仿宋"/>
          <w:i w:val="0"/>
          <w:iCs w:val="0"/>
          <w:caps w:val="0"/>
          <w:color w:val="auto"/>
          <w:spacing w:val="0"/>
          <w:sz w:val="24"/>
          <w:szCs w:val="24"/>
          <w:lang w:val="en-US" w:eastAsia="zh-CN"/>
        </w:rPr>
        <w:t>00</w:t>
      </w:r>
      <w:r>
        <w:rPr>
          <w:rFonts w:hint="eastAsia" w:ascii="仿宋" w:hAnsi="仿宋" w:eastAsia="仿宋" w:cs="仿宋"/>
          <w:i w:val="0"/>
          <w:iCs w:val="0"/>
          <w:caps w:val="0"/>
          <w:color w:val="auto"/>
          <w:spacing w:val="0"/>
          <w:sz w:val="24"/>
          <w:szCs w:val="24"/>
        </w:rPr>
        <w:t>至</w:t>
      </w:r>
      <w:r>
        <w:rPr>
          <w:rFonts w:hint="eastAsia" w:ascii="仿宋" w:hAnsi="仿宋" w:eastAsia="仿宋" w:cs="仿宋"/>
          <w:i w:val="0"/>
          <w:iCs w:val="0"/>
          <w:caps w:val="0"/>
          <w:color w:val="auto"/>
          <w:spacing w:val="0"/>
          <w:sz w:val="24"/>
          <w:szCs w:val="24"/>
          <w:lang w:val="en-US" w:eastAsia="zh-CN"/>
        </w:rPr>
        <w:t>19</w:t>
      </w:r>
      <w:r>
        <w:rPr>
          <w:rFonts w:hint="eastAsia" w:ascii="仿宋" w:hAnsi="仿宋" w:eastAsia="仿宋" w:cs="仿宋"/>
          <w:i w:val="0"/>
          <w:iCs w:val="0"/>
          <w:caps w:val="0"/>
          <w:color w:val="auto"/>
          <w:spacing w:val="0"/>
          <w:sz w:val="24"/>
          <w:szCs w:val="24"/>
        </w:rPr>
        <w:t>:</w:t>
      </w:r>
      <w:r>
        <w:rPr>
          <w:rFonts w:hint="eastAsia" w:ascii="仿宋" w:hAnsi="仿宋" w:eastAsia="仿宋" w:cs="仿宋"/>
          <w:i w:val="0"/>
          <w:iCs w:val="0"/>
          <w:caps w:val="0"/>
          <w:color w:val="auto"/>
          <w:spacing w:val="0"/>
          <w:sz w:val="24"/>
          <w:szCs w:val="24"/>
          <w:lang w:val="en-US" w:eastAsia="zh-CN"/>
        </w:rPr>
        <w:t>30</w:t>
      </w:r>
      <w:r>
        <w:rPr>
          <w:rFonts w:hint="eastAsia" w:ascii="仿宋" w:hAnsi="仿宋" w:eastAsia="仿宋" w:cs="仿宋"/>
          <w:i w:val="0"/>
          <w:iCs w:val="0"/>
          <w:caps w:val="0"/>
          <w:color w:val="auto"/>
          <w:spacing w:val="0"/>
          <w:sz w:val="24"/>
          <w:szCs w:val="24"/>
        </w:rPr>
        <w:t>（北京时间，法定节假日除外）</w:t>
      </w:r>
    </w:p>
    <w:p w14:paraId="2C7185E0">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地点：供应商登录政采云平台https://www.zcygov.cn/在线申请获取采购文件（进入“项目采购”应用，在获取采购文件菜单中选择项目，申请获取采购文件），或者点击采购公告底部潜在供应商“获取采购文件”，页面跳转后</w:t>
      </w:r>
      <w:r>
        <w:rPr>
          <w:rFonts w:hint="eastAsia" w:ascii="仿宋" w:hAnsi="仿宋" w:eastAsia="仿宋" w:cs="仿宋"/>
          <w:i w:val="0"/>
          <w:iCs w:val="0"/>
          <w:caps w:val="0"/>
          <w:color w:val="auto"/>
          <w:spacing w:val="0"/>
          <w:sz w:val="24"/>
          <w:szCs w:val="24"/>
          <w:lang w:val="en-US" w:eastAsia="zh-CN"/>
        </w:rPr>
        <w:t>登录</w:t>
      </w:r>
      <w:r>
        <w:rPr>
          <w:rFonts w:hint="eastAsia" w:ascii="仿宋" w:hAnsi="仿宋" w:eastAsia="仿宋" w:cs="仿宋"/>
          <w:i w:val="0"/>
          <w:iCs w:val="0"/>
          <w:caps w:val="0"/>
          <w:color w:val="auto"/>
          <w:spacing w:val="0"/>
          <w:sz w:val="24"/>
          <w:szCs w:val="24"/>
        </w:rPr>
        <w:t xml:space="preserve">，直接获取采购文件。 </w:t>
      </w:r>
    </w:p>
    <w:p w14:paraId="6DBD1075">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售价（元）：0</w:t>
      </w:r>
    </w:p>
    <w:p w14:paraId="0E42BAA1">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四、响应文件提交</w:t>
      </w:r>
    </w:p>
    <w:p w14:paraId="5F1BDD39">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lang w:val="en-US" w:eastAsia="zh-CN"/>
        </w:rPr>
        <w:t>截止时间：2025年5 月 12日 10：15（北京时间）</w:t>
      </w:r>
    </w:p>
    <w:p w14:paraId="5068893E">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b w:val="0"/>
          <w:bCs w:val="0"/>
          <w:i w:val="0"/>
          <w:iCs w:val="0"/>
          <w:caps w:val="0"/>
          <w:color w:val="auto"/>
          <w:spacing w:val="0"/>
          <w:sz w:val="24"/>
          <w:szCs w:val="24"/>
        </w:rPr>
      </w:pPr>
      <w:bookmarkStart w:id="0" w:name="_Toc35393625"/>
      <w:bookmarkEnd w:id="0"/>
      <w:bookmarkStart w:id="1" w:name="_Toc35393794"/>
      <w:bookmarkEnd w:id="1"/>
      <w:bookmarkStart w:id="2" w:name="_Toc28359084"/>
      <w:bookmarkEnd w:id="2"/>
      <w:bookmarkStart w:id="3" w:name="_Toc28359007"/>
      <w:r>
        <w:rPr>
          <w:rFonts w:hint="eastAsia" w:ascii="仿宋" w:hAnsi="仿宋" w:eastAsia="仿宋" w:cs="仿宋"/>
          <w:b w:val="0"/>
          <w:bCs w:val="0"/>
          <w:i w:val="0"/>
          <w:iCs w:val="0"/>
          <w:caps w:val="0"/>
          <w:color w:val="auto"/>
          <w:spacing w:val="0"/>
          <w:sz w:val="24"/>
          <w:szCs w:val="24"/>
          <w:lang w:val="en-US" w:eastAsia="zh-CN"/>
        </w:rPr>
        <w:t>投标地点：政府采购云平台（</w:t>
      </w:r>
      <w:bookmarkEnd w:id="3"/>
      <w:r>
        <w:rPr>
          <w:rFonts w:hint="eastAsia" w:ascii="仿宋" w:hAnsi="仿宋" w:eastAsia="仿宋" w:cs="仿宋"/>
          <w:b w:val="0"/>
          <w:bCs w:val="0"/>
          <w:i w:val="0"/>
          <w:iCs w:val="0"/>
          <w:caps w:val="0"/>
          <w:color w:val="auto"/>
          <w:spacing w:val="0"/>
          <w:sz w:val="24"/>
          <w:szCs w:val="24"/>
          <w:lang w:val="en-US" w:eastAsia="zh-CN"/>
        </w:rPr>
        <w:fldChar w:fldCharType="begin"/>
      </w:r>
      <w:r>
        <w:rPr>
          <w:rFonts w:hint="eastAsia" w:ascii="仿宋" w:hAnsi="仿宋" w:eastAsia="仿宋" w:cs="仿宋"/>
          <w:b w:val="0"/>
          <w:bCs w:val="0"/>
          <w:i w:val="0"/>
          <w:iCs w:val="0"/>
          <w:caps w:val="0"/>
          <w:color w:val="auto"/>
          <w:spacing w:val="0"/>
          <w:sz w:val="24"/>
          <w:szCs w:val="24"/>
          <w:lang w:val="en-US" w:eastAsia="zh-CN"/>
        </w:rPr>
        <w:instrText xml:space="preserve"> HYPERLINK "http://www.zcygov.cn/" </w:instrText>
      </w:r>
      <w:r>
        <w:rPr>
          <w:rFonts w:hint="eastAsia" w:ascii="仿宋" w:hAnsi="仿宋" w:eastAsia="仿宋" w:cs="仿宋"/>
          <w:b w:val="0"/>
          <w:bCs w:val="0"/>
          <w:i w:val="0"/>
          <w:iCs w:val="0"/>
          <w:caps w:val="0"/>
          <w:color w:val="auto"/>
          <w:spacing w:val="0"/>
          <w:sz w:val="24"/>
          <w:szCs w:val="24"/>
          <w:lang w:val="en-US" w:eastAsia="zh-CN"/>
        </w:rPr>
        <w:fldChar w:fldCharType="separate"/>
      </w:r>
      <w:r>
        <w:rPr>
          <w:rFonts w:hint="eastAsia" w:ascii="仿宋" w:hAnsi="仿宋" w:eastAsia="仿宋" w:cs="仿宋"/>
          <w:b w:val="0"/>
          <w:bCs w:val="0"/>
          <w:i w:val="0"/>
          <w:iCs w:val="0"/>
          <w:caps w:val="0"/>
          <w:color w:val="auto"/>
          <w:spacing w:val="0"/>
          <w:sz w:val="24"/>
          <w:szCs w:val="24"/>
        </w:rPr>
        <w:t>www.zcygov.cn</w:t>
      </w:r>
      <w:r>
        <w:rPr>
          <w:rFonts w:hint="eastAsia" w:ascii="仿宋" w:hAnsi="仿宋" w:eastAsia="仿宋" w:cs="仿宋"/>
          <w:b w:val="0"/>
          <w:bCs w:val="0"/>
          <w:i w:val="0"/>
          <w:iCs w:val="0"/>
          <w:caps w:val="0"/>
          <w:color w:val="auto"/>
          <w:spacing w:val="0"/>
          <w:sz w:val="24"/>
          <w:szCs w:val="24"/>
          <w:lang w:val="en-US" w:eastAsia="zh-CN"/>
        </w:rPr>
        <w:fldChar w:fldCharType="end"/>
      </w:r>
      <w:r>
        <w:rPr>
          <w:rFonts w:hint="eastAsia" w:ascii="仿宋" w:hAnsi="仿宋" w:eastAsia="仿宋" w:cs="仿宋"/>
          <w:b w:val="0"/>
          <w:bCs w:val="0"/>
          <w:i w:val="0"/>
          <w:iCs w:val="0"/>
          <w:caps w:val="0"/>
          <w:color w:val="auto"/>
          <w:spacing w:val="0"/>
          <w:sz w:val="24"/>
          <w:szCs w:val="24"/>
          <w:lang w:val="en-US" w:eastAsia="zh-CN"/>
        </w:rPr>
        <w:t>）</w:t>
      </w:r>
    </w:p>
    <w:p w14:paraId="29217DE3">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lang w:eastAsia="zh-CN"/>
        </w:rPr>
      </w:pPr>
      <w:r>
        <w:rPr>
          <w:rFonts w:hint="eastAsia" w:ascii="仿宋" w:hAnsi="仿宋" w:eastAsia="仿宋" w:cs="仿宋"/>
          <w:b/>
          <w:bCs/>
          <w:i w:val="0"/>
          <w:iCs w:val="0"/>
          <w:caps w:val="0"/>
          <w:color w:val="auto"/>
          <w:spacing w:val="0"/>
          <w:sz w:val="24"/>
          <w:szCs w:val="24"/>
          <w:lang w:eastAsia="zh-CN"/>
        </w:rPr>
        <w:t>五、响应文件开启</w:t>
      </w:r>
    </w:p>
    <w:p w14:paraId="653B818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420" w:leftChars="0" w:right="0" w:rightChars="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lang w:val="en-US" w:eastAsia="zh-CN" w:bidi="ar"/>
        </w:rPr>
        <w:t>开启时间：2025年5 月12 日 10：15 （北京时间）</w:t>
      </w:r>
    </w:p>
    <w:p w14:paraId="5D9AE098">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kern w:val="0"/>
          <w:sz w:val="24"/>
          <w:szCs w:val="24"/>
          <w:lang w:val="en-US" w:eastAsia="zh-CN" w:bidi="ar"/>
        </w:rPr>
      </w:pPr>
      <w:r>
        <w:rPr>
          <w:rFonts w:hint="eastAsia" w:ascii="仿宋" w:hAnsi="仿宋" w:eastAsia="仿宋" w:cs="仿宋"/>
          <w:i w:val="0"/>
          <w:iCs w:val="0"/>
          <w:caps w:val="0"/>
          <w:color w:val="auto"/>
          <w:spacing w:val="0"/>
          <w:kern w:val="0"/>
          <w:sz w:val="24"/>
          <w:szCs w:val="24"/>
          <w:lang w:val="en-US" w:eastAsia="zh-CN" w:bidi="ar"/>
        </w:rPr>
        <w:t>地   点：投标人登录政采云平台https://www.zcygov.cn/，进入“项目采购-开标评标-右边选择对应项目点击“进入项目”进入开标大厅。</w:t>
      </w:r>
    </w:p>
    <w:p w14:paraId="727118B3">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eastAsia="zh-CN"/>
        </w:rPr>
        <w:t>六</w:t>
      </w:r>
      <w:r>
        <w:rPr>
          <w:rFonts w:hint="eastAsia" w:ascii="仿宋" w:hAnsi="仿宋" w:eastAsia="仿宋" w:cs="仿宋"/>
          <w:b/>
          <w:bCs/>
          <w:i w:val="0"/>
          <w:iCs w:val="0"/>
          <w:caps w:val="0"/>
          <w:color w:val="auto"/>
          <w:spacing w:val="0"/>
          <w:sz w:val="24"/>
          <w:szCs w:val="24"/>
        </w:rPr>
        <w:t>、公告期限</w:t>
      </w:r>
    </w:p>
    <w:p w14:paraId="41EA8E42">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自本公告发布之日起</w:t>
      </w:r>
      <w:r>
        <w:rPr>
          <w:rFonts w:hint="eastAsia" w:ascii="仿宋" w:hAnsi="仿宋" w:eastAsia="仿宋" w:cs="仿宋"/>
          <w:i w:val="0"/>
          <w:iCs w:val="0"/>
          <w:caps w:val="0"/>
          <w:color w:val="auto"/>
          <w:spacing w:val="0"/>
          <w:sz w:val="24"/>
          <w:szCs w:val="24"/>
          <w:lang w:val="en-US" w:eastAsia="zh-CN"/>
        </w:rPr>
        <w:t>3</w:t>
      </w:r>
      <w:r>
        <w:rPr>
          <w:rFonts w:hint="eastAsia" w:ascii="仿宋" w:hAnsi="仿宋" w:eastAsia="仿宋" w:cs="仿宋"/>
          <w:i w:val="0"/>
          <w:iCs w:val="0"/>
          <w:caps w:val="0"/>
          <w:color w:val="auto"/>
          <w:spacing w:val="0"/>
          <w:sz w:val="24"/>
          <w:szCs w:val="24"/>
        </w:rPr>
        <w:t>个工作日。</w:t>
      </w:r>
    </w:p>
    <w:p w14:paraId="64B4818F">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eastAsia="zh-CN"/>
        </w:rPr>
        <w:t>七</w:t>
      </w:r>
      <w:r>
        <w:rPr>
          <w:rFonts w:hint="eastAsia" w:ascii="仿宋" w:hAnsi="仿宋" w:eastAsia="仿宋" w:cs="仿宋"/>
          <w:b/>
          <w:bCs/>
          <w:i w:val="0"/>
          <w:iCs w:val="0"/>
          <w:caps w:val="0"/>
          <w:color w:val="auto"/>
          <w:spacing w:val="0"/>
          <w:sz w:val="24"/>
          <w:szCs w:val="24"/>
        </w:rPr>
        <w:t>、其他补充事宜</w:t>
      </w:r>
    </w:p>
    <w:p w14:paraId="49D8B0E5">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firstLine="486" w:firstLineChars="20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1、本项目实行网上投标，采用电子投标文件。</w:t>
      </w:r>
    </w:p>
    <w:p w14:paraId="325BCD4F">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 </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lang w:eastAsia="zh-CN"/>
        </w:rPr>
        <w:t>   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41D75173">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   </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lang w:eastAsia="zh-CN"/>
        </w:rPr>
        <w:t> 3、供应商将政采云电子交易客户端下载、安装完成后，可通过账号密码或CA登录客户端进行投标文件的制作。在使用政采云投标客户端时，建议使用WIN7及以上操作系统。</w:t>
      </w:r>
    </w:p>
    <w:p w14:paraId="678FB871">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bCs/>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  </w:t>
      </w:r>
      <w:r>
        <w:rPr>
          <w:rFonts w:hint="eastAsia" w:ascii="仿宋" w:hAnsi="仿宋" w:eastAsia="仿宋" w:cs="仿宋"/>
          <w:b w:val="0"/>
          <w:bCs w:val="0"/>
          <w:i w:val="0"/>
          <w:iCs w:val="0"/>
          <w:caps w:val="0"/>
          <w:color w:val="auto"/>
          <w:spacing w:val="0"/>
          <w:sz w:val="24"/>
          <w:szCs w:val="24"/>
          <w:lang w:val="en-US" w:eastAsia="zh-CN"/>
        </w:rPr>
        <w:t xml:space="preserve"> </w:t>
      </w:r>
      <w:r>
        <w:rPr>
          <w:rFonts w:hint="eastAsia" w:ascii="仿宋" w:hAnsi="仿宋" w:eastAsia="仿宋" w:cs="仿宋"/>
          <w:b w:val="0"/>
          <w:bCs w:val="0"/>
          <w:i w:val="0"/>
          <w:iCs w:val="0"/>
          <w:caps w:val="0"/>
          <w:color w:val="auto"/>
          <w:spacing w:val="0"/>
          <w:sz w:val="24"/>
          <w:szCs w:val="24"/>
          <w:lang w:eastAsia="zh-CN"/>
        </w:rPr>
        <w:t>  4、其他事项：</w:t>
      </w:r>
      <w:r>
        <w:rPr>
          <w:rFonts w:hint="eastAsia" w:ascii="仿宋" w:hAnsi="仿宋" w:eastAsia="仿宋" w:cs="仿宋"/>
          <w:b w:val="0"/>
          <w:bCs w:val="0"/>
          <w:i w:val="0"/>
          <w:iCs w:val="0"/>
          <w:caps w:val="0"/>
          <w:color w:val="auto"/>
          <w:spacing w:val="0"/>
          <w:sz w:val="24"/>
          <w:szCs w:val="24"/>
          <w:lang w:val="en-US" w:eastAsia="zh-CN"/>
        </w:rPr>
        <w:t>/</w:t>
      </w:r>
      <w:r>
        <w:rPr>
          <w:rFonts w:hint="eastAsia" w:ascii="仿宋" w:hAnsi="仿宋" w:eastAsia="仿宋" w:cs="仿宋"/>
          <w:b w:val="0"/>
          <w:bCs w:val="0"/>
          <w:i w:val="0"/>
          <w:iCs w:val="0"/>
          <w:caps w:val="0"/>
          <w:color w:val="auto"/>
          <w:spacing w:val="0"/>
          <w:sz w:val="24"/>
          <w:szCs w:val="24"/>
          <w:lang w:eastAsia="zh-CN"/>
        </w:rPr>
        <w:t> </w:t>
      </w:r>
      <w:r>
        <w:rPr>
          <w:rFonts w:hint="eastAsia" w:ascii="仿宋" w:hAnsi="仿宋" w:eastAsia="仿宋" w:cs="仿宋"/>
          <w:b/>
          <w:bCs/>
          <w:i w:val="0"/>
          <w:iCs w:val="0"/>
          <w:caps w:val="0"/>
          <w:color w:val="auto"/>
          <w:spacing w:val="0"/>
          <w:sz w:val="24"/>
          <w:szCs w:val="24"/>
          <w:lang w:eastAsia="zh-CN"/>
        </w:rPr>
        <w:t> </w:t>
      </w:r>
    </w:p>
    <w:p w14:paraId="2462DC13">
      <w:pPr>
        <w:pStyle w:val="21"/>
        <w:keepNext w:val="0"/>
        <w:keepLines w:val="0"/>
        <w:pageBreakBefore w:val="0"/>
        <w:widowControl/>
        <w:numPr>
          <w:ilvl w:val="0"/>
          <w:numId w:val="0"/>
        </w:numPr>
        <w:suppressLineNumbers w:val="0"/>
        <w:kinsoku/>
        <w:wordWrap/>
        <w:overflowPunct/>
        <w:topLinePunct w:val="0"/>
        <w:autoSpaceDE/>
        <w:autoSpaceDN/>
        <w:bidi w:val="0"/>
        <w:adjustRightInd/>
        <w:snapToGrid/>
        <w:spacing w:before="75" w:beforeAutospacing="0" w:after="75" w:afterAutospacing="0" w:line="400" w:lineRule="exact"/>
        <w:ind w:leftChars="0" w:right="0" w:rightChars="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lang w:eastAsia="zh-CN"/>
        </w:rPr>
        <w:t>八</w:t>
      </w:r>
      <w:r>
        <w:rPr>
          <w:rFonts w:hint="eastAsia" w:ascii="仿宋" w:hAnsi="仿宋" w:eastAsia="仿宋" w:cs="仿宋"/>
          <w:b/>
          <w:bCs/>
          <w:i w:val="0"/>
          <w:iCs w:val="0"/>
          <w:caps w:val="0"/>
          <w:color w:val="auto"/>
          <w:spacing w:val="0"/>
          <w:sz w:val="24"/>
          <w:szCs w:val="24"/>
        </w:rPr>
        <w:t>、对本次采购提出询问，请按以下方式联系</w:t>
      </w:r>
    </w:p>
    <w:p w14:paraId="58DCC7D4">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1.采购人信息</w:t>
      </w:r>
    </w:p>
    <w:p w14:paraId="70917522">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名 称：</w:t>
      </w:r>
      <w:r>
        <w:rPr>
          <w:rFonts w:hint="eastAsia" w:ascii="仿宋" w:hAnsi="仿宋" w:eastAsia="仿宋" w:cs="仿宋"/>
          <w:i w:val="0"/>
          <w:iCs w:val="0"/>
          <w:caps w:val="0"/>
          <w:color w:val="auto"/>
          <w:spacing w:val="0"/>
          <w:sz w:val="24"/>
          <w:szCs w:val="24"/>
          <w:lang w:eastAsia="zh-CN"/>
        </w:rPr>
        <w:t>阿图什市哈拉峻乡人民政府</w:t>
      </w:r>
    </w:p>
    <w:p w14:paraId="02D62594">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地 址：</w:t>
      </w:r>
      <w:r>
        <w:rPr>
          <w:rFonts w:hint="eastAsia" w:ascii="仿宋" w:hAnsi="仿宋" w:eastAsia="仿宋" w:cs="仿宋"/>
          <w:i w:val="0"/>
          <w:iCs w:val="0"/>
          <w:caps w:val="0"/>
          <w:color w:val="auto"/>
          <w:spacing w:val="0"/>
          <w:sz w:val="24"/>
          <w:szCs w:val="24"/>
          <w:lang w:eastAsia="zh-CN"/>
        </w:rPr>
        <w:t>阿图什市哈拉峻乡</w:t>
      </w:r>
    </w:p>
    <w:p w14:paraId="4922D3A9">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联系方式：</w:t>
      </w:r>
      <w:r>
        <w:rPr>
          <w:rFonts w:hint="eastAsia" w:ascii="仿宋" w:hAnsi="仿宋" w:eastAsia="仿宋" w:cs="仿宋"/>
          <w:i w:val="0"/>
          <w:iCs w:val="0"/>
          <w:caps w:val="0"/>
          <w:color w:val="auto"/>
          <w:spacing w:val="0"/>
          <w:sz w:val="24"/>
          <w:szCs w:val="24"/>
          <w:lang w:val="en-US" w:eastAsia="zh-CN"/>
        </w:rPr>
        <w:t xml:space="preserve">18299708526 </w:t>
      </w:r>
    </w:p>
    <w:p w14:paraId="4C5ECF29">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2.采购代理机构信息</w:t>
      </w:r>
    </w:p>
    <w:p w14:paraId="48BFEF90">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名 称：新疆飞耀项目管理有限公司　　　　　　　　   　</w:t>
      </w:r>
    </w:p>
    <w:p w14:paraId="255CCC74">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地 址：克州阿图什市肖鲁克路10-1号5楼（州财政局斜对面）　  　</w:t>
      </w:r>
    </w:p>
    <w:p w14:paraId="00B04C3A">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项目联系人：段女士</w:t>
      </w:r>
    </w:p>
    <w:p w14:paraId="1BA10B2C">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486" w:firstLineChars="200"/>
        <w:jc w:val="left"/>
        <w:textAlignment w:val="auto"/>
        <w:rPr>
          <w:rFonts w:hint="eastAsia"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lang w:val="en-US" w:eastAsia="zh-CN"/>
        </w:rPr>
        <w:t>电  话：15349977680</w:t>
      </w:r>
    </w:p>
    <w:p w14:paraId="719065A6">
      <w:pPr>
        <w:spacing w:line="360" w:lineRule="auto"/>
        <w:jc w:val="center"/>
        <w:rPr>
          <w:rFonts w:hint="eastAsia" w:ascii="仿宋" w:hAnsi="仿宋" w:eastAsia="仿宋" w:cs="仿宋"/>
          <w:b/>
          <w:bCs/>
          <w:color w:val="auto"/>
          <w:sz w:val="36"/>
          <w:szCs w:val="36"/>
        </w:rPr>
      </w:pPr>
    </w:p>
    <w:p w14:paraId="617FCE3C">
      <w:pPr>
        <w:spacing w:line="360" w:lineRule="auto"/>
        <w:jc w:val="center"/>
        <w:rPr>
          <w:rFonts w:hint="eastAsia" w:ascii="仿宋" w:hAnsi="仿宋" w:eastAsia="仿宋" w:cs="仿宋"/>
          <w:b/>
          <w:bCs/>
          <w:color w:val="auto"/>
          <w:sz w:val="36"/>
          <w:szCs w:val="36"/>
        </w:rPr>
      </w:pPr>
    </w:p>
    <w:p w14:paraId="45E5BB96">
      <w:pPr>
        <w:spacing w:line="360" w:lineRule="auto"/>
        <w:jc w:val="center"/>
        <w:rPr>
          <w:rFonts w:hint="eastAsia" w:ascii="仿宋" w:hAnsi="仿宋" w:eastAsia="仿宋" w:cs="仿宋"/>
          <w:b/>
          <w:bCs/>
          <w:color w:val="auto"/>
          <w:sz w:val="36"/>
          <w:szCs w:val="36"/>
        </w:rPr>
      </w:pPr>
    </w:p>
    <w:p w14:paraId="7E7BF4BF">
      <w:pPr>
        <w:spacing w:line="360" w:lineRule="auto"/>
        <w:jc w:val="center"/>
        <w:rPr>
          <w:rFonts w:hint="eastAsia" w:ascii="仿宋" w:hAnsi="仿宋" w:eastAsia="仿宋" w:cs="仿宋"/>
          <w:b/>
          <w:bCs/>
          <w:color w:val="auto"/>
          <w:sz w:val="36"/>
          <w:szCs w:val="36"/>
        </w:rPr>
      </w:pPr>
    </w:p>
    <w:p w14:paraId="6ACEBE47">
      <w:pPr>
        <w:spacing w:line="360" w:lineRule="auto"/>
        <w:jc w:val="center"/>
        <w:rPr>
          <w:rFonts w:hint="eastAsia" w:ascii="仿宋" w:hAnsi="仿宋" w:eastAsia="仿宋" w:cs="仿宋"/>
          <w:b/>
          <w:bCs/>
          <w:color w:val="auto"/>
          <w:sz w:val="36"/>
          <w:szCs w:val="36"/>
        </w:rPr>
      </w:pPr>
    </w:p>
    <w:p w14:paraId="50E87CD2">
      <w:pPr>
        <w:spacing w:line="360" w:lineRule="auto"/>
        <w:jc w:val="center"/>
        <w:rPr>
          <w:rFonts w:hint="eastAsia" w:ascii="仿宋" w:hAnsi="仿宋" w:eastAsia="仿宋" w:cs="仿宋"/>
          <w:b/>
          <w:bCs/>
          <w:color w:val="auto"/>
          <w:sz w:val="36"/>
          <w:szCs w:val="36"/>
        </w:rPr>
      </w:pPr>
    </w:p>
    <w:p w14:paraId="0C36671B">
      <w:pPr>
        <w:spacing w:line="360" w:lineRule="auto"/>
        <w:jc w:val="center"/>
        <w:rPr>
          <w:rFonts w:hint="eastAsia" w:ascii="仿宋" w:hAnsi="仿宋" w:eastAsia="仿宋" w:cs="仿宋"/>
          <w:b/>
          <w:bCs/>
          <w:color w:val="auto"/>
          <w:sz w:val="36"/>
          <w:szCs w:val="36"/>
        </w:rPr>
      </w:pPr>
    </w:p>
    <w:p w14:paraId="39B1BE7D">
      <w:pPr>
        <w:spacing w:line="360" w:lineRule="auto"/>
        <w:jc w:val="center"/>
        <w:rPr>
          <w:rFonts w:hint="eastAsia" w:ascii="仿宋" w:hAnsi="仿宋" w:eastAsia="仿宋" w:cs="仿宋"/>
          <w:b/>
          <w:bCs/>
          <w:color w:val="auto"/>
          <w:sz w:val="36"/>
          <w:szCs w:val="36"/>
        </w:rPr>
      </w:pPr>
    </w:p>
    <w:p w14:paraId="5FB16EF8">
      <w:pPr>
        <w:spacing w:line="360" w:lineRule="auto"/>
        <w:jc w:val="both"/>
        <w:rPr>
          <w:rFonts w:hint="eastAsia" w:ascii="仿宋" w:hAnsi="仿宋" w:eastAsia="仿宋" w:cs="仿宋"/>
          <w:b/>
          <w:bCs/>
          <w:color w:val="auto"/>
          <w:sz w:val="36"/>
          <w:szCs w:val="36"/>
        </w:rPr>
      </w:pPr>
    </w:p>
    <w:p w14:paraId="53DADF96">
      <w:pPr>
        <w:spacing w:line="360" w:lineRule="auto"/>
        <w:jc w:val="center"/>
        <w:rPr>
          <w:rFonts w:ascii="仿宋" w:hAnsi="仿宋" w:eastAsia="仿宋" w:cs="仿宋"/>
          <w:b/>
          <w:bCs/>
          <w:color w:val="auto"/>
          <w:sz w:val="36"/>
          <w:szCs w:val="36"/>
        </w:rPr>
      </w:pPr>
      <w:r>
        <w:rPr>
          <w:rFonts w:hint="eastAsia" w:ascii="仿宋" w:hAnsi="仿宋" w:eastAsia="仿宋" w:cs="仿宋"/>
          <w:b/>
          <w:bCs/>
          <w:color w:val="auto"/>
          <w:sz w:val="36"/>
          <w:szCs w:val="36"/>
        </w:rPr>
        <w:t>第二</w:t>
      </w:r>
      <w:r>
        <w:rPr>
          <w:rFonts w:hint="eastAsia" w:ascii="仿宋" w:hAnsi="仿宋" w:eastAsia="仿宋" w:cs="仿宋"/>
          <w:b/>
          <w:bCs/>
          <w:color w:val="auto"/>
          <w:sz w:val="36"/>
          <w:szCs w:val="36"/>
          <w:lang w:eastAsia="zh-CN"/>
        </w:rPr>
        <w:t>章</w:t>
      </w:r>
      <w:r>
        <w:rPr>
          <w:rFonts w:hint="eastAsia" w:ascii="仿宋" w:hAnsi="仿宋" w:eastAsia="仿宋" w:cs="仿宋"/>
          <w:b/>
          <w:bCs/>
          <w:color w:val="auto"/>
          <w:sz w:val="36"/>
          <w:szCs w:val="36"/>
          <w:lang w:val="en-US" w:eastAsia="zh-CN"/>
        </w:rPr>
        <w:t xml:space="preserve"> </w:t>
      </w:r>
      <w:r>
        <w:rPr>
          <w:rFonts w:hint="eastAsia" w:ascii="仿宋" w:hAnsi="仿宋" w:eastAsia="仿宋" w:cs="仿宋"/>
          <w:b/>
          <w:bCs/>
          <w:color w:val="auto"/>
          <w:sz w:val="36"/>
          <w:szCs w:val="36"/>
        </w:rPr>
        <w:t>供应商须知</w:t>
      </w:r>
    </w:p>
    <w:p w14:paraId="5F9502DE">
      <w:pPr>
        <w:spacing w:line="400" w:lineRule="exact"/>
        <w:ind w:firstLine="566" w:firstLineChars="200"/>
        <w:jc w:val="center"/>
        <w:rPr>
          <w:rFonts w:ascii="仿宋" w:hAnsi="仿宋" w:eastAsia="仿宋" w:cs="仿宋"/>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25"/>
        <w:tblW w:w="10352" w:type="dxa"/>
        <w:jc w:val="center"/>
        <w:tblLayout w:type="fixed"/>
        <w:tblCellMar>
          <w:top w:w="0" w:type="dxa"/>
          <w:left w:w="108" w:type="dxa"/>
          <w:bottom w:w="0" w:type="dxa"/>
          <w:right w:w="108" w:type="dxa"/>
        </w:tblCellMar>
      </w:tblPr>
      <w:tblGrid>
        <w:gridCol w:w="789"/>
        <w:gridCol w:w="1694"/>
        <w:gridCol w:w="7869"/>
      </w:tblGrid>
      <w:tr w14:paraId="1AFC6AC8">
        <w:tblPrEx>
          <w:tblCellMar>
            <w:top w:w="0" w:type="dxa"/>
            <w:left w:w="108" w:type="dxa"/>
            <w:bottom w:w="0" w:type="dxa"/>
            <w:right w:w="108" w:type="dxa"/>
          </w:tblCellMar>
        </w:tblPrEx>
        <w:trPr>
          <w:trHeight w:val="563"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1D0A610">
            <w:pPr>
              <w:widowControl/>
              <w:spacing w:line="334" w:lineRule="exact"/>
              <w:jc w:val="center"/>
              <w:rPr>
                <w:rFonts w:ascii="仿宋" w:hAnsi="仿宋" w:eastAsia="仿宋" w:cs="仿宋"/>
                <w:b/>
                <w:color w:val="auto"/>
              </w:rPr>
            </w:pPr>
            <w:r>
              <w:rPr>
                <w:rFonts w:hint="eastAsia" w:ascii="仿宋" w:hAnsi="仿宋" w:eastAsia="仿宋" w:cs="仿宋"/>
                <w:b/>
                <w:color w:val="auto"/>
              </w:rPr>
              <w:t>序号</w:t>
            </w:r>
          </w:p>
        </w:tc>
        <w:tc>
          <w:tcPr>
            <w:tcW w:w="1694" w:type="dxa"/>
            <w:tcBorders>
              <w:top w:val="single" w:color="auto" w:sz="4" w:space="0"/>
              <w:left w:val="single" w:color="auto" w:sz="4" w:space="0"/>
              <w:bottom w:val="single" w:color="auto" w:sz="4" w:space="0"/>
              <w:right w:val="single" w:color="auto" w:sz="4" w:space="0"/>
            </w:tcBorders>
            <w:vAlign w:val="center"/>
          </w:tcPr>
          <w:p w14:paraId="4E08BF05">
            <w:pPr>
              <w:widowControl/>
              <w:spacing w:line="334" w:lineRule="exact"/>
              <w:jc w:val="center"/>
              <w:rPr>
                <w:rFonts w:ascii="仿宋" w:hAnsi="仿宋" w:eastAsia="仿宋" w:cs="仿宋"/>
                <w:b/>
                <w:color w:val="auto"/>
              </w:rPr>
            </w:pPr>
            <w:r>
              <w:rPr>
                <w:rFonts w:hint="eastAsia" w:ascii="仿宋" w:hAnsi="仿宋" w:eastAsia="仿宋" w:cs="仿宋"/>
                <w:b/>
                <w:color w:val="auto"/>
              </w:rPr>
              <w:t>名  称</w:t>
            </w:r>
          </w:p>
        </w:tc>
        <w:tc>
          <w:tcPr>
            <w:tcW w:w="7869" w:type="dxa"/>
            <w:tcBorders>
              <w:top w:val="single" w:color="auto" w:sz="4" w:space="0"/>
              <w:left w:val="single" w:color="auto" w:sz="4" w:space="0"/>
              <w:bottom w:val="single" w:color="auto" w:sz="4" w:space="0"/>
              <w:right w:val="single" w:color="auto" w:sz="4" w:space="0"/>
            </w:tcBorders>
            <w:vAlign w:val="center"/>
          </w:tcPr>
          <w:p w14:paraId="325A4000">
            <w:pPr>
              <w:widowControl/>
              <w:spacing w:line="334" w:lineRule="exact"/>
              <w:jc w:val="center"/>
              <w:rPr>
                <w:rFonts w:ascii="仿宋" w:hAnsi="仿宋" w:eastAsia="仿宋" w:cs="仿宋"/>
                <w:b/>
                <w:color w:val="auto"/>
              </w:rPr>
            </w:pPr>
            <w:r>
              <w:rPr>
                <w:rFonts w:hint="eastAsia" w:ascii="仿宋" w:hAnsi="仿宋" w:eastAsia="仿宋" w:cs="仿宋"/>
                <w:b/>
                <w:color w:val="auto"/>
              </w:rPr>
              <w:t>编  列  内  容</w:t>
            </w:r>
          </w:p>
        </w:tc>
      </w:tr>
      <w:tr w14:paraId="57439FDB">
        <w:tblPrEx>
          <w:tblCellMar>
            <w:top w:w="0" w:type="dxa"/>
            <w:left w:w="108" w:type="dxa"/>
            <w:bottom w:w="0" w:type="dxa"/>
            <w:right w:w="108" w:type="dxa"/>
          </w:tblCellMar>
        </w:tblPrEx>
        <w:trPr>
          <w:trHeight w:val="2098"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61950F8">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1</w:t>
            </w:r>
          </w:p>
        </w:tc>
        <w:tc>
          <w:tcPr>
            <w:tcW w:w="1694" w:type="dxa"/>
            <w:tcBorders>
              <w:top w:val="single" w:color="auto" w:sz="4" w:space="0"/>
              <w:left w:val="single" w:color="auto" w:sz="4" w:space="0"/>
              <w:bottom w:val="single" w:color="auto" w:sz="4" w:space="0"/>
              <w:right w:val="single" w:color="auto" w:sz="4" w:space="0"/>
            </w:tcBorders>
            <w:vAlign w:val="center"/>
          </w:tcPr>
          <w:p w14:paraId="00659CB4">
            <w:pPr>
              <w:pStyle w:val="32"/>
              <w:ind w:firstLine="0"/>
              <w:jc w:val="center"/>
              <w:rPr>
                <w:rFonts w:ascii="仿宋" w:hAnsi="仿宋" w:eastAsia="仿宋" w:cs="仿宋"/>
                <w:color w:val="auto"/>
                <w:lang w:eastAsia="zh-CN"/>
              </w:rPr>
            </w:pPr>
            <w:r>
              <w:rPr>
                <w:rFonts w:hint="eastAsia" w:ascii="仿宋" w:hAnsi="仿宋" w:eastAsia="仿宋" w:cs="仿宋"/>
                <w:color w:val="auto"/>
                <w:lang w:eastAsia="zh-CN"/>
              </w:rPr>
              <w:t>项目名称：</w:t>
            </w:r>
          </w:p>
          <w:p w14:paraId="5507A9FD">
            <w:pPr>
              <w:pStyle w:val="32"/>
              <w:ind w:firstLine="0"/>
              <w:jc w:val="center"/>
              <w:rPr>
                <w:rFonts w:ascii="仿宋" w:hAnsi="仿宋" w:eastAsia="仿宋" w:cs="仿宋"/>
                <w:color w:val="auto"/>
                <w:lang w:eastAsia="zh-CN"/>
              </w:rPr>
            </w:pPr>
            <w:r>
              <w:rPr>
                <w:rFonts w:hint="eastAsia" w:ascii="仿宋" w:hAnsi="仿宋" w:eastAsia="仿宋" w:cs="仿宋"/>
                <w:color w:val="auto"/>
                <w:lang w:eastAsia="zh-CN"/>
              </w:rPr>
              <w:t>项目编号：</w:t>
            </w:r>
          </w:p>
          <w:p w14:paraId="485C3473">
            <w:pPr>
              <w:pStyle w:val="32"/>
              <w:ind w:firstLine="0"/>
              <w:jc w:val="center"/>
              <w:rPr>
                <w:rFonts w:ascii="仿宋" w:hAnsi="仿宋" w:eastAsia="仿宋" w:cs="仿宋"/>
                <w:color w:val="auto"/>
                <w:lang w:eastAsia="zh-CN"/>
              </w:rPr>
            </w:pPr>
            <w:r>
              <w:rPr>
                <w:rFonts w:hint="eastAsia" w:ascii="仿宋" w:hAnsi="仿宋" w:eastAsia="仿宋" w:cs="仿宋"/>
                <w:color w:val="auto"/>
                <w:lang w:val="en-US" w:eastAsia="zh-CN"/>
              </w:rPr>
              <w:t>服务</w:t>
            </w:r>
            <w:r>
              <w:rPr>
                <w:rFonts w:hint="eastAsia" w:ascii="仿宋" w:hAnsi="仿宋" w:eastAsia="仿宋" w:cs="仿宋"/>
                <w:color w:val="auto"/>
                <w:lang w:eastAsia="zh-CN"/>
              </w:rPr>
              <w:t>内容：</w:t>
            </w:r>
          </w:p>
          <w:p w14:paraId="3E5B9CD7">
            <w:pPr>
              <w:pStyle w:val="32"/>
              <w:ind w:firstLine="0"/>
              <w:jc w:val="center"/>
              <w:rPr>
                <w:rFonts w:ascii="仿宋" w:hAnsi="仿宋" w:eastAsia="仿宋" w:cs="仿宋"/>
                <w:color w:val="auto"/>
                <w:lang w:eastAsia="zh-CN"/>
              </w:rPr>
            </w:pPr>
            <w:r>
              <w:rPr>
                <w:rFonts w:hint="eastAsia" w:ascii="仿宋" w:hAnsi="仿宋" w:eastAsia="仿宋" w:cs="仿宋"/>
                <w:color w:val="auto"/>
                <w:lang w:val="en-US" w:eastAsia="zh-CN"/>
              </w:rPr>
              <w:t>供货期/</w:t>
            </w:r>
            <w:r>
              <w:rPr>
                <w:rFonts w:hint="eastAsia" w:ascii="仿宋" w:hAnsi="仿宋" w:eastAsia="仿宋" w:cs="仿宋"/>
                <w:color w:val="auto"/>
                <w:lang w:eastAsia="zh-CN"/>
              </w:rPr>
              <w:t>服务期：</w:t>
            </w:r>
          </w:p>
        </w:tc>
        <w:tc>
          <w:tcPr>
            <w:tcW w:w="7869" w:type="dxa"/>
            <w:tcBorders>
              <w:top w:val="single" w:color="auto" w:sz="4" w:space="0"/>
              <w:left w:val="single" w:color="auto" w:sz="4" w:space="0"/>
              <w:bottom w:val="single" w:color="auto" w:sz="4" w:space="0"/>
              <w:right w:val="single" w:color="auto" w:sz="4" w:space="0"/>
            </w:tcBorders>
            <w:vAlign w:val="center"/>
          </w:tcPr>
          <w:p w14:paraId="083DD3FD">
            <w:pPr>
              <w:spacing w:line="400" w:lineRule="exact"/>
              <w:rPr>
                <w:rFonts w:hint="eastAsia" w:ascii="仿宋" w:hAnsi="仿宋" w:eastAsia="仿宋" w:cs="仿宋"/>
                <w:color w:val="auto"/>
                <w:lang w:val="en-US" w:eastAsia="zh-CN"/>
              </w:rPr>
            </w:pPr>
            <w:r>
              <w:rPr>
                <w:rFonts w:hint="eastAsia" w:ascii="仿宋" w:hAnsi="仿宋" w:eastAsia="仿宋" w:cs="仿宋"/>
                <w:color w:val="auto"/>
                <w:lang w:eastAsia="zh-CN"/>
              </w:rPr>
              <w:t>项目名称：</w:t>
            </w:r>
            <w:r>
              <w:rPr>
                <w:rFonts w:hint="eastAsia" w:ascii="仿宋" w:hAnsi="仿宋" w:eastAsia="仿宋" w:cs="仿宋"/>
                <w:color w:val="auto"/>
                <w:lang w:val="en-US" w:eastAsia="zh-CN"/>
              </w:rPr>
              <w:t>阿图什市哈拉峻乡大果沙枣改良项目</w:t>
            </w:r>
          </w:p>
          <w:p w14:paraId="0DEF4035">
            <w:pPr>
              <w:spacing w:line="400" w:lineRule="exact"/>
              <w:rPr>
                <w:rFonts w:hint="default" w:ascii="仿宋" w:hAnsi="仿宋" w:eastAsia="仿宋" w:cs="仿宋"/>
                <w:color w:val="auto"/>
                <w:lang w:val="en-US" w:eastAsia="zh-CN"/>
              </w:rPr>
            </w:pPr>
            <w:r>
              <w:rPr>
                <w:rFonts w:hint="eastAsia" w:ascii="仿宋" w:hAnsi="仿宋" w:eastAsia="仿宋" w:cs="仿宋"/>
                <w:color w:val="auto"/>
                <w:lang w:eastAsia="zh-CN"/>
              </w:rPr>
              <w:t>项目编号：</w:t>
            </w:r>
            <w:r>
              <w:rPr>
                <w:rFonts w:ascii="仿宋" w:hAnsi="仿宋" w:eastAsia="仿宋" w:cs="仿宋"/>
                <w:i w:val="0"/>
                <w:iCs w:val="0"/>
                <w:caps w:val="0"/>
                <w:color w:val="auto"/>
                <w:spacing w:val="0"/>
                <w:sz w:val="27"/>
                <w:szCs w:val="27"/>
              </w:rPr>
              <w:t>ATSCG-2025</w:t>
            </w:r>
            <w:r>
              <w:rPr>
                <w:rFonts w:hint="eastAsia" w:ascii="仿宋" w:hAnsi="仿宋" w:eastAsia="仿宋" w:cs="仿宋"/>
                <w:i w:val="0"/>
                <w:iCs w:val="0"/>
                <w:caps w:val="0"/>
                <w:color w:val="auto"/>
                <w:spacing w:val="0"/>
                <w:sz w:val="27"/>
                <w:szCs w:val="27"/>
                <w:lang w:val="en-US" w:eastAsia="zh-CN"/>
              </w:rPr>
              <w:t>026</w:t>
            </w:r>
          </w:p>
          <w:p w14:paraId="1B4FF7E7">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caps w:val="0"/>
                <w:color w:val="auto"/>
                <w:spacing w:val="0"/>
                <w:sz w:val="24"/>
                <w:szCs w:val="24"/>
                <w:lang w:val="en-US" w:eastAsia="zh-CN" w:bidi="en-US"/>
              </w:rPr>
            </w:pPr>
            <w:r>
              <w:rPr>
                <w:rFonts w:hint="eastAsia" w:ascii="仿宋" w:hAnsi="仿宋" w:eastAsia="仿宋" w:cs="仿宋"/>
                <w:color w:val="auto"/>
                <w:lang w:val="en-US" w:eastAsia="zh-CN"/>
              </w:rPr>
              <w:t>服务</w:t>
            </w:r>
            <w:r>
              <w:rPr>
                <w:rFonts w:hint="eastAsia" w:ascii="仿宋" w:hAnsi="仿宋" w:eastAsia="仿宋" w:cs="仿宋"/>
                <w:color w:val="auto"/>
                <w:lang w:eastAsia="zh-CN"/>
              </w:rPr>
              <w:t>内容：</w:t>
            </w:r>
            <w:r>
              <w:rPr>
                <w:rFonts w:hint="eastAsia" w:ascii="仿宋" w:hAnsi="仿宋" w:eastAsia="仿宋" w:cs="仿宋"/>
                <w:i w:val="0"/>
                <w:iCs w:val="0"/>
                <w:caps w:val="0"/>
                <w:color w:val="auto"/>
                <w:spacing w:val="0"/>
                <w:sz w:val="24"/>
                <w:szCs w:val="24"/>
                <w:lang w:val="en-US" w:eastAsia="zh-CN" w:bidi="en-US"/>
              </w:rPr>
              <w:t>1、对已有的45000棵沙枣苗进行嫁接，供应商需提供45000棵金皇后沙枣嫁接条，要求胸径1.5-2公分；</w:t>
            </w:r>
          </w:p>
          <w:p w14:paraId="0CA1F7E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仿宋" w:hAnsi="仿宋" w:eastAsia="仿宋" w:cs="仿宋"/>
                <w:i w:val="0"/>
                <w:iCs w:val="0"/>
                <w:caps w:val="0"/>
                <w:color w:val="auto"/>
                <w:spacing w:val="0"/>
                <w:sz w:val="24"/>
                <w:szCs w:val="24"/>
                <w:lang w:val="en-US" w:eastAsia="zh-CN" w:bidi="en-US"/>
              </w:rPr>
            </w:pPr>
            <w:r>
              <w:rPr>
                <w:rFonts w:hint="eastAsia" w:ascii="仿宋" w:hAnsi="仿宋" w:eastAsia="仿宋" w:cs="仿宋"/>
                <w:i w:val="0"/>
                <w:iCs w:val="0"/>
                <w:caps w:val="0"/>
                <w:color w:val="auto"/>
                <w:spacing w:val="0"/>
                <w:sz w:val="24"/>
                <w:szCs w:val="24"/>
                <w:lang w:val="en-US" w:eastAsia="zh-CN" w:bidi="en-US"/>
              </w:rPr>
              <w:t>2、金皇后沙枣苗补植75000棵  供应商需提供金皇后沙枣75000棵，要求：胸径2—3公分。全冠、根系好，生长旺盛 、无病虫害、无冻害；</w:t>
            </w:r>
          </w:p>
          <w:p w14:paraId="1A6D3F2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default" w:ascii="仿宋" w:hAnsi="仿宋" w:eastAsia="仿宋" w:cs="仿宋"/>
                <w:color w:val="auto"/>
                <w:lang w:val="en-US" w:eastAsia="zh-CN"/>
              </w:rPr>
            </w:pPr>
            <w:r>
              <w:rPr>
                <w:rFonts w:hint="eastAsia" w:ascii="仿宋" w:hAnsi="仿宋" w:eastAsia="仿宋" w:cs="仿宋"/>
                <w:i w:val="0"/>
                <w:iCs w:val="0"/>
                <w:caps w:val="0"/>
                <w:color w:val="auto"/>
                <w:spacing w:val="0"/>
                <w:sz w:val="24"/>
                <w:szCs w:val="24"/>
                <w:lang w:val="en-US" w:eastAsia="zh-CN" w:bidi="en-US"/>
              </w:rPr>
              <w:t>3、服务期内供应商根据当地气候环境，水土等提供适合树苗生长的化肥及农药，按照树苗生长周期及时灌溉施肥、喷洒农药防止病虫害；</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具体服务要求</w:t>
            </w:r>
            <w:r>
              <w:rPr>
                <w:rFonts w:hint="eastAsia" w:ascii="仿宋" w:hAnsi="仿宋" w:eastAsia="仿宋" w:cs="仿宋"/>
                <w:b w:val="0"/>
                <w:bCs w:val="0"/>
                <w:i w:val="0"/>
                <w:iCs w:val="0"/>
                <w:caps w:val="0"/>
                <w:color w:val="auto"/>
                <w:spacing w:val="0"/>
                <w:sz w:val="24"/>
                <w:szCs w:val="24"/>
                <w:lang w:eastAsia="zh-CN"/>
              </w:rPr>
              <w:t>详见</w:t>
            </w:r>
            <w:r>
              <w:rPr>
                <w:rFonts w:hint="eastAsia" w:ascii="仿宋" w:hAnsi="仿宋" w:eastAsia="仿宋" w:cs="仿宋"/>
                <w:b w:val="0"/>
                <w:bCs w:val="0"/>
                <w:i w:val="0"/>
                <w:iCs w:val="0"/>
                <w:caps w:val="0"/>
                <w:color w:val="auto"/>
                <w:spacing w:val="0"/>
                <w:sz w:val="24"/>
                <w:szCs w:val="24"/>
                <w:lang w:val="en-US" w:eastAsia="zh-CN"/>
              </w:rPr>
              <w:t>磋商文件</w:t>
            </w:r>
            <w:r>
              <w:rPr>
                <w:rFonts w:hint="eastAsia" w:ascii="仿宋" w:hAnsi="仿宋" w:eastAsia="仿宋" w:cs="仿宋"/>
                <w:b w:val="0"/>
                <w:bCs w:val="0"/>
                <w:i w:val="0"/>
                <w:iCs w:val="0"/>
                <w:caps w:val="0"/>
                <w:color w:val="auto"/>
                <w:spacing w:val="0"/>
                <w:sz w:val="24"/>
                <w:szCs w:val="24"/>
                <w:lang w:eastAsia="zh-CN"/>
              </w:rPr>
              <w:t>）</w:t>
            </w:r>
            <w:r>
              <w:rPr>
                <w:rFonts w:hint="eastAsia" w:ascii="仿宋" w:hAnsi="仿宋" w:eastAsia="仿宋" w:cs="仿宋"/>
                <w:b w:val="0"/>
                <w:bCs w:val="0"/>
                <w:i w:val="0"/>
                <w:iCs w:val="0"/>
                <w:caps w:val="0"/>
                <w:color w:val="auto"/>
                <w:spacing w:val="0"/>
                <w:sz w:val="24"/>
                <w:szCs w:val="24"/>
                <w:lang w:val="en-US" w:eastAsia="zh-CN"/>
              </w:rPr>
              <w:t>。</w:t>
            </w:r>
          </w:p>
          <w:p w14:paraId="276464D1">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供货期/</w:t>
            </w:r>
            <w:r>
              <w:rPr>
                <w:rFonts w:hint="eastAsia" w:ascii="仿宋" w:hAnsi="仿宋" w:eastAsia="仿宋" w:cs="仿宋"/>
                <w:color w:val="auto"/>
                <w:lang w:eastAsia="zh-CN"/>
              </w:rPr>
              <w:t>服务期</w:t>
            </w:r>
            <w:r>
              <w:rPr>
                <w:rFonts w:hint="eastAsia" w:ascii="仿宋" w:hAnsi="仿宋" w:eastAsia="仿宋" w:cs="仿宋"/>
                <w:color w:val="auto"/>
                <w:highlight w:val="none"/>
                <w:lang w:eastAsia="zh-CN"/>
              </w:rPr>
              <w:t>：</w:t>
            </w:r>
            <w:r>
              <w:rPr>
                <w:rFonts w:hint="eastAsia" w:ascii="仿宋" w:hAnsi="仿宋" w:eastAsia="仿宋" w:cs="仿宋"/>
                <w:i w:val="0"/>
                <w:iCs w:val="0"/>
                <w:caps w:val="0"/>
                <w:color w:val="auto"/>
                <w:spacing w:val="0"/>
                <w:sz w:val="24"/>
                <w:szCs w:val="24"/>
                <w:lang w:eastAsia="zh-CN"/>
              </w:rPr>
              <w:t>自合同签订之日起</w:t>
            </w:r>
            <w:r>
              <w:rPr>
                <w:rFonts w:hint="eastAsia" w:ascii="仿宋" w:hAnsi="仿宋" w:eastAsia="仿宋" w:cs="仿宋"/>
                <w:i w:val="0"/>
                <w:iCs w:val="0"/>
                <w:caps w:val="0"/>
                <w:color w:val="auto"/>
                <w:spacing w:val="0"/>
                <w:sz w:val="24"/>
                <w:szCs w:val="24"/>
                <w:lang w:val="en-US" w:eastAsia="zh-CN"/>
              </w:rPr>
              <w:t>15</w:t>
            </w:r>
            <w:r>
              <w:rPr>
                <w:rFonts w:hint="eastAsia" w:ascii="仿宋" w:hAnsi="仿宋" w:eastAsia="仿宋" w:cs="仿宋"/>
                <w:i w:val="0"/>
                <w:iCs w:val="0"/>
                <w:caps w:val="0"/>
                <w:color w:val="auto"/>
                <w:spacing w:val="0"/>
                <w:sz w:val="24"/>
                <w:szCs w:val="24"/>
                <w:lang w:eastAsia="zh-CN"/>
              </w:rPr>
              <w:t>天内完成</w:t>
            </w:r>
            <w:r>
              <w:rPr>
                <w:rFonts w:hint="eastAsia" w:ascii="仿宋" w:hAnsi="仿宋" w:eastAsia="仿宋" w:cs="仿宋"/>
                <w:i w:val="0"/>
                <w:iCs w:val="0"/>
                <w:caps w:val="0"/>
                <w:color w:val="auto"/>
                <w:spacing w:val="0"/>
                <w:sz w:val="24"/>
                <w:szCs w:val="24"/>
                <w:lang w:val="en-US" w:eastAsia="zh-CN"/>
              </w:rPr>
              <w:t>供货，服务期1年</w:t>
            </w:r>
            <w:r>
              <w:rPr>
                <w:rFonts w:hint="eastAsia" w:ascii="仿宋" w:hAnsi="仿宋" w:eastAsia="仿宋" w:cs="仿宋"/>
                <w:i w:val="0"/>
                <w:iCs w:val="0"/>
                <w:caps w:val="0"/>
                <w:color w:val="auto"/>
                <w:spacing w:val="0"/>
                <w:sz w:val="24"/>
                <w:szCs w:val="24"/>
                <w:lang w:eastAsia="zh-CN"/>
              </w:rPr>
              <w:t>（具体以甲乙双方签订合同</w:t>
            </w:r>
            <w:r>
              <w:rPr>
                <w:rFonts w:hint="eastAsia" w:ascii="仿宋" w:hAnsi="仿宋" w:eastAsia="仿宋" w:cs="仿宋"/>
                <w:i w:val="0"/>
                <w:iCs w:val="0"/>
                <w:caps w:val="0"/>
                <w:color w:val="auto"/>
                <w:spacing w:val="0"/>
                <w:sz w:val="24"/>
                <w:szCs w:val="24"/>
                <w:lang w:val="en-US" w:eastAsia="zh-CN"/>
              </w:rPr>
              <w:t>时间</w:t>
            </w:r>
            <w:r>
              <w:rPr>
                <w:rFonts w:hint="eastAsia" w:ascii="仿宋" w:hAnsi="仿宋" w:eastAsia="仿宋" w:cs="仿宋"/>
                <w:i w:val="0"/>
                <w:iCs w:val="0"/>
                <w:caps w:val="0"/>
                <w:color w:val="auto"/>
                <w:spacing w:val="0"/>
                <w:sz w:val="24"/>
                <w:szCs w:val="24"/>
                <w:lang w:eastAsia="zh-CN"/>
              </w:rPr>
              <w:t>为准）</w:t>
            </w:r>
            <w:r>
              <w:rPr>
                <w:rFonts w:hint="eastAsia" w:ascii="仿宋" w:hAnsi="仿宋" w:eastAsia="仿宋" w:cs="仿宋"/>
                <w:color w:val="auto"/>
                <w:highlight w:val="none"/>
                <w:lang w:val="en-US" w:eastAsia="zh-CN"/>
              </w:rPr>
              <w:t>；</w:t>
            </w:r>
          </w:p>
        </w:tc>
      </w:tr>
      <w:tr w14:paraId="1A5D5314">
        <w:tblPrEx>
          <w:tblCellMar>
            <w:top w:w="0" w:type="dxa"/>
            <w:left w:w="108" w:type="dxa"/>
            <w:bottom w:w="0" w:type="dxa"/>
            <w:right w:w="108" w:type="dxa"/>
          </w:tblCellMar>
        </w:tblPrEx>
        <w:trPr>
          <w:trHeight w:val="85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7F16D0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2</w:t>
            </w:r>
          </w:p>
        </w:tc>
        <w:tc>
          <w:tcPr>
            <w:tcW w:w="1694" w:type="dxa"/>
            <w:tcBorders>
              <w:top w:val="single" w:color="auto" w:sz="4" w:space="0"/>
              <w:left w:val="single" w:color="auto" w:sz="4" w:space="0"/>
              <w:bottom w:val="single" w:color="auto" w:sz="4" w:space="0"/>
              <w:right w:val="single" w:color="auto" w:sz="4" w:space="0"/>
            </w:tcBorders>
            <w:vAlign w:val="center"/>
          </w:tcPr>
          <w:p w14:paraId="5DB9F4E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采购人信息</w:t>
            </w:r>
          </w:p>
        </w:tc>
        <w:tc>
          <w:tcPr>
            <w:tcW w:w="7869" w:type="dxa"/>
            <w:tcBorders>
              <w:top w:val="single" w:color="auto" w:sz="4" w:space="0"/>
              <w:left w:val="single" w:color="auto" w:sz="4" w:space="0"/>
              <w:bottom w:val="single" w:color="auto" w:sz="4" w:space="0"/>
              <w:right w:val="single" w:color="auto" w:sz="4" w:space="0"/>
            </w:tcBorders>
            <w:vAlign w:val="center"/>
          </w:tcPr>
          <w:p w14:paraId="7D505315">
            <w:pPr>
              <w:spacing w:line="360" w:lineRule="auto"/>
              <w:rPr>
                <w:rFonts w:ascii="仿宋" w:hAnsi="仿宋" w:eastAsia="仿宋" w:cs="仿宋"/>
                <w:color w:val="auto"/>
                <w:lang w:eastAsia="zh-CN"/>
              </w:rPr>
            </w:pPr>
            <w:r>
              <w:rPr>
                <w:rFonts w:hint="eastAsia" w:ascii="仿宋" w:hAnsi="仿宋" w:eastAsia="仿宋" w:cs="仿宋"/>
                <w:color w:val="auto"/>
                <w:lang w:eastAsia="zh-CN"/>
              </w:rPr>
              <w:t>名  称：阿图什市哈拉峻乡人民政府</w:t>
            </w:r>
          </w:p>
          <w:p w14:paraId="2D3CE790">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联系人：</w:t>
            </w:r>
            <w:r>
              <w:rPr>
                <w:rFonts w:hint="eastAsia" w:ascii="仿宋" w:hAnsi="仿宋" w:eastAsia="仿宋" w:cs="仿宋"/>
                <w:color w:val="auto"/>
                <w:lang w:val="en-US" w:eastAsia="zh-CN"/>
              </w:rPr>
              <w:t xml:space="preserve">胡先生   </w:t>
            </w:r>
            <w:r>
              <w:rPr>
                <w:rFonts w:hint="eastAsia" w:ascii="仿宋" w:hAnsi="仿宋" w:eastAsia="仿宋" w:cs="仿宋"/>
                <w:color w:val="auto"/>
                <w:lang w:eastAsia="zh-CN"/>
              </w:rPr>
              <w:t xml:space="preserve">   电  话：</w:t>
            </w:r>
            <w:r>
              <w:rPr>
                <w:rFonts w:hint="eastAsia" w:ascii="仿宋" w:hAnsi="仿宋" w:eastAsia="仿宋" w:cs="仿宋"/>
                <w:color w:val="auto"/>
                <w:lang w:val="en-US" w:eastAsia="zh-CN"/>
              </w:rPr>
              <w:t xml:space="preserve">18299708526   </w:t>
            </w:r>
          </w:p>
        </w:tc>
      </w:tr>
      <w:tr w14:paraId="59F01E98">
        <w:tblPrEx>
          <w:tblCellMar>
            <w:top w:w="0" w:type="dxa"/>
            <w:left w:w="108" w:type="dxa"/>
            <w:bottom w:w="0" w:type="dxa"/>
            <w:right w:w="108" w:type="dxa"/>
          </w:tblCellMar>
        </w:tblPrEx>
        <w:trPr>
          <w:trHeight w:val="124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CA8B3D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3</w:t>
            </w:r>
          </w:p>
        </w:tc>
        <w:tc>
          <w:tcPr>
            <w:tcW w:w="1694" w:type="dxa"/>
            <w:tcBorders>
              <w:top w:val="single" w:color="auto" w:sz="4" w:space="0"/>
              <w:left w:val="single" w:color="auto" w:sz="4" w:space="0"/>
              <w:bottom w:val="single" w:color="auto" w:sz="4" w:space="0"/>
              <w:right w:val="single" w:color="auto" w:sz="4" w:space="0"/>
            </w:tcBorders>
            <w:vAlign w:val="center"/>
          </w:tcPr>
          <w:p w14:paraId="33E0BD8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采购代理机构</w:t>
            </w:r>
          </w:p>
        </w:tc>
        <w:tc>
          <w:tcPr>
            <w:tcW w:w="7869" w:type="dxa"/>
            <w:tcBorders>
              <w:top w:val="single" w:color="auto" w:sz="4" w:space="0"/>
              <w:left w:val="single" w:color="auto" w:sz="4" w:space="0"/>
              <w:bottom w:val="single" w:color="auto" w:sz="4" w:space="0"/>
              <w:right w:val="single" w:color="auto" w:sz="4" w:space="0"/>
            </w:tcBorders>
            <w:vAlign w:val="center"/>
          </w:tcPr>
          <w:p w14:paraId="7BA98276">
            <w:pPr>
              <w:spacing w:line="360" w:lineRule="auto"/>
              <w:rPr>
                <w:rFonts w:ascii="仿宋" w:hAnsi="仿宋" w:eastAsia="仿宋" w:cs="仿宋"/>
                <w:color w:val="auto"/>
                <w:lang w:eastAsia="zh-CN"/>
              </w:rPr>
            </w:pPr>
            <w:r>
              <w:rPr>
                <w:rFonts w:hint="eastAsia" w:ascii="仿宋" w:hAnsi="仿宋" w:eastAsia="仿宋" w:cs="仿宋"/>
                <w:color w:val="auto"/>
                <w:lang w:eastAsia="zh-CN"/>
              </w:rPr>
              <w:t>名  称：新疆飞耀项目管理有限公司</w:t>
            </w:r>
          </w:p>
          <w:p w14:paraId="654B4581">
            <w:pPr>
              <w:spacing w:line="360" w:lineRule="auto"/>
              <w:rPr>
                <w:rFonts w:ascii="仿宋" w:hAnsi="仿宋" w:eastAsia="仿宋" w:cs="仿宋"/>
                <w:color w:val="auto"/>
                <w:lang w:eastAsia="zh-CN"/>
              </w:rPr>
            </w:pPr>
            <w:r>
              <w:rPr>
                <w:rFonts w:hint="eastAsia" w:ascii="仿宋" w:hAnsi="仿宋" w:eastAsia="仿宋" w:cs="仿宋"/>
                <w:color w:val="auto"/>
                <w:lang w:eastAsia="zh-CN"/>
              </w:rPr>
              <w:t>地  址：克州阿图什市肖鲁克路10-1号5楼（州财政局斜对面）</w:t>
            </w:r>
          </w:p>
          <w:p w14:paraId="100A6FE1">
            <w:pPr>
              <w:spacing w:line="360" w:lineRule="auto"/>
              <w:rPr>
                <w:rFonts w:ascii="仿宋" w:hAnsi="仿宋" w:eastAsia="仿宋" w:cs="仿宋"/>
                <w:color w:val="auto"/>
                <w:lang w:eastAsia="zh-CN"/>
              </w:rPr>
            </w:pPr>
            <w:r>
              <w:rPr>
                <w:rFonts w:hint="eastAsia" w:ascii="仿宋" w:hAnsi="仿宋" w:eastAsia="仿宋" w:cs="仿宋"/>
                <w:color w:val="auto"/>
                <w:lang w:eastAsia="zh-CN"/>
              </w:rPr>
              <w:t>联系人：段女士    电  话：</w:t>
            </w:r>
            <w:r>
              <w:rPr>
                <w:rFonts w:hint="eastAsia" w:ascii="仿宋" w:hAnsi="仿宋" w:eastAsia="仿宋" w:cs="仿宋"/>
                <w:color w:val="auto"/>
                <w:lang w:val="en-US" w:eastAsia="zh-CN"/>
              </w:rPr>
              <w:t>15349977680</w:t>
            </w:r>
          </w:p>
        </w:tc>
      </w:tr>
      <w:tr w14:paraId="25095000">
        <w:tblPrEx>
          <w:tblCellMar>
            <w:top w:w="0" w:type="dxa"/>
            <w:left w:w="108" w:type="dxa"/>
            <w:bottom w:w="0" w:type="dxa"/>
            <w:right w:w="108" w:type="dxa"/>
          </w:tblCellMar>
        </w:tblPrEx>
        <w:trPr>
          <w:trHeight w:val="29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893F59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4</w:t>
            </w:r>
          </w:p>
        </w:tc>
        <w:tc>
          <w:tcPr>
            <w:tcW w:w="1694" w:type="dxa"/>
            <w:tcBorders>
              <w:top w:val="single" w:color="auto" w:sz="4" w:space="0"/>
              <w:left w:val="single" w:color="auto" w:sz="4" w:space="0"/>
              <w:bottom w:val="single" w:color="auto" w:sz="4" w:space="0"/>
              <w:right w:val="single" w:color="auto" w:sz="4" w:space="0"/>
            </w:tcBorders>
            <w:vAlign w:val="center"/>
          </w:tcPr>
          <w:p w14:paraId="0AF6C4A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最终</w:t>
            </w:r>
            <w:r>
              <w:rPr>
                <w:rFonts w:hint="eastAsia" w:ascii="仿宋" w:hAnsi="仿宋" w:eastAsia="仿宋" w:cs="仿宋"/>
                <w:color w:val="auto"/>
                <w:lang w:val="en-US" w:eastAsia="zh-CN"/>
              </w:rPr>
              <w:t>服务（实施）</w:t>
            </w:r>
            <w:r>
              <w:rPr>
                <w:rFonts w:hint="eastAsia" w:ascii="仿宋" w:hAnsi="仿宋" w:eastAsia="仿宋" w:cs="仿宋"/>
                <w:color w:val="auto"/>
                <w:lang w:eastAsia="zh-CN"/>
              </w:rPr>
              <w:t>地点</w:t>
            </w:r>
          </w:p>
        </w:tc>
        <w:tc>
          <w:tcPr>
            <w:tcW w:w="7869" w:type="dxa"/>
            <w:tcBorders>
              <w:top w:val="single" w:color="auto" w:sz="4" w:space="0"/>
              <w:left w:val="single" w:color="auto" w:sz="4" w:space="0"/>
              <w:bottom w:val="single" w:color="auto" w:sz="4" w:space="0"/>
              <w:right w:val="single" w:color="auto" w:sz="4" w:space="0"/>
            </w:tcBorders>
            <w:vAlign w:val="center"/>
          </w:tcPr>
          <w:p w14:paraId="2E563F77">
            <w:pPr>
              <w:spacing w:line="360" w:lineRule="auto"/>
              <w:rPr>
                <w:rFonts w:ascii="仿宋" w:hAnsi="仿宋" w:eastAsia="仿宋" w:cs="仿宋"/>
                <w:color w:val="auto"/>
                <w:lang w:eastAsia="zh-CN"/>
              </w:rPr>
            </w:pPr>
            <w:r>
              <w:rPr>
                <w:rFonts w:hint="eastAsia" w:ascii="仿宋" w:hAnsi="仿宋" w:eastAsia="仿宋" w:cs="仿宋"/>
                <w:color w:val="auto"/>
                <w:lang w:eastAsia="zh-CN"/>
              </w:rPr>
              <w:t>采购单位指定地点</w:t>
            </w:r>
          </w:p>
        </w:tc>
      </w:tr>
      <w:tr w14:paraId="55D9C4EF">
        <w:tblPrEx>
          <w:tblCellMar>
            <w:top w:w="0" w:type="dxa"/>
            <w:left w:w="108" w:type="dxa"/>
            <w:bottom w:w="0" w:type="dxa"/>
            <w:right w:w="108" w:type="dxa"/>
          </w:tblCellMar>
        </w:tblPrEx>
        <w:trPr>
          <w:trHeight w:val="45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571DCD9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5</w:t>
            </w:r>
          </w:p>
        </w:tc>
        <w:tc>
          <w:tcPr>
            <w:tcW w:w="1694" w:type="dxa"/>
            <w:tcBorders>
              <w:top w:val="single" w:color="auto" w:sz="4" w:space="0"/>
              <w:left w:val="single" w:color="auto" w:sz="4" w:space="0"/>
              <w:bottom w:val="single" w:color="auto" w:sz="4" w:space="0"/>
              <w:right w:val="single" w:color="auto" w:sz="4" w:space="0"/>
            </w:tcBorders>
            <w:vAlign w:val="center"/>
          </w:tcPr>
          <w:p w14:paraId="6118D12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资格要求</w:t>
            </w:r>
          </w:p>
        </w:tc>
        <w:tc>
          <w:tcPr>
            <w:tcW w:w="7869" w:type="dxa"/>
            <w:tcBorders>
              <w:top w:val="single" w:color="auto" w:sz="4" w:space="0"/>
              <w:left w:val="single" w:color="auto" w:sz="4" w:space="0"/>
              <w:bottom w:val="single" w:color="auto" w:sz="4" w:space="0"/>
              <w:right w:val="single" w:color="auto" w:sz="4" w:space="0"/>
            </w:tcBorders>
            <w:vAlign w:val="center"/>
          </w:tcPr>
          <w:p w14:paraId="3C6920BD">
            <w:pPr>
              <w:spacing w:line="360" w:lineRule="auto"/>
              <w:rPr>
                <w:rFonts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14:paraId="5CBF30FA">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lang w:eastAsia="zh-CN"/>
              </w:rPr>
              <w:t>2.落实政府采购政策需满足的资格要求：</w:t>
            </w:r>
            <w:r>
              <w:rPr>
                <w:rFonts w:hint="eastAsia" w:ascii="仿宋" w:hAnsi="仿宋" w:eastAsia="仿宋" w:cs="仿宋"/>
                <w:color w:val="auto"/>
                <w:highlight w:val="none"/>
                <w:lang w:val="en-US" w:eastAsia="zh-CN"/>
              </w:rPr>
              <w:t>供应商为中小企业</w:t>
            </w:r>
          </w:p>
          <w:p w14:paraId="0D7B3706">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3.本项目的特定资格要求：</w:t>
            </w:r>
          </w:p>
          <w:p w14:paraId="4087BADC">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0"/>
              <w:jc w:val="left"/>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（1）具备三证合一营业执照副本；</w:t>
            </w:r>
          </w:p>
          <w:p w14:paraId="1FD8492E">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0"/>
              <w:jc w:val="left"/>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（2）法定代表人投标需提供法定代表人资格证明书，委托代理人投标需提供法定代表人授权委托书；</w:t>
            </w:r>
          </w:p>
          <w:p w14:paraId="307A8183">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0"/>
              <w:jc w:val="left"/>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（3）投标企业须提供投标人（被授权在职人员）近6个月内任意一个月有效的社保证明；</w:t>
            </w:r>
          </w:p>
          <w:p w14:paraId="11F051CF">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0"/>
              <w:jc w:val="left"/>
              <w:textAlignment w:val="auto"/>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val="en-US" w:eastAsia="zh-CN"/>
              </w:rPr>
              <w:t>（4）参加政府采购活动前三年内，在经营活动中没有重大违法记录；未被“信用中国”（www.creditchina.gov.cn）、中国政府采购网（www.ccgp.gov.cn）列入失信被执行人、税收违法黑名单、政府采购严重违法失信行为记录名单。</w:t>
            </w:r>
          </w:p>
          <w:p w14:paraId="4436ED81">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20" w:lineRule="exact"/>
              <w:ind w:left="0" w:right="0" w:firstLine="0"/>
              <w:jc w:val="left"/>
              <w:textAlignment w:val="auto"/>
              <w:rPr>
                <w:rFonts w:ascii="仿宋" w:hAnsi="仿宋" w:eastAsia="仿宋" w:cs="仿宋"/>
                <w:color w:val="auto"/>
                <w:lang w:eastAsia="zh-CN"/>
              </w:rPr>
            </w:pPr>
            <w:r>
              <w:rPr>
                <w:rFonts w:hint="eastAsia" w:ascii="仿宋" w:hAnsi="仿宋" w:eastAsia="仿宋" w:cs="仿宋"/>
                <w:color w:val="auto"/>
                <w:lang w:eastAsia="zh-CN"/>
              </w:rPr>
              <w:t>4.本项目不接受联合体投标。</w:t>
            </w:r>
          </w:p>
        </w:tc>
      </w:tr>
      <w:tr w14:paraId="31821FF2">
        <w:tblPrEx>
          <w:tblCellMar>
            <w:top w:w="0" w:type="dxa"/>
            <w:left w:w="108" w:type="dxa"/>
            <w:bottom w:w="0" w:type="dxa"/>
            <w:right w:w="108" w:type="dxa"/>
          </w:tblCellMar>
        </w:tblPrEx>
        <w:trPr>
          <w:trHeight w:val="9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0D57965">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6</w:t>
            </w:r>
          </w:p>
        </w:tc>
        <w:tc>
          <w:tcPr>
            <w:tcW w:w="1694" w:type="dxa"/>
            <w:tcBorders>
              <w:top w:val="single" w:color="auto" w:sz="4" w:space="0"/>
              <w:left w:val="single" w:color="auto" w:sz="4" w:space="0"/>
              <w:bottom w:val="single" w:color="auto" w:sz="4" w:space="0"/>
              <w:right w:val="single" w:color="auto" w:sz="4" w:space="0"/>
            </w:tcBorders>
            <w:vAlign w:val="center"/>
          </w:tcPr>
          <w:p w14:paraId="1C17F107">
            <w:pPr>
              <w:spacing w:line="360" w:lineRule="auto"/>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资金来源</w:t>
            </w:r>
          </w:p>
        </w:tc>
        <w:tc>
          <w:tcPr>
            <w:tcW w:w="7869" w:type="dxa"/>
            <w:tcBorders>
              <w:top w:val="single" w:color="auto" w:sz="4" w:space="0"/>
              <w:left w:val="single" w:color="auto" w:sz="4" w:space="0"/>
              <w:bottom w:val="single" w:color="auto" w:sz="4" w:space="0"/>
              <w:right w:val="single" w:color="auto" w:sz="4" w:space="0"/>
            </w:tcBorders>
            <w:vAlign w:val="center"/>
          </w:tcPr>
          <w:p w14:paraId="6FF0D5D9">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2025年财政资金</w:t>
            </w:r>
          </w:p>
        </w:tc>
      </w:tr>
      <w:tr w14:paraId="73802A96">
        <w:tblPrEx>
          <w:tblCellMar>
            <w:top w:w="0" w:type="dxa"/>
            <w:left w:w="108" w:type="dxa"/>
            <w:bottom w:w="0" w:type="dxa"/>
            <w:right w:w="108" w:type="dxa"/>
          </w:tblCellMar>
        </w:tblPrEx>
        <w:trPr>
          <w:trHeight w:val="52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7F287AA">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7</w:t>
            </w:r>
          </w:p>
        </w:tc>
        <w:tc>
          <w:tcPr>
            <w:tcW w:w="1694" w:type="dxa"/>
            <w:tcBorders>
              <w:top w:val="single" w:color="auto" w:sz="4" w:space="0"/>
              <w:left w:val="single" w:color="auto" w:sz="4" w:space="0"/>
              <w:bottom w:val="single" w:color="auto" w:sz="4" w:space="0"/>
              <w:right w:val="single" w:color="auto" w:sz="4" w:space="0"/>
            </w:tcBorders>
            <w:vAlign w:val="center"/>
          </w:tcPr>
          <w:p w14:paraId="77F9F8FA">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招标方式</w:t>
            </w:r>
          </w:p>
        </w:tc>
        <w:tc>
          <w:tcPr>
            <w:tcW w:w="7869" w:type="dxa"/>
            <w:tcBorders>
              <w:top w:val="single" w:color="auto" w:sz="4" w:space="0"/>
              <w:left w:val="single" w:color="auto" w:sz="4" w:space="0"/>
              <w:bottom w:val="single" w:color="auto" w:sz="4" w:space="0"/>
              <w:right w:val="single" w:color="auto" w:sz="4" w:space="0"/>
            </w:tcBorders>
            <w:vAlign w:val="center"/>
          </w:tcPr>
          <w:p w14:paraId="288B20DC">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竞争性磋商</w:t>
            </w:r>
            <w:r>
              <w:rPr>
                <w:rFonts w:hint="eastAsia" w:ascii="仿宋" w:hAnsi="仿宋" w:eastAsia="仿宋" w:cs="仿宋"/>
                <w:color w:val="auto"/>
                <w:lang w:eastAsia="zh-CN"/>
              </w:rPr>
              <w:t xml:space="preserve">招标(本项目采用网上电子招投标)  </w:t>
            </w:r>
          </w:p>
        </w:tc>
      </w:tr>
      <w:tr w14:paraId="7751FF0E">
        <w:tblPrEx>
          <w:tblCellMar>
            <w:top w:w="0" w:type="dxa"/>
            <w:left w:w="108" w:type="dxa"/>
            <w:bottom w:w="0" w:type="dxa"/>
            <w:right w:w="108" w:type="dxa"/>
          </w:tblCellMar>
        </w:tblPrEx>
        <w:trPr>
          <w:trHeight w:val="4847"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81FFC5C">
            <w:pPr>
              <w:spacing w:line="360" w:lineRule="auto"/>
              <w:jc w:val="center"/>
              <w:rPr>
                <w:rFonts w:ascii="仿宋" w:hAnsi="仿宋" w:eastAsia="仿宋" w:cs="仿宋"/>
                <w:color w:val="auto"/>
                <w:lang w:eastAsia="zh-CN"/>
              </w:rPr>
            </w:pPr>
            <w:r>
              <w:rPr>
                <w:rFonts w:hint="eastAsia" w:ascii="仿宋" w:hAnsi="仿宋" w:eastAsia="仿宋" w:cs="仿宋"/>
                <w:color w:val="auto"/>
                <w:lang w:val="en-US" w:eastAsia="zh-CN"/>
              </w:rPr>
              <w:t>8</w:t>
            </w:r>
          </w:p>
        </w:tc>
        <w:tc>
          <w:tcPr>
            <w:tcW w:w="1694" w:type="dxa"/>
            <w:tcBorders>
              <w:top w:val="single" w:color="auto" w:sz="4" w:space="0"/>
              <w:left w:val="single" w:color="auto" w:sz="4" w:space="0"/>
              <w:bottom w:val="single" w:color="auto" w:sz="4" w:space="0"/>
              <w:right w:val="single" w:color="auto" w:sz="4" w:space="0"/>
            </w:tcBorders>
            <w:vAlign w:val="center"/>
          </w:tcPr>
          <w:p w14:paraId="20D90F3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供应商信用查询</w:t>
            </w:r>
          </w:p>
        </w:tc>
        <w:tc>
          <w:tcPr>
            <w:tcW w:w="7869" w:type="dxa"/>
            <w:tcBorders>
              <w:top w:val="single" w:color="auto" w:sz="4" w:space="0"/>
              <w:left w:val="single" w:color="auto" w:sz="4" w:space="0"/>
              <w:bottom w:val="single" w:color="auto" w:sz="4" w:space="0"/>
              <w:right w:val="single" w:color="auto" w:sz="4" w:space="0"/>
            </w:tcBorders>
            <w:vAlign w:val="center"/>
          </w:tcPr>
          <w:p w14:paraId="40A010D5">
            <w:pPr>
              <w:spacing w:line="360" w:lineRule="auto"/>
              <w:rPr>
                <w:rFonts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14:paraId="3A323F2D">
            <w:pPr>
              <w:spacing w:line="360" w:lineRule="auto"/>
              <w:rPr>
                <w:rFonts w:ascii="仿宋" w:hAnsi="仿宋" w:eastAsia="仿宋" w:cs="仿宋"/>
                <w:color w:val="auto"/>
                <w:lang w:eastAsia="zh-CN"/>
              </w:rPr>
            </w:pPr>
            <w:r>
              <w:rPr>
                <w:rFonts w:hint="eastAsia" w:ascii="仿宋" w:hAnsi="仿宋" w:eastAsia="仿宋" w:cs="仿宋"/>
                <w:color w:val="auto"/>
                <w:lang w:eastAsia="zh-CN"/>
              </w:rPr>
              <w:t>2、截止时点：开标后评标前。</w:t>
            </w:r>
          </w:p>
          <w:p w14:paraId="0F5AD5CC">
            <w:pPr>
              <w:spacing w:line="360" w:lineRule="auto"/>
              <w:rPr>
                <w:rFonts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14:paraId="486028ED">
            <w:pPr>
              <w:spacing w:line="360" w:lineRule="auto"/>
              <w:rPr>
                <w:rFonts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14:paraId="4F7C33B6">
        <w:tblPrEx>
          <w:tblCellMar>
            <w:top w:w="0" w:type="dxa"/>
            <w:left w:w="108" w:type="dxa"/>
            <w:bottom w:w="0" w:type="dxa"/>
            <w:right w:w="108" w:type="dxa"/>
          </w:tblCellMar>
        </w:tblPrEx>
        <w:trPr>
          <w:trHeight w:val="72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1FA03B0E">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9</w:t>
            </w:r>
          </w:p>
        </w:tc>
        <w:tc>
          <w:tcPr>
            <w:tcW w:w="1694" w:type="dxa"/>
            <w:tcBorders>
              <w:top w:val="single" w:color="auto" w:sz="4" w:space="0"/>
              <w:left w:val="single" w:color="auto" w:sz="4" w:space="0"/>
              <w:bottom w:val="single" w:color="auto" w:sz="4" w:space="0"/>
              <w:right w:val="single" w:color="auto" w:sz="4" w:space="0"/>
            </w:tcBorders>
            <w:vAlign w:val="center"/>
          </w:tcPr>
          <w:p w14:paraId="05B03860">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869" w:type="dxa"/>
            <w:tcBorders>
              <w:top w:val="single" w:color="auto" w:sz="4" w:space="0"/>
              <w:left w:val="single" w:color="auto" w:sz="4" w:space="0"/>
              <w:bottom w:val="single" w:color="auto" w:sz="4" w:space="0"/>
              <w:right w:val="single" w:color="auto" w:sz="4" w:space="0"/>
            </w:tcBorders>
            <w:vAlign w:val="center"/>
          </w:tcPr>
          <w:p w14:paraId="03C12FDE">
            <w:pPr>
              <w:spacing w:line="360" w:lineRule="auto"/>
              <w:rPr>
                <w:rFonts w:ascii="仿宋" w:hAnsi="仿宋" w:eastAsia="仿宋" w:cs="仿宋"/>
                <w:color w:val="auto"/>
                <w:lang w:eastAsia="zh-CN"/>
              </w:rPr>
            </w:pPr>
            <w:r>
              <w:rPr>
                <w:rFonts w:hint="eastAsia" w:ascii="仿宋" w:hAnsi="仿宋" w:eastAsia="仿宋" w:cs="仿宋"/>
                <w:color w:val="auto"/>
                <w:lang w:eastAsia="zh-CN"/>
              </w:rPr>
              <w:t>■不接受</w:t>
            </w:r>
          </w:p>
          <w:p w14:paraId="187959D0">
            <w:pPr>
              <w:spacing w:line="360" w:lineRule="auto"/>
              <w:rPr>
                <w:rFonts w:ascii="仿宋" w:hAnsi="仿宋" w:eastAsia="仿宋" w:cs="仿宋"/>
                <w:color w:val="auto"/>
                <w:lang w:eastAsia="zh-CN"/>
              </w:rPr>
            </w:pPr>
            <w:r>
              <w:rPr>
                <w:rFonts w:hint="eastAsia" w:ascii="仿宋" w:hAnsi="仿宋" w:eastAsia="仿宋" w:cs="仿宋"/>
                <w:color w:val="auto"/>
                <w:lang w:eastAsia="zh-CN"/>
              </w:rPr>
              <w:t>□接  受</w:t>
            </w:r>
          </w:p>
        </w:tc>
      </w:tr>
      <w:tr w14:paraId="1BF641B7">
        <w:tblPrEx>
          <w:tblCellMar>
            <w:top w:w="0" w:type="dxa"/>
            <w:left w:w="108" w:type="dxa"/>
            <w:bottom w:w="0" w:type="dxa"/>
            <w:right w:w="108" w:type="dxa"/>
          </w:tblCellMar>
        </w:tblPrEx>
        <w:trPr>
          <w:trHeight w:val="868"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B613FD6">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1694" w:type="dxa"/>
            <w:tcBorders>
              <w:top w:val="single" w:color="auto" w:sz="4" w:space="0"/>
              <w:left w:val="single" w:color="auto" w:sz="4" w:space="0"/>
              <w:bottom w:val="single" w:color="auto" w:sz="4" w:space="0"/>
              <w:right w:val="single" w:color="auto" w:sz="4" w:space="0"/>
            </w:tcBorders>
            <w:vAlign w:val="center"/>
          </w:tcPr>
          <w:p w14:paraId="4C009DA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869" w:type="dxa"/>
            <w:tcBorders>
              <w:top w:val="single" w:color="auto" w:sz="4" w:space="0"/>
              <w:left w:val="single" w:color="auto" w:sz="4" w:space="0"/>
              <w:bottom w:val="single" w:color="auto" w:sz="4" w:space="0"/>
              <w:right w:val="single" w:color="auto" w:sz="4" w:space="0"/>
            </w:tcBorders>
            <w:vAlign w:val="center"/>
          </w:tcPr>
          <w:p w14:paraId="4CE02B4F">
            <w:pPr>
              <w:spacing w:line="360" w:lineRule="auto"/>
              <w:rPr>
                <w:rFonts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color w:val="auto"/>
                <w:kern w:val="2"/>
                <w:lang w:eastAsia="zh-CN" w:bidi="ar-SA"/>
              </w:rPr>
              <w:t>202</w:t>
            </w:r>
            <w:r>
              <w:rPr>
                <w:rFonts w:hint="eastAsia" w:ascii="仿宋" w:hAnsi="仿宋" w:eastAsia="仿宋" w:cs="仿宋"/>
                <w:color w:val="auto"/>
                <w:kern w:val="2"/>
                <w:lang w:val="en-US" w:eastAsia="zh-CN" w:bidi="ar-SA"/>
              </w:rPr>
              <w:t>5</w:t>
            </w:r>
            <w:r>
              <w:rPr>
                <w:rFonts w:hint="eastAsia" w:ascii="仿宋" w:hAnsi="仿宋" w:eastAsia="仿宋" w:cs="仿宋"/>
                <w:color w:val="auto"/>
                <w:kern w:val="2"/>
                <w:lang w:eastAsia="zh-CN" w:bidi="ar-SA"/>
              </w:rPr>
              <w:t>年</w:t>
            </w:r>
            <w:r>
              <w:rPr>
                <w:rFonts w:hint="eastAsia" w:ascii="仿宋" w:hAnsi="仿宋" w:eastAsia="仿宋" w:cs="仿宋"/>
                <w:color w:val="auto"/>
                <w:kern w:val="2"/>
                <w:lang w:val="en-US" w:eastAsia="zh-CN" w:bidi="ar-SA"/>
              </w:rPr>
              <w:t>5</w:t>
            </w:r>
            <w:r>
              <w:rPr>
                <w:rFonts w:hint="eastAsia" w:ascii="仿宋" w:hAnsi="仿宋" w:eastAsia="仿宋" w:cs="仿宋"/>
                <w:color w:val="auto"/>
                <w:kern w:val="2"/>
                <w:u w:val="none"/>
                <w:lang w:val="en-US" w:eastAsia="zh-CN" w:bidi="ar-SA"/>
              </w:rPr>
              <w:t xml:space="preserve"> </w:t>
            </w:r>
            <w:r>
              <w:rPr>
                <w:rFonts w:hint="eastAsia" w:ascii="仿宋" w:hAnsi="仿宋" w:eastAsia="仿宋" w:cs="仿宋"/>
                <w:color w:val="auto"/>
                <w:kern w:val="2"/>
                <w:lang w:eastAsia="zh-CN" w:bidi="ar-SA"/>
              </w:rPr>
              <w:t>月</w:t>
            </w:r>
            <w:r>
              <w:rPr>
                <w:rFonts w:hint="eastAsia" w:ascii="仿宋" w:hAnsi="仿宋" w:eastAsia="仿宋" w:cs="仿宋"/>
                <w:color w:val="auto"/>
                <w:kern w:val="2"/>
                <w:lang w:val="en-US" w:eastAsia="zh-CN" w:bidi="ar-SA"/>
              </w:rPr>
              <w:t xml:space="preserve"> 12</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w:t>
            </w:r>
            <w:bookmarkStart w:id="75" w:name="_GoBack"/>
            <w:bookmarkEnd w:id="75"/>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15</w:t>
            </w:r>
            <w:r>
              <w:rPr>
                <w:rFonts w:hint="eastAsia" w:ascii="仿宋" w:hAnsi="仿宋" w:eastAsia="仿宋" w:cs="仿宋"/>
                <w:color w:val="auto"/>
                <w:lang w:eastAsia="zh-CN"/>
              </w:rPr>
              <w:t>分（北京时间）</w:t>
            </w:r>
          </w:p>
        </w:tc>
      </w:tr>
      <w:tr w14:paraId="52A75899">
        <w:tblPrEx>
          <w:tblCellMar>
            <w:top w:w="0" w:type="dxa"/>
            <w:left w:w="108" w:type="dxa"/>
            <w:bottom w:w="0" w:type="dxa"/>
            <w:right w:w="108" w:type="dxa"/>
          </w:tblCellMar>
        </w:tblPrEx>
        <w:trPr>
          <w:trHeight w:val="42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49AE841B">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1694" w:type="dxa"/>
            <w:tcBorders>
              <w:top w:val="single" w:color="auto" w:sz="4" w:space="0"/>
              <w:left w:val="single" w:color="auto" w:sz="4" w:space="0"/>
              <w:bottom w:val="single" w:color="auto" w:sz="4" w:space="0"/>
              <w:right w:val="single" w:color="auto" w:sz="4" w:space="0"/>
            </w:tcBorders>
            <w:vAlign w:val="center"/>
          </w:tcPr>
          <w:p w14:paraId="7AF3107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投标有效期</w:t>
            </w:r>
          </w:p>
        </w:tc>
        <w:tc>
          <w:tcPr>
            <w:tcW w:w="7869" w:type="dxa"/>
            <w:tcBorders>
              <w:top w:val="single" w:color="auto" w:sz="4" w:space="0"/>
              <w:left w:val="single" w:color="auto" w:sz="4" w:space="0"/>
              <w:bottom w:val="single" w:color="auto" w:sz="4" w:space="0"/>
              <w:right w:val="single" w:color="auto" w:sz="4" w:space="0"/>
            </w:tcBorders>
            <w:vAlign w:val="center"/>
          </w:tcPr>
          <w:p w14:paraId="20DCD1F2">
            <w:pPr>
              <w:spacing w:line="360" w:lineRule="auto"/>
              <w:rPr>
                <w:rFonts w:ascii="仿宋" w:hAnsi="仿宋" w:eastAsia="仿宋" w:cs="仿宋"/>
                <w:color w:val="auto"/>
                <w:lang w:eastAsia="zh-CN"/>
              </w:rPr>
            </w:pPr>
            <w:r>
              <w:rPr>
                <w:rFonts w:hint="eastAsia" w:ascii="仿宋" w:hAnsi="仿宋" w:eastAsia="仿宋" w:cs="仿宋"/>
                <w:color w:val="auto"/>
                <w:sz w:val="24"/>
                <w:szCs w:val="24"/>
                <w:highlight w:val="none"/>
                <w:lang w:val="en-US" w:eastAsia="zh-CN"/>
              </w:rPr>
              <w:t>投标有效期为</w:t>
            </w:r>
            <w:r>
              <w:rPr>
                <w:rFonts w:hint="eastAsia" w:ascii="仿宋" w:hAnsi="仿宋" w:eastAsia="仿宋" w:cs="仿宋"/>
                <w:color w:val="auto"/>
                <w:sz w:val="24"/>
                <w:szCs w:val="24"/>
                <w:highlight w:val="none"/>
                <w:u w:val="single"/>
                <w:lang w:val="en-US" w:eastAsia="zh-CN"/>
              </w:rPr>
              <w:t xml:space="preserve"> 60 日历</w:t>
            </w:r>
            <w:r>
              <w:rPr>
                <w:rFonts w:hint="eastAsia" w:ascii="仿宋" w:hAnsi="仿宋" w:eastAsia="仿宋" w:cs="仿宋"/>
                <w:color w:val="auto"/>
                <w:sz w:val="24"/>
                <w:szCs w:val="24"/>
                <w:highlight w:val="none"/>
                <w:lang w:val="en-US" w:eastAsia="zh-CN"/>
              </w:rPr>
              <w:t>天（从投标截止之日算起）。在此期限内，凡符合本竞争性磋商文件要求的投标文件均保持有效。</w:t>
            </w:r>
          </w:p>
        </w:tc>
      </w:tr>
      <w:tr w14:paraId="4EAC856C">
        <w:tblPrEx>
          <w:tblCellMar>
            <w:top w:w="0" w:type="dxa"/>
            <w:left w:w="108" w:type="dxa"/>
            <w:bottom w:w="0" w:type="dxa"/>
            <w:right w:w="108" w:type="dxa"/>
          </w:tblCellMar>
        </w:tblPrEx>
        <w:trPr>
          <w:trHeight w:val="638"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19DCA82A">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12</w:t>
            </w:r>
          </w:p>
        </w:tc>
        <w:tc>
          <w:tcPr>
            <w:tcW w:w="1694" w:type="dxa"/>
            <w:tcBorders>
              <w:top w:val="single" w:color="auto" w:sz="4" w:space="0"/>
              <w:left w:val="single" w:color="auto" w:sz="4" w:space="0"/>
              <w:bottom w:val="single" w:color="auto" w:sz="4" w:space="0"/>
              <w:right w:val="single" w:color="auto" w:sz="4" w:space="0"/>
            </w:tcBorders>
            <w:vAlign w:val="center"/>
          </w:tcPr>
          <w:p w14:paraId="64315B9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投标保证金</w:t>
            </w:r>
          </w:p>
        </w:tc>
        <w:tc>
          <w:tcPr>
            <w:tcW w:w="7869" w:type="dxa"/>
            <w:tcBorders>
              <w:top w:val="single" w:color="auto" w:sz="4" w:space="0"/>
              <w:left w:val="single" w:color="auto" w:sz="4" w:space="0"/>
              <w:bottom w:val="single" w:color="auto" w:sz="4" w:space="0"/>
              <w:right w:val="single" w:color="auto" w:sz="4" w:space="0"/>
            </w:tcBorders>
            <w:vAlign w:val="center"/>
          </w:tcPr>
          <w:p w14:paraId="75B4E8DE">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投标保证金交纳方式：投标保证金应当以支票、汇票、本票、网上银行支付或者金融机构、担保机构出具的保函等非现金形式交纳。</w:t>
            </w:r>
          </w:p>
          <w:p w14:paraId="2B0D3B67">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投标保证金的金额：</w:t>
            </w:r>
            <w:r>
              <w:rPr>
                <w:rFonts w:hint="default" w:ascii="仿宋" w:hAnsi="仿宋" w:eastAsia="仿宋" w:cs="仿宋"/>
                <w:color w:val="auto"/>
                <w:lang w:eastAsia="zh-CN"/>
              </w:rPr>
              <w:t>2</w:t>
            </w:r>
            <w:r>
              <w:rPr>
                <w:rFonts w:hint="eastAsia" w:ascii="仿宋" w:hAnsi="仿宋" w:eastAsia="仿宋" w:cs="仿宋"/>
                <w:color w:val="auto"/>
                <w:lang w:val="en-US" w:eastAsia="zh-CN"/>
              </w:rPr>
              <w:t>0000.00元（</w:t>
            </w:r>
            <w:r>
              <w:rPr>
                <w:rFonts w:hint="default" w:ascii="仿宋" w:hAnsi="仿宋" w:eastAsia="仿宋" w:cs="仿宋"/>
                <w:color w:val="auto"/>
                <w:lang w:eastAsia="zh-CN"/>
              </w:rPr>
              <w:t>贰万元整</w:t>
            </w:r>
            <w:r>
              <w:rPr>
                <w:rFonts w:hint="eastAsia" w:ascii="仿宋" w:hAnsi="仿宋" w:eastAsia="仿宋" w:cs="仿宋"/>
                <w:color w:val="auto"/>
                <w:lang w:val="en-US" w:eastAsia="zh-CN"/>
              </w:rPr>
              <w:t>）</w:t>
            </w:r>
          </w:p>
          <w:p w14:paraId="03BF924B">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投标保证金交纳要求：</w:t>
            </w:r>
          </w:p>
          <w:p w14:paraId="6563EFB1">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1、投标保证金以电汇、网银形式提交的，应在投标截止前以公司法人的基本账户一次性汇入指定账户（以到账时间为准），不接受现金及任何个人汇款。汇款凭证或保函作为该项目投标保证金的缴纳依据。</w:t>
            </w:r>
          </w:p>
          <w:p w14:paraId="4D8CE8FF">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2、其他特殊情况处理：有效投标保证金成功交纳后，截止开标时间，供应商无正当理由不参加该项目投标且不递交弃标函，投标保证金不予退还。</w:t>
            </w:r>
          </w:p>
          <w:p w14:paraId="401DEF8B">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户名：阿图什市政务服务和公共资源交易中心</w:t>
            </w:r>
          </w:p>
          <w:p w14:paraId="0D4238B4">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账号：30456301040005267</w:t>
            </w:r>
          </w:p>
          <w:p w14:paraId="0FCD8962">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行名：中国农业银行阿图什市天山支行</w:t>
            </w:r>
          </w:p>
          <w:p w14:paraId="09C40E5C">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行号：103893045636</w:t>
            </w:r>
          </w:p>
          <w:p w14:paraId="353A9628">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联系人：王女士</w:t>
            </w:r>
          </w:p>
          <w:p w14:paraId="2EFB32D1">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电话：0908-4222076   </w:t>
            </w:r>
          </w:p>
          <w:p w14:paraId="4687F354">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（备注：交易用途必须写清楚  xx 项目名称）</w:t>
            </w:r>
          </w:p>
          <w:p w14:paraId="360FCB7D">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二、申请退还投标保证金资料（招投标结束中标结果公示后）：</w:t>
            </w:r>
          </w:p>
          <w:p w14:paraId="403EFEAD">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1、投标企业：待开标完成后，未中标企业 3-5 个工作日内政资中心将收取的项目投标保证金按投标企业基本户退回。</w:t>
            </w:r>
          </w:p>
          <w:p w14:paraId="3C48DDCD">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2、中标企业：需提供已签订合同、银行回单及中标（成交）通知书（复印件需加盖鲜章）</w:t>
            </w:r>
          </w:p>
          <w:p w14:paraId="7540B54E">
            <w:pPr>
              <w:spacing w:line="360" w:lineRule="auto"/>
              <w:rPr>
                <w:rFonts w:hint="eastAsia" w:ascii="仿宋" w:hAnsi="仿宋" w:eastAsia="仿宋" w:cs="仿宋"/>
                <w:color w:val="auto"/>
                <w:lang w:val="en-US" w:eastAsia="zh-CN"/>
              </w:rPr>
            </w:pPr>
            <w:r>
              <w:rPr>
                <w:rFonts w:hint="eastAsia" w:ascii="仿宋" w:hAnsi="仿宋" w:eastAsia="仿宋" w:cs="仿宋"/>
                <w:color w:val="auto"/>
                <w:lang w:val="en-US" w:eastAsia="zh-CN"/>
              </w:rPr>
              <w:t>三、其他特殊情况处理：</w:t>
            </w:r>
          </w:p>
          <w:p w14:paraId="4B6761A5">
            <w:pPr>
              <w:spacing w:line="360" w:lineRule="auto"/>
              <w:rPr>
                <w:color w:val="auto"/>
                <w:lang w:eastAsia="zh-CN"/>
              </w:rPr>
            </w:pPr>
            <w:r>
              <w:rPr>
                <w:rFonts w:hint="eastAsia" w:ascii="仿宋" w:hAnsi="仿宋" w:eastAsia="仿宋" w:cs="仿宋"/>
                <w:color w:val="auto"/>
                <w:lang w:val="en-US" w:eastAsia="zh-CN"/>
              </w:rPr>
              <w:t xml:space="preserve">按照招标文件要求规定：投标企业无正当理由不参加该项目投标且在规定开标时间前不递交弃标函，投标保证金不予退还。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color w:val="auto"/>
                <w:lang w:eastAsia="zh-CN"/>
              </w:rPr>
              <w:t xml:space="preserve"> </w:t>
            </w:r>
          </w:p>
        </w:tc>
      </w:tr>
      <w:tr w14:paraId="5AF42332">
        <w:tblPrEx>
          <w:tblCellMar>
            <w:top w:w="0" w:type="dxa"/>
            <w:left w:w="108" w:type="dxa"/>
            <w:bottom w:w="0" w:type="dxa"/>
            <w:right w:w="108" w:type="dxa"/>
          </w:tblCellMar>
        </w:tblPrEx>
        <w:trPr>
          <w:trHeight w:val="140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3E2795C">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13</w:t>
            </w:r>
          </w:p>
        </w:tc>
        <w:tc>
          <w:tcPr>
            <w:tcW w:w="1694" w:type="dxa"/>
            <w:tcBorders>
              <w:top w:val="single" w:color="auto" w:sz="4" w:space="0"/>
              <w:left w:val="single" w:color="auto" w:sz="4" w:space="0"/>
              <w:bottom w:val="single" w:color="auto" w:sz="4" w:space="0"/>
              <w:right w:val="single" w:color="auto" w:sz="4" w:space="0"/>
            </w:tcBorders>
            <w:vAlign w:val="center"/>
          </w:tcPr>
          <w:p w14:paraId="1D7B331B">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是否允许递交备选  投标方案</w:t>
            </w:r>
          </w:p>
        </w:tc>
        <w:tc>
          <w:tcPr>
            <w:tcW w:w="7869" w:type="dxa"/>
            <w:tcBorders>
              <w:top w:val="single" w:color="auto" w:sz="4" w:space="0"/>
              <w:left w:val="single" w:color="auto" w:sz="4" w:space="0"/>
              <w:bottom w:val="single" w:color="auto" w:sz="4" w:space="0"/>
              <w:right w:val="single" w:color="auto" w:sz="4" w:space="0"/>
            </w:tcBorders>
            <w:vAlign w:val="center"/>
          </w:tcPr>
          <w:p w14:paraId="1B0DDB1D">
            <w:pPr>
              <w:spacing w:line="360" w:lineRule="auto"/>
              <w:rPr>
                <w:rFonts w:ascii="仿宋" w:hAnsi="仿宋" w:eastAsia="仿宋" w:cs="仿宋"/>
                <w:color w:val="auto"/>
                <w:lang w:eastAsia="zh-CN"/>
              </w:rPr>
            </w:pPr>
            <w:r>
              <w:rPr>
                <w:rFonts w:hint="eastAsia" w:ascii="仿宋" w:hAnsi="仿宋" w:eastAsia="仿宋" w:cs="仿宋"/>
                <w:color w:val="auto"/>
                <w:lang w:eastAsia="zh-CN"/>
              </w:rPr>
              <w:t>■不允许</w:t>
            </w:r>
          </w:p>
          <w:p w14:paraId="0EFAD46B">
            <w:pPr>
              <w:spacing w:line="360" w:lineRule="auto"/>
              <w:rPr>
                <w:rFonts w:ascii="仿宋" w:hAnsi="仿宋" w:eastAsia="仿宋" w:cs="仿宋"/>
                <w:color w:val="auto"/>
                <w:lang w:eastAsia="zh-CN"/>
              </w:rPr>
            </w:pPr>
            <w:r>
              <w:rPr>
                <w:rFonts w:hint="eastAsia" w:ascii="仿宋" w:hAnsi="仿宋" w:eastAsia="仿宋" w:cs="仿宋"/>
                <w:color w:val="auto"/>
                <w:lang w:eastAsia="zh-CN"/>
              </w:rPr>
              <w:sym w:font="Wingdings 2" w:char="00A3"/>
            </w:r>
            <w:r>
              <w:rPr>
                <w:rFonts w:hint="eastAsia" w:ascii="仿宋" w:hAnsi="仿宋" w:eastAsia="仿宋" w:cs="仿宋"/>
                <w:color w:val="auto"/>
                <w:lang w:eastAsia="zh-CN"/>
              </w:rPr>
              <w:t>允  许</w:t>
            </w:r>
          </w:p>
        </w:tc>
      </w:tr>
      <w:tr w14:paraId="1152244C">
        <w:tblPrEx>
          <w:tblCellMar>
            <w:top w:w="0" w:type="dxa"/>
            <w:left w:w="108" w:type="dxa"/>
            <w:bottom w:w="0" w:type="dxa"/>
            <w:right w:w="108" w:type="dxa"/>
          </w:tblCellMar>
        </w:tblPrEx>
        <w:trPr>
          <w:trHeight w:val="67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127C23ED">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14</w:t>
            </w:r>
          </w:p>
        </w:tc>
        <w:tc>
          <w:tcPr>
            <w:tcW w:w="1694" w:type="dxa"/>
            <w:tcBorders>
              <w:top w:val="single" w:color="auto" w:sz="4" w:space="0"/>
              <w:left w:val="single" w:color="auto" w:sz="4" w:space="0"/>
              <w:bottom w:val="single" w:color="auto" w:sz="4" w:space="0"/>
              <w:right w:val="single" w:color="auto" w:sz="4" w:space="0"/>
            </w:tcBorders>
            <w:vAlign w:val="center"/>
          </w:tcPr>
          <w:p w14:paraId="3CD7F1D2">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磋商文件领取</w:t>
            </w:r>
          </w:p>
        </w:tc>
        <w:tc>
          <w:tcPr>
            <w:tcW w:w="7869" w:type="dxa"/>
            <w:tcBorders>
              <w:top w:val="single" w:color="auto" w:sz="4" w:space="0"/>
              <w:left w:val="single" w:color="auto" w:sz="4" w:space="0"/>
              <w:bottom w:val="single" w:color="auto" w:sz="4" w:space="0"/>
              <w:right w:val="single" w:color="auto" w:sz="4" w:space="0"/>
            </w:tcBorders>
            <w:vAlign w:val="center"/>
          </w:tcPr>
          <w:p w14:paraId="48804E4E">
            <w:pPr>
              <w:spacing w:line="360" w:lineRule="auto"/>
              <w:rPr>
                <w:rFonts w:ascii="仿宋" w:hAnsi="仿宋" w:eastAsia="仿宋" w:cs="仿宋"/>
                <w:color w:val="auto"/>
                <w:lang w:eastAsia="zh-CN"/>
              </w:rPr>
            </w:pPr>
            <w:r>
              <w:rPr>
                <w:rFonts w:hint="eastAsia" w:ascii="仿宋" w:hAnsi="仿宋" w:eastAsia="仿宋" w:cs="仿宋"/>
                <w:color w:val="auto"/>
                <w:u w:val="none"/>
                <w:lang w:eastAsia="zh-CN"/>
              </w:rPr>
              <w:t>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4 </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29 </w:t>
            </w:r>
            <w:r>
              <w:rPr>
                <w:rFonts w:hint="eastAsia" w:ascii="仿宋" w:hAnsi="仿宋" w:eastAsia="仿宋" w:cs="仿宋"/>
                <w:color w:val="auto"/>
                <w:u w:val="single"/>
                <w:lang w:eastAsia="zh-CN"/>
              </w:rPr>
              <w:t>日至202</w:t>
            </w:r>
            <w:r>
              <w:rPr>
                <w:rFonts w:hint="eastAsia" w:ascii="仿宋" w:hAnsi="仿宋" w:eastAsia="仿宋" w:cs="仿宋"/>
                <w:color w:val="auto"/>
                <w:u w:val="single"/>
                <w:lang w:val="en-US" w:eastAsia="zh-CN"/>
              </w:rPr>
              <w:t>5</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 5 </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9 </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w:t>
            </w:r>
            <w:r>
              <w:rPr>
                <w:rFonts w:hint="eastAsia" w:ascii="仿宋" w:hAnsi="仿宋" w:eastAsia="仿宋" w:cs="仿宋"/>
                <w:color w:val="auto"/>
                <w:lang w:val="en-US" w:eastAsia="zh-CN"/>
              </w:rPr>
              <w:t>14</w:t>
            </w:r>
            <w:r>
              <w:rPr>
                <w:rFonts w:hint="eastAsia" w:ascii="仿宋" w:hAnsi="仿宋" w:eastAsia="仿宋" w:cs="仿宋"/>
                <w:color w:val="auto"/>
                <w:lang w:eastAsia="zh-CN"/>
              </w:rPr>
              <w:t>:</w:t>
            </w:r>
            <w:r>
              <w:rPr>
                <w:rFonts w:hint="eastAsia" w:ascii="仿宋" w:hAnsi="仿宋" w:eastAsia="仿宋" w:cs="仿宋"/>
                <w:color w:val="auto"/>
                <w:lang w:val="en-US" w:eastAsia="zh-CN"/>
              </w:rPr>
              <w:t>00</w:t>
            </w:r>
            <w:r>
              <w:rPr>
                <w:rFonts w:hint="eastAsia" w:ascii="仿宋" w:hAnsi="仿宋" w:eastAsia="仿宋" w:cs="仿宋"/>
                <w:color w:val="auto"/>
                <w:lang w:eastAsia="zh-CN"/>
              </w:rPr>
              <w:t>，下午16:</w:t>
            </w:r>
            <w:r>
              <w:rPr>
                <w:rFonts w:hint="eastAsia" w:ascii="仿宋" w:hAnsi="仿宋" w:eastAsia="仿宋" w:cs="仿宋"/>
                <w:color w:val="auto"/>
                <w:lang w:val="en-US" w:eastAsia="zh-CN"/>
              </w:rPr>
              <w:t>00</w:t>
            </w:r>
            <w:r>
              <w:rPr>
                <w:rFonts w:hint="eastAsia" w:ascii="仿宋" w:hAnsi="仿宋" w:eastAsia="仿宋" w:cs="仿宋"/>
                <w:color w:val="auto"/>
                <w:lang w:eastAsia="zh-CN"/>
              </w:rPr>
              <w:t>至</w:t>
            </w:r>
            <w:r>
              <w:rPr>
                <w:rFonts w:hint="eastAsia" w:ascii="仿宋" w:hAnsi="仿宋" w:eastAsia="仿宋" w:cs="仿宋"/>
                <w:color w:val="auto"/>
                <w:lang w:val="en-US" w:eastAsia="zh-CN"/>
              </w:rPr>
              <w:t>19</w:t>
            </w:r>
            <w:r>
              <w:rPr>
                <w:rFonts w:hint="eastAsia" w:ascii="仿宋" w:hAnsi="仿宋" w:eastAsia="仿宋" w:cs="仿宋"/>
                <w:color w:val="auto"/>
                <w:lang w:eastAsia="zh-CN"/>
              </w:rPr>
              <w:t>：</w:t>
            </w:r>
            <w:r>
              <w:rPr>
                <w:rFonts w:hint="eastAsia" w:ascii="仿宋" w:hAnsi="仿宋" w:eastAsia="仿宋" w:cs="仿宋"/>
                <w:color w:val="auto"/>
                <w:lang w:val="en-US" w:eastAsia="zh-CN"/>
              </w:rPr>
              <w:t>30</w:t>
            </w:r>
            <w:r>
              <w:rPr>
                <w:rFonts w:hint="eastAsia" w:ascii="仿宋" w:hAnsi="仿宋" w:eastAsia="仿宋" w:cs="仿宋"/>
                <w:color w:val="auto"/>
                <w:lang w:eastAsia="zh-CN"/>
              </w:rPr>
              <w:t>（北京时间，节假日除外）</w:t>
            </w:r>
          </w:p>
          <w:p w14:paraId="33CF0CCC">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地点：供应商登陆政采云平台http://www.zcygov.cn/，在线申请获取磋商文件（登录政府采购云平台 → 项目采购 → 获取磋商文件→申请，审核通过后可下载磋商文件，如有操作性问题，可与政采云在线客服进行咨询，咨询电话：95763）。</w:t>
            </w:r>
          </w:p>
          <w:p w14:paraId="53F98B3D">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方式：（</w:t>
            </w:r>
            <w:r>
              <w:rPr>
                <w:rFonts w:hint="eastAsia" w:ascii="仿宋" w:hAnsi="仿宋" w:eastAsia="仿宋" w:cs="仿宋"/>
                <w:color w:val="auto"/>
                <w:lang w:val="en-US" w:eastAsia="zh-CN"/>
              </w:rPr>
              <w:t>1</w:t>
            </w:r>
            <w:r>
              <w:rPr>
                <w:rFonts w:hint="eastAsia" w:ascii="仿宋" w:hAnsi="仿宋" w:eastAsia="仿宋" w:cs="仿宋"/>
                <w:color w:val="auto"/>
                <w:lang w:eastAsia="zh-CN"/>
              </w:rPr>
              <w:t>）线上获取（登录政府采购云平台 → 项目采购 → 获取磋商文件→ 申请，审核通过后可下载磋商文件）。</w:t>
            </w:r>
          </w:p>
          <w:p w14:paraId="6CDDC391">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（2）供应商获取磋商文件前应注册成为政府采购云平台正式供应商。</w:t>
            </w:r>
          </w:p>
        </w:tc>
      </w:tr>
      <w:tr w14:paraId="7E09EEBA">
        <w:tblPrEx>
          <w:tblCellMar>
            <w:top w:w="0" w:type="dxa"/>
            <w:left w:w="108" w:type="dxa"/>
            <w:bottom w:w="0" w:type="dxa"/>
            <w:right w:w="108" w:type="dxa"/>
          </w:tblCellMar>
        </w:tblPrEx>
        <w:trPr>
          <w:trHeight w:val="50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D359149">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15</w:t>
            </w:r>
          </w:p>
        </w:tc>
        <w:tc>
          <w:tcPr>
            <w:tcW w:w="1694" w:type="dxa"/>
            <w:tcBorders>
              <w:top w:val="single" w:color="auto" w:sz="4" w:space="0"/>
              <w:left w:val="single" w:color="auto" w:sz="4" w:space="0"/>
              <w:bottom w:val="single" w:color="auto" w:sz="4" w:space="0"/>
              <w:right w:val="single" w:color="auto" w:sz="4" w:space="0"/>
            </w:tcBorders>
            <w:vAlign w:val="center"/>
          </w:tcPr>
          <w:p w14:paraId="7CAD4927">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投标文件形式</w:t>
            </w:r>
          </w:p>
        </w:tc>
        <w:tc>
          <w:tcPr>
            <w:tcW w:w="7869" w:type="dxa"/>
            <w:tcBorders>
              <w:top w:val="single" w:color="auto" w:sz="4" w:space="0"/>
              <w:left w:val="single" w:color="auto" w:sz="4" w:space="0"/>
              <w:bottom w:val="single" w:color="auto" w:sz="4" w:space="0"/>
              <w:right w:val="single" w:color="auto" w:sz="4" w:space="0"/>
            </w:tcBorders>
            <w:vAlign w:val="center"/>
          </w:tcPr>
          <w:p w14:paraId="7B9B64A7">
            <w:pPr>
              <w:spacing w:line="360" w:lineRule="auto"/>
              <w:rPr>
                <w:rFonts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14:paraId="1B3E3457">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14:paraId="2CBD5D36">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14:paraId="5A15B87A">
        <w:tblPrEx>
          <w:tblCellMar>
            <w:top w:w="0" w:type="dxa"/>
            <w:left w:w="108" w:type="dxa"/>
            <w:bottom w:w="0" w:type="dxa"/>
            <w:right w:w="108" w:type="dxa"/>
          </w:tblCellMar>
        </w:tblPrEx>
        <w:trPr>
          <w:trHeight w:val="731"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66A3C23A">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16</w:t>
            </w:r>
          </w:p>
        </w:tc>
        <w:tc>
          <w:tcPr>
            <w:tcW w:w="1694" w:type="dxa"/>
            <w:tcBorders>
              <w:top w:val="single" w:color="auto" w:sz="4" w:space="0"/>
              <w:left w:val="single" w:color="auto" w:sz="4" w:space="0"/>
              <w:bottom w:val="single" w:color="auto" w:sz="4" w:space="0"/>
              <w:right w:val="single" w:color="auto" w:sz="4" w:space="0"/>
            </w:tcBorders>
            <w:vAlign w:val="center"/>
          </w:tcPr>
          <w:p w14:paraId="3819E3C8">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投标文件要求</w:t>
            </w:r>
          </w:p>
        </w:tc>
        <w:tc>
          <w:tcPr>
            <w:tcW w:w="7869" w:type="dxa"/>
            <w:tcBorders>
              <w:top w:val="single" w:color="auto" w:sz="4" w:space="0"/>
              <w:left w:val="single" w:color="auto" w:sz="4" w:space="0"/>
              <w:bottom w:val="single" w:color="auto" w:sz="4" w:space="0"/>
              <w:right w:val="single" w:color="auto" w:sz="4" w:space="0"/>
            </w:tcBorders>
            <w:vAlign w:val="center"/>
          </w:tcPr>
          <w:p w14:paraId="696468F2">
            <w:pPr>
              <w:spacing w:line="360" w:lineRule="auto"/>
              <w:rPr>
                <w:rFonts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14:paraId="4FD61DDE">
            <w:pPr>
              <w:spacing w:line="360" w:lineRule="auto"/>
              <w:rPr>
                <w:rFonts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14:paraId="26CF2678">
        <w:tblPrEx>
          <w:tblCellMar>
            <w:top w:w="0" w:type="dxa"/>
            <w:left w:w="108" w:type="dxa"/>
            <w:bottom w:w="0" w:type="dxa"/>
            <w:right w:w="108" w:type="dxa"/>
          </w:tblCellMar>
        </w:tblPrEx>
        <w:trPr>
          <w:trHeight w:val="2791" w:hRule="atLeast"/>
          <w:jc w:val="center"/>
        </w:trPr>
        <w:tc>
          <w:tcPr>
            <w:tcW w:w="789" w:type="dxa"/>
            <w:vMerge w:val="restart"/>
            <w:tcBorders>
              <w:top w:val="single" w:color="auto" w:sz="4" w:space="0"/>
              <w:left w:val="single" w:color="auto" w:sz="4" w:space="0"/>
              <w:right w:val="single" w:color="auto" w:sz="4" w:space="0"/>
            </w:tcBorders>
            <w:vAlign w:val="center"/>
          </w:tcPr>
          <w:p w14:paraId="4FD4E4AE">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17</w:t>
            </w:r>
          </w:p>
        </w:tc>
        <w:tc>
          <w:tcPr>
            <w:tcW w:w="1694" w:type="dxa"/>
            <w:vMerge w:val="restart"/>
            <w:tcBorders>
              <w:top w:val="single" w:color="auto" w:sz="4" w:space="0"/>
              <w:left w:val="single" w:color="auto" w:sz="4" w:space="0"/>
              <w:right w:val="single" w:color="auto" w:sz="4" w:space="0"/>
            </w:tcBorders>
            <w:vAlign w:val="center"/>
          </w:tcPr>
          <w:p w14:paraId="17BE7F9E">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869" w:type="dxa"/>
            <w:tcBorders>
              <w:top w:val="single" w:color="auto" w:sz="4" w:space="0"/>
              <w:left w:val="single" w:color="auto" w:sz="4" w:space="0"/>
              <w:bottom w:val="single" w:color="auto" w:sz="4" w:space="0"/>
              <w:right w:val="single" w:color="auto" w:sz="4" w:space="0"/>
            </w:tcBorders>
            <w:vAlign w:val="center"/>
          </w:tcPr>
          <w:p w14:paraId="0F48EB5F">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14:paraId="6295539D">
            <w:pPr>
              <w:spacing w:line="360" w:lineRule="auto"/>
              <w:rPr>
                <w:rFonts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14:paraId="537E6F90">
            <w:pPr>
              <w:spacing w:line="360" w:lineRule="auto"/>
              <w:rPr>
                <w:rFonts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14:paraId="2F994C0E">
        <w:tblPrEx>
          <w:tblCellMar>
            <w:top w:w="0" w:type="dxa"/>
            <w:left w:w="108" w:type="dxa"/>
            <w:bottom w:w="0" w:type="dxa"/>
            <w:right w:w="108" w:type="dxa"/>
          </w:tblCellMar>
        </w:tblPrEx>
        <w:trPr>
          <w:trHeight w:val="410" w:hRule="atLeast"/>
          <w:jc w:val="center"/>
        </w:trPr>
        <w:tc>
          <w:tcPr>
            <w:tcW w:w="789" w:type="dxa"/>
            <w:vMerge w:val="continue"/>
            <w:tcBorders>
              <w:left w:val="single" w:color="auto" w:sz="4" w:space="0"/>
              <w:bottom w:val="single" w:color="auto" w:sz="4" w:space="0"/>
              <w:right w:val="single" w:color="auto" w:sz="4" w:space="0"/>
            </w:tcBorders>
            <w:vAlign w:val="center"/>
          </w:tcPr>
          <w:p w14:paraId="1D0427C9">
            <w:pPr>
              <w:spacing w:line="360" w:lineRule="auto"/>
              <w:jc w:val="center"/>
              <w:rPr>
                <w:rFonts w:ascii="仿宋" w:hAnsi="仿宋" w:eastAsia="仿宋" w:cs="仿宋"/>
                <w:color w:val="auto"/>
                <w:lang w:eastAsia="zh-CN"/>
              </w:rPr>
            </w:pPr>
          </w:p>
        </w:tc>
        <w:tc>
          <w:tcPr>
            <w:tcW w:w="1694" w:type="dxa"/>
            <w:vMerge w:val="continue"/>
            <w:tcBorders>
              <w:left w:val="single" w:color="auto" w:sz="4" w:space="0"/>
              <w:bottom w:val="single" w:color="auto" w:sz="4" w:space="0"/>
              <w:right w:val="single" w:color="auto" w:sz="4" w:space="0"/>
            </w:tcBorders>
            <w:vAlign w:val="center"/>
          </w:tcPr>
          <w:p w14:paraId="4A91CC62">
            <w:pPr>
              <w:spacing w:line="360" w:lineRule="auto"/>
              <w:rPr>
                <w:rFonts w:ascii="仿宋" w:hAnsi="仿宋" w:eastAsia="仿宋" w:cs="仿宋"/>
                <w:color w:val="auto"/>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293F771C">
            <w:pPr>
              <w:spacing w:line="360" w:lineRule="auto"/>
              <w:rPr>
                <w:rFonts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w:t>
            </w:r>
            <w:r>
              <w:rPr>
                <w:rFonts w:hint="default" w:ascii="仿宋" w:hAnsi="仿宋" w:eastAsia="仿宋" w:cs="仿宋"/>
                <w:color w:val="auto"/>
                <w:lang w:eastAsia="zh-CN"/>
              </w:rPr>
              <w:t>923150488</w:t>
            </w:r>
            <w:r>
              <w:rPr>
                <w:rFonts w:hint="eastAsia" w:ascii="仿宋" w:hAnsi="仿宋" w:eastAsia="仿宋" w:cs="仿宋"/>
                <w:color w:val="auto"/>
                <w:lang w:eastAsia="zh-CN"/>
              </w:rPr>
              <w:t>@qq.com，接收人：段女士，电话：</w:t>
            </w:r>
            <w:r>
              <w:rPr>
                <w:rFonts w:hint="eastAsia" w:ascii="仿宋" w:hAnsi="仿宋" w:eastAsia="仿宋" w:cs="仿宋"/>
                <w:color w:val="auto"/>
                <w:lang w:val="en-US" w:eastAsia="zh-CN"/>
              </w:rPr>
              <w:t>15349977680</w:t>
            </w:r>
            <w:r>
              <w:rPr>
                <w:rFonts w:hint="eastAsia" w:ascii="仿宋" w:hAnsi="仿宋" w:eastAsia="仿宋" w:cs="仿宋"/>
                <w:color w:val="auto"/>
                <w:lang w:eastAsia="zh-CN"/>
              </w:rPr>
              <w:t>），“备份投标文件”由供应商提供；如不提供或未按要求提供的，当电子投标文件无法解密时，将导致无备份投标文件而失去投标资格。</w:t>
            </w:r>
          </w:p>
          <w:p w14:paraId="78F3F4E1">
            <w:pPr>
              <w:spacing w:line="360" w:lineRule="auto"/>
              <w:rPr>
                <w:rFonts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压缩包命名为“XX单位备份投标文件”；送达时间以采购代理机构实际接收时间为准。“备份投标文件”逾期或未按要求提供的视为未提供，建议供应商提前1日办理邮件提供事宜。</w:t>
            </w:r>
          </w:p>
          <w:p w14:paraId="12DF0425">
            <w:pPr>
              <w:spacing w:line="360" w:lineRule="auto"/>
              <w:rPr>
                <w:rFonts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14:paraId="734FDDEE">
        <w:tblPrEx>
          <w:tblCellMar>
            <w:top w:w="0" w:type="dxa"/>
            <w:left w:w="108" w:type="dxa"/>
            <w:bottom w:w="0" w:type="dxa"/>
            <w:right w:w="108" w:type="dxa"/>
          </w:tblCellMar>
        </w:tblPrEx>
        <w:trPr>
          <w:trHeight w:val="352"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38A24CDF">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18</w:t>
            </w:r>
          </w:p>
        </w:tc>
        <w:tc>
          <w:tcPr>
            <w:tcW w:w="1694" w:type="dxa"/>
            <w:tcBorders>
              <w:top w:val="single" w:color="auto" w:sz="4" w:space="0"/>
              <w:left w:val="single" w:color="auto" w:sz="4" w:space="0"/>
              <w:bottom w:val="single" w:color="auto" w:sz="4" w:space="0"/>
              <w:right w:val="single" w:color="auto" w:sz="4" w:space="0"/>
            </w:tcBorders>
            <w:vAlign w:val="center"/>
          </w:tcPr>
          <w:p w14:paraId="2A8F1C5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评标委员会的组建</w:t>
            </w:r>
          </w:p>
        </w:tc>
        <w:tc>
          <w:tcPr>
            <w:tcW w:w="7869" w:type="dxa"/>
            <w:tcBorders>
              <w:top w:val="single" w:color="auto" w:sz="4" w:space="0"/>
              <w:left w:val="single" w:color="auto" w:sz="4" w:space="0"/>
              <w:bottom w:val="single" w:color="auto" w:sz="4" w:space="0"/>
              <w:right w:val="single" w:color="auto" w:sz="4" w:space="0"/>
            </w:tcBorders>
            <w:vAlign w:val="center"/>
          </w:tcPr>
          <w:p w14:paraId="3B3F3950">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评标委员会由招标人依法组建；采购人代表1人，评审专家</w:t>
            </w:r>
            <w:r>
              <w:rPr>
                <w:rFonts w:hint="eastAsia" w:ascii="仿宋" w:hAnsi="仿宋" w:eastAsia="仿宋" w:cs="仿宋"/>
                <w:color w:val="auto"/>
                <w:lang w:val="en-US" w:eastAsia="zh-CN"/>
              </w:rPr>
              <w:t>2</w:t>
            </w:r>
            <w:r>
              <w:rPr>
                <w:rFonts w:hint="eastAsia" w:ascii="仿宋" w:hAnsi="仿宋" w:eastAsia="仿宋" w:cs="仿宋"/>
                <w:color w:val="auto"/>
                <w:lang w:val="zh-CN" w:eastAsia="zh-CN"/>
              </w:rPr>
              <w:t>人，共</w:t>
            </w:r>
            <w:r>
              <w:rPr>
                <w:rFonts w:hint="eastAsia" w:ascii="仿宋" w:hAnsi="仿宋" w:eastAsia="仿宋" w:cs="仿宋"/>
                <w:color w:val="auto"/>
                <w:lang w:val="en-US" w:eastAsia="zh-CN"/>
              </w:rPr>
              <w:t>3</w:t>
            </w:r>
            <w:r>
              <w:rPr>
                <w:rFonts w:hint="eastAsia" w:ascii="仿宋" w:hAnsi="仿宋" w:eastAsia="仿宋" w:cs="仿宋"/>
                <w:color w:val="auto"/>
                <w:lang w:val="zh-CN" w:eastAsia="zh-CN"/>
              </w:rPr>
              <w:t>人。</w:t>
            </w:r>
          </w:p>
          <w:p w14:paraId="3E5D48EC">
            <w:pPr>
              <w:spacing w:line="360" w:lineRule="auto"/>
              <w:rPr>
                <w:rFonts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14:paraId="0D9097ED">
        <w:tblPrEx>
          <w:tblCellMar>
            <w:top w:w="0" w:type="dxa"/>
            <w:left w:w="108" w:type="dxa"/>
            <w:bottom w:w="0" w:type="dxa"/>
            <w:right w:w="108" w:type="dxa"/>
          </w:tblCellMar>
        </w:tblPrEx>
        <w:trPr>
          <w:trHeight w:val="44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15B86CF">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19</w:t>
            </w:r>
          </w:p>
        </w:tc>
        <w:tc>
          <w:tcPr>
            <w:tcW w:w="1694" w:type="dxa"/>
            <w:tcBorders>
              <w:top w:val="single" w:color="auto" w:sz="4" w:space="0"/>
              <w:left w:val="single" w:color="auto" w:sz="4" w:space="0"/>
              <w:bottom w:val="single" w:color="auto" w:sz="4" w:space="0"/>
              <w:right w:val="single" w:color="auto" w:sz="4" w:space="0"/>
            </w:tcBorders>
            <w:vAlign w:val="center"/>
          </w:tcPr>
          <w:p w14:paraId="5E9D3F8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869" w:type="dxa"/>
            <w:tcBorders>
              <w:top w:val="single" w:color="auto" w:sz="4" w:space="0"/>
              <w:left w:val="single" w:color="auto" w:sz="4" w:space="0"/>
              <w:bottom w:val="single" w:color="auto" w:sz="4" w:space="0"/>
              <w:right w:val="single" w:color="auto" w:sz="4" w:space="0"/>
            </w:tcBorders>
            <w:vAlign w:val="center"/>
          </w:tcPr>
          <w:p w14:paraId="7F2B48DC">
            <w:pPr>
              <w:spacing w:line="360" w:lineRule="auto"/>
              <w:rPr>
                <w:rFonts w:ascii="仿宋" w:hAnsi="仿宋" w:eastAsia="仿宋" w:cs="仿宋"/>
                <w:color w:val="auto"/>
                <w:lang w:val="zh-CN" w:eastAsia="zh-CN"/>
              </w:rPr>
            </w:pPr>
            <w:r>
              <w:rPr>
                <w:rFonts w:hint="eastAsia" w:ascii="仿宋" w:hAnsi="仿宋" w:eastAsia="仿宋" w:cs="仿宋"/>
                <w:color w:val="auto"/>
                <w:sz w:val="24"/>
                <w:szCs w:val="24"/>
                <w:lang w:eastAsia="zh-CN"/>
              </w:rPr>
              <w:t>是，评标委员会推荐3名中标候选人。</w:t>
            </w:r>
            <w:r>
              <w:rPr>
                <w:rFonts w:hint="eastAsia" w:ascii="仿宋" w:hAnsi="仿宋" w:eastAsia="仿宋" w:cs="仿宋"/>
                <w:color w:val="auto"/>
                <w:sz w:val="24"/>
                <w:szCs w:val="24"/>
                <w:lang w:eastAsia="zh-CN"/>
              </w:rPr>
              <w:tab/>
            </w:r>
          </w:p>
        </w:tc>
      </w:tr>
      <w:tr w14:paraId="57183B45">
        <w:tblPrEx>
          <w:tblCellMar>
            <w:top w:w="0" w:type="dxa"/>
            <w:left w:w="108" w:type="dxa"/>
            <w:bottom w:w="0" w:type="dxa"/>
            <w:right w:w="108" w:type="dxa"/>
          </w:tblCellMar>
        </w:tblPrEx>
        <w:trPr>
          <w:trHeight w:val="866"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5B886B32">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20</w:t>
            </w:r>
          </w:p>
        </w:tc>
        <w:tc>
          <w:tcPr>
            <w:tcW w:w="1694" w:type="dxa"/>
            <w:tcBorders>
              <w:top w:val="single" w:color="auto" w:sz="4" w:space="0"/>
              <w:left w:val="single" w:color="auto" w:sz="4" w:space="0"/>
              <w:bottom w:val="single" w:color="auto" w:sz="4" w:space="0"/>
              <w:right w:val="single" w:color="auto" w:sz="4" w:space="0"/>
            </w:tcBorders>
            <w:vAlign w:val="center"/>
          </w:tcPr>
          <w:p w14:paraId="6BE14223">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递交投标文件地点</w:t>
            </w:r>
          </w:p>
        </w:tc>
        <w:tc>
          <w:tcPr>
            <w:tcW w:w="7869" w:type="dxa"/>
            <w:tcBorders>
              <w:top w:val="single" w:color="auto" w:sz="4" w:space="0"/>
              <w:left w:val="single" w:color="auto" w:sz="4" w:space="0"/>
              <w:bottom w:val="single" w:color="auto" w:sz="4" w:space="0"/>
              <w:right w:val="single" w:color="auto" w:sz="4" w:space="0"/>
            </w:tcBorders>
            <w:vAlign w:val="center"/>
          </w:tcPr>
          <w:p w14:paraId="6BE976D8">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投标截止时间：</w:t>
            </w:r>
            <w:r>
              <w:rPr>
                <w:rFonts w:hint="eastAsia" w:ascii="仿宋" w:hAnsi="仿宋" w:eastAsia="仿宋" w:cs="仿宋"/>
                <w:color w:val="auto"/>
                <w:kern w:val="2"/>
                <w:lang w:eastAsia="zh-CN" w:bidi="ar-SA"/>
              </w:rPr>
              <w:t>202</w:t>
            </w:r>
            <w:r>
              <w:rPr>
                <w:rFonts w:hint="eastAsia" w:ascii="仿宋" w:hAnsi="仿宋" w:eastAsia="仿宋" w:cs="仿宋"/>
                <w:color w:val="auto"/>
                <w:kern w:val="2"/>
                <w:lang w:val="en-US" w:eastAsia="zh-CN" w:bidi="ar-SA"/>
              </w:rPr>
              <w:t>5</w:t>
            </w:r>
            <w:r>
              <w:rPr>
                <w:rFonts w:hint="eastAsia" w:ascii="仿宋" w:hAnsi="仿宋" w:eastAsia="仿宋" w:cs="仿宋"/>
                <w:color w:val="auto"/>
                <w:kern w:val="2"/>
                <w:lang w:eastAsia="zh-CN" w:bidi="ar-SA"/>
              </w:rPr>
              <w:t>年</w:t>
            </w:r>
            <w:r>
              <w:rPr>
                <w:rFonts w:hint="eastAsia" w:ascii="仿宋" w:hAnsi="仿宋" w:eastAsia="仿宋" w:cs="仿宋"/>
                <w:color w:val="auto"/>
                <w:kern w:val="2"/>
                <w:lang w:val="en-US" w:eastAsia="zh-CN" w:bidi="ar-SA"/>
              </w:rPr>
              <w:t xml:space="preserve">5 </w:t>
            </w:r>
            <w:r>
              <w:rPr>
                <w:rFonts w:hint="eastAsia" w:ascii="仿宋" w:hAnsi="仿宋" w:eastAsia="仿宋" w:cs="仿宋"/>
                <w:color w:val="auto"/>
                <w:kern w:val="2"/>
                <w:lang w:eastAsia="zh-CN" w:bidi="ar-SA"/>
              </w:rPr>
              <w:t>月</w:t>
            </w:r>
            <w:r>
              <w:rPr>
                <w:rFonts w:hint="eastAsia" w:ascii="仿宋" w:hAnsi="仿宋" w:eastAsia="仿宋" w:cs="仿宋"/>
                <w:color w:val="auto"/>
                <w:kern w:val="2"/>
                <w:lang w:val="en-US" w:eastAsia="zh-CN" w:bidi="ar-SA"/>
              </w:rPr>
              <w:t>12</w:t>
            </w:r>
            <w:r>
              <w:rPr>
                <w:rFonts w:hint="eastAsia" w:ascii="仿宋" w:hAnsi="仿宋" w:eastAsia="仿宋" w:cs="仿宋"/>
                <w:color w:val="auto"/>
                <w:kern w:val="2"/>
                <w:u w:val="none"/>
                <w:lang w:val="en-US" w:eastAsia="zh-CN" w:bidi="ar-SA"/>
              </w:rPr>
              <w:t xml:space="preserve"> </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15</w:t>
            </w:r>
            <w:r>
              <w:rPr>
                <w:rFonts w:hint="eastAsia" w:ascii="仿宋" w:hAnsi="仿宋" w:eastAsia="仿宋" w:cs="仿宋"/>
                <w:color w:val="auto"/>
                <w:lang w:eastAsia="zh-CN"/>
              </w:rPr>
              <w:t>分（北京时间）</w:t>
            </w:r>
          </w:p>
          <w:p w14:paraId="72F59053">
            <w:pPr>
              <w:spacing w:line="360" w:lineRule="auto"/>
              <w:rPr>
                <w:rFonts w:ascii="仿宋" w:hAnsi="仿宋" w:eastAsia="仿宋" w:cs="仿宋"/>
                <w:color w:val="auto"/>
                <w:lang w:eastAsia="zh-CN"/>
              </w:rPr>
            </w:pPr>
            <w:r>
              <w:rPr>
                <w:rFonts w:hint="eastAsia" w:ascii="仿宋" w:hAnsi="仿宋" w:eastAsia="仿宋" w:cs="仿宋"/>
                <w:color w:val="auto"/>
                <w:lang w:eastAsia="zh-CN"/>
              </w:rPr>
              <w:t>投标地点：新疆政府采购云平台（www.zcygov.cn）</w:t>
            </w:r>
          </w:p>
        </w:tc>
      </w:tr>
      <w:tr w14:paraId="1BE94B65">
        <w:tblPrEx>
          <w:tblCellMar>
            <w:top w:w="0" w:type="dxa"/>
            <w:left w:w="108" w:type="dxa"/>
            <w:bottom w:w="0" w:type="dxa"/>
            <w:right w:w="108" w:type="dxa"/>
          </w:tblCellMar>
        </w:tblPrEx>
        <w:trPr>
          <w:trHeight w:val="866" w:hRule="atLeast"/>
          <w:jc w:val="center"/>
        </w:trPr>
        <w:tc>
          <w:tcPr>
            <w:tcW w:w="789" w:type="dxa"/>
            <w:tcBorders>
              <w:top w:val="single" w:color="auto" w:sz="4" w:space="0"/>
              <w:left w:val="single" w:color="auto" w:sz="4" w:space="0"/>
              <w:right w:val="single" w:color="auto" w:sz="4" w:space="0"/>
            </w:tcBorders>
            <w:vAlign w:val="center"/>
          </w:tcPr>
          <w:p w14:paraId="27B18AD8">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21</w:t>
            </w:r>
          </w:p>
        </w:tc>
        <w:tc>
          <w:tcPr>
            <w:tcW w:w="1694" w:type="dxa"/>
            <w:tcBorders>
              <w:top w:val="single" w:color="auto" w:sz="4" w:space="0"/>
              <w:left w:val="single" w:color="auto" w:sz="4" w:space="0"/>
              <w:right w:val="single" w:color="auto" w:sz="4" w:space="0"/>
            </w:tcBorders>
            <w:vAlign w:val="center"/>
          </w:tcPr>
          <w:p w14:paraId="50625DF1">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开标时间和地点</w:t>
            </w:r>
          </w:p>
        </w:tc>
        <w:tc>
          <w:tcPr>
            <w:tcW w:w="7869" w:type="dxa"/>
            <w:tcBorders>
              <w:top w:val="single" w:color="auto" w:sz="4" w:space="0"/>
              <w:left w:val="single" w:color="auto" w:sz="4" w:space="0"/>
              <w:right w:val="single" w:color="auto" w:sz="4" w:space="0"/>
            </w:tcBorders>
            <w:vAlign w:val="center"/>
          </w:tcPr>
          <w:p w14:paraId="7FB90D1A">
            <w:pPr>
              <w:spacing w:line="360" w:lineRule="auto"/>
              <w:rPr>
                <w:rFonts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color w:val="auto"/>
                <w:kern w:val="2"/>
                <w:u w:val="none"/>
                <w:lang w:eastAsia="zh-CN" w:bidi="ar-SA"/>
              </w:rPr>
              <w:t>202</w:t>
            </w:r>
            <w:r>
              <w:rPr>
                <w:rFonts w:hint="eastAsia" w:ascii="仿宋" w:hAnsi="仿宋" w:eastAsia="仿宋" w:cs="仿宋"/>
                <w:color w:val="auto"/>
                <w:kern w:val="2"/>
                <w:u w:val="none"/>
                <w:lang w:val="en-US" w:eastAsia="zh-CN" w:bidi="ar-SA"/>
              </w:rPr>
              <w:t>5</w:t>
            </w:r>
            <w:r>
              <w:rPr>
                <w:rFonts w:hint="eastAsia" w:ascii="仿宋" w:hAnsi="仿宋" w:eastAsia="仿宋" w:cs="仿宋"/>
                <w:color w:val="auto"/>
                <w:kern w:val="2"/>
                <w:u w:val="none"/>
                <w:lang w:eastAsia="zh-CN" w:bidi="ar-SA"/>
              </w:rPr>
              <w:t>年</w:t>
            </w:r>
            <w:r>
              <w:rPr>
                <w:rFonts w:hint="eastAsia" w:ascii="仿宋" w:hAnsi="仿宋" w:eastAsia="仿宋" w:cs="仿宋"/>
                <w:color w:val="auto"/>
                <w:kern w:val="2"/>
                <w:u w:val="none"/>
                <w:lang w:val="en-US" w:eastAsia="zh-CN" w:bidi="ar-SA"/>
              </w:rPr>
              <w:t xml:space="preserve">5 </w:t>
            </w:r>
            <w:r>
              <w:rPr>
                <w:rFonts w:hint="eastAsia" w:ascii="仿宋" w:hAnsi="仿宋" w:eastAsia="仿宋" w:cs="仿宋"/>
                <w:color w:val="auto"/>
                <w:kern w:val="2"/>
                <w:u w:val="none"/>
                <w:lang w:eastAsia="zh-CN" w:bidi="ar-SA"/>
              </w:rPr>
              <w:t>月</w:t>
            </w:r>
            <w:r>
              <w:rPr>
                <w:rFonts w:hint="eastAsia" w:ascii="仿宋" w:hAnsi="仿宋" w:eastAsia="仿宋" w:cs="仿宋"/>
                <w:color w:val="auto"/>
                <w:kern w:val="2"/>
                <w:u w:val="none"/>
                <w:lang w:val="en-US" w:eastAsia="zh-CN" w:bidi="ar-SA"/>
              </w:rPr>
              <w:t xml:space="preserve"> 12</w:t>
            </w:r>
            <w:r>
              <w:rPr>
                <w:rFonts w:hint="eastAsia" w:ascii="仿宋" w:hAnsi="仿宋" w:eastAsia="仿宋" w:cs="仿宋"/>
                <w:color w:val="auto"/>
                <w:kern w:val="2"/>
                <w:lang w:eastAsia="zh-CN" w:bidi="ar-SA"/>
              </w:rPr>
              <w:t>日</w:t>
            </w:r>
            <w:r>
              <w:rPr>
                <w:rFonts w:hint="eastAsia" w:ascii="仿宋" w:hAnsi="仿宋" w:eastAsia="仿宋" w:cs="仿宋"/>
                <w:color w:val="auto"/>
                <w:lang w:eastAsia="zh-CN"/>
              </w:rPr>
              <w:t>上午</w:t>
            </w:r>
            <w:r>
              <w:rPr>
                <w:rFonts w:hint="eastAsia" w:ascii="仿宋" w:hAnsi="仿宋" w:eastAsia="仿宋" w:cs="仿宋"/>
                <w:color w:val="auto"/>
                <w:lang w:val="en-US" w:eastAsia="zh-CN"/>
              </w:rPr>
              <w:t>10</w:t>
            </w:r>
            <w:r>
              <w:rPr>
                <w:rFonts w:hint="eastAsia" w:ascii="仿宋" w:hAnsi="仿宋" w:eastAsia="仿宋" w:cs="仿宋"/>
                <w:color w:val="auto"/>
                <w:lang w:eastAsia="zh-CN"/>
              </w:rPr>
              <w:t>时</w:t>
            </w:r>
            <w:r>
              <w:rPr>
                <w:rFonts w:hint="eastAsia" w:ascii="仿宋" w:hAnsi="仿宋" w:eastAsia="仿宋" w:cs="仿宋"/>
                <w:color w:val="auto"/>
                <w:lang w:val="en-US" w:eastAsia="zh-CN"/>
              </w:rPr>
              <w:t>15</w:t>
            </w:r>
            <w:r>
              <w:rPr>
                <w:rFonts w:hint="eastAsia" w:ascii="仿宋" w:hAnsi="仿宋" w:eastAsia="仿宋" w:cs="仿宋"/>
                <w:color w:val="auto"/>
                <w:lang w:eastAsia="zh-CN"/>
              </w:rPr>
              <w:t>分（北京时间）</w:t>
            </w:r>
          </w:p>
          <w:p w14:paraId="2674A93A">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开标地点：新疆政府采购云平台（www.zcygov.cn）         </w:t>
            </w:r>
          </w:p>
        </w:tc>
      </w:tr>
      <w:tr w14:paraId="630D6078">
        <w:tblPrEx>
          <w:tblCellMar>
            <w:top w:w="0" w:type="dxa"/>
            <w:left w:w="108" w:type="dxa"/>
            <w:bottom w:w="0" w:type="dxa"/>
            <w:right w:w="108" w:type="dxa"/>
          </w:tblCellMar>
        </w:tblPrEx>
        <w:trPr>
          <w:trHeight w:val="710" w:hRule="atLeast"/>
          <w:jc w:val="center"/>
        </w:trPr>
        <w:tc>
          <w:tcPr>
            <w:tcW w:w="789" w:type="dxa"/>
            <w:vMerge w:val="restart"/>
            <w:tcBorders>
              <w:top w:val="single" w:color="auto" w:sz="4" w:space="0"/>
              <w:left w:val="single" w:color="auto" w:sz="4" w:space="0"/>
              <w:right w:val="single" w:color="auto" w:sz="4" w:space="0"/>
            </w:tcBorders>
            <w:vAlign w:val="center"/>
          </w:tcPr>
          <w:p w14:paraId="6BABD6A8">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22</w:t>
            </w:r>
          </w:p>
        </w:tc>
        <w:tc>
          <w:tcPr>
            <w:tcW w:w="1694" w:type="dxa"/>
            <w:vMerge w:val="restart"/>
            <w:tcBorders>
              <w:top w:val="single" w:color="auto" w:sz="4" w:space="0"/>
              <w:left w:val="single" w:color="auto" w:sz="4" w:space="0"/>
              <w:right w:val="single" w:color="auto" w:sz="4" w:space="0"/>
            </w:tcBorders>
            <w:vAlign w:val="center"/>
          </w:tcPr>
          <w:p w14:paraId="1F6253E0">
            <w:pPr>
              <w:spacing w:line="360" w:lineRule="auto"/>
              <w:jc w:val="center"/>
              <w:rPr>
                <w:rFonts w:ascii="仿宋" w:hAnsi="仿宋" w:eastAsia="仿宋" w:cs="仿宋"/>
                <w:color w:val="auto"/>
                <w:sz w:val="21"/>
                <w:szCs w:val="21"/>
                <w:lang w:eastAsia="zh-CN"/>
              </w:rPr>
            </w:pPr>
            <w:r>
              <w:rPr>
                <w:rFonts w:hint="eastAsia" w:ascii="仿宋" w:hAnsi="仿宋" w:eastAsia="仿宋" w:cs="仿宋"/>
                <w:color w:val="auto"/>
                <w:lang w:eastAsia="zh-CN"/>
              </w:rPr>
              <w:t>重要说明</w:t>
            </w:r>
          </w:p>
        </w:tc>
        <w:tc>
          <w:tcPr>
            <w:tcW w:w="7869" w:type="dxa"/>
            <w:tcBorders>
              <w:top w:val="single" w:color="auto" w:sz="4" w:space="0"/>
              <w:left w:val="single" w:color="auto" w:sz="4" w:space="0"/>
              <w:right w:val="single" w:color="auto" w:sz="4" w:space="0"/>
            </w:tcBorders>
            <w:vAlign w:val="center"/>
          </w:tcPr>
          <w:p w14:paraId="780C0B97">
            <w:pPr>
              <w:spacing w:line="360" w:lineRule="auto"/>
              <w:rPr>
                <w:rFonts w:ascii="仿宋" w:hAnsi="仿宋" w:eastAsia="仿宋" w:cs="仿宋"/>
                <w:color w:val="auto"/>
                <w:lang w:eastAsia="zh-CN"/>
              </w:rPr>
            </w:pPr>
            <w:r>
              <w:rPr>
                <w:rFonts w:hint="eastAsia" w:ascii="仿宋" w:hAnsi="仿宋" w:eastAsia="仿宋" w:cs="仿宋"/>
                <w:color w:val="auto"/>
                <w:lang w:eastAsia="zh-CN"/>
              </w:rPr>
              <w:t>1.本项目采用全流程不见面电子开评标，投标供应商需要使用CA加密设备，供应商可通过新疆数字证书认证中心官网（https://www.xjca.com.cn/）或下载“新疆政务通”APP自行进行申领。</w:t>
            </w:r>
          </w:p>
          <w:p w14:paraId="1E44FF41">
            <w:pPr>
              <w:spacing w:line="360" w:lineRule="auto"/>
              <w:rPr>
                <w:rFonts w:ascii="仿宋" w:hAnsi="仿宋" w:eastAsia="仿宋" w:cs="仿宋"/>
                <w:color w:val="auto"/>
                <w:lang w:eastAsia="zh-CN"/>
              </w:rPr>
            </w:pPr>
            <w:r>
              <w:rPr>
                <w:rFonts w:hint="eastAsia" w:ascii="仿宋" w:hAnsi="仿宋" w:eastAsia="仿宋" w:cs="仿宋"/>
                <w:color w:val="auto"/>
                <w:lang w:eastAsia="zh-CN"/>
              </w:rPr>
              <w:t>2.本项目实行网上投标，采用加密电子投标文件(供应商须使用CA加密设备通过政采云电子投标客户端制作投标文件)。若供应商参与投标，自行承担投标一切费用。</w:t>
            </w:r>
          </w:p>
          <w:p w14:paraId="43ACF3CA">
            <w:pPr>
              <w:spacing w:line="360" w:lineRule="auto"/>
              <w:rPr>
                <w:rFonts w:ascii="仿宋" w:hAnsi="仿宋" w:eastAsia="仿宋" w:cs="仿宋"/>
                <w:color w:val="auto"/>
                <w:lang w:eastAsia="zh-CN"/>
              </w:rPr>
            </w:pPr>
            <w:r>
              <w:rPr>
                <w:rFonts w:hint="eastAsia" w:ascii="仿宋" w:hAnsi="仿宋" w:eastAsia="仿宋" w:cs="仿宋"/>
                <w:color w:val="auto"/>
                <w:lang w:eastAsia="zh-CN"/>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02FC98D8">
            <w:pPr>
              <w:spacing w:line="360" w:lineRule="auto"/>
              <w:rPr>
                <w:rFonts w:ascii="仿宋" w:hAnsi="仿宋" w:eastAsia="仿宋" w:cs="仿宋"/>
                <w:color w:val="auto"/>
                <w:lang w:eastAsia="zh-CN"/>
              </w:rPr>
            </w:pPr>
            <w:r>
              <w:rPr>
                <w:rFonts w:hint="eastAsia" w:ascii="仿宋" w:hAnsi="仿宋" w:eastAsia="仿宋" w:cs="仿宋"/>
                <w:color w:val="auto"/>
                <w:lang w:eastAsia="zh-CN"/>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07F93BF0">
            <w:pPr>
              <w:spacing w:line="360" w:lineRule="auto"/>
              <w:rPr>
                <w:rFonts w:ascii="仿宋" w:hAnsi="仿宋" w:eastAsia="仿宋" w:cs="仿宋"/>
                <w:color w:val="auto"/>
                <w:lang w:eastAsia="zh-CN"/>
              </w:rPr>
            </w:pPr>
            <w:r>
              <w:rPr>
                <w:rFonts w:hint="eastAsia" w:ascii="仿宋" w:hAnsi="仿宋" w:eastAsia="仿宋" w:cs="仿宋"/>
                <w:color w:val="auto"/>
                <w:lang w:eastAsia="zh-CN"/>
              </w:rPr>
              <w:t>5.供应商在开标时须使用制作加密电子投标文件所使用的CA锁及电脑，电脑须提前配置好浏览器（建议使用谷歌浏览器），以便开标时解锁。</w:t>
            </w:r>
          </w:p>
          <w:p w14:paraId="7DF34416">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6.供应商对不见面开评标系统的技术操作咨询，可通过https://edu.zcygov.cn/luban/xinjiang-e-biding自助查询，也可在政采云帮助中心常见问题解答和操作流程讲解视频中自助查询，网址为：</w:t>
            </w:r>
            <w:r>
              <w:rPr>
                <w:rFonts w:hint="eastAsia" w:ascii="仿宋" w:hAnsi="仿宋" w:eastAsia="仿宋" w:cs="仿宋"/>
                <w:color w:val="auto"/>
                <w:lang w:eastAsia="zh-CN"/>
              </w:rPr>
              <w:fldChar w:fldCharType="begin"/>
            </w:r>
            <w:r>
              <w:rPr>
                <w:rFonts w:hint="eastAsia" w:ascii="仿宋" w:hAnsi="仿宋" w:eastAsia="仿宋" w:cs="仿宋"/>
                <w:color w:val="auto"/>
                <w:lang w:eastAsia="zh-CN"/>
              </w:rPr>
              <w:instrText xml:space="preserve"> HYPERLINK "https://service.zcygov.cn/#/help，\“项目采购\”—\“操作流程-电子招投标\”—\“政府采购项目电子交易管理操作指南-供应商\”版面获取操作指南。" </w:instrText>
            </w:r>
            <w:r>
              <w:rPr>
                <w:rFonts w:hint="eastAsia" w:ascii="仿宋" w:hAnsi="仿宋" w:eastAsia="仿宋" w:cs="仿宋"/>
                <w:color w:val="auto"/>
                <w:lang w:eastAsia="zh-CN"/>
              </w:rPr>
              <w:fldChar w:fldCharType="separate"/>
            </w:r>
            <w:r>
              <w:rPr>
                <w:rFonts w:hint="eastAsia" w:ascii="仿宋" w:hAnsi="仿宋" w:eastAsia="仿宋" w:cs="仿宋"/>
                <w:color w:val="auto"/>
                <w:lang w:eastAsia="zh-CN"/>
              </w:rPr>
              <w:t>https://service.zcygov.cn/#/help，“项目采购”—“操作流程-电子招投标”—“政府采购项目电子交易管理操作指南-供应商”版面获取操作指南。</w:t>
            </w:r>
            <w:r>
              <w:rPr>
                <w:rFonts w:hint="eastAsia" w:ascii="仿宋" w:hAnsi="仿宋" w:eastAsia="仿宋" w:cs="仿宋"/>
                <w:color w:val="auto"/>
                <w:lang w:eastAsia="zh-CN"/>
              </w:rPr>
              <w:fldChar w:fldCharType="end"/>
            </w:r>
          </w:p>
          <w:p w14:paraId="4D50FE89">
            <w:pPr>
              <w:spacing w:line="360" w:lineRule="auto"/>
              <w:rPr>
                <w:rFonts w:ascii="仿宋" w:hAnsi="仿宋" w:eastAsia="仿宋" w:cs="仿宋"/>
                <w:color w:val="auto"/>
                <w:lang w:eastAsia="zh-CN"/>
              </w:rPr>
            </w:pPr>
            <w:r>
              <w:rPr>
                <w:rFonts w:hint="eastAsia" w:ascii="仿宋" w:hAnsi="仿宋" w:eastAsia="仿宋" w:cs="仿宋"/>
                <w:color w:val="auto"/>
                <w:lang w:eastAsia="zh-CN"/>
              </w:rPr>
              <w:t>7.为了保证开评标顺利进行，政采云线上开标功能完全实现，供应商开标所使用的电脑设备须具有视频及语音功能。</w:t>
            </w:r>
          </w:p>
        </w:tc>
      </w:tr>
      <w:tr w14:paraId="5CB9624A">
        <w:tblPrEx>
          <w:tblCellMar>
            <w:top w:w="0" w:type="dxa"/>
            <w:left w:w="108" w:type="dxa"/>
            <w:bottom w:w="0" w:type="dxa"/>
            <w:right w:w="108" w:type="dxa"/>
          </w:tblCellMar>
        </w:tblPrEx>
        <w:trPr>
          <w:trHeight w:val="710" w:hRule="atLeast"/>
          <w:jc w:val="center"/>
        </w:trPr>
        <w:tc>
          <w:tcPr>
            <w:tcW w:w="789" w:type="dxa"/>
            <w:vMerge w:val="continue"/>
            <w:tcBorders>
              <w:left w:val="single" w:color="auto" w:sz="4" w:space="0"/>
              <w:bottom w:val="single" w:color="auto" w:sz="4" w:space="0"/>
              <w:right w:val="single" w:color="auto" w:sz="4" w:space="0"/>
            </w:tcBorders>
            <w:vAlign w:val="center"/>
          </w:tcPr>
          <w:p w14:paraId="09028469">
            <w:pPr>
              <w:spacing w:line="360" w:lineRule="auto"/>
              <w:rPr>
                <w:rFonts w:ascii="仿宋" w:hAnsi="仿宋" w:eastAsia="仿宋" w:cs="仿宋"/>
                <w:color w:val="auto"/>
                <w:sz w:val="21"/>
                <w:szCs w:val="21"/>
                <w:lang w:eastAsia="zh-CN"/>
              </w:rPr>
            </w:pPr>
          </w:p>
        </w:tc>
        <w:tc>
          <w:tcPr>
            <w:tcW w:w="1694" w:type="dxa"/>
            <w:vMerge w:val="continue"/>
            <w:tcBorders>
              <w:left w:val="single" w:color="auto" w:sz="4" w:space="0"/>
              <w:bottom w:val="single" w:color="auto" w:sz="4" w:space="0"/>
              <w:right w:val="single" w:color="auto" w:sz="4" w:space="0"/>
            </w:tcBorders>
            <w:vAlign w:val="center"/>
          </w:tcPr>
          <w:p w14:paraId="5FF8EDA5">
            <w:pPr>
              <w:spacing w:line="360" w:lineRule="auto"/>
              <w:rPr>
                <w:rFonts w:ascii="仿宋" w:hAnsi="仿宋" w:eastAsia="仿宋" w:cs="仿宋"/>
                <w:color w:val="auto"/>
                <w:sz w:val="21"/>
                <w:szCs w:val="21"/>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7E353D48">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1、电子招投标情况说明：</w:t>
            </w:r>
          </w:p>
          <w:p w14:paraId="157ADD0D">
            <w:pPr>
              <w:spacing w:line="360" w:lineRule="auto"/>
              <w:rPr>
                <w:rFonts w:ascii="仿宋" w:hAnsi="仿宋" w:eastAsia="仿宋" w:cs="仿宋"/>
                <w:color w:val="auto"/>
                <w:lang w:eastAsia="zh-CN"/>
              </w:rPr>
            </w:pPr>
            <w:r>
              <w:rPr>
                <w:rFonts w:hint="eastAsia" w:ascii="仿宋" w:hAnsi="仿宋" w:eastAsia="仿宋" w:cs="仿宋"/>
                <w:color w:val="auto"/>
                <w:lang w:eastAsia="zh-CN"/>
              </w:rPr>
              <w:t>（1）电子招投标：本项目以数据电文形式，依托“政府采购云平台（www.zcygov.cn）”进行招投标活动。</w:t>
            </w:r>
          </w:p>
          <w:p w14:paraId="5FCAB12F">
            <w:pPr>
              <w:spacing w:line="360" w:lineRule="auto"/>
              <w:rPr>
                <w:rFonts w:ascii="仿宋" w:hAnsi="仿宋" w:eastAsia="仿宋" w:cs="仿宋"/>
                <w:color w:val="auto"/>
                <w:lang w:eastAsia="zh-CN"/>
              </w:rPr>
            </w:pPr>
            <w:r>
              <w:rPr>
                <w:rFonts w:hint="eastAsia" w:ascii="仿宋" w:hAnsi="仿宋" w:eastAsia="仿宋" w:cs="仿宋"/>
                <w:color w:val="auto"/>
                <w:lang w:eastAsia="zh-CN"/>
              </w:rPr>
              <w:t>（2）投标准备：注册账号--点击“商家入驻”，进行政府采购供应商资料填写；申领CA数字证书---申领流程详见“新疆政府采购网-下载专区-电子交易客户端-CA驱动和申领流程”；安装“政采云电子交易客户端”----前往“新疆政府采购网-下载专区-电子交易客户端”进行下载并安装。</w:t>
            </w:r>
          </w:p>
          <w:p w14:paraId="6213BAE9">
            <w:pPr>
              <w:spacing w:line="360" w:lineRule="auto"/>
              <w:rPr>
                <w:rFonts w:ascii="仿宋" w:hAnsi="仿宋" w:eastAsia="仿宋" w:cs="仿宋"/>
                <w:color w:val="auto"/>
                <w:lang w:eastAsia="zh-CN"/>
              </w:rPr>
            </w:pPr>
            <w:r>
              <w:rPr>
                <w:rFonts w:hint="eastAsia" w:ascii="仿宋" w:hAnsi="仿宋" w:eastAsia="仿宋" w:cs="仿宋"/>
                <w:color w:val="auto"/>
                <w:lang w:eastAsia="zh-CN"/>
              </w:rPr>
              <w:t>（3）磋商文件的获取：使用账号登录或者短信验证码或者使用CA登录政采云平台；进入“项目采购”应用，在获取采购文件菜单中选择项目，申请获取磋商文件。</w:t>
            </w:r>
          </w:p>
          <w:p w14:paraId="3191F050">
            <w:pPr>
              <w:spacing w:line="360" w:lineRule="auto"/>
              <w:rPr>
                <w:rFonts w:ascii="仿宋" w:hAnsi="仿宋" w:eastAsia="仿宋" w:cs="仿宋"/>
                <w:color w:val="auto"/>
                <w:lang w:eastAsia="zh-CN"/>
              </w:rPr>
            </w:pPr>
            <w:r>
              <w:rPr>
                <w:rFonts w:hint="eastAsia" w:ascii="仿宋" w:hAnsi="仿宋" w:eastAsia="仿宋" w:cs="仿宋"/>
                <w:color w:val="auto"/>
                <w:lang w:eastAsia="zh-CN"/>
              </w:rPr>
              <w:t>（4）投标文件的制作：在“政采云电子交易客户端”中完成“填写基本信息”、“导入投标文件”、“标书关联”、“标书检查”、“电子签名”、“生成电子标书”等操作。</w:t>
            </w:r>
          </w:p>
          <w:p w14:paraId="088371FB">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5</w:t>
            </w:r>
            <w:r>
              <w:rPr>
                <w:rFonts w:hint="eastAsia" w:ascii="仿宋" w:hAnsi="仿宋" w:eastAsia="仿宋" w:cs="仿宋"/>
                <w:color w:val="auto"/>
                <w:lang w:eastAsia="zh-CN"/>
              </w:rPr>
              <w:t>）投标文件的解密：供应商按照平台提示和磋商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14:paraId="1E545803">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6</w:t>
            </w:r>
            <w:r>
              <w:rPr>
                <w:rFonts w:hint="eastAsia" w:ascii="仿宋" w:hAnsi="仿宋" w:eastAsia="仿宋" w:cs="仿宋"/>
                <w:color w:val="auto"/>
                <w:lang w:eastAsia="zh-CN"/>
              </w:rPr>
              <w:t>）具体操作指南：详见政采云平台“服务中心-帮助文档-项目采购-操作流程-电子招投标-政府采购项目电子交易管理操作指南-供应商”。</w:t>
            </w:r>
          </w:p>
          <w:p w14:paraId="2DA3E9DE">
            <w:pPr>
              <w:spacing w:line="360" w:lineRule="auto"/>
              <w:rPr>
                <w:rFonts w:ascii="仿宋" w:hAnsi="仿宋" w:eastAsia="仿宋" w:cs="仿宋"/>
                <w:color w:val="auto"/>
                <w:lang w:eastAsia="zh-CN"/>
              </w:rPr>
            </w:pPr>
            <w:r>
              <w:rPr>
                <w:rFonts w:hint="eastAsia" w:ascii="仿宋" w:hAnsi="仿宋" w:eastAsia="仿宋" w:cs="仿宋"/>
                <w:color w:val="auto"/>
                <w:lang w:eastAsia="zh-CN"/>
              </w:rPr>
              <w:t>（8）供应商在进行上述操作时，如遇技术问题可登录政采云（https://</w:t>
            </w:r>
            <w:r>
              <w:rPr>
                <w:color w:val="auto"/>
              </w:rPr>
              <w:fldChar w:fldCharType="begin"/>
            </w:r>
            <w:r>
              <w:rPr>
                <w:color w:val="auto"/>
              </w:rPr>
              <w:instrText xml:space="preserve"> HYPERLINK "http://www.zcygov.cn/" \h </w:instrText>
            </w:r>
            <w:r>
              <w:rPr>
                <w:color w:val="auto"/>
              </w:rPr>
              <w:fldChar w:fldCharType="separate"/>
            </w:r>
            <w:r>
              <w:rPr>
                <w:rFonts w:hint="eastAsia" w:ascii="仿宋" w:hAnsi="仿宋" w:eastAsia="仿宋" w:cs="仿宋"/>
                <w:color w:val="auto"/>
                <w:lang w:eastAsia="zh-CN"/>
              </w:rPr>
              <w:t>www.zcygov.cn/</w:t>
            </w:r>
            <w:r>
              <w:rPr>
                <w:rFonts w:hint="eastAsia" w:ascii="仿宋" w:hAnsi="仿宋" w:eastAsia="仿宋" w:cs="仿宋"/>
                <w:color w:val="auto"/>
                <w:lang w:eastAsia="zh-CN"/>
              </w:rPr>
              <w:fldChar w:fldCharType="end"/>
            </w:r>
            <w:r>
              <w:rPr>
                <w:rFonts w:hint="eastAsia" w:ascii="仿宋" w:hAnsi="仿宋" w:eastAsia="仿宋" w:cs="仿宋"/>
                <w:color w:val="auto"/>
                <w:lang w:eastAsia="zh-CN"/>
              </w:rPr>
              <w:t>），点击右侧咨询小采，获取采小蜜智能服务管家帮助，或拨打政采云服务热线 95763 获取热线服务帮助。</w:t>
            </w:r>
          </w:p>
          <w:p w14:paraId="5FC019F7">
            <w:pPr>
              <w:spacing w:line="360" w:lineRule="auto"/>
              <w:rPr>
                <w:rFonts w:ascii="仿宋" w:hAnsi="仿宋" w:eastAsia="仿宋" w:cs="仿宋"/>
                <w:color w:val="auto"/>
                <w:lang w:eastAsia="zh-CN"/>
              </w:rPr>
            </w:pPr>
            <w:r>
              <w:rPr>
                <w:rFonts w:hint="eastAsia" w:ascii="仿宋" w:hAnsi="仿宋" w:eastAsia="仿宋" w:cs="仿宋"/>
                <w:color w:val="auto"/>
                <w:lang w:eastAsia="zh-CN"/>
              </w:rPr>
              <w:t>温馨提醒：供应商应提前上传，以便在上传时遇到技术问题，有充足的时间请教平台的技术人员。</w:t>
            </w:r>
          </w:p>
          <w:p w14:paraId="0C5D951A">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认为磋商文件使自己的权益受到损害的，可以自收到磋商文件之日（磋商文件公告期限届满之前收到磋商文件的，以完成获取磋商文件申请后下载磋商文件的时间为准）或者磋商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未按规定获取磋商文件或逾期提出的不予受理、答复。</w:t>
            </w:r>
          </w:p>
        </w:tc>
      </w:tr>
      <w:tr w14:paraId="0D1EDBA7">
        <w:tblPrEx>
          <w:tblCellMar>
            <w:top w:w="0" w:type="dxa"/>
            <w:left w:w="108" w:type="dxa"/>
            <w:bottom w:w="0" w:type="dxa"/>
            <w:right w:w="108" w:type="dxa"/>
          </w:tblCellMar>
        </w:tblPrEx>
        <w:trPr>
          <w:trHeight w:val="915"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7BD6FEB3">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23</w:t>
            </w:r>
          </w:p>
        </w:tc>
        <w:tc>
          <w:tcPr>
            <w:tcW w:w="1694" w:type="dxa"/>
            <w:tcBorders>
              <w:top w:val="single" w:color="auto" w:sz="4" w:space="0"/>
              <w:left w:val="single" w:color="auto" w:sz="4" w:space="0"/>
              <w:bottom w:val="single" w:color="auto" w:sz="4" w:space="0"/>
              <w:right w:val="single" w:color="auto" w:sz="4" w:space="0"/>
            </w:tcBorders>
            <w:vAlign w:val="center"/>
          </w:tcPr>
          <w:p w14:paraId="31485156">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869" w:type="dxa"/>
            <w:tcBorders>
              <w:top w:val="single" w:color="auto" w:sz="4" w:space="0"/>
              <w:left w:val="single" w:color="auto" w:sz="4" w:space="0"/>
              <w:bottom w:val="single" w:color="auto" w:sz="4" w:space="0"/>
              <w:right w:val="single" w:color="auto" w:sz="4" w:space="0"/>
            </w:tcBorders>
            <w:vAlign w:val="center"/>
          </w:tcPr>
          <w:p w14:paraId="1CA45954">
            <w:pPr>
              <w:spacing w:line="360" w:lineRule="auto"/>
              <w:rPr>
                <w:rFonts w:ascii="仿宋" w:hAnsi="仿宋" w:eastAsia="仿宋" w:cs="仿宋"/>
                <w:color w:val="auto"/>
                <w:lang w:eastAsia="zh-CN"/>
              </w:rPr>
            </w:pPr>
            <w:r>
              <w:rPr>
                <w:rFonts w:hint="eastAsia" w:ascii="仿宋" w:hAnsi="仿宋" w:eastAsia="仿宋" w:cs="仿宋"/>
                <w:color w:val="auto"/>
                <w:lang w:eastAsia="zh-CN"/>
              </w:rPr>
              <w:t>克州公共资源交易中心网、新疆政府采购网，公示期为一个工作日。</w:t>
            </w:r>
          </w:p>
        </w:tc>
      </w:tr>
      <w:tr w14:paraId="3CC2EB69">
        <w:tblPrEx>
          <w:tblCellMar>
            <w:top w:w="0" w:type="dxa"/>
            <w:left w:w="108" w:type="dxa"/>
            <w:bottom w:w="0" w:type="dxa"/>
            <w:right w:w="108" w:type="dxa"/>
          </w:tblCellMar>
        </w:tblPrEx>
        <w:trPr>
          <w:trHeight w:val="41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4ECCA03">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24</w:t>
            </w: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45F95F96">
            <w:pPr>
              <w:spacing w:line="360" w:lineRule="auto"/>
              <w:rPr>
                <w:rFonts w:ascii="仿宋" w:hAnsi="仿宋" w:eastAsia="仿宋" w:cs="仿宋"/>
                <w:color w:val="auto"/>
                <w:lang w:eastAsia="zh-CN"/>
              </w:rPr>
            </w:pPr>
            <w:r>
              <w:rPr>
                <w:rFonts w:hint="eastAsia" w:ascii="仿宋" w:hAnsi="仿宋" w:eastAsia="仿宋" w:cs="仿宋"/>
                <w:color w:val="auto"/>
                <w:lang w:eastAsia="zh-CN"/>
              </w:rPr>
              <w:t>招标代理服务费</w:t>
            </w:r>
          </w:p>
        </w:tc>
      </w:tr>
      <w:tr w14:paraId="5B5B4789">
        <w:tblPrEx>
          <w:tblCellMar>
            <w:top w:w="0" w:type="dxa"/>
            <w:left w:w="108" w:type="dxa"/>
            <w:bottom w:w="0" w:type="dxa"/>
            <w:right w:w="108" w:type="dxa"/>
          </w:tblCellMar>
        </w:tblPrEx>
        <w:trPr>
          <w:trHeight w:val="1613"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0B390C31">
            <w:pPr>
              <w:spacing w:line="360" w:lineRule="auto"/>
              <w:rPr>
                <w:rFonts w:ascii="仿宋" w:hAnsi="仿宋" w:eastAsia="仿宋" w:cs="仿宋"/>
                <w:color w:val="auto"/>
                <w:sz w:val="21"/>
                <w:szCs w:val="21"/>
                <w:lang w:eastAsia="zh-CN"/>
              </w:rPr>
            </w:pP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1A615CDC">
            <w:pPr>
              <w:spacing w:line="360" w:lineRule="auto"/>
              <w:rPr>
                <w:rFonts w:hint="eastAsia" w:ascii="仿宋" w:hAnsi="仿宋" w:eastAsia="仿宋" w:cs="仿宋"/>
                <w:color w:val="auto"/>
                <w:lang w:eastAsia="zh-CN"/>
              </w:rPr>
            </w:pPr>
            <w:r>
              <w:rPr>
                <w:rFonts w:hint="eastAsia" w:ascii="仿宋" w:hAnsi="仿宋" w:eastAsia="仿宋" w:cs="仿宋"/>
                <w:color w:val="auto"/>
                <w:lang w:val="en-US" w:eastAsia="zh-CN"/>
              </w:rPr>
              <w:t>招标代理费根据《中华人民共和国招标投标法》、《中华人民共和国招标投标法实施条</w:t>
            </w:r>
            <w:r>
              <w:rPr>
                <w:rFonts w:hint="default" w:ascii="仿宋" w:hAnsi="仿宋" w:eastAsia="仿宋" w:cs="仿宋"/>
                <w:color w:val="auto"/>
                <w:lang w:val="en-US" w:eastAsia="zh-CN"/>
              </w:rPr>
              <w:t>例》</w:t>
            </w:r>
            <w:r>
              <w:rPr>
                <w:rFonts w:hint="eastAsia" w:ascii="仿宋" w:hAnsi="仿宋" w:eastAsia="仿宋" w:cs="仿宋"/>
                <w:color w:val="auto"/>
                <w:lang w:val="en-US" w:eastAsia="zh-CN"/>
              </w:rPr>
              <w:t>、</w:t>
            </w:r>
            <w:r>
              <w:rPr>
                <w:rFonts w:hint="default" w:ascii="仿宋" w:hAnsi="仿宋" w:eastAsia="仿宋" w:cs="仿宋"/>
                <w:color w:val="auto"/>
                <w:lang w:val="en-US" w:eastAsia="zh-CN"/>
              </w:rPr>
              <w:t xml:space="preserve">《国家发展改革委关于进一步放开建设项目专业服务价格的通知》（发改价格 </w:t>
            </w:r>
          </w:p>
          <w:p w14:paraId="36F02AD5">
            <w:pPr>
              <w:spacing w:line="360" w:lineRule="auto"/>
              <w:rPr>
                <w:rFonts w:hint="default" w:ascii="仿宋" w:hAnsi="仿宋" w:eastAsia="仿宋" w:cs="仿宋"/>
                <w:color w:val="auto"/>
                <w:lang w:val="en-US" w:eastAsia="zh-CN"/>
              </w:rPr>
            </w:pPr>
            <w:r>
              <w:rPr>
                <w:rFonts w:hint="default" w:ascii="仿宋" w:hAnsi="仿宋" w:eastAsia="仿宋" w:cs="仿宋"/>
                <w:color w:val="auto"/>
                <w:lang w:val="en-US" w:eastAsia="zh-CN"/>
              </w:rPr>
              <w:t>【2015】299 号）文件等规定收费基准价格计取。</w:t>
            </w:r>
          </w:p>
          <w:p w14:paraId="54C1115C">
            <w:pPr>
              <w:spacing w:line="360" w:lineRule="auto"/>
              <w:rPr>
                <w:rFonts w:ascii="仿宋" w:hAnsi="仿宋" w:eastAsia="仿宋" w:cs="仿宋"/>
                <w:color w:val="auto"/>
                <w:sz w:val="21"/>
                <w:szCs w:val="21"/>
                <w:lang w:eastAsia="zh-CN"/>
              </w:rPr>
            </w:pPr>
            <w:r>
              <w:rPr>
                <w:rFonts w:hint="default" w:ascii="仿宋" w:hAnsi="仿宋" w:eastAsia="仿宋" w:cs="仿宋"/>
                <w:color w:val="auto"/>
                <w:lang w:val="en-US" w:eastAsia="zh-CN"/>
              </w:rPr>
              <w:t>本项目招标代理费：</w:t>
            </w:r>
            <w:r>
              <w:rPr>
                <w:rFonts w:hint="eastAsia" w:ascii="仿宋" w:hAnsi="仿宋" w:eastAsia="仿宋" w:cs="仿宋"/>
                <w:color w:val="auto"/>
                <w:lang w:val="en-US" w:eastAsia="zh-CN"/>
              </w:rPr>
              <w:t>16264</w:t>
            </w:r>
            <w:r>
              <w:rPr>
                <w:rFonts w:hint="default" w:ascii="仿宋" w:hAnsi="仿宋" w:eastAsia="仿宋" w:cs="仿宋"/>
                <w:color w:val="auto"/>
                <w:lang w:val="en-US" w:eastAsia="zh-CN"/>
              </w:rPr>
              <w:t>元。招标代理费在中标通知书发放之日前由中标人缴纳。</w:t>
            </w:r>
          </w:p>
        </w:tc>
      </w:tr>
      <w:tr w14:paraId="6189E116">
        <w:tblPrEx>
          <w:tblCellMar>
            <w:top w:w="0" w:type="dxa"/>
            <w:left w:w="108" w:type="dxa"/>
            <w:bottom w:w="0" w:type="dxa"/>
            <w:right w:w="108" w:type="dxa"/>
          </w:tblCellMar>
        </w:tblPrEx>
        <w:trPr>
          <w:trHeight w:val="8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A50C2EB">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25</w:t>
            </w: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72E9ED30">
            <w:pPr>
              <w:spacing w:line="360" w:lineRule="auto"/>
              <w:rPr>
                <w:rFonts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14:paraId="7FC3FBDA">
        <w:tblPrEx>
          <w:tblCellMar>
            <w:top w:w="0" w:type="dxa"/>
            <w:left w:w="108" w:type="dxa"/>
            <w:bottom w:w="0" w:type="dxa"/>
            <w:right w:w="108" w:type="dxa"/>
          </w:tblCellMar>
        </w:tblPrEx>
        <w:trPr>
          <w:trHeight w:val="8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4C02034D">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26</w:t>
            </w: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58AF4DE1">
            <w:pPr>
              <w:spacing w:line="360" w:lineRule="auto"/>
              <w:rPr>
                <w:rFonts w:ascii="仿宋" w:hAnsi="仿宋" w:eastAsia="仿宋" w:cs="仿宋"/>
                <w:color w:val="auto"/>
                <w:lang w:eastAsia="zh-CN"/>
              </w:rPr>
            </w:pPr>
            <w:r>
              <w:rPr>
                <w:rFonts w:hint="eastAsia" w:ascii="仿宋" w:hAnsi="仿宋" w:eastAsia="仿宋" w:cs="仿宋"/>
                <w:color w:val="auto"/>
                <w:lang w:eastAsia="zh-CN"/>
              </w:rPr>
              <w:t>不管投标结果如何，供应商均应承担自己投标所需一切费用。</w:t>
            </w:r>
          </w:p>
        </w:tc>
      </w:tr>
      <w:tr w14:paraId="27F97819">
        <w:tblPrEx>
          <w:tblCellMar>
            <w:top w:w="0" w:type="dxa"/>
            <w:left w:w="108" w:type="dxa"/>
            <w:bottom w:w="0" w:type="dxa"/>
            <w:right w:w="108" w:type="dxa"/>
          </w:tblCellMar>
        </w:tblPrEx>
        <w:trPr>
          <w:trHeight w:val="84"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2D5033F1">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27</w:t>
            </w:r>
          </w:p>
        </w:tc>
        <w:tc>
          <w:tcPr>
            <w:tcW w:w="9563" w:type="dxa"/>
            <w:gridSpan w:val="2"/>
            <w:tcBorders>
              <w:top w:val="single" w:color="auto" w:sz="4" w:space="0"/>
              <w:left w:val="single" w:color="auto" w:sz="4" w:space="0"/>
              <w:bottom w:val="single" w:color="auto" w:sz="4" w:space="0"/>
              <w:right w:val="single" w:color="auto" w:sz="4" w:space="0"/>
            </w:tcBorders>
            <w:vAlign w:val="center"/>
          </w:tcPr>
          <w:p w14:paraId="59477A6A">
            <w:pPr>
              <w:spacing w:line="360" w:lineRule="auto"/>
              <w:rPr>
                <w:rFonts w:ascii="仿宋" w:hAnsi="仿宋" w:eastAsia="仿宋" w:cs="仿宋"/>
                <w:color w:val="auto"/>
                <w:lang w:eastAsia="zh-CN"/>
              </w:rPr>
            </w:pPr>
            <w:r>
              <w:rPr>
                <w:rFonts w:hint="eastAsia" w:ascii="仿宋" w:hAnsi="仿宋" w:eastAsia="仿宋" w:cs="仿宋"/>
                <w:color w:val="auto"/>
                <w:lang w:eastAsia="zh-CN"/>
              </w:rPr>
              <w:t>本次招标预算价：</w:t>
            </w:r>
            <w:r>
              <w:rPr>
                <w:rFonts w:hint="eastAsia" w:ascii="仿宋" w:hAnsi="仿宋" w:eastAsia="仿宋" w:cs="仿宋"/>
                <w:color w:val="auto"/>
                <w:lang w:val="en-US" w:eastAsia="zh-CN"/>
              </w:rPr>
              <w:t>1040000.00</w:t>
            </w:r>
            <w:r>
              <w:rPr>
                <w:rFonts w:hint="eastAsia" w:ascii="仿宋" w:hAnsi="仿宋" w:eastAsia="仿宋" w:cs="仿宋"/>
                <w:color w:val="auto"/>
                <w:lang w:eastAsia="zh-CN"/>
              </w:rPr>
              <w:t>元，投标总报价超过招标预算价的按废标处理。</w:t>
            </w:r>
          </w:p>
        </w:tc>
      </w:tr>
      <w:tr w14:paraId="730F23D2">
        <w:tblPrEx>
          <w:tblCellMar>
            <w:top w:w="0" w:type="dxa"/>
            <w:left w:w="108" w:type="dxa"/>
            <w:bottom w:w="0" w:type="dxa"/>
            <w:right w:w="108" w:type="dxa"/>
          </w:tblCellMar>
        </w:tblPrEx>
        <w:trPr>
          <w:trHeight w:val="84" w:hRule="atLeast"/>
          <w:jc w:val="center"/>
        </w:trPr>
        <w:tc>
          <w:tcPr>
            <w:tcW w:w="789" w:type="dxa"/>
            <w:vMerge w:val="restart"/>
            <w:tcBorders>
              <w:top w:val="single" w:color="auto" w:sz="4" w:space="0"/>
              <w:left w:val="single" w:color="auto" w:sz="4" w:space="0"/>
              <w:bottom w:val="single" w:color="auto" w:sz="4" w:space="0"/>
              <w:right w:val="single" w:color="auto" w:sz="4" w:space="0"/>
            </w:tcBorders>
            <w:vAlign w:val="center"/>
          </w:tcPr>
          <w:p w14:paraId="792A73A2">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28</w:t>
            </w:r>
          </w:p>
        </w:tc>
        <w:tc>
          <w:tcPr>
            <w:tcW w:w="1694" w:type="dxa"/>
            <w:vMerge w:val="restart"/>
            <w:tcBorders>
              <w:top w:val="single" w:color="auto" w:sz="4" w:space="0"/>
              <w:left w:val="single" w:color="auto" w:sz="4" w:space="0"/>
              <w:bottom w:val="single" w:color="auto" w:sz="4" w:space="0"/>
              <w:right w:val="single" w:color="auto" w:sz="4" w:space="0"/>
            </w:tcBorders>
            <w:vAlign w:val="center"/>
          </w:tcPr>
          <w:p w14:paraId="4679317F">
            <w:pPr>
              <w:spacing w:line="360" w:lineRule="auto"/>
              <w:jc w:val="center"/>
              <w:rPr>
                <w:rFonts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869" w:type="dxa"/>
            <w:tcBorders>
              <w:top w:val="single" w:color="auto" w:sz="4" w:space="0"/>
              <w:left w:val="single" w:color="auto" w:sz="4" w:space="0"/>
              <w:bottom w:val="single" w:color="auto" w:sz="4" w:space="0"/>
              <w:right w:val="single" w:color="auto" w:sz="4" w:space="0"/>
            </w:tcBorders>
            <w:vAlign w:val="center"/>
          </w:tcPr>
          <w:p w14:paraId="7C397B72">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财库[2022]19号），供应商所投产品的制造商属于《工业和信息化部、国家统计局、国家发展和改革委员会、财政部关于印发中小企业划型标准规定的通知》（工信部联企业[2011]300号）中规定的小型、微型企业标准的，按磋商文件格式提供《中小企业声明函》。</w:t>
            </w:r>
          </w:p>
        </w:tc>
      </w:tr>
      <w:tr w14:paraId="22178ED2">
        <w:tblPrEx>
          <w:tblCellMar>
            <w:top w:w="0" w:type="dxa"/>
            <w:left w:w="108" w:type="dxa"/>
            <w:bottom w:w="0" w:type="dxa"/>
            <w:right w:w="108" w:type="dxa"/>
          </w:tblCellMar>
        </w:tblPrEx>
        <w:trPr>
          <w:trHeight w:val="84"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0FEAD008">
            <w:pPr>
              <w:spacing w:line="360" w:lineRule="auto"/>
              <w:rPr>
                <w:rFonts w:ascii="仿宋" w:hAnsi="仿宋" w:eastAsia="仿宋" w:cs="仿宋"/>
                <w:color w:val="auto"/>
                <w:lang w:eastAsia="zh-CN"/>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14:paraId="1987A20A">
            <w:pPr>
              <w:spacing w:line="360" w:lineRule="auto"/>
              <w:rPr>
                <w:rFonts w:ascii="仿宋" w:hAnsi="仿宋" w:eastAsia="仿宋" w:cs="仿宋"/>
                <w:color w:val="auto"/>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64526F82">
            <w:pPr>
              <w:spacing w:line="360" w:lineRule="auto"/>
              <w:rPr>
                <w:rFonts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14:paraId="0C380E1B">
        <w:tblPrEx>
          <w:tblCellMar>
            <w:top w:w="0" w:type="dxa"/>
            <w:left w:w="108" w:type="dxa"/>
            <w:bottom w:w="0" w:type="dxa"/>
            <w:right w:w="108" w:type="dxa"/>
          </w:tblCellMar>
        </w:tblPrEx>
        <w:trPr>
          <w:trHeight w:val="84" w:hRule="atLeast"/>
          <w:jc w:val="center"/>
        </w:trPr>
        <w:tc>
          <w:tcPr>
            <w:tcW w:w="789" w:type="dxa"/>
            <w:vMerge w:val="continue"/>
            <w:tcBorders>
              <w:top w:val="single" w:color="auto" w:sz="4" w:space="0"/>
              <w:left w:val="single" w:color="auto" w:sz="4" w:space="0"/>
              <w:bottom w:val="single" w:color="auto" w:sz="4" w:space="0"/>
              <w:right w:val="single" w:color="auto" w:sz="4" w:space="0"/>
            </w:tcBorders>
            <w:vAlign w:val="center"/>
          </w:tcPr>
          <w:p w14:paraId="26529EDC">
            <w:pPr>
              <w:spacing w:line="360" w:lineRule="auto"/>
              <w:rPr>
                <w:rFonts w:ascii="仿宋" w:hAnsi="仿宋" w:eastAsia="仿宋" w:cs="仿宋"/>
                <w:color w:val="auto"/>
                <w:lang w:eastAsia="zh-CN"/>
              </w:rPr>
            </w:pPr>
          </w:p>
        </w:tc>
        <w:tc>
          <w:tcPr>
            <w:tcW w:w="1694" w:type="dxa"/>
            <w:vMerge w:val="continue"/>
            <w:tcBorders>
              <w:top w:val="single" w:color="auto" w:sz="4" w:space="0"/>
              <w:left w:val="single" w:color="auto" w:sz="4" w:space="0"/>
              <w:bottom w:val="single" w:color="auto" w:sz="4" w:space="0"/>
              <w:right w:val="single" w:color="auto" w:sz="4" w:space="0"/>
            </w:tcBorders>
            <w:vAlign w:val="center"/>
          </w:tcPr>
          <w:p w14:paraId="683638B0">
            <w:pPr>
              <w:spacing w:line="360" w:lineRule="auto"/>
              <w:rPr>
                <w:rFonts w:ascii="仿宋" w:hAnsi="仿宋" w:eastAsia="仿宋" w:cs="仿宋"/>
                <w:color w:val="auto"/>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20AF100D">
            <w:pPr>
              <w:spacing w:line="360" w:lineRule="auto"/>
              <w:rPr>
                <w:rFonts w:ascii="仿宋" w:hAnsi="仿宋" w:eastAsia="仿宋" w:cs="仿宋"/>
                <w:color w:val="auto"/>
                <w:lang w:eastAsia="zh-CN"/>
              </w:rPr>
            </w:pPr>
            <w:r>
              <w:rPr>
                <w:rFonts w:hint="eastAsia" w:ascii="仿宋" w:hAnsi="仿宋" w:eastAsia="仿宋" w:cs="仿宋"/>
                <w:color w:val="auto"/>
                <w:lang w:eastAsia="zh-CN"/>
              </w:rPr>
              <w:t>（3）根据财政部、民政部、中国残疾人联合会《关于促进残疾人就业政府采购政策的通知》（财库[2017]141号），在政府采购活动中，残疾人福利性单位视同小型、微型企业。供应商属于残疾人福利性单位的，按照磋商文件格式提供残疾人福利性单位声明函。</w:t>
            </w:r>
          </w:p>
        </w:tc>
      </w:tr>
      <w:tr w14:paraId="1C728750">
        <w:tblPrEx>
          <w:tblCellMar>
            <w:top w:w="0" w:type="dxa"/>
            <w:left w:w="108" w:type="dxa"/>
            <w:bottom w:w="0" w:type="dxa"/>
            <w:right w:w="108" w:type="dxa"/>
          </w:tblCellMar>
        </w:tblPrEx>
        <w:trPr>
          <w:trHeight w:val="90" w:hRule="atLeast"/>
          <w:jc w:val="center"/>
        </w:trPr>
        <w:tc>
          <w:tcPr>
            <w:tcW w:w="789" w:type="dxa"/>
            <w:vMerge w:val="restart"/>
            <w:tcBorders>
              <w:top w:val="single" w:color="auto" w:sz="4" w:space="0"/>
              <w:left w:val="single" w:color="auto" w:sz="4" w:space="0"/>
              <w:right w:val="single" w:color="auto" w:sz="4" w:space="0"/>
            </w:tcBorders>
            <w:vAlign w:val="center"/>
          </w:tcPr>
          <w:p w14:paraId="6C0C4508">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29</w:t>
            </w:r>
          </w:p>
        </w:tc>
        <w:tc>
          <w:tcPr>
            <w:tcW w:w="1694" w:type="dxa"/>
            <w:vMerge w:val="restart"/>
            <w:tcBorders>
              <w:top w:val="single" w:color="auto" w:sz="4" w:space="0"/>
              <w:left w:val="single" w:color="auto" w:sz="4" w:space="0"/>
              <w:right w:val="single" w:color="auto" w:sz="4" w:space="0"/>
            </w:tcBorders>
            <w:vAlign w:val="center"/>
          </w:tcPr>
          <w:p w14:paraId="1D37AA7D">
            <w:pPr>
              <w:spacing w:line="360" w:lineRule="auto"/>
              <w:jc w:val="center"/>
              <w:rPr>
                <w:rFonts w:ascii="仿宋" w:hAnsi="仿宋" w:eastAsia="仿宋" w:cs="仿宋"/>
                <w:color w:val="auto"/>
                <w:lang w:eastAsia="zh-CN"/>
              </w:rPr>
            </w:pPr>
            <w:r>
              <w:rPr>
                <w:rFonts w:hint="eastAsia" w:ascii="仿宋" w:hAnsi="仿宋" w:eastAsia="仿宋" w:cs="仿宋"/>
                <w:color w:val="auto"/>
                <w:highlight w:val="none"/>
                <w:lang w:eastAsia="zh-CN"/>
              </w:rPr>
              <w:t>中小微企业政策文件说明</w:t>
            </w:r>
          </w:p>
        </w:tc>
        <w:tc>
          <w:tcPr>
            <w:tcW w:w="7869" w:type="dxa"/>
            <w:tcBorders>
              <w:top w:val="single" w:color="auto" w:sz="4" w:space="0"/>
              <w:left w:val="single" w:color="auto" w:sz="4" w:space="0"/>
              <w:bottom w:val="single" w:color="auto" w:sz="4" w:space="0"/>
              <w:right w:val="single" w:color="auto" w:sz="4" w:space="0"/>
            </w:tcBorders>
            <w:vAlign w:val="center"/>
          </w:tcPr>
          <w:p w14:paraId="1FC39AFA">
            <w:pPr>
              <w:spacing w:line="360" w:lineRule="auto"/>
              <w:rPr>
                <w:rFonts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）本项目专门面向中小企业，资金为全部预留。必须提供上述《中小企业声明函》，不再执行价格评审优惠扶持政策。</w:t>
            </w:r>
          </w:p>
        </w:tc>
      </w:tr>
      <w:tr w14:paraId="341F6DE1">
        <w:tblPrEx>
          <w:tblCellMar>
            <w:top w:w="0" w:type="dxa"/>
            <w:left w:w="108" w:type="dxa"/>
            <w:bottom w:w="0" w:type="dxa"/>
            <w:right w:w="108" w:type="dxa"/>
          </w:tblCellMar>
        </w:tblPrEx>
        <w:trPr>
          <w:trHeight w:val="459" w:hRule="atLeast"/>
          <w:jc w:val="center"/>
        </w:trPr>
        <w:tc>
          <w:tcPr>
            <w:tcW w:w="789" w:type="dxa"/>
            <w:vMerge w:val="continue"/>
            <w:tcBorders>
              <w:left w:val="single" w:color="auto" w:sz="4" w:space="0"/>
              <w:right w:val="single" w:color="auto" w:sz="4" w:space="0"/>
            </w:tcBorders>
            <w:vAlign w:val="center"/>
          </w:tcPr>
          <w:p w14:paraId="25E9E57D">
            <w:pPr>
              <w:spacing w:line="360" w:lineRule="auto"/>
              <w:jc w:val="center"/>
              <w:rPr>
                <w:rFonts w:ascii="仿宋" w:hAnsi="仿宋" w:eastAsia="仿宋" w:cs="仿宋"/>
                <w:color w:val="auto"/>
                <w:sz w:val="21"/>
                <w:szCs w:val="21"/>
                <w:lang w:eastAsia="zh-CN"/>
              </w:rPr>
            </w:pPr>
          </w:p>
        </w:tc>
        <w:tc>
          <w:tcPr>
            <w:tcW w:w="1694" w:type="dxa"/>
            <w:vMerge w:val="continue"/>
            <w:tcBorders>
              <w:left w:val="single" w:color="auto" w:sz="4" w:space="0"/>
              <w:right w:val="single" w:color="auto" w:sz="4" w:space="0"/>
            </w:tcBorders>
            <w:vAlign w:val="center"/>
          </w:tcPr>
          <w:p w14:paraId="3D12AAEF">
            <w:pPr>
              <w:spacing w:line="360" w:lineRule="auto"/>
              <w:rPr>
                <w:rFonts w:ascii="仿宋" w:hAnsi="仿宋" w:eastAsia="仿宋" w:cs="仿宋"/>
                <w:color w:val="auto"/>
                <w:sz w:val="21"/>
                <w:szCs w:val="21"/>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66293F63">
            <w:pPr>
              <w:numPr>
                <w:ilvl w:val="0"/>
                <w:numId w:val="0"/>
              </w:num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2</w:t>
            </w:r>
            <w:r>
              <w:rPr>
                <w:rFonts w:hint="eastAsia" w:ascii="仿宋" w:hAnsi="仿宋" w:eastAsia="仿宋" w:cs="仿宋"/>
                <w:color w:val="auto"/>
                <w:lang w:eastAsia="zh-CN"/>
              </w:rPr>
              <w:t>）本项目所属行业：</w:t>
            </w:r>
            <w:r>
              <w:rPr>
                <w:rFonts w:hint="eastAsia" w:ascii="仿宋" w:hAnsi="仿宋" w:eastAsia="仿宋" w:cs="仿宋"/>
                <w:b/>
                <w:bCs/>
                <w:color w:val="auto"/>
                <w:lang w:val="en-US" w:eastAsia="zh-CN"/>
              </w:rPr>
              <w:t>农、林、牧、渔业</w:t>
            </w:r>
          </w:p>
        </w:tc>
      </w:tr>
      <w:tr w14:paraId="4A023568">
        <w:tblPrEx>
          <w:tblCellMar>
            <w:top w:w="0" w:type="dxa"/>
            <w:left w:w="108" w:type="dxa"/>
            <w:bottom w:w="0" w:type="dxa"/>
            <w:right w:w="108" w:type="dxa"/>
          </w:tblCellMar>
        </w:tblPrEx>
        <w:trPr>
          <w:trHeight w:val="90" w:hRule="atLeast"/>
          <w:jc w:val="center"/>
        </w:trPr>
        <w:tc>
          <w:tcPr>
            <w:tcW w:w="789" w:type="dxa"/>
            <w:tcBorders>
              <w:top w:val="single" w:color="auto" w:sz="4" w:space="0"/>
              <w:left w:val="single" w:color="auto" w:sz="4" w:space="0"/>
              <w:bottom w:val="single" w:color="auto" w:sz="4" w:space="0"/>
              <w:right w:val="single" w:color="auto" w:sz="4" w:space="0"/>
            </w:tcBorders>
            <w:vAlign w:val="center"/>
          </w:tcPr>
          <w:p w14:paraId="33E25F12">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30</w:t>
            </w:r>
          </w:p>
        </w:tc>
        <w:tc>
          <w:tcPr>
            <w:tcW w:w="1694" w:type="dxa"/>
            <w:tcBorders>
              <w:top w:val="single" w:color="auto" w:sz="4" w:space="0"/>
              <w:left w:val="single" w:color="auto" w:sz="4" w:space="0"/>
              <w:bottom w:val="single" w:color="auto" w:sz="4" w:space="0"/>
              <w:right w:val="single" w:color="auto" w:sz="4" w:space="0"/>
            </w:tcBorders>
            <w:vAlign w:val="center"/>
          </w:tcPr>
          <w:p w14:paraId="4BA1B643">
            <w:pPr>
              <w:spacing w:line="360" w:lineRule="auto"/>
              <w:jc w:val="center"/>
              <w:rPr>
                <w:rFonts w:ascii="仿宋" w:hAnsi="仿宋" w:eastAsia="仿宋" w:cs="仿宋"/>
                <w:color w:val="auto"/>
                <w:lang w:val="zh-CN" w:eastAsia="zh-CN"/>
              </w:rPr>
            </w:pPr>
          </w:p>
          <w:p w14:paraId="4CE811FF">
            <w:pPr>
              <w:spacing w:line="360" w:lineRule="auto"/>
              <w:jc w:val="center"/>
              <w:rPr>
                <w:rFonts w:ascii="仿宋" w:hAnsi="仿宋" w:eastAsia="仿宋" w:cs="仿宋"/>
                <w:color w:val="auto"/>
                <w:lang w:val="zh-CN" w:eastAsia="zh-CN"/>
              </w:rPr>
            </w:pPr>
            <w:r>
              <w:rPr>
                <w:rFonts w:hint="eastAsia" w:ascii="仿宋" w:hAnsi="仿宋" w:eastAsia="仿宋" w:cs="仿宋"/>
                <w:color w:val="auto"/>
                <w:lang w:val="zh-CN" w:eastAsia="zh-CN"/>
              </w:rPr>
              <w:t>履约保证金</w:t>
            </w:r>
          </w:p>
          <w:p w14:paraId="62812AA4">
            <w:pPr>
              <w:spacing w:line="360" w:lineRule="auto"/>
              <w:jc w:val="center"/>
              <w:rPr>
                <w:rFonts w:ascii="仿宋" w:hAnsi="仿宋" w:eastAsia="仿宋" w:cs="仿宋"/>
                <w:color w:val="auto"/>
                <w:lang w:eastAsia="zh-CN"/>
              </w:rPr>
            </w:pPr>
          </w:p>
        </w:tc>
        <w:tc>
          <w:tcPr>
            <w:tcW w:w="7869" w:type="dxa"/>
            <w:tcBorders>
              <w:top w:val="single" w:color="auto" w:sz="4" w:space="0"/>
              <w:left w:val="single" w:color="auto" w:sz="4" w:space="0"/>
              <w:bottom w:val="single" w:color="auto" w:sz="4" w:space="0"/>
              <w:right w:val="single" w:color="auto" w:sz="4" w:space="0"/>
            </w:tcBorders>
            <w:vAlign w:val="center"/>
          </w:tcPr>
          <w:p w14:paraId="2A72662D">
            <w:pPr>
              <w:spacing w:line="360" w:lineRule="auto"/>
              <w:rPr>
                <w:rFonts w:ascii="仿宋" w:hAnsi="仿宋" w:eastAsia="仿宋" w:cs="仿宋"/>
                <w:color w:val="auto"/>
                <w:lang w:eastAsia="zh-CN"/>
              </w:rPr>
            </w:pPr>
            <w:r>
              <w:rPr>
                <w:rFonts w:hint="eastAsia" w:ascii="仿宋" w:hAnsi="仿宋" w:eastAsia="仿宋" w:cs="仿宋"/>
                <w:color w:val="auto"/>
                <w:lang w:val="zh-CN" w:eastAsia="zh-CN"/>
              </w:rPr>
              <w:t>中标人</w:t>
            </w:r>
            <w:r>
              <w:rPr>
                <w:rFonts w:hint="eastAsia" w:ascii="仿宋" w:hAnsi="仿宋" w:eastAsia="仿宋" w:cs="仿宋"/>
                <w:color w:val="auto"/>
                <w:lang w:eastAsia="zh-CN"/>
              </w:rPr>
              <w:t>应在领取《中标通知书》后的十个日历日内，办理履约保证金，</w:t>
            </w:r>
            <w:r>
              <w:rPr>
                <w:rFonts w:hint="eastAsia" w:ascii="仿宋" w:hAnsi="仿宋" w:eastAsia="仿宋" w:cs="仿宋"/>
                <w:color w:val="auto"/>
                <w:highlight w:val="none"/>
                <w:u w:val="single"/>
                <w:lang w:val="zh-CN" w:eastAsia="zh-CN"/>
              </w:rPr>
              <w:t>金额为合同总价的</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lang w:val="zh-CN" w:eastAsia="zh-CN"/>
              </w:rPr>
              <w:t>%</w:t>
            </w:r>
            <w:r>
              <w:rPr>
                <w:rFonts w:hint="eastAsia" w:ascii="仿宋" w:hAnsi="仿宋" w:eastAsia="仿宋" w:cs="仿宋"/>
                <w:color w:val="auto"/>
                <w:highlight w:val="none"/>
                <w:lang w:val="zh-CN" w:eastAsia="zh-CN"/>
              </w:rPr>
              <w:t>，</w:t>
            </w:r>
            <w:r>
              <w:rPr>
                <w:rFonts w:hint="eastAsia" w:ascii="仿宋" w:hAnsi="仿宋" w:eastAsia="仿宋" w:cs="仿宋"/>
                <w:color w:val="auto"/>
                <w:lang w:eastAsia="zh-CN"/>
              </w:rPr>
              <w:t>否则招标人可取消</w:t>
            </w:r>
            <w:r>
              <w:rPr>
                <w:rFonts w:hint="eastAsia" w:ascii="仿宋" w:hAnsi="仿宋" w:eastAsia="仿宋" w:cs="仿宋"/>
                <w:color w:val="auto"/>
                <w:lang w:val="zh-CN" w:eastAsia="zh-CN"/>
              </w:rPr>
              <w:t>成交人</w:t>
            </w:r>
            <w:r>
              <w:rPr>
                <w:rFonts w:hint="eastAsia" w:ascii="仿宋" w:hAnsi="仿宋" w:eastAsia="仿宋" w:cs="仿宋"/>
                <w:color w:val="auto"/>
                <w:lang w:eastAsia="zh-CN"/>
              </w:rPr>
              <w:t>的</w:t>
            </w:r>
            <w:r>
              <w:rPr>
                <w:rFonts w:hint="eastAsia" w:ascii="仿宋" w:hAnsi="仿宋" w:eastAsia="仿宋" w:cs="仿宋"/>
                <w:color w:val="auto"/>
                <w:lang w:val="zh-CN" w:eastAsia="zh-CN"/>
              </w:rPr>
              <w:t>成交</w:t>
            </w:r>
            <w:r>
              <w:rPr>
                <w:rFonts w:hint="eastAsia" w:ascii="仿宋" w:hAnsi="仿宋" w:eastAsia="仿宋" w:cs="仿宋"/>
                <w:color w:val="auto"/>
                <w:lang w:eastAsia="zh-CN"/>
              </w:rPr>
              <w:t>资格，并没收其投标保证金。</w:t>
            </w:r>
          </w:p>
        </w:tc>
      </w:tr>
      <w:tr w14:paraId="478B587D">
        <w:tblPrEx>
          <w:tblCellMar>
            <w:top w:w="0" w:type="dxa"/>
            <w:left w:w="108" w:type="dxa"/>
            <w:bottom w:w="0" w:type="dxa"/>
            <w:right w:w="108" w:type="dxa"/>
          </w:tblCellMar>
        </w:tblPrEx>
        <w:trPr>
          <w:trHeight w:val="8947" w:hRule="atLeast"/>
          <w:jc w:val="center"/>
        </w:trPr>
        <w:tc>
          <w:tcPr>
            <w:tcW w:w="2483" w:type="dxa"/>
            <w:gridSpan w:val="2"/>
            <w:tcBorders>
              <w:top w:val="single" w:color="auto" w:sz="4" w:space="0"/>
              <w:left w:val="single" w:color="auto" w:sz="4" w:space="0"/>
              <w:bottom w:val="single" w:color="auto" w:sz="4" w:space="0"/>
              <w:right w:val="single" w:color="auto" w:sz="4" w:space="0"/>
            </w:tcBorders>
            <w:vAlign w:val="center"/>
          </w:tcPr>
          <w:p w14:paraId="03B7EFA3">
            <w:pPr>
              <w:spacing w:line="360" w:lineRule="auto"/>
              <w:ind w:firstLine="729" w:firstLineChars="300"/>
              <w:rPr>
                <w:rFonts w:ascii="仿宋" w:hAnsi="仿宋" w:eastAsia="仿宋" w:cs="仿宋"/>
                <w:color w:val="auto"/>
                <w:lang w:eastAsia="zh-CN"/>
              </w:rPr>
            </w:pPr>
            <w:r>
              <w:rPr>
                <w:rFonts w:hint="eastAsia" w:ascii="仿宋" w:hAnsi="仿宋" w:eastAsia="仿宋" w:cs="仿宋"/>
                <w:color w:val="auto"/>
                <w:lang w:eastAsia="zh-CN"/>
              </w:rPr>
              <w:t>备注</w:t>
            </w:r>
          </w:p>
        </w:tc>
        <w:tc>
          <w:tcPr>
            <w:tcW w:w="7869" w:type="dxa"/>
            <w:tcBorders>
              <w:top w:val="single" w:color="auto" w:sz="4" w:space="0"/>
              <w:left w:val="single" w:color="auto" w:sz="4" w:space="0"/>
              <w:bottom w:val="single" w:color="auto" w:sz="4" w:space="0"/>
              <w:right w:val="single" w:color="auto" w:sz="4" w:space="0"/>
            </w:tcBorders>
            <w:vAlign w:val="center"/>
          </w:tcPr>
          <w:p w14:paraId="4289F1D3">
            <w:pPr>
              <w:spacing w:line="360" w:lineRule="auto"/>
              <w:rPr>
                <w:rFonts w:ascii="仿宋" w:hAnsi="仿宋" w:eastAsia="仿宋" w:cs="仿宋"/>
                <w:color w:val="auto"/>
                <w:lang w:eastAsia="zh-CN"/>
              </w:rPr>
            </w:pPr>
            <w:r>
              <w:rPr>
                <w:rFonts w:hint="eastAsia" w:ascii="仿宋" w:hAnsi="仿宋" w:eastAsia="仿宋" w:cs="仿宋"/>
                <w:color w:val="auto"/>
                <w:lang w:eastAsia="zh-CN"/>
              </w:rPr>
              <w:t>1、着重提醒各供应商注意，并认真查看磋商文件中的每一个条款及要求，因误读磋商文件而造成的后果，招标人概不负责。</w:t>
            </w:r>
          </w:p>
          <w:p w14:paraId="59E4AB67">
            <w:pPr>
              <w:spacing w:line="360" w:lineRule="auto"/>
              <w:rPr>
                <w:rFonts w:ascii="仿宋" w:hAnsi="仿宋" w:eastAsia="仿宋" w:cs="仿宋"/>
                <w:color w:val="auto"/>
                <w:lang w:eastAsia="zh-CN"/>
              </w:rPr>
            </w:pPr>
            <w:r>
              <w:rPr>
                <w:rFonts w:hint="eastAsia" w:ascii="仿宋" w:hAnsi="仿宋" w:eastAsia="仿宋" w:cs="仿宋"/>
                <w:color w:val="auto"/>
                <w:lang w:eastAsia="zh-CN"/>
              </w:rPr>
              <w:t>2、供应商使用相同IP地址的，一经发现，相关部门将进一步核实，查实后按串通投标处理。</w:t>
            </w:r>
          </w:p>
          <w:p w14:paraId="7726B216">
            <w:pPr>
              <w:spacing w:line="360" w:lineRule="auto"/>
              <w:rPr>
                <w:rFonts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14:paraId="3F777779">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14:paraId="7E6B3850">
            <w:pPr>
              <w:pStyle w:val="2"/>
              <w:ind w:left="0" w:leftChars="0" w:firstLine="0" w:firstLineChars="0"/>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5、如为信息系统采购项目，供应商不得为该整体项目或其中分项目前期工作提供过设计、编制、管理等服务的法人及附属单位。</w:t>
            </w:r>
          </w:p>
          <w:p w14:paraId="08241B27">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6、单位负责人为同一人或者存在直接控股、管理关系的不同供应商，不得参加同一合同项下的政府采购活动。除单一来源采购项目外，为采购项目提供整理设计、规范编制或者项目管理、监理、检测等服务的供应商，不得再参加该采购项目的其他采购活动。</w:t>
            </w:r>
          </w:p>
          <w:p w14:paraId="330FAA3D">
            <w:pPr>
              <w:spacing w:line="360" w:lineRule="auto"/>
              <w:rPr>
                <w:rFonts w:ascii="仿宋" w:hAnsi="仿宋" w:eastAsia="仿宋" w:cs="仿宋"/>
                <w:color w:val="auto"/>
                <w:lang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、其它：</w:t>
            </w:r>
          </w:p>
          <w:p w14:paraId="4BC22D67">
            <w:pPr>
              <w:spacing w:line="360" w:lineRule="auto"/>
              <w:rPr>
                <w:rFonts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14:paraId="5E2C46CF">
            <w:pPr>
              <w:spacing w:line="360" w:lineRule="auto"/>
              <w:rPr>
                <w:rFonts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14:paraId="4F349E51">
            <w:pPr>
              <w:spacing w:line="360" w:lineRule="auto"/>
              <w:rPr>
                <w:rFonts w:ascii="仿宋" w:hAnsi="仿宋" w:eastAsia="仿宋" w:cs="仿宋"/>
                <w:color w:val="auto"/>
                <w:lang w:eastAsia="zh-CN"/>
              </w:rPr>
            </w:pPr>
            <w:r>
              <w:rPr>
                <w:rFonts w:hint="eastAsia" w:ascii="仿宋" w:hAnsi="仿宋" w:eastAsia="仿宋" w:cs="仿宋"/>
                <w:color w:val="auto"/>
                <w:lang w:eastAsia="zh-CN"/>
              </w:rPr>
              <w:t>（3）供应商应以书面形式保证中标后由本公司组织实施，不得以任何理由将项目转包给其他机构。</w:t>
            </w:r>
          </w:p>
          <w:p w14:paraId="000545A0">
            <w:pPr>
              <w:spacing w:line="360" w:lineRule="auto"/>
              <w:rPr>
                <w:rFonts w:eastAsia="仿宋"/>
                <w:color w:val="auto"/>
                <w:highlight w:val="none"/>
                <w:lang w:eastAsia="zh-CN"/>
              </w:rPr>
            </w:pPr>
            <w:r>
              <w:rPr>
                <w:rFonts w:hint="eastAsia" w:ascii="仿宋" w:hAnsi="仿宋" w:eastAsia="仿宋" w:cs="仿宋"/>
                <w:b/>
                <w:bCs/>
                <w:color w:val="auto"/>
                <w:highlight w:val="none"/>
                <w:lang w:eastAsia="zh-CN"/>
              </w:rPr>
              <w:t>（4）磋商</w:t>
            </w:r>
            <w:r>
              <w:rPr>
                <w:rFonts w:hint="eastAsia" w:ascii="仿宋" w:hAnsi="仿宋" w:eastAsia="仿宋" w:cs="仿宋"/>
                <w:b/>
                <w:bCs/>
                <w:color w:val="auto"/>
                <w:sz w:val="24"/>
                <w:szCs w:val="24"/>
                <w:highlight w:val="none"/>
              </w:rPr>
              <w:t>响应文件中的报价为一次报价，各投标单位进行二次报价（磋商），采购人也可以根据磋商情况进行多轮报价，投标报价评审以最终报价为准</w:t>
            </w:r>
            <w:r>
              <w:rPr>
                <w:rFonts w:hint="eastAsia" w:ascii="仿宋" w:hAnsi="仿宋" w:eastAsia="仿宋" w:cs="仿宋"/>
                <w:color w:val="auto"/>
                <w:sz w:val="24"/>
                <w:szCs w:val="24"/>
                <w:highlight w:val="none"/>
                <w:lang w:eastAsia="zh-CN"/>
              </w:rPr>
              <w:t>。</w:t>
            </w:r>
          </w:p>
          <w:p w14:paraId="7EBD4DC9">
            <w:pPr>
              <w:spacing w:line="360" w:lineRule="auto"/>
              <w:rPr>
                <w:rFonts w:ascii="仿宋" w:hAnsi="仿宋" w:eastAsia="仿宋" w:cs="仿宋"/>
                <w:color w:val="auto"/>
                <w:lang w:eastAsia="zh-CN"/>
              </w:rPr>
            </w:pPr>
            <w:r>
              <w:rPr>
                <w:rFonts w:hint="eastAsia" w:ascii="仿宋" w:hAnsi="仿宋" w:eastAsia="仿宋" w:cs="仿宋"/>
                <w:b w:val="0"/>
                <w:bCs w:val="0"/>
                <w:color w:val="auto"/>
                <w:lang w:eastAsia="zh-CN"/>
              </w:rPr>
              <w:t>（5）磋商文件中如出现前后不一致情况，均以前附表内容为准。</w:t>
            </w:r>
          </w:p>
        </w:tc>
      </w:tr>
    </w:tbl>
    <w:p w14:paraId="4663C47C">
      <w:pPr>
        <w:pageBreakBefore/>
        <w:spacing w:beforeLines="100" w:afterLines="100" w:line="340" w:lineRule="exact"/>
        <w:jc w:val="center"/>
        <w:outlineLvl w:val="1"/>
        <w:rPr>
          <w:rFonts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14:paraId="2E25181E">
      <w:pPr>
        <w:spacing w:line="340" w:lineRule="exact"/>
        <w:jc w:val="center"/>
        <w:outlineLvl w:val="2"/>
        <w:rPr>
          <w:rFonts w:ascii="仿宋" w:hAnsi="仿宋" w:eastAsia="仿宋" w:cs="仿宋"/>
          <w:color w:val="auto"/>
          <w:sz w:val="28"/>
          <w:szCs w:val="28"/>
          <w:lang w:eastAsia="zh-CN"/>
        </w:rPr>
      </w:pPr>
      <w:bookmarkStart w:id="4"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4"/>
    </w:p>
    <w:p w14:paraId="4C872868">
      <w:pPr>
        <w:snapToGrid w:val="0"/>
        <w:spacing w:line="3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14:paraId="04A64CF1">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14:paraId="1249B1CC">
      <w:pPr>
        <w:snapToGrid w:val="0"/>
        <w:spacing w:line="440" w:lineRule="exact"/>
        <w:ind w:firstLine="2430" w:firstLineChars="1000"/>
        <w:rPr>
          <w:rFonts w:ascii="仿宋" w:hAnsi="仿宋" w:eastAsia="仿宋" w:cs="仿宋"/>
          <w:color w:val="auto"/>
          <w:szCs w:val="21"/>
          <w:u w:val="single"/>
          <w:lang w:eastAsia="zh-CN"/>
        </w:rPr>
      </w:pPr>
      <w:r>
        <w:rPr>
          <w:rFonts w:hint="eastAsia" w:ascii="仿宋" w:hAnsi="仿宋" w:eastAsia="仿宋" w:cs="仿宋"/>
          <w:color w:val="auto"/>
          <w:szCs w:val="21"/>
          <w:lang w:eastAsia="zh-CN"/>
        </w:rPr>
        <w:t>项目编号：见供应商须知前附表。</w:t>
      </w:r>
    </w:p>
    <w:p w14:paraId="2281F7D8">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招标人：见供应商须知前附表。</w:t>
      </w:r>
    </w:p>
    <w:p w14:paraId="5ECAB006">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供货期（服务期）：见供应商须知前附表。</w:t>
      </w:r>
    </w:p>
    <w:p w14:paraId="6764324A">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w:t>
      </w:r>
      <w:r>
        <w:rPr>
          <w:rFonts w:hint="eastAsia" w:ascii="仿宋" w:hAnsi="仿宋" w:eastAsia="仿宋" w:cs="仿宋"/>
          <w:color w:val="auto"/>
          <w:szCs w:val="21"/>
          <w:lang w:val="en-US" w:eastAsia="zh-CN"/>
        </w:rPr>
        <w:t xml:space="preserve">  供货、服务</w:t>
      </w:r>
      <w:r>
        <w:rPr>
          <w:rFonts w:hint="eastAsia" w:ascii="仿宋" w:hAnsi="仿宋" w:eastAsia="仿宋" w:cs="仿宋"/>
          <w:color w:val="auto"/>
          <w:szCs w:val="21"/>
          <w:lang w:eastAsia="zh-CN"/>
        </w:rPr>
        <w:t>地点：见供应商须知前附表。</w:t>
      </w:r>
    </w:p>
    <w:p w14:paraId="3E53C76D">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14:paraId="72F5A6AC">
      <w:pPr>
        <w:snapToGrid w:val="0"/>
        <w:spacing w:line="440" w:lineRule="exact"/>
        <w:ind w:firstLine="607" w:firstLineChars="25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14:paraId="4B196DE0">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14:paraId="4D99D798">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14:paraId="4075D05A">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14:paraId="4B28FC54">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14:paraId="268A51A2">
      <w:pPr>
        <w:snapToGrid w:val="0"/>
        <w:spacing w:line="440" w:lineRule="exact"/>
        <w:ind w:firstLine="486" w:firstLineChars="200"/>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2.1 </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内容：见供应商须知前附表。</w:t>
      </w:r>
    </w:p>
    <w:p w14:paraId="55611C27">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 技术要求：详见</w:t>
      </w:r>
      <w:r>
        <w:rPr>
          <w:rFonts w:hint="eastAsia" w:ascii="仿宋" w:hAnsi="仿宋" w:eastAsia="仿宋" w:cs="仿宋"/>
          <w:color w:val="auto"/>
          <w:szCs w:val="21"/>
          <w:lang w:val="en-US" w:eastAsia="zh-CN"/>
        </w:rPr>
        <w:t>磋商</w:t>
      </w:r>
      <w:r>
        <w:rPr>
          <w:rFonts w:hint="eastAsia" w:ascii="仿宋" w:hAnsi="仿宋" w:eastAsia="仿宋" w:cs="仿宋"/>
          <w:color w:val="auto"/>
          <w:szCs w:val="21"/>
          <w:lang w:eastAsia="zh-CN"/>
        </w:rPr>
        <w:t>文件第四章</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内容及技术要求。</w:t>
      </w:r>
    </w:p>
    <w:p w14:paraId="1D5F71BC">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14:paraId="2981A54B">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lang w:eastAsia="zh-CN"/>
        </w:rPr>
        <w:t>个包。</w:t>
      </w:r>
    </w:p>
    <w:p w14:paraId="79BBF6A6">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14:paraId="5CA37A51">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4.1本项目招标方式：</w:t>
      </w:r>
      <w:r>
        <w:rPr>
          <w:rFonts w:hint="eastAsia" w:ascii="仿宋" w:hAnsi="仿宋" w:eastAsia="仿宋" w:cs="仿宋"/>
          <w:color w:val="auto"/>
          <w:szCs w:val="21"/>
          <w:u w:val="single"/>
          <w:lang w:eastAsia="zh-CN"/>
        </w:rPr>
        <w:t>竞争性磋商</w:t>
      </w:r>
      <w:r>
        <w:rPr>
          <w:rFonts w:hint="eastAsia" w:ascii="仿宋" w:hAnsi="仿宋" w:eastAsia="仿宋" w:cs="仿宋"/>
          <w:color w:val="auto"/>
          <w:szCs w:val="21"/>
          <w:lang w:eastAsia="zh-CN"/>
        </w:rPr>
        <w:t>。</w:t>
      </w:r>
    </w:p>
    <w:p w14:paraId="33767EE7">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14:paraId="52EEC12B">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固定总价 。</w:t>
      </w:r>
    </w:p>
    <w:p w14:paraId="74CA3519">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14:paraId="5B987461">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符合竞争性磋商文件的综合评分法</w:t>
      </w:r>
      <w:r>
        <w:rPr>
          <w:rFonts w:hint="eastAsia" w:ascii="仿宋" w:hAnsi="仿宋" w:eastAsia="仿宋" w:cs="仿宋"/>
          <w:color w:val="auto"/>
          <w:szCs w:val="21"/>
          <w:lang w:eastAsia="zh-CN"/>
        </w:rPr>
        <w:t>（详见第三章评标办法）</w:t>
      </w:r>
    </w:p>
    <w:p w14:paraId="4C18EF06">
      <w:pPr>
        <w:snapToGrid w:val="0"/>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7.供应商资格</w:t>
      </w:r>
    </w:p>
    <w:p w14:paraId="3C57ABD2">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14:paraId="47B0647E">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14:paraId="11448F43">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w:t>
      </w:r>
      <w:r>
        <w:rPr>
          <w:rFonts w:hint="eastAsia" w:ascii="仿宋" w:hAnsi="仿宋" w:eastAsia="仿宋" w:cs="仿宋"/>
          <w:color w:val="auto"/>
          <w:kern w:val="2"/>
          <w:lang w:eastAsia="zh-CN" w:bidi="ar-SA"/>
        </w:rPr>
        <w:t>(已在政采云平台其他省份入驻的供应商无须重复注册），</w:t>
      </w:r>
      <w:r>
        <w:rPr>
          <w:rFonts w:hint="eastAsia" w:ascii="仿宋" w:hAnsi="仿宋" w:eastAsia="仿宋" w:cs="仿宋"/>
          <w:color w:val="auto"/>
          <w:szCs w:val="21"/>
          <w:lang w:eastAsia="zh-CN"/>
        </w:rPr>
        <w:t>并完成CA数字证书申领。因未注册入库、未办理CA数字证书等原因造成无法投标或投标失败等后果由供应商自行承担。</w:t>
      </w:r>
    </w:p>
    <w:p w14:paraId="358CF9B6">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7.4供应商必须确保自己在信息库中注册的信息真实、准确，并保证投标文件中的有关信息与库中的信息相一致。否则，供应商因此蒙受损失，招标人概不负责。</w:t>
      </w:r>
    </w:p>
    <w:p w14:paraId="748C9E09">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14:paraId="1564081C">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14:paraId="3A9CF71C">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5" w:name="_Toc144974507"/>
      <w:bookmarkStart w:id="6" w:name="_Toc296602429"/>
      <w:bookmarkStart w:id="7" w:name="_Toc247592876"/>
      <w:bookmarkStart w:id="8" w:name="_Toc152042315"/>
      <w:bookmarkStart w:id="9" w:name="_Toc247527563"/>
      <w:bookmarkStart w:id="10" w:name="_Toc152045539"/>
      <w:bookmarkStart w:id="11" w:name="_Toc247513962"/>
      <w:r>
        <w:rPr>
          <w:rFonts w:hint="eastAsia" w:ascii="仿宋" w:hAnsi="仿宋" w:eastAsia="仿宋" w:cs="仿宋"/>
          <w:b/>
          <w:color w:val="auto"/>
          <w:szCs w:val="21"/>
          <w:lang w:eastAsia="zh-CN"/>
        </w:rPr>
        <w:t xml:space="preserve"> 踏勘现场</w:t>
      </w:r>
      <w:bookmarkEnd w:id="5"/>
      <w:bookmarkEnd w:id="6"/>
      <w:bookmarkEnd w:id="7"/>
      <w:bookmarkEnd w:id="8"/>
      <w:bookmarkEnd w:id="9"/>
      <w:bookmarkEnd w:id="10"/>
      <w:bookmarkEnd w:id="11"/>
    </w:p>
    <w:p w14:paraId="38EC42DB">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w:t>
      </w:r>
      <w:r>
        <w:rPr>
          <w:rFonts w:hint="eastAsia" w:ascii="仿宋" w:hAnsi="仿宋" w:eastAsia="仿宋" w:cs="仿宋"/>
          <w:color w:val="auto"/>
          <w:lang w:eastAsia="zh-CN"/>
        </w:rPr>
        <w:t>供应商自行踏勘现场的，可咨询本项目采购人或采购代理机构联系人</w:t>
      </w:r>
      <w:r>
        <w:rPr>
          <w:rFonts w:hint="eastAsia" w:ascii="仿宋" w:hAnsi="仿宋" w:eastAsia="仿宋" w:cs="仿宋"/>
          <w:b w:val="0"/>
          <w:bCs w:val="0"/>
          <w:color w:val="auto"/>
          <w:lang w:eastAsia="zh-CN"/>
        </w:rPr>
        <w:t>；</w:t>
      </w:r>
      <w:r>
        <w:rPr>
          <w:rFonts w:hint="eastAsia" w:ascii="仿宋" w:hAnsi="仿宋" w:eastAsia="仿宋" w:cs="仿宋"/>
          <w:b/>
          <w:bCs/>
          <w:color w:val="auto"/>
          <w:lang w:eastAsia="zh-CN"/>
        </w:rPr>
        <w:t>供应商自行踏勘现场的，可咨询本项目采购人或采购代理机构联系人。</w:t>
      </w:r>
      <w:r>
        <w:rPr>
          <w:rFonts w:hint="eastAsia" w:ascii="仿宋" w:hAnsi="仿宋" w:eastAsia="仿宋" w:cs="仿宋"/>
          <w:b/>
          <w:bCs/>
          <w:color w:val="auto"/>
          <w:szCs w:val="21"/>
          <w:lang w:eastAsia="zh-CN"/>
        </w:rPr>
        <w:t xml:space="preserve"> </w:t>
      </w:r>
    </w:p>
    <w:p w14:paraId="443D746B">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14:paraId="5773ECCB">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14:paraId="75D004EE">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招标人在踏勘现场中介绍的场地和相关的周边环境情况，供供应商在编制投标文件时参考，招标人不对供应商据此作出的判断和决策负责。</w:t>
      </w:r>
      <w:bookmarkStart w:id="12" w:name="_Toc247592877"/>
      <w:bookmarkStart w:id="13" w:name="_Toc144974508"/>
      <w:bookmarkStart w:id="14" w:name="_Toc152042316"/>
      <w:bookmarkStart w:id="15" w:name="_Toc152045540"/>
      <w:bookmarkStart w:id="16" w:name="_Toc247527564"/>
      <w:bookmarkStart w:id="17" w:name="_Toc247513963"/>
      <w:bookmarkStart w:id="18" w:name="_Toc296602430"/>
    </w:p>
    <w:p w14:paraId="76C2D306">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12"/>
      <w:bookmarkEnd w:id="13"/>
      <w:bookmarkEnd w:id="14"/>
      <w:bookmarkEnd w:id="15"/>
      <w:bookmarkEnd w:id="16"/>
      <w:bookmarkEnd w:id="17"/>
      <w:bookmarkEnd w:id="18"/>
    </w:p>
    <w:p w14:paraId="1F794772">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10.1供应商须知前附表规定召开投标预备会的，招标人按供应商须知前附表规定的时间和地点召开投标预备会，澄清供应商提出的问题。</w:t>
      </w:r>
    </w:p>
    <w:p w14:paraId="21C70290">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14:paraId="74A688D7">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10.3招标人在供应商须知前附表规定的时间，将对供应商所提的问题进行澄清。该澄清内容为采购文件的组成部分。</w:t>
      </w:r>
    </w:p>
    <w:p w14:paraId="605DF37A">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11. 联合投标</w:t>
      </w:r>
    </w:p>
    <w:p w14:paraId="49E0DBE8">
      <w:pPr>
        <w:spacing w:line="44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14:paraId="16AC7579">
      <w:pPr>
        <w:spacing w:line="400" w:lineRule="exact"/>
        <w:ind w:firstLine="473" w:firstLineChars="195"/>
        <w:rPr>
          <w:rFonts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14:paraId="1F323D38">
      <w:pPr>
        <w:spacing w:line="400" w:lineRule="exact"/>
        <w:ind w:firstLine="475" w:firstLineChars="196"/>
        <w:rPr>
          <w:rFonts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14:paraId="42E35D08">
      <w:pPr>
        <w:pStyle w:val="11"/>
        <w:spacing w:after="0" w:line="400" w:lineRule="exact"/>
        <w:ind w:left="0" w:leftChars="0" w:firstLine="490" w:firstLineChars="202"/>
        <w:rPr>
          <w:rFonts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14:paraId="0D1E0050">
      <w:pPr>
        <w:spacing w:line="440" w:lineRule="exact"/>
        <w:ind w:firstLine="475" w:firstLineChars="196"/>
        <w:rPr>
          <w:rFonts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r>
        <w:rPr>
          <w:rFonts w:hint="eastAsia" w:ascii="仿宋" w:hAnsi="仿宋" w:eastAsia="仿宋" w:cs="仿宋"/>
          <w:color w:val="auto"/>
          <w:szCs w:val="21"/>
          <w:lang w:eastAsia="zh-CN"/>
        </w:rPr>
        <w:t xml:space="preserve"> 见供应商须知前附表。</w:t>
      </w:r>
    </w:p>
    <w:p w14:paraId="4203556F">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13.供应商应注意的事项</w:t>
      </w:r>
    </w:p>
    <w:p w14:paraId="3533FEEA">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color w:val="auto"/>
          <w:szCs w:val="21"/>
          <w:lang w:eastAsia="zh-CN"/>
        </w:rPr>
        <w:t>13.1供应商一旦按规定缴纳了投标保证金并参加投标，即被认为接受了本采购文件中的所有条件和规定。供应商必须严格按采购文件的要求编制投标文件，投标文件宜编制页码和目录，以便评委审核；否则，由此产生的一切后果由供应商承担。</w:t>
      </w:r>
    </w:p>
    <w:p w14:paraId="4E0015C6">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13.2 供应商对采购内容中规定的技术参数、规格等要求必须完全响应或优于采购文件中的要求。</w:t>
      </w:r>
    </w:p>
    <w:p w14:paraId="280051CA">
      <w:pPr>
        <w:spacing w:line="440" w:lineRule="exact"/>
        <w:ind w:firstLine="475"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13.3所有供应商的投标保证金都应在采购文件规定的投标保证金缴纳截止日期前缴纳。</w:t>
      </w:r>
    </w:p>
    <w:p w14:paraId="04C42942">
      <w:pPr>
        <w:spacing w:line="440" w:lineRule="exact"/>
        <w:ind w:firstLine="475" w:firstLineChars="196"/>
        <w:rPr>
          <w:rFonts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14:paraId="42D35C61">
      <w:pPr>
        <w:snapToGrid w:val="0"/>
        <w:spacing w:line="440" w:lineRule="exact"/>
        <w:ind w:firstLine="486" w:firstLineChars="200"/>
        <w:rPr>
          <w:rFonts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14:paraId="2AF91DB9">
      <w:pPr>
        <w:wordWrap w:val="0"/>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13.6  供应商被视为充分熟悉本招标项目所在地的与履行合同有关的各种情况，包括但不限于：</w:t>
      </w:r>
    </w:p>
    <w:p w14:paraId="35A594C1">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（1）国家对本次投标货物和服务的生产、安装调试、验收、维修等有关法律、法规及行业管理标准；</w:t>
      </w:r>
    </w:p>
    <w:p w14:paraId="401ECB5A">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14:paraId="7A2D6395">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14:paraId="449E100D">
      <w:pPr>
        <w:spacing w:line="400" w:lineRule="exact"/>
        <w:ind w:firstLine="364" w:firstLineChars="150"/>
        <w:rPr>
          <w:rFonts w:ascii="仿宋" w:hAnsi="仿宋" w:eastAsia="仿宋" w:cs="仿宋"/>
          <w:bCs/>
          <w:color w:val="auto"/>
          <w:szCs w:val="21"/>
          <w:lang w:eastAsia="zh-CN"/>
        </w:rPr>
      </w:pPr>
      <w:r>
        <w:rPr>
          <w:rFonts w:hint="eastAsia" w:ascii="仿宋" w:hAnsi="仿宋" w:eastAsia="仿宋" w:cs="仿宋"/>
          <w:bCs/>
          <w:color w:val="auto"/>
          <w:szCs w:val="21"/>
          <w:lang w:eastAsia="zh-CN"/>
        </w:rPr>
        <w:t>本采购文件不再对上述情况进行描述。</w:t>
      </w:r>
      <w:bookmarkStart w:id="19" w:name="_Toc469495725"/>
    </w:p>
    <w:p w14:paraId="21D7F4A7">
      <w:pPr>
        <w:spacing w:line="400" w:lineRule="exact"/>
        <w:ind w:firstLine="424" w:firstLineChars="150"/>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19"/>
      <w:r>
        <w:rPr>
          <w:rFonts w:hint="eastAsia" w:ascii="仿宋" w:hAnsi="仿宋" w:eastAsia="仿宋" w:cs="仿宋"/>
          <w:b/>
          <w:color w:val="auto"/>
          <w:sz w:val="28"/>
          <w:szCs w:val="28"/>
          <w:lang w:eastAsia="zh-CN"/>
        </w:rPr>
        <w:t>磋商文件</w:t>
      </w:r>
    </w:p>
    <w:p w14:paraId="316681E5">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15. 采购文件的编制依据</w:t>
      </w:r>
    </w:p>
    <w:p w14:paraId="29B652C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lang w:eastAsia="zh-CN"/>
        </w:rPr>
        <w:t>等相关法律法规和规章及部、省、市级规范性文件的规定，编制本采购文件。</w:t>
      </w:r>
    </w:p>
    <w:p w14:paraId="2B75AC13">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16. </w:t>
      </w:r>
      <w:r>
        <w:rPr>
          <w:rFonts w:hint="eastAsia" w:ascii="仿宋" w:hAnsi="仿宋" w:eastAsia="仿宋" w:cs="仿宋"/>
          <w:b/>
          <w:bCs/>
          <w:color w:val="auto"/>
          <w:szCs w:val="21"/>
          <w:lang w:eastAsia="zh-CN"/>
        </w:rPr>
        <w:t>磋商文件的组成</w:t>
      </w:r>
    </w:p>
    <w:p w14:paraId="190C8593">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16.1 磋商文件包括内容：</w:t>
      </w:r>
    </w:p>
    <w:p w14:paraId="3C5CA261">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第一章  竞争性磋商公告</w:t>
      </w:r>
    </w:p>
    <w:p w14:paraId="6B27C809">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第二章  投标须知</w:t>
      </w:r>
    </w:p>
    <w:p w14:paraId="66A607C8">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14:paraId="12FDB5B4">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第四章  </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内容及技术要求</w:t>
      </w:r>
    </w:p>
    <w:p w14:paraId="675B49ED">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14:paraId="22A79F04">
      <w:pPr>
        <w:spacing w:line="440" w:lineRule="exact"/>
        <w:ind w:firstLine="1701" w:firstLineChars="700"/>
        <w:rPr>
          <w:rFonts w:ascii="仿宋" w:hAnsi="仿宋" w:eastAsia="仿宋" w:cs="仿宋"/>
          <w:color w:val="auto"/>
          <w:szCs w:val="21"/>
          <w:lang w:eastAsia="zh-CN"/>
        </w:rPr>
      </w:pPr>
      <w:r>
        <w:rPr>
          <w:rFonts w:hint="eastAsia" w:ascii="仿宋" w:hAnsi="仿宋" w:eastAsia="仿宋" w:cs="仿宋"/>
          <w:color w:val="auto"/>
          <w:szCs w:val="21"/>
          <w:lang w:eastAsia="zh-CN"/>
        </w:rPr>
        <w:t>第六章  投标文件格式文本</w:t>
      </w:r>
    </w:p>
    <w:p w14:paraId="2409EFED">
      <w:pPr>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除16.1内容外，招标答疑亦为采购文件的组成部分，对招标人和供应商起约束作用。</w:t>
      </w:r>
    </w:p>
    <w:p w14:paraId="1C86CA25">
      <w:pPr>
        <w:pStyle w:val="13"/>
        <w:wordWrap w:val="0"/>
        <w:spacing w:line="4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16.3供应商应仔细阅读和检查采购文件的全部内容。如发现缺页或附件不全，应及时向招标人提出，以便补齐。如有疑问，供应商应在以书面形式一次性向采购人和采购代理机构提出同一环节的质疑。</w:t>
      </w:r>
    </w:p>
    <w:p w14:paraId="2C6069BF">
      <w:pPr>
        <w:wordWrap w:val="0"/>
        <w:spacing w:line="44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克州政府采购网下载专区下载。采购文件的澄清将在政采云平台“更正公告”栏目予以公告，但不指明澄清问题的来源。如果澄清内容影响投标文件编制的，将相应延长投标截止时间。</w:t>
      </w:r>
    </w:p>
    <w:p w14:paraId="67D9D24E">
      <w:pPr>
        <w:spacing w:line="440" w:lineRule="exact"/>
        <w:rPr>
          <w:rFonts w:ascii="仿宋" w:hAnsi="仿宋" w:eastAsia="仿宋" w:cs="仿宋"/>
          <w:b/>
          <w:bCs/>
          <w:color w:val="auto"/>
          <w:szCs w:val="21"/>
          <w:lang w:eastAsia="zh-CN"/>
        </w:rPr>
      </w:pPr>
      <w:r>
        <w:rPr>
          <w:rFonts w:hint="eastAsia" w:ascii="仿宋" w:hAnsi="仿宋" w:eastAsia="仿宋" w:cs="仿宋"/>
          <w:b/>
          <w:bCs/>
          <w:color w:val="auto"/>
          <w:szCs w:val="21"/>
          <w:lang w:eastAsia="zh-CN"/>
        </w:rPr>
        <w:t>17. 磋商文件的修改、补充、解释</w:t>
      </w:r>
    </w:p>
    <w:p w14:paraId="38900097">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17.1采购文件发出后，招标人在规定的投标截止时间前可对采购文件进行必要的修改和补充，并以更正公告形式在政采云平台 “更正公告”栏目予以公告，请各位供应商注意查看有关澄清内容，如不及时查看造成后果由供应商自负。采购文件的修改、补充等内容作为采购文件的组成部分，具有约束作用。</w:t>
      </w:r>
    </w:p>
    <w:p w14:paraId="1075DFD7">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17.2 采购代理机构可视采购具体情况对已发出的采购文件进行必要的澄清、修改或者补充。澄清、修改或者补充的内容可能影响投标文件编制的，应当在投标截止时间至少</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日前，在原公告发布媒体上发布澄清公告，澄清或者修改的内容为采购文件的组成部分；不足</w:t>
      </w: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 xml:space="preserve">日的，应当顺延提交投标文件的截止时间。 </w:t>
      </w:r>
    </w:p>
    <w:p w14:paraId="3D623347">
      <w:pPr>
        <w:wordWrap w:val="0"/>
        <w:spacing w:line="400" w:lineRule="exact"/>
        <w:ind w:firstLine="364" w:firstLineChars="150"/>
        <w:rPr>
          <w:rFonts w:ascii="仿宋" w:hAnsi="仿宋" w:eastAsia="仿宋" w:cs="仿宋"/>
          <w:color w:val="auto"/>
          <w:szCs w:val="21"/>
          <w:lang w:eastAsia="zh-CN"/>
        </w:rPr>
      </w:pPr>
      <w:r>
        <w:rPr>
          <w:rFonts w:hint="eastAsia" w:ascii="仿宋" w:hAnsi="仿宋" w:eastAsia="仿宋" w:cs="仿宋"/>
          <w:bCs/>
          <w:color w:val="auto"/>
          <w:szCs w:val="21"/>
          <w:lang w:eastAsia="zh-CN"/>
        </w:rPr>
        <w:t xml:space="preserve">17.3 </w:t>
      </w:r>
      <w:r>
        <w:rPr>
          <w:rFonts w:hint="eastAsia" w:ascii="仿宋" w:hAnsi="仿宋" w:eastAsia="仿宋" w:cs="仿宋"/>
          <w:color w:val="auto"/>
          <w:szCs w:val="21"/>
          <w:lang w:eastAsia="zh-CN"/>
        </w:rPr>
        <w:t>供应商在规定的时间内未对采购文件提出疑问、质疑或要求澄清的，将视其为无异议。</w:t>
      </w:r>
    </w:p>
    <w:p w14:paraId="7772C347">
      <w:pPr>
        <w:spacing w:line="400" w:lineRule="exact"/>
        <w:ind w:firstLine="243" w:firstLineChars="100"/>
        <w:rPr>
          <w:rFonts w:ascii="仿宋" w:hAnsi="仿宋" w:eastAsia="仿宋" w:cs="仿宋"/>
          <w:bCs/>
          <w:color w:val="auto"/>
          <w:szCs w:val="21"/>
          <w:lang w:eastAsia="zh-CN"/>
        </w:rPr>
      </w:pPr>
      <w:r>
        <w:rPr>
          <w:rFonts w:hint="eastAsia" w:ascii="仿宋" w:hAnsi="仿宋" w:eastAsia="仿宋" w:cs="仿宋"/>
          <w:bCs/>
          <w:color w:val="auto"/>
          <w:szCs w:val="21"/>
          <w:lang w:eastAsia="zh-CN"/>
        </w:rPr>
        <w:t>17.4 磋商文件的解释</w:t>
      </w:r>
    </w:p>
    <w:p w14:paraId="4FA55525">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本采购文件由招标人（或其委托的招标代理机构）负责解释。</w:t>
      </w:r>
    </w:p>
    <w:p w14:paraId="1222BEA7">
      <w:pPr>
        <w:spacing w:line="400" w:lineRule="exact"/>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 18. 磋商文件的发出</w:t>
      </w:r>
    </w:p>
    <w:p w14:paraId="197242E8">
      <w:pPr>
        <w:spacing w:line="400" w:lineRule="exact"/>
        <w:ind w:firstLine="364" w:firstLineChars="150"/>
        <w:rPr>
          <w:rFonts w:ascii="仿宋" w:hAnsi="仿宋" w:eastAsia="仿宋" w:cs="仿宋"/>
          <w:color w:val="auto"/>
          <w:szCs w:val="21"/>
          <w:lang w:eastAsia="zh-CN"/>
        </w:rPr>
      </w:pPr>
      <w:r>
        <w:rPr>
          <w:rFonts w:hint="eastAsia" w:ascii="仿宋" w:hAnsi="仿宋" w:eastAsia="仿宋" w:cs="仿宋"/>
          <w:color w:val="auto"/>
          <w:szCs w:val="21"/>
          <w:lang w:eastAsia="zh-CN"/>
        </w:rPr>
        <w:t>18.1 磋商文件、磋商文件的澄清、修改、补充及招标答疑等均应报相关部门备案后，方可发出。</w:t>
      </w:r>
    </w:p>
    <w:p w14:paraId="7FCBDA6C">
      <w:pPr>
        <w:spacing w:line="440" w:lineRule="exact"/>
        <w:ind w:firstLine="243" w:firstLineChars="100"/>
        <w:rPr>
          <w:rFonts w:ascii="仿宋" w:hAnsi="仿宋" w:eastAsia="仿宋" w:cs="仿宋"/>
          <w:color w:val="auto"/>
          <w:szCs w:val="21"/>
          <w:lang w:eastAsia="zh-CN"/>
        </w:rPr>
      </w:pPr>
      <w:bookmarkStart w:id="20"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供应商提供招标人认可的第三方权威检测机构检测报告后，评标委员会推荐的中标候选人方可生效，采购人或代理机构发布中标（成交）结果公告。</w:t>
      </w:r>
    </w:p>
    <w:p w14:paraId="5BB4667A">
      <w:pPr>
        <w:spacing w:line="440" w:lineRule="exact"/>
        <w:ind w:firstLine="420"/>
        <w:rPr>
          <w:rFonts w:ascii="仿宋" w:hAnsi="仿宋" w:eastAsia="仿宋" w:cs="仿宋"/>
          <w:color w:val="auto"/>
          <w:szCs w:val="21"/>
          <w:lang w:eastAsia="zh-CN"/>
        </w:rPr>
      </w:pPr>
      <w:r>
        <w:rPr>
          <w:rFonts w:hint="eastAsia" w:ascii="仿宋" w:hAnsi="仿宋" w:eastAsia="仿宋" w:cs="仿宋"/>
          <w:color w:val="auto"/>
          <w:szCs w:val="21"/>
          <w:lang w:eastAsia="zh-CN"/>
        </w:rPr>
        <w:t>磋商文件中应明确样品送检方式、检测费用支付方法、供应商在规定时间内无法提供第三方权威检测机构检测报告的处理方式。（采购人根据项目需求按上述要求自行描述）</w:t>
      </w:r>
    </w:p>
    <w:p w14:paraId="0A517AC4">
      <w:pPr>
        <w:spacing w:beforeLines="100" w:afterLines="100" w:line="440" w:lineRule="exact"/>
        <w:jc w:val="center"/>
        <w:outlineLvl w:val="2"/>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w:t>
      </w:r>
      <w:r>
        <w:rPr>
          <w:rFonts w:hint="eastAsia" w:ascii="仿宋" w:hAnsi="仿宋" w:eastAsia="仿宋" w:cs="仿宋"/>
          <w:b/>
          <w:color w:val="auto"/>
          <w:sz w:val="28"/>
          <w:szCs w:val="28"/>
          <w:lang w:val="en-US" w:eastAsia="zh-CN"/>
        </w:rPr>
        <w:t>响应</w:t>
      </w:r>
      <w:r>
        <w:rPr>
          <w:rFonts w:hint="eastAsia" w:ascii="仿宋" w:hAnsi="仿宋" w:eastAsia="仿宋" w:cs="仿宋"/>
          <w:b/>
          <w:color w:val="auto"/>
          <w:sz w:val="28"/>
          <w:szCs w:val="28"/>
          <w:lang w:eastAsia="zh-CN"/>
        </w:rPr>
        <w:t>文件的编制</w:t>
      </w:r>
      <w:bookmarkEnd w:id="20"/>
    </w:p>
    <w:p w14:paraId="310D4F61">
      <w:pPr>
        <w:spacing w:line="440" w:lineRule="exact"/>
        <w:ind w:firstLine="352" w:firstLineChars="145"/>
        <w:rPr>
          <w:rFonts w:ascii="仿宋" w:hAnsi="仿宋" w:eastAsia="仿宋" w:cs="仿宋"/>
          <w:b/>
          <w:color w:val="auto"/>
          <w:szCs w:val="21"/>
          <w:lang w:eastAsia="zh-CN"/>
        </w:rPr>
      </w:pPr>
      <w:r>
        <w:rPr>
          <w:rFonts w:hint="eastAsia" w:ascii="仿宋" w:hAnsi="仿宋" w:eastAsia="仿宋" w:cs="仿宋"/>
          <w:b/>
          <w:color w:val="auto"/>
          <w:szCs w:val="21"/>
          <w:lang w:eastAsia="zh-CN"/>
        </w:rPr>
        <w:t>20. 投标的语言及度量衡单位</w:t>
      </w:r>
    </w:p>
    <w:p w14:paraId="5EE9C2EE">
      <w:pPr>
        <w:spacing w:line="440" w:lineRule="exact"/>
        <w:ind w:firstLine="328" w:firstLineChars="135"/>
        <w:rPr>
          <w:rFonts w:ascii="仿宋" w:hAnsi="仿宋" w:eastAsia="仿宋" w:cs="仿宋"/>
          <w:color w:val="auto"/>
          <w:szCs w:val="21"/>
          <w:lang w:eastAsia="zh-CN"/>
        </w:rPr>
      </w:pPr>
      <w:r>
        <w:rPr>
          <w:rFonts w:hint="eastAsia" w:ascii="仿宋" w:hAnsi="仿宋" w:eastAsia="仿宋" w:cs="仿宋"/>
          <w:color w:val="auto"/>
          <w:szCs w:val="21"/>
          <w:lang w:eastAsia="zh-CN"/>
        </w:rPr>
        <w:t>20.1供应商提交的投标文件、技术文件和资料，以及供应商与招标人就有关投标的所有来往函电均应使用中文。投标文件中若有英文或其他语言文字的资料，应提供相应的中文翻译资料。对不同文本投标文件的解释发生异议的，以中文文本为准。</w:t>
      </w:r>
    </w:p>
    <w:p w14:paraId="3D6DB2B6">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20.2除采购文件中另有规定外，投标书所使用的度量衡均须采用法定计量单位。</w:t>
      </w:r>
    </w:p>
    <w:p w14:paraId="5CAE72AE">
      <w:pPr>
        <w:spacing w:line="400" w:lineRule="exact"/>
        <w:ind w:firstLine="237" w:firstLineChars="98"/>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21. </w:t>
      </w:r>
      <w:r>
        <w:rPr>
          <w:rFonts w:hint="eastAsia" w:ascii="仿宋" w:hAnsi="仿宋" w:eastAsia="仿宋" w:cs="仿宋"/>
          <w:b/>
          <w:color w:val="auto"/>
          <w:szCs w:val="21"/>
          <w:lang w:val="en-US" w:eastAsia="zh-CN"/>
        </w:rPr>
        <w:t>响应</w:t>
      </w:r>
      <w:r>
        <w:rPr>
          <w:rFonts w:hint="eastAsia" w:ascii="仿宋" w:hAnsi="仿宋" w:eastAsia="仿宋" w:cs="仿宋"/>
          <w:b/>
          <w:color w:val="auto"/>
          <w:szCs w:val="21"/>
          <w:lang w:eastAsia="zh-CN"/>
        </w:rPr>
        <w:t>文件的组成</w:t>
      </w:r>
    </w:p>
    <w:p w14:paraId="606B29A2">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资格证明文件和商务及技术文件两部分。</w:t>
      </w:r>
    </w:p>
    <w:p w14:paraId="48825A4A">
      <w:pPr>
        <w:spacing w:line="44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14:paraId="13AFA168">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资格证明文件是证明供应商有资格参加投标和中标后有能力履行合同的文件，这些文件应能满足招标的要求，否则作无效投标处理。</w:t>
      </w:r>
    </w:p>
    <w:p w14:paraId="19C9D682">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1、法人或者非法人组织的营业执照等证明文件复印件（须加盖本单位章）或自然人的身份证明复印件;</w:t>
      </w:r>
    </w:p>
    <w:p w14:paraId="36F5CAF6">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eastAsia="zh-CN"/>
        </w:rPr>
        <w:t>2、法定代表人资格证明书；</w:t>
      </w:r>
    </w:p>
    <w:p w14:paraId="0A3E2470">
      <w:pPr>
        <w:spacing w:line="440" w:lineRule="exact"/>
        <w:ind w:firstLine="356"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3、法定代表人授权书；</w:t>
      </w:r>
    </w:p>
    <w:p w14:paraId="67C93E74">
      <w:pPr>
        <w:spacing w:line="440" w:lineRule="exact"/>
        <w:ind w:firstLine="356" w:firstLineChars="147"/>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r>
        <w:rPr>
          <w:rFonts w:hint="eastAsia" w:ascii="仿宋" w:hAnsi="仿宋" w:eastAsia="仿宋" w:cs="仿宋"/>
          <w:color w:val="auto"/>
          <w:lang w:val="en-US" w:eastAsia="zh-CN"/>
        </w:rPr>
        <w:t>;</w:t>
      </w:r>
    </w:p>
    <w:p w14:paraId="33FF79E7">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r>
        <w:rPr>
          <w:rFonts w:hint="eastAsia" w:ascii="仿宋" w:hAnsi="仿宋" w:eastAsia="仿宋" w:cs="仿宋"/>
          <w:color w:val="auto"/>
          <w:szCs w:val="21"/>
          <w:lang w:eastAsia="zh-CN"/>
        </w:rPr>
        <w:t>、投标保证金收据或投标担保函；</w:t>
      </w:r>
    </w:p>
    <w:p w14:paraId="00FA8212">
      <w:pPr>
        <w:spacing w:line="440" w:lineRule="exact"/>
        <w:ind w:firstLine="356"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6、投标企业须提供投标人（被授权在职人员）近6个月内任意一个月有效的社保证明；</w:t>
      </w:r>
    </w:p>
    <w:p w14:paraId="07543F08">
      <w:pPr>
        <w:spacing w:line="440" w:lineRule="exact"/>
        <w:ind w:firstLine="356" w:firstLineChars="147"/>
        <w:rPr>
          <w:rFonts w:hint="eastAsia"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color w:val="auto"/>
          <w:szCs w:val="21"/>
          <w:lang w:val="en-US" w:eastAsia="zh-CN"/>
        </w:rPr>
        <w:t>7</w:t>
      </w:r>
      <w:r>
        <w:rPr>
          <w:rFonts w:hint="eastAsia" w:ascii="仿宋" w:hAnsi="仿宋" w:eastAsia="仿宋" w:cs="仿宋"/>
          <w:color w:val="auto"/>
          <w:szCs w:val="21"/>
          <w:lang w:eastAsia="zh-CN"/>
        </w:rPr>
        <w:t>、</w:t>
      </w:r>
      <w:r>
        <w:rPr>
          <w:rFonts w:hint="eastAsia" w:ascii="仿宋" w:hAnsi="仿宋" w:eastAsia="仿宋" w:cs="仿宋"/>
          <w:b w:val="0"/>
          <w:bCs w:val="0"/>
          <w:i w:val="0"/>
          <w:iCs w:val="0"/>
          <w:caps w:val="0"/>
          <w:color w:val="auto"/>
          <w:spacing w:val="0"/>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112E0A7B">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b w:val="0"/>
          <w:bCs w:val="0"/>
          <w:i w:val="0"/>
          <w:iCs w:val="0"/>
          <w:caps w:val="0"/>
          <w:color w:val="auto"/>
          <w:spacing w:val="0"/>
          <w:sz w:val="24"/>
          <w:szCs w:val="24"/>
          <w:lang w:val="en-US" w:eastAsia="zh-CN"/>
        </w:rPr>
        <w:t>8、</w:t>
      </w:r>
      <w:r>
        <w:rPr>
          <w:rFonts w:hint="eastAsia" w:ascii="仿宋" w:hAnsi="仿宋" w:eastAsia="仿宋" w:cs="仿宋"/>
          <w:color w:val="auto"/>
          <w:szCs w:val="21"/>
          <w:lang w:eastAsia="zh-CN"/>
        </w:rPr>
        <w:t>供应商须知资料表要求的其他资格证明文件。</w:t>
      </w:r>
    </w:p>
    <w:p w14:paraId="7B75916A">
      <w:pPr>
        <w:spacing w:line="440" w:lineRule="exact"/>
        <w:ind w:firstLine="356" w:firstLineChars="147"/>
        <w:rPr>
          <w:rFonts w:ascii="仿宋" w:hAnsi="仿宋" w:eastAsia="仿宋" w:cs="仿宋"/>
          <w:color w:val="auto"/>
          <w:szCs w:val="21"/>
          <w:lang w:eastAsia="zh-CN"/>
        </w:rPr>
      </w:pPr>
      <w:r>
        <w:rPr>
          <w:rFonts w:hint="eastAsia" w:ascii="仿宋" w:hAnsi="仿宋" w:eastAsia="仿宋" w:cs="仿宋"/>
          <w:b/>
          <w:color w:val="auto"/>
          <w:szCs w:val="21"/>
          <w:lang w:eastAsia="zh-CN"/>
        </w:rPr>
        <w:t>21.2 商务及技术文件（包括但不限于）</w:t>
      </w:r>
    </w:p>
    <w:p w14:paraId="53612BB1">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1、投标函</w:t>
      </w:r>
    </w:p>
    <w:p w14:paraId="57FED234">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2、开标一览表</w:t>
      </w:r>
    </w:p>
    <w:p w14:paraId="203DB1F9">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3、</w:t>
      </w:r>
      <w:r>
        <w:rPr>
          <w:rFonts w:hint="eastAsia" w:ascii="仿宋" w:hAnsi="仿宋" w:eastAsia="仿宋" w:cs="仿宋"/>
          <w:bCs/>
          <w:color w:val="auto"/>
          <w:szCs w:val="21"/>
          <w:highlight w:val="none"/>
          <w:lang w:val="en-US" w:eastAsia="zh-CN"/>
        </w:rPr>
        <w:t>服务</w:t>
      </w:r>
      <w:r>
        <w:rPr>
          <w:rFonts w:hint="eastAsia" w:ascii="仿宋" w:hAnsi="仿宋" w:eastAsia="仿宋" w:cs="仿宋"/>
          <w:bCs/>
          <w:color w:val="auto"/>
          <w:szCs w:val="21"/>
          <w:highlight w:val="none"/>
          <w:lang w:eastAsia="zh-CN"/>
        </w:rPr>
        <w:t>说明一览表</w:t>
      </w:r>
    </w:p>
    <w:p w14:paraId="588A0092">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4、投标分项报价表</w:t>
      </w:r>
    </w:p>
    <w:p w14:paraId="4EECB3AC">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5、技术规格偏离表</w:t>
      </w:r>
    </w:p>
    <w:p w14:paraId="319CD174">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6、商务条款偏离表</w:t>
      </w:r>
    </w:p>
    <w:p w14:paraId="2DD49991">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7、供应商基本情况表</w:t>
      </w:r>
    </w:p>
    <w:p w14:paraId="01AE0F65">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eastAsia="zh-CN"/>
        </w:rPr>
        <w:t>8、中小企业声明函(</w:t>
      </w:r>
      <w:r>
        <w:rPr>
          <w:rFonts w:hint="eastAsia" w:ascii="仿宋" w:hAnsi="仿宋" w:eastAsia="仿宋" w:cs="仿宋"/>
          <w:bCs/>
          <w:color w:val="auto"/>
          <w:szCs w:val="21"/>
          <w:highlight w:val="none"/>
          <w:lang w:val="en-US" w:eastAsia="zh-CN"/>
        </w:rPr>
        <w:t>服务</w:t>
      </w:r>
      <w:r>
        <w:rPr>
          <w:rFonts w:hint="eastAsia" w:ascii="仿宋" w:hAnsi="仿宋" w:eastAsia="仿宋" w:cs="仿宋"/>
          <w:bCs/>
          <w:color w:val="auto"/>
          <w:szCs w:val="21"/>
          <w:highlight w:val="none"/>
          <w:lang w:eastAsia="zh-CN"/>
        </w:rPr>
        <w:t>)</w:t>
      </w:r>
    </w:p>
    <w:p w14:paraId="597412A4">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9</w:t>
      </w:r>
      <w:r>
        <w:rPr>
          <w:rFonts w:hint="eastAsia" w:ascii="仿宋" w:hAnsi="仿宋" w:eastAsia="仿宋" w:cs="仿宋"/>
          <w:bCs/>
          <w:color w:val="auto"/>
          <w:szCs w:val="21"/>
          <w:highlight w:val="none"/>
          <w:lang w:eastAsia="zh-CN"/>
        </w:rPr>
        <w:t>、《残疾人福利性单位声明函》</w:t>
      </w:r>
    </w:p>
    <w:p w14:paraId="4A59605E">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lang w:eastAsia="zh-CN"/>
        </w:rPr>
        <w:t>、评分标准和细则中技术部分证明材料</w:t>
      </w:r>
    </w:p>
    <w:p w14:paraId="4E49E1D4">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11</w:t>
      </w:r>
      <w:r>
        <w:rPr>
          <w:rFonts w:hint="eastAsia" w:ascii="仿宋" w:hAnsi="仿宋" w:eastAsia="仿宋" w:cs="仿宋"/>
          <w:bCs/>
          <w:color w:val="auto"/>
          <w:szCs w:val="21"/>
          <w:highlight w:val="none"/>
          <w:lang w:eastAsia="zh-CN"/>
        </w:rPr>
        <w:t>、评分标准和细则中商务部分证明材料（格式自拟）</w:t>
      </w:r>
    </w:p>
    <w:p w14:paraId="5E28D281">
      <w:pPr>
        <w:spacing w:line="400" w:lineRule="exact"/>
        <w:ind w:firstLine="482" w:firstLineChars="199"/>
        <w:rPr>
          <w:rFonts w:ascii="仿宋" w:hAnsi="仿宋" w:eastAsia="仿宋" w:cs="仿宋"/>
          <w:bCs/>
          <w:color w:val="auto"/>
          <w:szCs w:val="21"/>
          <w:highlight w:val="none"/>
          <w:lang w:eastAsia="zh-CN"/>
        </w:rPr>
      </w:pPr>
      <w:r>
        <w:rPr>
          <w:rFonts w:hint="eastAsia" w:ascii="仿宋" w:hAnsi="仿宋" w:eastAsia="仿宋" w:cs="仿宋"/>
          <w:bCs/>
          <w:color w:val="auto"/>
          <w:szCs w:val="21"/>
          <w:highlight w:val="none"/>
          <w:lang w:val="en-US" w:eastAsia="zh-CN"/>
        </w:rPr>
        <w:t>12</w:t>
      </w:r>
      <w:r>
        <w:rPr>
          <w:rFonts w:hint="eastAsia" w:ascii="仿宋" w:hAnsi="仿宋" w:eastAsia="仿宋" w:cs="仿宋"/>
          <w:bCs/>
          <w:color w:val="auto"/>
          <w:szCs w:val="21"/>
          <w:highlight w:val="none"/>
          <w:lang w:eastAsia="zh-CN"/>
        </w:rPr>
        <w:t>、供应商认为有必要提供的其他证明材料（格式自拟）</w:t>
      </w:r>
    </w:p>
    <w:p w14:paraId="2E815F09">
      <w:pPr>
        <w:spacing w:line="400" w:lineRule="exact"/>
        <w:ind w:firstLine="482" w:firstLineChars="199"/>
        <w:rPr>
          <w:rFonts w:ascii="仿宋" w:hAnsi="仿宋" w:eastAsia="仿宋" w:cs="仿宋"/>
          <w:color w:val="auto"/>
          <w:szCs w:val="21"/>
          <w:highlight w:val="none"/>
          <w:lang w:eastAsia="zh-CN"/>
        </w:rPr>
      </w:pPr>
      <w:r>
        <w:rPr>
          <w:rFonts w:hint="eastAsia" w:ascii="仿宋" w:hAnsi="仿宋" w:eastAsia="仿宋" w:cs="仿宋"/>
          <w:b/>
          <w:color w:val="auto"/>
          <w:szCs w:val="21"/>
          <w:highlight w:val="none"/>
          <w:u w:val="single"/>
          <w:lang w:eastAsia="zh-CN"/>
        </w:rPr>
        <w:t>注：以上材料须逐页加盖单位公章。</w:t>
      </w:r>
    </w:p>
    <w:p w14:paraId="60A71AFB">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21.3</w:t>
      </w:r>
      <w:r>
        <w:rPr>
          <w:rFonts w:hint="eastAsia" w:ascii="仿宋" w:hAnsi="仿宋" w:eastAsia="仿宋" w:cs="仿宋"/>
          <w:color w:val="auto"/>
          <w:szCs w:val="21"/>
          <w:lang w:val="en-US" w:eastAsia="zh-CN"/>
        </w:rPr>
        <w:t>响应</w:t>
      </w:r>
      <w:r>
        <w:rPr>
          <w:rFonts w:hint="eastAsia" w:ascii="仿宋" w:hAnsi="仿宋" w:eastAsia="仿宋" w:cs="仿宋"/>
          <w:color w:val="auto"/>
          <w:szCs w:val="21"/>
          <w:lang w:eastAsia="zh-CN"/>
        </w:rPr>
        <w:t>文件的要求</w:t>
      </w:r>
    </w:p>
    <w:p w14:paraId="298269D9">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14:paraId="79AFCA7D">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（2）投标文件格式应按本采购文件第六章格式要求编制，不得对采购文件格式进行增删更改，否则按无效标处理。</w:t>
      </w:r>
    </w:p>
    <w:p w14:paraId="68CA3766">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（3）对采购文件格式可更改的例外情况：采购文件第六章附件格式要求中明确规定表格中行数不够用时可按相同格式增加行数，其他一切内容和格式不得更改。 </w:t>
      </w:r>
    </w:p>
    <w:p w14:paraId="708E6624">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（4）投标文件为电子投标文件，电子投标文件按“政采云供应商项目采购-电子招投标操作指南”及本采购文件要求制作、加密传输。</w:t>
      </w:r>
    </w:p>
    <w:p w14:paraId="6B4319F2">
      <w:pPr>
        <w:spacing w:line="400" w:lineRule="exact"/>
        <w:ind w:firstLine="482" w:firstLineChars="199"/>
        <w:rPr>
          <w:rFonts w:ascii="仿宋" w:hAnsi="仿宋" w:eastAsia="仿宋" w:cs="仿宋"/>
          <w:color w:val="auto"/>
          <w:szCs w:val="21"/>
          <w:lang w:eastAsia="zh-CN"/>
        </w:rPr>
      </w:pPr>
      <w:r>
        <w:rPr>
          <w:rFonts w:hint="eastAsia" w:ascii="仿宋" w:hAnsi="仿宋" w:eastAsia="仿宋" w:cs="仿宋"/>
          <w:color w:val="auto"/>
          <w:szCs w:val="21"/>
          <w:lang w:eastAsia="zh-CN"/>
        </w:rPr>
        <w:t>（5）投标文件未在投标截止时间前完成传输的，视为投标文件撤回；投标文件未按时解密也未提供备份投标文件的，亦视为投标文件撤回。</w:t>
      </w:r>
    </w:p>
    <w:p w14:paraId="69AD225A">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b/>
          <w:color w:val="auto"/>
          <w:szCs w:val="21"/>
          <w:lang w:eastAsia="zh-CN"/>
        </w:rPr>
        <w:t>22</w:t>
      </w:r>
      <w:r>
        <w:rPr>
          <w:rFonts w:hint="eastAsia" w:ascii="仿宋" w:hAnsi="仿宋" w:eastAsia="仿宋" w:cs="仿宋"/>
          <w:color w:val="auto"/>
          <w:szCs w:val="21"/>
          <w:lang w:eastAsia="zh-CN"/>
        </w:rPr>
        <w:t>.</w:t>
      </w:r>
      <w:r>
        <w:rPr>
          <w:rFonts w:hint="eastAsia" w:ascii="仿宋" w:hAnsi="仿宋" w:eastAsia="仿宋" w:cs="仿宋"/>
          <w:b/>
          <w:color w:val="auto"/>
          <w:szCs w:val="21"/>
          <w:lang w:eastAsia="zh-CN"/>
        </w:rPr>
        <w:t>投标报价</w:t>
      </w:r>
    </w:p>
    <w:p w14:paraId="0E8CE0C8">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22.1投标报价文件中的单价和总价全部采用人民币表示。</w:t>
      </w:r>
    </w:p>
    <w:p w14:paraId="6CE0DAB1">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22.2投标报价表上应清楚地标明供应商拟提供货物的名称、型号、生产厂家、数量、单价和总价。</w:t>
      </w:r>
    </w:p>
    <w:p w14:paraId="711FF054">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22.3</w:t>
      </w:r>
      <w:r>
        <w:rPr>
          <w:rFonts w:hint="eastAsia" w:ascii="仿宋" w:hAnsi="仿宋" w:eastAsia="仿宋" w:cs="仿宋"/>
          <w:color w:val="auto"/>
          <w:szCs w:val="21"/>
          <w:lang w:val="en-US" w:eastAsia="zh-CN"/>
        </w:rPr>
        <w:t>磋商文件中</w:t>
      </w:r>
      <w:r>
        <w:rPr>
          <w:rFonts w:hint="eastAsia" w:ascii="仿宋" w:hAnsi="仿宋" w:eastAsia="仿宋" w:cs="仿宋"/>
          <w:color w:val="auto"/>
          <w:szCs w:val="21"/>
          <w:lang w:eastAsia="zh-CN"/>
        </w:rPr>
        <w:t>供应商只允许有一个方案、一个报价。</w:t>
      </w:r>
    </w:p>
    <w:p w14:paraId="4D18B11C">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22.4供应商应按“</w:t>
      </w:r>
      <w:r>
        <w:rPr>
          <w:rFonts w:hint="eastAsia" w:ascii="仿宋" w:hAnsi="仿宋" w:eastAsia="仿宋" w:cs="仿宋"/>
          <w:color w:val="auto"/>
          <w:szCs w:val="21"/>
          <w:highlight w:val="none"/>
          <w:lang w:eastAsia="zh-CN"/>
        </w:rPr>
        <w:t>采购内容及技术参数要求</w:t>
      </w:r>
      <w:r>
        <w:rPr>
          <w:rFonts w:hint="eastAsia" w:ascii="仿宋" w:hAnsi="仿宋" w:eastAsia="仿宋" w:cs="仿宋"/>
          <w:color w:val="auto"/>
          <w:szCs w:val="21"/>
          <w:lang w:eastAsia="zh-CN"/>
        </w:rPr>
        <w:t>”所列货物逐项进行单价报价，并最终按货物总量乘以货物单价报总价。综合单价包括：设备费、安装费、材料费、辅材费、运输费、管理费、利润、风险费用、代理费、调试、验收、培训及后期服务及国家对中标单位征收的各种税费等所有一切费用，综合单价今后将不作任何调整。</w:t>
      </w:r>
    </w:p>
    <w:p w14:paraId="5BD4F000">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22.5投标报价的价格是货物交货地验收价格，其总价即为履行合同的固定总价。</w:t>
      </w:r>
    </w:p>
    <w:p w14:paraId="2C844C9F">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22.6技术要求中规定的安装、调试和培训费用应包括在投标价格中。投标文件报价为含税价，招标人不再为此次招标支付任何费用。</w:t>
      </w:r>
    </w:p>
    <w:p w14:paraId="6268CA4B">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22.7投标报价应由法定代表人或被授权人签署。</w:t>
      </w:r>
    </w:p>
    <w:p w14:paraId="48049D66">
      <w:pPr>
        <w:spacing w:line="440" w:lineRule="exact"/>
        <w:ind w:firstLine="486" w:firstLineChars="200"/>
        <w:rPr>
          <w:rFonts w:ascii="仿宋" w:hAnsi="仿宋" w:eastAsia="仿宋" w:cs="仿宋"/>
          <w:bCs/>
          <w:color w:val="auto"/>
          <w:szCs w:val="21"/>
          <w:lang w:eastAsia="zh-CN"/>
        </w:rPr>
      </w:pPr>
      <w:r>
        <w:rPr>
          <w:rFonts w:hint="eastAsia" w:ascii="仿宋" w:hAnsi="仿宋" w:eastAsia="仿宋" w:cs="仿宋"/>
          <w:bCs/>
          <w:color w:val="auto"/>
          <w:szCs w:val="21"/>
          <w:lang w:eastAsia="zh-CN"/>
        </w:rPr>
        <w:t>22.8</w:t>
      </w:r>
      <w:r>
        <w:rPr>
          <w:rFonts w:hint="eastAsia" w:ascii="仿宋" w:hAnsi="仿宋" w:eastAsia="仿宋" w:cs="仿宋"/>
          <w:b/>
          <w:color w:val="auto"/>
          <w:szCs w:val="21"/>
          <w:lang w:eastAsia="zh-CN"/>
        </w:rPr>
        <w:t>供应商投标总报价，不得高于本次招标设置的最高限价，</w:t>
      </w:r>
      <w:r>
        <w:rPr>
          <w:rFonts w:hint="eastAsia" w:ascii="仿宋" w:hAnsi="仿宋" w:eastAsia="仿宋" w:cs="仿宋"/>
          <w:b/>
          <w:bCs/>
          <w:color w:val="auto"/>
          <w:szCs w:val="21"/>
          <w:lang w:eastAsia="zh-CN"/>
        </w:rPr>
        <w:t>否则将作为无效投标处理。</w:t>
      </w:r>
    </w:p>
    <w:p w14:paraId="466F5D57">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22.9如投标文件中未列明全面实现投标货物功能而必须配置的配套或辅助设施及相应技术措施的费用，这些费用将被视为已包含在总投标价中。</w:t>
      </w:r>
    </w:p>
    <w:p w14:paraId="04F4105B">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22.10总投标价中不得包含采购文件要求以外的内容，否则，在评标时不予核减，但在授予合同时，招标人有权将这部分价格从其中标价格中扣除。</w:t>
      </w:r>
    </w:p>
    <w:p w14:paraId="75D2B2DB">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14:paraId="37B8BAB9">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22.12供应商不得对从第三方采购货物的随机备品、备件另行收费，否则在计算评标价时这部分费用将不予扣除，在授予合同时将从中标价格中扣除该部分费用。</w:t>
      </w:r>
    </w:p>
    <w:p w14:paraId="4EE7DFDA">
      <w:pPr>
        <w:spacing w:line="440" w:lineRule="exact"/>
        <w:ind w:firstLine="465" w:firstLineChars="192"/>
        <w:rPr>
          <w:rFonts w:ascii="仿宋" w:hAnsi="仿宋" w:eastAsia="仿宋" w:cs="仿宋"/>
          <w:color w:val="auto"/>
          <w:szCs w:val="21"/>
          <w:lang w:eastAsia="zh-CN"/>
        </w:rPr>
      </w:pPr>
      <w:r>
        <w:rPr>
          <w:rFonts w:hint="eastAsia" w:ascii="仿宋" w:hAnsi="仿宋" w:eastAsia="仿宋" w:cs="仿宋"/>
          <w:color w:val="auto"/>
          <w:szCs w:val="21"/>
          <w:lang w:eastAsia="zh-CN"/>
        </w:rPr>
        <w:t>22.13供应商应根据货物的技术状况列出随机备品备件的清单和数量，并将该备品备件价格计入总投标价，若所提供的产品无需备件，则应在投标文件中说明；无论供应商在报价中列明随机备品备件的数量及价格多少，在质保期内招标人均无需为维护维修保养所需的专用工具和备品备件另行支付费用。</w:t>
      </w:r>
    </w:p>
    <w:p w14:paraId="33B00273">
      <w:pPr>
        <w:spacing w:line="440" w:lineRule="exact"/>
        <w:ind w:firstLine="486" w:firstLineChars="200"/>
        <w:rPr>
          <w:rFonts w:ascii="仿宋" w:hAnsi="仿宋" w:eastAsia="仿宋" w:cs="仿宋"/>
          <w:b/>
          <w:color w:val="auto"/>
          <w:szCs w:val="21"/>
          <w:lang w:eastAsia="zh-CN"/>
        </w:rPr>
      </w:pPr>
      <w:r>
        <w:rPr>
          <w:rFonts w:hint="eastAsia" w:ascii="仿宋" w:hAnsi="仿宋" w:eastAsia="仿宋" w:cs="仿宋"/>
          <w:b/>
          <w:color w:val="auto"/>
          <w:szCs w:val="21"/>
          <w:lang w:eastAsia="zh-CN"/>
        </w:rPr>
        <w:t>23. 投标有效期</w:t>
      </w:r>
    </w:p>
    <w:p w14:paraId="6A5441AB">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23.1 除供应商须知前附表另有规定外，投标有效期为60天。</w:t>
      </w:r>
    </w:p>
    <w:p w14:paraId="4CF98535">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23.2在投标有效期内，供应商撤销或修改其投标文件的，应承担采购文件和法律规定的责任。</w:t>
      </w:r>
    </w:p>
    <w:p w14:paraId="02BE0D46">
      <w:pPr>
        <w:spacing w:line="44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23.3出现特殊情况需要延长投标有效期的，招标人以书面形式通知所有供应商延长投标有效期。供应商同意延长的，应相应延长其投标保证金的有效期，但不得要求或被允许修改或撤销其投标文件；供应商拒绝延长的，其投标失效，但供应商有权收回其投标保证金。</w:t>
      </w:r>
    </w:p>
    <w:p w14:paraId="0BD29F26">
      <w:pPr>
        <w:spacing w:line="440" w:lineRule="exact"/>
        <w:ind w:firstLine="465" w:firstLineChars="192"/>
        <w:rPr>
          <w:rFonts w:ascii="仿宋" w:hAnsi="仿宋" w:eastAsia="仿宋" w:cs="仿宋"/>
          <w:b/>
          <w:color w:val="auto"/>
          <w:szCs w:val="21"/>
          <w:lang w:eastAsia="zh-CN"/>
        </w:rPr>
      </w:pPr>
      <w:r>
        <w:rPr>
          <w:rFonts w:hint="eastAsia" w:ascii="仿宋" w:hAnsi="仿宋" w:eastAsia="仿宋" w:cs="仿宋"/>
          <w:b/>
          <w:color w:val="auto"/>
          <w:szCs w:val="21"/>
          <w:lang w:eastAsia="zh-CN"/>
        </w:rPr>
        <w:t>24. 投标保证金</w:t>
      </w:r>
    </w:p>
    <w:p w14:paraId="06097EC5">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24.1供应商须知前附表规定递交投标保证金的，供应商在递交投标文件的同时，应按供应商须知前附表规定的金额、担保形式和第六部分“投标文件格式”规定的投标保证金格式递交投标保证金，并作为其投标文件的组成部分。供应商不按要求提交投标保证金的，评标委员会将否决其投标。</w:t>
      </w:r>
    </w:p>
    <w:p w14:paraId="5DA70415">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24.2自中标通知书发出之日起5个工作日内退还未中标供应商的投标保证金，自政府采购合同签订之日起5个工作日内退还中标人的投标保证金。</w:t>
      </w:r>
    </w:p>
    <w:p w14:paraId="2D8474B0">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24.3有下列情形之一的，投标保证金将不予退还： </w:t>
      </w:r>
    </w:p>
    <w:p w14:paraId="594D6748">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（1）供应商在规定的投标有效期内撤回或修改其投标文件；</w:t>
      </w:r>
    </w:p>
    <w:p w14:paraId="513EF61A">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（2）中标通知书发出后三十天内，中标人无正当理由拒签合同协议书或未按采购文件规定提交履约担保。</w:t>
      </w:r>
    </w:p>
    <w:p w14:paraId="69536F0E">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（3）提供虚假材料谋取中标的；</w:t>
      </w:r>
    </w:p>
    <w:p w14:paraId="65486A48">
      <w:pPr>
        <w:spacing w:line="4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（4）经查实属于陪标、串通投标的等。</w:t>
      </w:r>
    </w:p>
    <w:p w14:paraId="0EA05FFB">
      <w:pPr>
        <w:spacing w:line="400" w:lineRule="exact"/>
        <w:ind w:firstLine="486" w:firstLineChars="200"/>
        <w:rPr>
          <w:rFonts w:ascii="仿宋" w:hAnsi="仿宋" w:eastAsia="仿宋" w:cs="仿宋"/>
          <w:color w:val="auto"/>
          <w:szCs w:val="21"/>
          <w:highlight w:val="none"/>
          <w:lang w:eastAsia="zh-CN"/>
        </w:rPr>
      </w:pPr>
      <w:bookmarkStart w:id="21" w:name="_Toc469495727"/>
      <w:r>
        <w:rPr>
          <w:rFonts w:hint="eastAsia" w:ascii="仿宋" w:hAnsi="仿宋" w:eastAsia="仿宋" w:cs="仿宋"/>
          <w:color w:val="auto"/>
          <w:szCs w:val="21"/>
          <w:highlight w:val="none"/>
          <w:lang w:eastAsia="zh-CN"/>
        </w:rPr>
        <w:t>24.4投标保证金按供应商须知前附表第</w:t>
      </w:r>
      <w:r>
        <w:rPr>
          <w:rFonts w:hint="eastAsia" w:ascii="仿宋" w:hAnsi="仿宋" w:eastAsia="仿宋" w:cs="仿宋"/>
          <w:color w:val="auto"/>
          <w:szCs w:val="21"/>
          <w:highlight w:val="none"/>
          <w:lang w:val="en-US" w:eastAsia="zh-CN"/>
        </w:rPr>
        <w:t>12</w:t>
      </w:r>
      <w:r>
        <w:rPr>
          <w:rFonts w:hint="eastAsia" w:ascii="仿宋" w:hAnsi="仿宋" w:eastAsia="仿宋" w:cs="仿宋"/>
          <w:color w:val="auto"/>
          <w:szCs w:val="21"/>
          <w:highlight w:val="none"/>
          <w:lang w:eastAsia="zh-CN"/>
        </w:rPr>
        <w:t>条规定执行。</w:t>
      </w:r>
    </w:p>
    <w:p w14:paraId="192B1E4E">
      <w:pPr>
        <w:pStyle w:val="3"/>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（四）</w:t>
      </w:r>
      <w:bookmarkEnd w:id="21"/>
      <w:r>
        <w:rPr>
          <w:rFonts w:hint="eastAsia" w:ascii="仿宋" w:hAnsi="仿宋" w:eastAsia="仿宋" w:cs="仿宋"/>
          <w:color w:val="auto"/>
          <w:sz w:val="28"/>
          <w:szCs w:val="28"/>
          <w:lang w:val="en-US" w:eastAsia="zh-CN"/>
        </w:rPr>
        <w:t>响应</w:t>
      </w:r>
      <w:r>
        <w:rPr>
          <w:rFonts w:hint="eastAsia" w:ascii="仿宋" w:hAnsi="仿宋" w:eastAsia="仿宋" w:cs="仿宋"/>
          <w:color w:val="auto"/>
          <w:sz w:val="28"/>
          <w:szCs w:val="28"/>
          <w:lang w:eastAsia="zh-CN"/>
        </w:rPr>
        <w:t>文件的制作、上传及递交要求</w:t>
      </w:r>
    </w:p>
    <w:p w14:paraId="292FC5B3">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25.</w:t>
      </w:r>
      <w:r>
        <w:rPr>
          <w:rFonts w:hint="eastAsia" w:ascii="仿宋" w:hAnsi="仿宋" w:eastAsia="仿宋" w:cs="仿宋"/>
          <w:b/>
          <w:bCs/>
          <w:color w:val="auto"/>
          <w:lang w:val="en-US" w:eastAsia="zh-CN"/>
        </w:rPr>
        <w:t>响应</w:t>
      </w:r>
      <w:r>
        <w:rPr>
          <w:rFonts w:hint="eastAsia" w:ascii="仿宋" w:hAnsi="仿宋" w:eastAsia="仿宋" w:cs="仿宋"/>
          <w:b/>
          <w:bCs/>
          <w:color w:val="auto"/>
          <w:lang w:eastAsia="zh-CN"/>
        </w:rPr>
        <w:t>文件的制作要求</w:t>
      </w:r>
    </w:p>
    <w:p w14:paraId="31C1450C">
      <w:pPr>
        <w:pStyle w:val="6"/>
        <w:snapToGrid w:val="0"/>
        <w:spacing w:line="360" w:lineRule="auto"/>
        <w:rPr>
          <w:rFonts w:ascii="仿宋" w:hAnsi="仿宋" w:eastAsia="仿宋" w:cs="仿宋"/>
          <w:color w:val="auto"/>
          <w:szCs w:val="24"/>
          <w:lang w:eastAsia="zh-CN"/>
        </w:rPr>
      </w:pPr>
      <w:r>
        <w:rPr>
          <w:rFonts w:hint="eastAsia" w:ascii="仿宋" w:hAnsi="仿宋" w:eastAsia="仿宋" w:cs="仿宋"/>
          <w:bCs/>
          <w:color w:val="auto"/>
          <w:szCs w:val="24"/>
          <w:lang w:eastAsia="zh-CN"/>
        </w:rPr>
        <w:t>（1）供应商应按照</w:t>
      </w:r>
      <w:r>
        <w:rPr>
          <w:rFonts w:hint="eastAsia" w:ascii="仿宋" w:hAnsi="仿宋" w:eastAsia="仿宋" w:cs="仿宋"/>
          <w:bCs/>
          <w:color w:val="auto"/>
          <w:szCs w:val="24"/>
          <w:lang w:val="en-US" w:eastAsia="zh-CN"/>
        </w:rPr>
        <w:t>响应</w:t>
      </w:r>
      <w:r>
        <w:rPr>
          <w:rFonts w:hint="eastAsia" w:ascii="仿宋" w:hAnsi="仿宋" w:eastAsia="仿宋" w:cs="仿宋"/>
          <w:bCs/>
          <w:color w:val="auto"/>
          <w:szCs w:val="24"/>
          <w:lang w:eastAsia="zh-CN"/>
        </w:rPr>
        <w:t>文件组成内容及项目招标需求和新疆政府采购云平台要求制作</w:t>
      </w:r>
      <w:r>
        <w:rPr>
          <w:rFonts w:hint="eastAsia" w:ascii="仿宋" w:hAnsi="仿宋" w:eastAsia="仿宋" w:cs="仿宋"/>
          <w:bCs/>
          <w:color w:val="auto"/>
          <w:szCs w:val="24"/>
          <w:lang w:val="en-US" w:eastAsia="zh-CN"/>
        </w:rPr>
        <w:t>响应</w:t>
      </w:r>
      <w:r>
        <w:rPr>
          <w:rFonts w:hint="eastAsia" w:ascii="仿宋" w:hAnsi="仿宋" w:eastAsia="仿宋" w:cs="仿宋"/>
          <w:bCs/>
          <w:color w:val="auto"/>
          <w:szCs w:val="24"/>
          <w:lang w:eastAsia="zh-CN"/>
        </w:rPr>
        <w:t>文件，不按</w:t>
      </w:r>
      <w:r>
        <w:rPr>
          <w:rFonts w:hint="eastAsia" w:ascii="仿宋" w:hAnsi="仿宋" w:eastAsia="仿宋" w:cs="仿宋"/>
          <w:bCs/>
          <w:color w:val="auto"/>
          <w:szCs w:val="24"/>
          <w:lang w:val="en-US" w:eastAsia="zh-CN"/>
        </w:rPr>
        <w:t>磋商</w:t>
      </w:r>
      <w:r>
        <w:rPr>
          <w:rFonts w:hint="eastAsia" w:ascii="仿宋" w:hAnsi="仿宋" w:eastAsia="仿宋" w:cs="仿宋"/>
          <w:bCs/>
          <w:color w:val="auto"/>
          <w:szCs w:val="24"/>
          <w:lang w:eastAsia="zh-CN"/>
        </w:rPr>
        <w:t>文件和新疆政府采购云平台要求制作投标文件的将视情况处理（拒收等），由此产生的责任由供应商自行承担。</w:t>
      </w:r>
    </w:p>
    <w:p w14:paraId="03780AA5">
      <w:pPr>
        <w:pStyle w:val="6"/>
        <w:snapToGrid w:val="0"/>
        <w:spacing w:line="360" w:lineRule="auto"/>
        <w:ind w:firstLine="486" w:firstLineChars="200"/>
        <w:rPr>
          <w:rFonts w:ascii="仿宋" w:hAnsi="仿宋" w:eastAsia="仿宋" w:cs="仿宋"/>
          <w:color w:val="auto"/>
          <w:szCs w:val="24"/>
          <w:lang w:eastAsia="zh-CN"/>
        </w:rPr>
      </w:pPr>
      <w:r>
        <w:rPr>
          <w:rFonts w:hint="eastAsia" w:ascii="仿宋" w:hAnsi="仿宋" w:eastAsia="仿宋" w:cs="仿宋"/>
          <w:bCs/>
          <w:color w:val="auto"/>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14:paraId="53FA9B3A">
      <w:pPr>
        <w:pStyle w:val="6"/>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备份电子投标文件：通过“政采云”平台电子投标工具制作投标文件所产生的备份文件。</w:t>
      </w:r>
    </w:p>
    <w:p w14:paraId="6B2A2330">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（2）供应商应对所提供的全部资料的真实性、有效性承担法律责任，电子投标文件中所须加盖公章部分均采用CA签章。</w:t>
      </w:r>
    </w:p>
    <w:p w14:paraId="140147D3">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14:paraId="0F7E6F85">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（4）投标计量单位，采购文件已有明确规定的，使用采购文件规定的计量单位；采购文件没有规定的，应采用中华人民共和国法定计量单位（货币单位：人民币元）。</w:t>
      </w:r>
    </w:p>
    <w:p w14:paraId="74EF3199">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（5）若供应商不按采购文件的要求提供资格审查材料，其风险由供应商自行承担。</w:t>
      </w:r>
    </w:p>
    <w:p w14:paraId="2153DD94">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（6）与本次投标无关的内容请不要制作在内，确保投标文件有针对性、简洁明了。</w:t>
      </w:r>
    </w:p>
    <w:p w14:paraId="62E24797">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26.投标文件的上传</w:t>
      </w:r>
    </w:p>
    <w:p w14:paraId="41DFD6A8">
      <w:pPr>
        <w:pStyle w:val="6"/>
        <w:snapToGrid w:val="0"/>
        <w:spacing w:line="360" w:lineRule="auto"/>
        <w:rPr>
          <w:rFonts w:ascii="仿宋" w:hAnsi="仿宋" w:eastAsia="仿宋" w:cs="仿宋"/>
          <w:b/>
          <w:bCs/>
          <w:color w:val="auto"/>
          <w:szCs w:val="24"/>
          <w:lang w:eastAsia="zh-CN"/>
        </w:rPr>
      </w:pPr>
      <w:r>
        <w:rPr>
          <w:rFonts w:hint="eastAsia" w:ascii="仿宋" w:hAnsi="仿宋" w:eastAsia="仿宋" w:cs="仿宋"/>
          <w:b/>
          <w:bCs/>
          <w:color w:val="auto"/>
          <w:szCs w:val="24"/>
          <w:lang w:eastAsia="zh-CN"/>
        </w:rPr>
        <w:t>（1）</w:t>
      </w:r>
      <w:r>
        <w:rPr>
          <w:rFonts w:hint="eastAsia" w:ascii="仿宋" w:hAnsi="仿宋" w:eastAsia="仿宋" w:cs="仿宋"/>
          <w:b/>
          <w:bCs/>
          <w:color w:val="auto"/>
          <w:szCs w:val="24"/>
          <w:lang w:eastAsia="zh-CN" w:bidi="zh-CN"/>
        </w:rPr>
        <w:t>电子加密投标文件（“.jmbs”格式）</w:t>
      </w:r>
      <w:r>
        <w:rPr>
          <w:rFonts w:hint="eastAsia" w:ascii="仿宋" w:hAnsi="仿宋" w:eastAsia="仿宋" w:cs="仿宋"/>
          <w:b/>
          <w:bCs/>
          <w:color w:val="auto"/>
          <w:szCs w:val="24"/>
          <w:lang w:eastAsia="zh-CN"/>
        </w:rPr>
        <w:t>：</w:t>
      </w:r>
    </w:p>
    <w:p w14:paraId="7EC5D8E5">
      <w:pPr>
        <w:pStyle w:val="6"/>
        <w:snapToGrid w:val="0"/>
        <w:spacing w:line="360" w:lineRule="auto"/>
        <w:ind w:firstLine="607"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a.</w:t>
      </w:r>
      <w:r>
        <w:rPr>
          <w:rFonts w:hint="eastAsia" w:ascii="仿宋" w:hAnsi="仿宋" w:eastAsia="仿宋" w:cs="仿宋"/>
          <w:bCs/>
          <w:color w:val="auto"/>
          <w:szCs w:val="24"/>
          <w:lang w:eastAsia="zh-CN"/>
        </w:rPr>
        <w:t xml:space="preserve"> </w:t>
      </w:r>
      <w:r>
        <w:rPr>
          <w:rFonts w:hint="eastAsia" w:ascii="仿宋" w:hAnsi="仿宋" w:eastAsia="仿宋" w:cs="仿宋"/>
          <w:bCs/>
          <w:color w:val="auto"/>
          <w:szCs w:val="24"/>
          <w:lang w:eastAsia="zh-CN" w:bidi="zh-CN"/>
        </w:rPr>
        <w:t>供应商应在投标截止时间前将电子加密投标文件成功上传递交至新疆政府采购云平台，否则投标无效；</w:t>
      </w:r>
    </w:p>
    <w:p w14:paraId="4AFAEE0D">
      <w:pPr>
        <w:pStyle w:val="6"/>
        <w:snapToGrid w:val="0"/>
        <w:spacing w:line="360" w:lineRule="auto"/>
        <w:ind w:firstLine="607" w:firstLineChars="250"/>
        <w:rPr>
          <w:rFonts w:ascii="仿宋" w:hAnsi="仿宋" w:eastAsia="仿宋" w:cs="仿宋"/>
          <w:bCs/>
          <w:color w:val="auto"/>
          <w:szCs w:val="24"/>
          <w:lang w:eastAsia="zh-CN"/>
        </w:rPr>
      </w:pPr>
      <w:r>
        <w:rPr>
          <w:rFonts w:hint="eastAsia" w:ascii="仿宋" w:hAnsi="仿宋" w:eastAsia="仿宋" w:cs="仿宋"/>
          <w:bCs/>
          <w:color w:val="auto"/>
          <w:szCs w:val="24"/>
          <w:lang w:eastAsia="zh-CN" w:bidi="zh-CN"/>
        </w:rPr>
        <w:t>b.供应商成功上传电子加密投标文件后，可自行打印投标文件接收回执。</w:t>
      </w:r>
    </w:p>
    <w:p w14:paraId="7904B894">
      <w:pPr>
        <w:pStyle w:val="6"/>
        <w:snapToGrid w:val="0"/>
        <w:spacing w:line="360" w:lineRule="auto"/>
        <w:rPr>
          <w:rFonts w:ascii="仿宋" w:hAnsi="仿宋" w:eastAsia="仿宋" w:cs="仿宋"/>
          <w:b/>
          <w:bCs/>
          <w:color w:val="auto"/>
          <w:szCs w:val="24"/>
          <w:lang w:eastAsia="zh-CN" w:bidi="zh-CN"/>
        </w:rPr>
      </w:pPr>
      <w:r>
        <w:rPr>
          <w:rFonts w:hint="eastAsia" w:ascii="仿宋" w:hAnsi="仿宋" w:eastAsia="仿宋" w:cs="仿宋"/>
          <w:b/>
          <w:bCs/>
          <w:color w:val="auto"/>
          <w:szCs w:val="24"/>
          <w:lang w:eastAsia="zh-CN"/>
        </w:rPr>
        <w:t>（2）</w:t>
      </w:r>
      <w:r>
        <w:rPr>
          <w:rFonts w:hint="eastAsia" w:ascii="仿宋" w:hAnsi="仿宋" w:eastAsia="仿宋" w:cs="仿宋"/>
          <w:b/>
          <w:bCs/>
          <w:color w:val="auto"/>
          <w:szCs w:val="24"/>
          <w:lang w:eastAsia="zh-CN" w:bidi="zh-CN"/>
        </w:rPr>
        <w:t>备份投标文件（“.bfbs”格式）：</w:t>
      </w:r>
    </w:p>
    <w:p w14:paraId="01B48982">
      <w:pPr>
        <w:pStyle w:val="6"/>
        <w:snapToGrid w:val="0"/>
        <w:spacing w:line="360" w:lineRule="auto"/>
        <w:ind w:firstLine="607" w:firstLineChars="250"/>
        <w:rPr>
          <w:rFonts w:ascii="仿宋" w:hAnsi="仿宋" w:eastAsia="仿宋" w:cs="仿宋"/>
          <w:color w:val="auto"/>
          <w:szCs w:val="24"/>
          <w:lang w:eastAsia="zh-CN" w:bidi="zh-CN"/>
        </w:rPr>
      </w:pPr>
      <w:r>
        <w:rPr>
          <w:rFonts w:hint="eastAsia" w:ascii="仿宋" w:hAnsi="仿宋" w:eastAsia="仿宋" w:cs="仿宋"/>
          <w:bCs/>
          <w:color w:val="auto"/>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lang w:eastAsia="zh-CN" w:bidi="zh-CN"/>
        </w:rPr>
        <w:t>“备份投标文件”以投标截止时间前指定接收邮箱最终收到的文件为准，逾期或未按要求提供的视为未提供，建议供应商提前1日办理邮件提供事宜（接收人邮箱：</w:t>
      </w:r>
      <w:r>
        <w:rPr>
          <w:rFonts w:hint="eastAsia" w:eastAsia="仿宋"/>
          <w:color w:val="auto"/>
          <w:lang w:val="en-US" w:eastAsia="zh-CN"/>
        </w:rPr>
        <w:t>15349977680</w:t>
      </w:r>
      <w:r>
        <w:rPr>
          <w:rFonts w:hint="eastAsia" w:ascii="仿宋" w:hAnsi="仿宋" w:eastAsia="仿宋" w:cs="仿宋"/>
          <w:color w:val="auto"/>
          <w:szCs w:val="24"/>
          <w:lang w:eastAsia="zh-CN" w:bidi="zh-CN"/>
        </w:rPr>
        <w:t>）；</w:t>
      </w:r>
    </w:p>
    <w:p w14:paraId="6ABA9D45">
      <w:pPr>
        <w:pStyle w:val="6"/>
        <w:snapToGrid w:val="0"/>
        <w:spacing w:line="360" w:lineRule="auto"/>
        <w:ind w:firstLine="607" w:firstLineChars="250"/>
        <w:rPr>
          <w:rFonts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14:paraId="55A627D3">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bCs/>
          <w:color w:val="auto"/>
          <w:lang w:eastAsia="zh-CN"/>
        </w:rPr>
        <w:t>27.</w:t>
      </w:r>
      <w:r>
        <w:rPr>
          <w:rFonts w:hint="eastAsia" w:ascii="仿宋" w:hAnsi="仿宋" w:eastAsia="仿宋" w:cs="仿宋"/>
          <w:b/>
          <w:color w:val="auto"/>
          <w:lang w:eastAsia="zh-CN"/>
        </w:rPr>
        <w:t>投标文件的递交要求</w:t>
      </w:r>
    </w:p>
    <w:p w14:paraId="38495E91">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（1）供应商须按照采购文件和政采云平台的要求编制并加密投标文件。在投标文件递交截止时间以前完成投标文件的传输递交，截止时间后递交的投标文件，将被拒收。</w:t>
      </w:r>
    </w:p>
    <w:p w14:paraId="7A8805A4">
      <w:pPr>
        <w:tabs>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（2）备份电子投标文件必须在投标截止时间前送达指定的投标地点。备份电子投标文件在截止时间后提交，采购组织机构将拒绝接收。</w:t>
      </w:r>
    </w:p>
    <w:p w14:paraId="36745038">
      <w:pPr>
        <w:tabs>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（3）如有特殊情况，采购组织机构延长截止时间和开标时间，采购组织机构和供应商的权利和义务将受到新的截止时间和开标时间的约束。</w:t>
      </w:r>
    </w:p>
    <w:p w14:paraId="62664409">
      <w:pPr>
        <w:snapToGrid w:val="0"/>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28．投标文件的补充、修改与撤回</w:t>
      </w:r>
    </w:p>
    <w:p w14:paraId="7ABB146C">
      <w:pPr>
        <w:tabs>
          <w:tab w:val="left" w:pos="960"/>
          <w:tab w:val="left" w:pos="1418"/>
        </w:tabs>
        <w:autoSpaceDE w:val="0"/>
        <w:autoSpaceDN w:val="0"/>
        <w:adjustRightInd w:val="0"/>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22" w:name="_Toc469495728"/>
    </w:p>
    <w:p w14:paraId="36FEA209">
      <w:pPr>
        <w:tabs>
          <w:tab w:val="left" w:pos="960"/>
          <w:tab w:val="left" w:pos="1418"/>
        </w:tabs>
        <w:autoSpaceDE w:val="0"/>
        <w:autoSpaceDN w:val="0"/>
        <w:adjustRightInd w:val="0"/>
        <w:snapToGrid w:val="0"/>
        <w:spacing w:line="360" w:lineRule="auto"/>
        <w:ind w:firstLine="566" w:firstLineChars="200"/>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（五）开标、评标和定标</w:t>
      </w:r>
      <w:bookmarkEnd w:id="22"/>
    </w:p>
    <w:p w14:paraId="339F9209">
      <w:pPr>
        <w:snapToGrid w:val="0"/>
        <w:spacing w:line="360" w:lineRule="auto"/>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29. 开标</w:t>
      </w:r>
    </w:p>
    <w:p w14:paraId="3E339C05">
      <w:pPr>
        <w:snapToGrid w:val="0"/>
        <w:spacing w:line="360" w:lineRule="auto"/>
        <w:ind w:firstLine="486" w:firstLineChars="200"/>
        <w:rPr>
          <w:rFonts w:ascii="仿宋" w:hAnsi="仿宋" w:eastAsia="仿宋" w:cs="仿宋"/>
          <w:b/>
          <w:bCs/>
          <w:color w:val="auto"/>
          <w:lang w:eastAsia="zh-CN"/>
        </w:rPr>
      </w:pPr>
      <w:bookmarkStart w:id="23" w:name="_Toc73975822"/>
      <w:r>
        <w:rPr>
          <w:rFonts w:hint="eastAsia" w:ascii="仿宋" w:hAnsi="仿宋" w:eastAsia="仿宋" w:cs="仿宋"/>
          <w:b/>
          <w:bCs/>
          <w:color w:val="auto"/>
          <w:lang w:eastAsia="zh-CN"/>
        </w:rPr>
        <w:t>29.1开标邀请</w:t>
      </w:r>
      <w:bookmarkEnd w:id="23"/>
    </w:p>
    <w:p w14:paraId="591F74DF">
      <w:pPr>
        <w:pStyle w:val="13"/>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（1）开标准备：本项目开标的准备工作由采购组织机构负责落实，开标过程由采购组织机构负责记录；</w:t>
      </w:r>
    </w:p>
    <w:p w14:paraId="647D873B">
      <w:pPr>
        <w:pStyle w:val="13"/>
        <w:snapToGrid w:val="0"/>
        <w:spacing w:line="360" w:lineRule="auto"/>
        <w:ind w:firstLine="486" w:firstLineChars="200"/>
        <w:rPr>
          <w:rFonts w:ascii="仿宋" w:hAnsi="仿宋" w:eastAsia="仿宋" w:cs="仿宋"/>
          <w:bCs/>
          <w:color w:val="auto"/>
          <w:szCs w:val="24"/>
          <w:lang w:eastAsia="zh-CN"/>
        </w:rPr>
      </w:pPr>
      <w:r>
        <w:rPr>
          <w:rFonts w:hint="eastAsia" w:ascii="仿宋" w:hAnsi="仿宋" w:eastAsia="仿宋" w:cs="仿宋"/>
          <w:bCs/>
          <w:color w:val="auto"/>
          <w:szCs w:val="24"/>
          <w:lang w:eastAsia="zh-CN"/>
        </w:rPr>
        <w:t>（2）开标主持:本项目开标由采购人或者采购代理机构主持；</w:t>
      </w:r>
    </w:p>
    <w:p w14:paraId="604CBF67">
      <w:pPr>
        <w:pStyle w:val="13"/>
        <w:snapToGrid w:val="0"/>
        <w:spacing w:line="360" w:lineRule="auto"/>
        <w:ind w:firstLine="486" w:firstLineChars="200"/>
        <w:rPr>
          <w:rFonts w:ascii="仿宋" w:hAnsi="仿宋" w:eastAsia="仿宋" w:cs="仿宋"/>
          <w:color w:val="auto"/>
          <w:szCs w:val="24"/>
        </w:rPr>
      </w:pPr>
      <w:r>
        <w:rPr>
          <w:rFonts w:hint="eastAsia" w:ascii="仿宋" w:hAnsi="仿宋" w:eastAsia="仿宋" w:cs="仿宋"/>
          <w:color w:val="auto"/>
          <w:szCs w:val="24"/>
          <w:lang w:eastAsia="zh-CN"/>
        </w:rPr>
        <w:t>（3）</w:t>
      </w:r>
      <w:r>
        <w:rPr>
          <w:rFonts w:hint="eastAsia" w:ascii="仿宋" w:hAnsi="仿宋" w:eastAsia="仿宋" w:cs="仿宋"/>
          <w:color w:val="auto"/>
          <w:szCs w:val="24"/>
        </w:rPr>
        <w:t>开标邀请：本项目采用电子交易，采购组织机构将按照采购文件规定的时间通过“</w:t>
      </w:r>
      <w:r>
        <w:rPr>
          <w:rFonts w:hint="eastAsia" w:ascii="仿宋" w:hAnsi="仿宋" w:eastAsia="仿宋" w:cs="仿宋"/>
          <w:color w:val="auto"/>
          <w:szCs w:val="24"/>
          <w:lang w:eastAsia="zh-CN"/>
        </w:rPr>
        <w:t>新疆</w:t>
      </w:r>
      <w:r>
        <w:rPr>
          <w:rFonts w:hint="eastAsia" w:ascii="仿宋" w:hAnsi="仿宋" w:eastAsia="仿宋" w:cs="仿宋"/>
          <w:color w:val="auto"/>
          <w:szCs w:val="24"/>
        </w:rPr>
        <w:t>政府采购云平台，网址：</w:t>
      </w:r>
      <w:r>
        <w:rPr>
          <w:color w:val="auto"/>
        </w:rPr>
        <w:fldChar w:fldCharType="begin"/>
      </w:r>
      <w:r>
        <w:rPr>
          <w:color w:val="auto"/>
        </w:rPr>
        <w:instrText xml:space="preserve"> HYPERLINK "http://www.zcygov.cn" </w:instrText>
      </w:r>
      <w:r>
        <w:rPr>
          <w:color w:val="auto"/>
        </w:rPr>
        <w:fldChar w:fldCharType="separate"/>
      </w:r>
      <w:r>
        <w:rPr>
          <w:rStyle w:val="29"/>
          <w:rFonts w:hint="eastAsia" w:ascii="仿宋" w:hAnsi="仿宋" w:eastAsia="仿宋" w:cs="仿宋"/>
          <w:color w:val="auto"/>
          <w:szCs w:val="24"/>
          <w:u w:val="none"/>
        </w:rPr>
        <w:t>www.zcygov.cn</w:t>
      </w:r>
      <w:r>
        <w:rPr>
          <w:rStyle w:val="29"/>
          <w:rFonts w:hint="eastAsia" w:ascii="仿宋" w:hAnsi="仿宋" w:eastAsia="仿宋" w:cs="仿宋"/>
          <w:color w:val="auto"/>
          <w:szCs w:val="24"/>
          <w:u w:val="none"/>
        </w:rPr>
        <w:fldChar w:fldCharType="end"/>
      </w:r>
      <w:r>
        <w:rPr>
          <w:rFonts w:hint="eastAsia" w:ascii="仿宋" w:hAnsi="仿宋" w:eastAsia="仿宋" w:cs="仿宋"/>
          <w:color w:val="auto"/>
          <w:szCs w:val="24"/>
        </w:rPr>
        <w:t>”组织开标、开启投标响应文件，所有供应商均应当准时在线参加。</w:t>
      </w:r>
    </w:p>
    <w:p w14:paraId="192CC712">
      <w:pPr>
        <w:pStyle w:val="13"/>
        <w:snapToGrid w:val="0"/>
        <w:spacing w:line="360" w:lineRule="auto"/>
        <w:ind w:firstLine="486" w:firstLineChars="200"/>
        <w:rPr>
          <w:rFonts w:ascii="仿宋" w:hAnsi="仿宋" w:eastAsia="仿宋" w:cs="仿宋"/>
          <w:color w:val="auto"/>
          <w:szCs w:val="24"/>
          <w:lang w:eastAsia="zh-CN"/>
        </w:rPr>
      </w:pPr>
      <w:r>
        <w:rPr>
          <w:rFonts w:hint="eastAsia" w:ascii="仿宋" w:hAnsi="仿宋" w:eastAsia="仿宋" w:cs="仿宋"/>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14:paraId="2FCE51E2">
      <w:pPr>
        <w:snapToGrid w:val="0"/>
        <w:spacing w:line="360" w:lineRule="auto"/>
        <w:ind w:firstLine="486" w:firstLineChars="200"/>
        <w:outlineLvl w:val="2"/>
        <w:rPr>
          <w:rFonts w:ascii="仿宋" w:hAnsi="仿宋" w:eastAsia="仿宋" w:cs="仿宋"/>
          <w:b/>
          <w:color w:val="auto"/>
          <w:lang w:eastAsia="zh-CN"/>
        </w:rPr>
      </w:pPr>
      <w:bookmarkStart w:id="24" w:name="_Toc73975823"/>
      <w:r>
        <w:rPr>
          <w:rFonts w:hint="eastAsia" w:ascii="仿宋" w:hAnsi="仿宋" w:eastAsia="仿宋" w:cs="仿宋"/>
          <w:b/>
          <w:color w:val="auto"/>
          <w:lang w:eastAsia="zh-CN"/>
        </w:rPr>
        <w:t>29.2</w:t>
      </w:r>
      <w:r>
        <w:rPr>
          <w:rFonts w:hint="eastAsia" w:ascii="仿宋" w:hAnsi="仿宋" w:eastAsia="仿宋" w:cs="仿宋"/>
          <w:b/>
          <w:bCs/>
          <w:color w:val="auto"/>
          <w:lang w:eastAsia="zh-CN"/>
        </w:rPr>
        <w:t>开标程序</w:t>
      </w:r>
      <w:bookmarkEnd w:id="24"/>
    </w:p>
    <w:p w14:paraId="6B7AB6C4">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（1）开标时间到后，主持人宣布开标会议开始。</w:t>
      </w:r>
    </w:p>
    <w:p w14:paraId="123F8E22">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（2）投标文件解密（</w:t>
      </w:r>
      <w:r>
        <w:rPr>
          <w:rFonts w:hint="eastAsia" w:ascii="仿宋" w:hAnsi="仿宋" w:eastAsia="仿宋" w:cs="仿宋"/>
          <w:b/>
          <w:color w:val="auto"/>
          <w:lang w:eastAsia="zh-CN"/>
        </w:rPr>
        <w:t>解密规定见《供应商须知前附表》</w:t>
      </w:r>
      <w:r>
        <w:rPr>
          <w:rFonts w:hint="eastAsia" w:ascii="仿宋" w:hAnsi="仿宋" w:eastAsia="仿宋" w:cs="仿宋"/>
          <w:color w:val="auto"/>
          <w:lang w:eastAsia="zh-CN"/>
        </w:rPr>
        <w:t>）。</w:t>
      </w:r>
    </w:p>
    <w:p w14:paraId="49DA69AF">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（3）投标文件解密异常情况处理（</w:t>
      </w:r>
      <w:r>
        <w:rPr>
          <w:rFonts w:hint="eastAsia" w:ascii="仿宋" w:hAnsi="仿宋" w:eastAsia="仿宋" w:cs="仿宋"/>
          <w:b/>
          <w:color w:val="auto"/>
          <w:lang w:eastAsia="zh-CN"/>
        </w:rPr>
        <w:t>处理办法见《供应商须知前附表》</w:t>
      </w:r>
      <w:r>
        <w:rPr>
          <w:rFonts w:hint="eastAsia" w:ascii="仿宋" w:hAnsi="仿宋" w:eastAsia="仿宋" w:cs="仿宋"/>
          <w:color w:val="auto"/>
          <w:lang w:eastAsia="zh-CN"/>
        </w:rPr>
        <w:t>）。</w:t>
      </w:r>
    </w:p>
    <w:p w14:paraId="7BF0DBC3">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（4）公布投标文件解密情况（投标文件成功解密的供应商名单等信息），组织签署</w:t>
      </w:r>
      <w:r>
        <w:rPr>
          <w:rFonts w:hint="eastAsia" w:ascii="仿宋" w:hAnsi="仿宋" w:eastAsia="仿宋" w:cs="仿宋"/>
          <w:b/>
          <w:bCs/>
          <w:color w:val="auto"/>
          <w:lang w:eastAsia="zh-CN"/>
        </w:rPr>
        <w:t>《政府采购活动现场确认声明书》，供应商应在20分钟内通过邮件形式将经签署的《政府采购活动现场确认声明书》发送至采购代理机构指定邮箱</w:t>
      </w:r>
      <w:r>
        <w:rPr>
          <w:rFonts w:hint="eastAsia" w:ascii="仿宋" w:hAnsi="仿宋" w:eastAsia="仿宋" w:cs="仿宋"/>
          <w:b/>
          <w:bCs/>
          <w:color w:val="auto"/>
          <w:lang w:val="en-US" w:eastAsia="zh-CN"/>
        </w:rPr>
        <w:t>923150488</w:t>
      </w:r>
      <w:r>
        <w:rPr>
          <w:rFonts w:hint="eastAsia" w:ascii="仿宋" w:hAnsi="仿宋" w:eastAsia="仿宋" w:cs="仿宋"/>
          <w:b/>
          <w:bCs/>
          <w:color w:val="auto"/>
          <w:lang w:eastAsia="zh-CN"/>
        </w:rPr>
        <w:t>@qq.com ，逾期发送或未发送的视为无异议</w:t>
      </w:r>
      <w:r>
        <w:rPr>
          <w:rFonts w:hint="eastAsia" w:ascii="仿宋" w:hAnsi="仿宋" w:eastAsia="仿宋" w:cs="仿宋"/>
          <w:color w:val="auto"/>
          <w:lang w:eastAsia="zh-CN"/>
        </w:rPr>
        <w:t>。</w:t>
      </w:r>
    </w:p>
    <w:p w14:paraId="423FA856">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（5）开启标书信息（资格证明文件、商务技术文件）。标书信息开启后，首先由采购人或采购代理机构或评审小组依法对投标供应商的资格证明文件进行审查（具体见本章</w:t>
      </w:r>
      <w:r>
        <w:rPr>
          <w:rFonts w:hint="eastAsia" w:ascii="仿宋" w:hAnsi="仿宋" w:eastAsia="仿宋" w:cs="仿宋"/>
          <w:color w:val="auto"/>
          <w:highlight w:val="none"/>
          <w:lang w:eastAsia="zh-CN"/>
        </w:rPr>
        <w:t>“29.3 投标供</w:t>
      </w:r>
      <w:r>
        <w:rPr>
          <w:rFonts w:hint="eastAsia" w:ascii="仿宋" w:hAnsi="仿宋" w:eastAsia="仿宋" w:cs="仿宋"/>
          <w:color w:val="auto"/>
          <w:lang w:eastAsia="zh-CN"/>
        </w:rPr>
        <w:t>应商资格审查”）， 审查结束公布投标供应商的资格符合情况。资格审查未获通过的供应商，其商务技术文件及报价文件不再进入评审。</w:t>
      </w:r>
    </w:p>
    <w:p w14:paraId="36360609">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14:paraId="447D1B00">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（7）开启有效投标供应商的报价，公布开标一览表有关内容，</w:t>
      </w:r>
      <w:r>
        <w:rPr>
          <w:rFonts w:hint="eastAsia" w:ascii="仿宋" w:hAnsi="仿宋" w:eastAsia="仿宋" w:cs="仿宋"/>
          <w:color w:val="auto"/>
          <w:highlight w:val="none"/>
          <w:lang w:eastAsia="zh-CN" w:bidi="zh-CN"/>
        </w:rPr>
        <w:t>并【开启签章时段】，供应商对开标记录进行在线签章确认（不予确认的应说明理由，否则视为无异议）</w:t>
      </w:r>
      <w:r>
        <w:rPr>
          <w:rFonts w:hint="eastAsia" w:ascii="仿宋" w:hAnsi="仿宋" w:eastAsia="仿宋" w:cs="仿宋"/>
          <w:color w:val="auto"/>
          <w:highlight w:val="none"/>
          <w:lang w:eastAsia="zh-CN"/>
        </w:rPr>
        <w:t>。开标结束后，由评标委员会对报价的合理性、准确性等进行审查核实。</w:t>
      </w:r>
    </w:p>
    <w:p w14:paraId="52A5CD2D">
      <w:pPr>
        <w:snapToGrid w:val="0"/>
        <w:spacing w:line="360" w:lineRule="auto"/>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（8）评审结束后，采购代理机构在系统上公布评审结果。</w:t>
      </w:r>
    </w:p>
    <w:p w14:paraId="6F5E84BB">
      <w:pPr>
        <w:snapToGrid w:val="0"/>
        <w:spacing w:line="360" w:lineRule="auto"/>
        <w:ind w:left="480"/>
        <w:rPr>
          <w:rFonts w:ascii="仿宋" w:hAnsi="仿宋" w:eastAsia="仿宋" w:cs="仿宋"/>
          <w:b/>
          <w:color w:val="auto"/>
          <w:lang w:eastAsia="zh-CN"/>
        </w:rPr>
      </w:pPr>
      <w:r>
        <w:rPr>
          <w:rFonts w:hint="eastAsia" w:ascii="仿宋" w:hAnsi="仿宋" w:eastAsia="仿宋" w:cs="仿宋"/>
          <w:b/>
          <w:color w:val="auto"/>
          <w:lang w:eastAsia="zh-CN"/>
        </w:rPr>
        <w:t>特别情况说明：</w:t>
      </w:r>
    </w:p>
    <w:p w14:paraId="57D1FE84">
      <w:pPr>
        <w:snapToGrid w:val="0"/>
        <w:spacing w:line="360" w:lineRule="auto"/>
        <w:ind w:firstLine="429" w:firstLineChars="177"/>
        <w:rPr>
          <w:rFonts w:ascii="仿宋" w:hAnsi="仿宋" w:eastAsia="仿宋" w:cs="仿宋"/>
          <w:b/>
          <w:color w:val="auto"/>
          <w:lang w:eastAsia="zh-CN"/>
        </w:rPr>
      </w:pPr>
      <w:r>
        <w:rPr>
          <w:rFonts w:hint="eastAsia" w:ascii="仿宋" w:hAnsi="仿宋" w:eastAsia="仿宋" w:cs="仿宋"/>
          <w:b/>
          <w:color w:val="auto"/>
          <w:lang w:eastAsia="zh-CN"/>
        </w:rPr>
        <w:t>（1）本项目采用电子交易，如遇“新疆政府采购云平台”电子化开标或评审程序调整的，按调整后程序执行。</w:t>
      </w:r>
    </w:p>
    <w:p w14:paraId="0A6310DC">
      <w:pPr>
        <w:snapToGrid w:val="0"/>
        <w:spacing w:line="360" w:lineRule="auto"/>
        <w:ind w:firstLine="429" w:firstLineChars="177"/>
        <w:rPr>
          <w:rFonts w:ascii="仿宋" w:hAnsi="仿宋" w:eastAsia="仿宋" w:cs="仿宋"/>
          <w:b/>
          <w:color w:val="auto"/>
          <w:lang w:eastAsia="zh-CN"/>
        </w:rPr>
      </w:pPr>
      <w:r>
        <w:rPr>
          <w:rFonts w:hint="eastAsia" w:ascii="仿宋" w:hAnsi="仿宋" w:eastAsia="仿宋" w:cs="仿宋"/>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lang w:eastAsia="zh-CN"/>
        </w:rPr>
        <w:t>。</w:t>
      </w:r>
    </w:p>
    <w:p w14:paraId="1271DABF">
      <w:pPr>
        <w:snapToGrid w:val="0"/>
        <w:spacing w:line="360" w:lineRule="auto"/>
        <w:ind w:firstLine="486" w:firstLineChars="200"/>
        <w:rPr>
          <w:rFonts w:ascii="仿宋" w:hAnsi="仿宋" w:eastAsia="仿宋" w:cs="仿宋"/>
          <w:b/>
          <w:color w:val="auto"/>
          <w:lang w:eastAsia="zh-CN"/>
        </w:rPr>
      </w:pPr>
      <w:r>
        <w:rPr>
          <w:rFonts w:hint="eastAsia" w:ascii="仿宋" w:hAnsi="仿宋" w:eastAsia="仿宋" w:cs="仿宋"/>
          <w:b/>
          <w:color w:val="auto"/>
          <w:lang w:eastAsia="zh-CN"/>
        </w:rPr>
        <w:t>29.3 投标供应商资格审查：</w:t>
      </w:r>
    </w:p>
    <w:p w14:paraId="36AA1F14">
      <w:pPr>
        <w:snapToGrid w:val="0"/>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bCs/>
          <w:color w:val="auto"/>
          <w:lang w:eastAsia="zh-CN"/>
        </w:rPr>
        <w:t>开标（标书信息开启）后，采购人或采购代理机构或</w:t>
      </w:r>
      <w:r>
        <w:rPr>
          <w:rFonts w:hint="eastAsia" w:ascii="仿宋" w:hAnsi="仿宋" w:eastAsia="仿宋" w:cs="仿宋"/>
          <w:color w:val="auto"/>
          <w:lang w:eastAsia="zh-CN"/>
        </w:rPr>
        <w:t>评审小组</w:t>
      </w:r>
      <w:r>
        <w:rPr>
          <w:rFonts w:hint="eastAsia" w:ascii="仿宋" w:hAnsi="仿宋" w:eastAsia="仿宋" w:cs="仿宋"/>
          <w:bCs/>
          <w:color w:val="auto"/>
          <w:lang w:eastAsia="zh-CN"/>
        </w:rPr>
        <w:t>首先依法对投标供应商的资格文件进行审查，审查各投标供应商的资格符合情况。</w:t>
      </w:r>
      <w:r>
        <w:rPr>
          <w:rFonts w:hint="eastAsia" w:ascii="仿宋" w:hAnsi="仿宋" w:eastAsia="仿宋" w:cs="仿宋"/>
          <w:color w:val="auto"/>
          <w:lang w:eastAsia="zh-CN"/>
        </w:rPr>
        <w:t>采购人或采购代理机构</w:t>
      </w:r>
      <w:r>
        <w:rPr>
          <w:rFonts w:hint="eastAsia" w:ascii="仿宋" w:hAnsi="仿宋" w:eastAsia="仿宋" w:cs="仿宋"/>
          <w:bCs/>
          <w:color w:val="auto"/>
          <w:lang w:eastAsia="zh-CN"/>
        </w:rPr>
        <w:t>或</w:t>
      </w:r>
      <w:r>
        <w:rPr>
          <w:rFonts w:hint="eastAsia" w:ascii="仿宋" w:hAnsi="仿宋" w:eastAsia="仿宋" w:cs="仿宋"/>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14:paraId="3F788D60">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14:paraId="143B9F93">
      <w:pPr>
        <w:pStyle w:val="6"/>
        <w:snapToGrid w:val="0"/>
        <w:spacing w:line="360" w:lineRule="auto"/>
        <w:rPr>
          <w:rFonts w:ascii="仿宋" w:hAnsi="仿宋" w:eastAsia="仿宋" w:cs="仿宋"/>
          <w:bCs/>
          <w:color w:val="auto"/>
          <w:szCs w:val="24"/>
          <w:lang w:eastAsia="zh-CN"/>
        </w:rPr>
      </w:pPr>
      <w:r>
        <w:rPr>
          <w:rFonts w:hint="eastAsia" w:ascii="仿宋" w:hAnsi="仿宋" w:eastAsia="仿宋" w:cs="仿宋"/>
          <w:bCs/>
          <w:color w:val="auto"/>
          <w:szCs w:val="24"/>
          <w:lang w:eastAsia="zh-CN"/>
        </w:rPr>
        <w:t>（3）供应商信用记录查询与使用：见《供应商须知前附表》。</w:t>
      </w:r>
    </w:p>
    <w:p w14:paraId="30ACF2AE">
      <w:pPr>
        <w:snapToGrid w:val="0"/>
        <w:spacing w:line="360" w:lineRule="auto"/>
        <w:ind w:firstLine="356" w:firstLineChars="147"/>
        <w:rPr>
          <w:rFonts w:hint="eastAsia" w:ascii="仿宋" w:hAnsi="仿宋" w:eastAsia="仿宋" w:cs="仿宋"/>
          <w:b/>
          <w:color w:val="auto"/>
          <w:lang w:val="en-US" w:eastAsia="zh-CN"/>
        </w:rPr>
      </w:pPr>
      <w:r>
        <w:rPr>
          <w:rFonts w:hint="eastAsia" w:ascii="仿宋" w:hAnsi="仿宋" w:eastAsia="仿宋" w:cs="仿宋"/>
          <w:b/>
          <w:color w:val="auto"/>
          <w:lang w:val="en-US" w:eastAsia="zh-CN"/>
        </w:rPr>
        <w:t>29.4</w:t>
      </w:r>
      <w:r>
        <w:rPr>
          <w:rFonts w:hint="eastAsia" w:ascii="仿宋" w:hAnsi="仿宋" w:eastAsia="仿宋" w:cs="仿宋"/>
          <w:b/>
          <w:color w:val="auto"/>
        </w:rPr>
        <w:t>磋商报价方式</w:t>
      </w:r>
    </w:p>
    <w:p w14:paraId="45A3B127">
      <w:pPr>
        <w:snapToGrid w:val="0"/>
        <w:spacing w:line="360" w:lineRule="auto"/>
        <w:ind w:firstLine="356" w:firstLineChars="147"/>
        <w:rPr>
          <w:rFonts w:ascii="仿宋" w:hAnsi="仿宋" w:eastAsia="仿宋" w:cs="仿宋"/>
          <w:color w:val="auto"/>
        </w:rPr>
      </w:pPr>
      <w:r>
        <w:rPr>
          <w:rFonts w:hint="eastAsia" w:ascii="仿宋" w:hAnsi="仿宋" w:eastAsia="仿宋" w:cs="仿宋"/>
          <w:color w:val="auto"/>
        </w:rPr>
        <w:t>1、供应商提交的响应性文件中的报价，该报价只允许有一个报价，任何有选择性的报价将不予接受。</w:t>
      </w:r>
    </w:p>
    <w:p w14:paraId="3D4A5946">
      <w:pPr>
        <w:snapToGrid w:val="0"/>
        <w:spacing w:line="360" w:lineRule="auto"/>
        <w:ind w:firstLine="356" w:firstLineChars="147"/>
        <w:rPr>
          <w:rFonts w:ascii="仿宋" w:hAnsi="仿宋" w:eastAsia="仿宋" w:cs="仿宋"/>
          <w:color w:val="auto"/>
        </w:rPr>
      </w:pPr>
      <w:r>
        <w:rPr>
          <w:rFonts w:hint="eastAsia" w:ascii="仿宋" w:hAnsi="仿宋" w:eastAsia="仿宋" w:cs="仿宋"/>
          <w:color w:val="auto"/>
        </w:rPr>
        <w:t>2、 磋商小组所有成员与供应商进行单独磋商。在磋商中，磋商的任何一方不得透露与磋商有关的其他供应商的技术资料、价格和其他信息。磋商文件有实质性变动的，磋商小组应以书面形式通知所有参加磋商的供应商。</w:t>
      </w:r>
    </w:p>
    <w:p w14:paraId="6704874D">
      <w:pPr>
        <w:snapToGrid w:val="0"/>
        <w:spacing w:line="440" w:lineRule="exact"/>
        <w:ind w:firstLine="356" w:firstLineChars="147"/>
        <w:rPr>
          <w:rFonts w:ascii="仿宋" w:hAnsi="仿宋" w:eastAsia="仿宋" w:cs="仿宋"/>
          <w:color w:val="auto"/>
          <w:highlight w:val="none"/>
          <w:lang w:eastAsia="zh-CN"/>
        </w:rPr>
      </w:pPr>
      <w:r>
        <w:rPr>
          <w:rFonts w:hint="eastAsia" w:ascii="仿宋" w:hAnsi="仿宋" w:eastAsia="仿宋" w:cs="仿宋"/>
          <w:color w:val="auto"/>
          <w:highlight w:val="none"/>
        </w:rPr>
        <w:t>3、磋商结束后，供应商可根据磋商情况，进行第二次报价</w:t>
      </w:r>
      <w:r>
        <w:rPr>
          <w:rFonts w:hint="eastAsia" w:ascii="仿宋" w:hAnsi="仿宋" w:eastAsia="仿宋" w:cs="仿宋"/>
          <w:color w:val="auto"/>
          <w:highlight w:val="none"/>
          <w:lang w:eastAsia="zh-CN"/>
        </w:rPr>
        <w:t>，采购人也可以根据磋商情况开启多轮报价，</w:t>
      </w:r>
      <w:r>
        <w:rPr>
          <w:rFonts w:hint="eastAsia" w:ascii="仿宋" w:hAnsi="仿宋" w:eastAsia="仿宋" w:cs="仿宋"/>
          <w:color w:val="auto"/>
          <w:highlight w:val="none"/>
        </w:rPr>
        <w:t>该报价为磋商的最终报价。</w:t>
      </w:r>
    </w:p>
    <w:p w14:paraId="742BFDF3">
      <w:pPr>
        <w:snapToGrid w:val="0"/>
        <w:spacing w:line="440" w:lineRule="exact"/>
        <w:ind w:firstLine="356" w:firstLineChars="147"/>
        <w:rPr>
          <w:rFonts w:ascii="仿宋" w:hAnsi="仿宋" w:eastAsia="仿宋" w:cs="仿宋"/>
          <w:color w:val="auto"/>
          <w:highlight w:val="none"/>
          <w:lang w:eastAsia="zh-CN"/>
        </w:rPr>
      </w:pPr>
      <w:r>
        <w:rPr>
          <w:rFonts w:hint="eastAsia" w:ascii="仿宋" w:hAnsi="仿宋" w:eastAsia="仿宋" w:cs="仿宋"/>
          <w:color w:val="auto"/>
          <w:highlight w:val="none"/>
        </w:rPr>
        <w:t>4、第二次报价</w:t>
      </w:r>
      <w:r>
        <w:rPr>
          <w:rFonts w:hint="eastAsia" w:ascii="仿宋" w:hAnsi="仿宋" w:eastAsia="仿宋" w:cs="仿宋"/>
          <w:color w:val="auto"/>
          <w:highlight w:val="none"/>
          <w:lang w:eastAsia="zh-CN"/>
        </w:rPr>
        <w:t>在政采云不见面开评标系统</w:t>
      </w:r>
      <w:r>
        <w:rPr>
          <w:rFonts w:hint="eastAsia" w:ascii="仿宋" w:hAnsi="仿宋" w:eastAsia="仿宋" w:cs="仿宋"/>
          <w:color w:val="auto"/>
          <w:highlight w:val="none"/>
        </w:rPr>
        <w:t>填写提交。所有供应商的二次报价收集齐全后，二次报价不进行公开唱标</w:t>
      </w:r>
      <w:r>
        <w:rPr>
          <w:rFonts w:hint="eastAsia" w:ascii="仿宋" w:hAnsi="仿宋" w:eastAsia="仿宋" w:cs="仿宋"/>
          <w:color w:val="auto"/>
          <w:highlight w:val="none"/>
          <w:lang w:eastAsia="zh-CN"/>
        </w:rPr>
        <w:t>，依次类推。</w:t>
      </w:r>
    </w:p>
    <w:p w14:paraId="647F30E5">
      <w:pPr>
        <w:snapToGrid w:val="0"/>
        <w:spacing w:line="440" w:lineRule="exact"/>
        <w:ind w:firstLine="356" w:firstLineChars="147"/>
        <w:rPr>
          <w:rFonts w:ascii="仿宋" w:hAnsi="仿宋" w:eastAsia="仿宋" w:cs="仿宋"/>
          <w:color w:val="auto"/>
        </w:rPr>
      </w:pPr>
      <w:r>
        <w:rPr>
          <w:rFonts w:hint="eastAsia" w:ascii="仿宋" w:hAnsi="仿宋" w:eastAsia="仿宋" w:cs="仿宋"/>
          <w:color w:val="auto"/>
        </w:rPr>
        <w:t>修正错误的原则如下：大写金额与小写金额不一致的，以大写金额为准；总价金额与按单价汇总金额不一致的，以单价金额计算结果为准；单价金额小数点有明显错位的，以总价为准，并修改单价；对不同文字文本响应性文件的解释发生异议的，以中文文本为准。按上述原则调整后的价格为评标价，对供应商具有约束力。如果供应商不接受修正后的价格，则其报价将被拒绝。</w:t>
      </w:r>
    </w:p>
    <w:p w14:paraId="0B386A5F">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30.评审工作的组织</w:t>
      </w:r>
    </w:p>
    <w:p w14:paraId="0DFF8A68">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采购人或采购代理机构负责组织本项目的评审工作，并依据《政府采购货物和服务招标投标管理办法（财政部第87号令）》第四十五条的相关规定履行职责。</w:t>
      </w:r>
    </w:p>
    <w:p w14:paraId="404BCCFD">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 评标委员会的组建</w:t>
      </w:r>
    </w:p>
    <w:p w14:paraId="1436CB10">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31.1评标委员会由采购人或采购代理机构依法组建，成员由采购人代表1人和评审专家</w:t>
      </w: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人，成员人数为</w:t>
      </w: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人，其中评审专家不少于成员总数的三分之二。</w:t>
      </w:r>
    </w:p>
    <w:p w14:paraId="29FE0A75">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31.2评审专家从新疆政府采购云平台专家库中通过随机方式抽取产生。评标委员会成员名单在采购结果公告前保密。</w:t>
      </w:r>
    </w:p>
    <w:p w14:paraId="6B15F9B1">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32.评标委员会的职责</w:t>
      </w:r>
    </w:p>
    <w:p w14:paraId="3D3B1914">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32.1审查、评价投标文件是否符合采购文件的商务、技术等实质性要求。</w:t>
      </w:r>
    </w:p>
    <w:p w14:paraId="59CF4EB0">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32.2要求供应商对投标文件有关事项作出澄清或者说明。</w:t>
      </w:r>
    </w:p>
    <w:p w14:paraId="6CCF2862">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32.3对投标文件进行比较和评价。</w:t>
      </w:r>
    </w:p>
    <w:p w14:paraId="138A5973">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32.4确定中标候选人名单，以及根据采购人委托直接确定中标人。</w:t>
      </w:r>
    </w:p>
    <w:p w14:paraId="73F1F22D">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32.5向采购人、采购代理机构或者有关部门报告评审中发现的违法行为。</w:t>
      </w:r>
    </w:p>
    <w:p w14:paraId="4A3F22FA">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 评标原则</w:t>
      </w:r>
    </w:p>
    <w:p w14:paraId="083EC938">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33.1评标委员会将遵循公平、公正、科学的原则，对供应商提交的投标文件进行综合评审，评标委员会按照采购文件规定的评标细则进行评分。</w:t>
      </w:r>
    </w:p>
    <w:p w14:paraId="451CD372">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33.2客观公正对待所有供应商，对所有投标评价均采用相同的程序和标准。 </w:t>
      </w:r>
    </w:p>
    <w:p w14:paraId="2BA85ECD">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14:paraId="6E19C609">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14:paraId="56792390">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14:paraId="580EC32B">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34. 评委纪律</w:t>
      </w:r>
    </w:p>
    <w:p w14:paraId="18A55AF7">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14:paraId="1C906ABD">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35.评标程序</w:t>
      </w:r>
    </w:p>
    <w:p w14:paraId="200D2C10">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 在评审专家中推选评标委员会组长，采购人代表不得担任评标委员会组长。</w:t>
      </w:r>
    </w:p>
    <w:p w14:paraId="2C86405D">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14:paraId="3FEF63F6">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35.3 评审人员对符合资格的供应商的投标文件的有效性、符合性、完整性和响应程度进行审查，确定是否对采购文件作出实质性响应。</w:t>
      </w:r>
    </w:p>
    <w:p w14:paraId="4D71DAA2">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35.4 评审人员按采购文件规定的评审方法和评审标准，依法独立对供应商投标文件进行评估、比较，并给予评价或打分，不受任何单位和个人的干预。</w:t>
      </w:r>
    </w:p>
    <w:p w14:paraId="41DFE896">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14:paraId="74FDFD50">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仿宋" w:hAnsi="仿宋" w:eastAsia="仿宋" w:cs="仿宋"/>
          <w:color w:val="auto"/>
          <w:szCs w:val="21"/>
          <w:lang w:val="en-US" w:eastAsia="zh-CN"/>
        </w:rPr>
        <w:t>35</w:t>
      </w:r>
      <w:r>
        <w:rPr>
          <w:rFonts w:hint="eastAsia" w:ascii="仿宋" w:hAnsi="仿宋" w:eastAsia="仿宋" w:cs="仿宋"/>
          <w:color w:val="auto"/>
          <w:szCs w:val="21"/>
          <w:lang w:eastAsia="zh-CN"/>
        </w:rPr>
        <w:t>%以上的）情形的，应由相关人员当场改正或作出书面说明；拒不改正又不作书面说明的，由现场监督员如实记载后存入项目档案资料。</w:t>
      </w:r>
    </w:p>
    <w:p w14:paraId="2C5C3F33">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35.7 评标委员会根据评审汇总情况和采购文件规定确定中标候选供应商排序名单。</w:t>
      </w:r>
    </w:p>
    <w:p w14:paraId="5BA68420">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35.8 起草评审报告，所有评审人员须在评审报告上签章确认，对自己的评审意见承担法律责任。 </w:t>
      </w:r>
    </w:p>
    <w:p w14:paraId="473F19D4">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35.9 采购组织机构对评标委员会评审专家进行评价。</w:t>
      </w:r>
    </w:p>
    <w:p w14:paraId="173E891A">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35.10 修改评审结果</w:t>
      </w:r>
    </w:p>
    <w:p w14:paraId="710E76A3">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评标结果汇总完成后，除下列情形外，任何人不得修改评标结果：</w:t>
      </w:r>
    </w:p>
    <w:p w14:paraId="331C8B5A">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（1）分值汇总计算错误的；</w:t>
      </w:r>
    </w:p>
    <w:p w14:paraId="09562740">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（2）分项评分超出评分标准范围的；</w:t>
      </w:r>
    </w:p>
    <w:p w14:paraId="5EE400FC">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（3）评标委员会成员对客观评审因素评分不一致的；</w:t>
      </w:r>
    </w:p>
    <w:p w14:paraId="49AA2FB9">
      <w:pPr>
        <w:widowControl/>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（4）经评标委员会认定评分畸高、畸低的。</w:t>
      </w:r>
    </w:p>
    <w:p w14:paraId="5E1B9217">
      <w:pPr>
        <w:widowControl/>
        <w:spacing w:line="440" w:lineRule="exact"/>
        <w:ind w:firstLine="729" w:firstLineChars="300"/>
        <w:rPr>
          <w:rFonts w:ascii="仿宋" w:hAnsi="仿宋" w:eastAsia="仿宋" w:cs="仿宋"/>
          <w:color w:val="auto"/>
          <w:szCs w:val="21"/>
          <w:lang w:eastAsia="zh-CN"/>
        </w:rPr>
      </w:pPr>
      <w:r>
        <w:rPr>
          <w:rFonts w:hint="eastAsia" w:ascii="仿宋" w:hAnsi="仿宋" w:eastAsia="仿宋" w:cs="仿宋"/>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3C7A6B60">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36．澄清、说明或补正的形式</w:t>
      </w:r>
    </w:p>
    <w:p w14:paraId="738BC91F">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lang w:eastAsia="zh-CN"/>
        </w:rPr>
        <w:t>投标供应商澄清、说明或补正时间为20分钟</w:t>
      </w:r>
      <w:r>
        <w:rPr>
          <w:rFonts w:hint="eastAsia" w:ascii="仿宋" w:hAnsi="仿宋" w:eastAsia="仿宋" w:cs="仿宋"/>
          <w:color w:val="auto"/>
          <w:szCs w:val="21"/>
          <w:lang w:eastAsia="zh-CN"/>
        </w:rPr>
        <w:t>。</w:t>
      </w:r>
    </w:p>
    <w:p w14:paraId="65827974">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7668E684">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5C8FD7F8">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37．错误修正的原则</w:t>
      </w:r>
    </w:p>
    <w:p w14:paraId="1450C20B">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463C5A57">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1D3E7069">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37.1 投标函中表述的内容与报价表中不一致的，以报价表为准；报价表中的内容与报价明细表不一致的，以报价表为准；</w:t>
      </w:r>
    </w:p>
    <w:p w14:paraId="04ABE00E">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37.2 投标文件中的大写金额和小写金额不一致的，以大写金额为准；</w:t>
      </w:r>
    </w:p>
    <w:p w14:paraId="385FE938">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37.3 单价金额小数点或者百分比有明显错位的，以开标一览表的总价为准，并修改单价；</w:t>
      </w:r>
    </w:p>
    <w:p w14:paraId="3648F7A5">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37.4 总价金额与按单价汇总金额不一致的，以单价金额计算结果为准；</w:t>
      </w:r>
    </w:p>
    <w:p w14:paraId="09EE1389">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37.5 若用文字表示的数值与用数字表示的数值不一致，以文字表示的数值为准；</w:t>
      </w:r>
    </w:p>
    <w:p w14:paraId="45F219A4">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37.6 如有多报（指数量超出采购文件需求）、重报（指同一货物重复报价），其投标总价在评标过程中不予调整，如其中标，其合同价按其投标单价予以调整；</w:t>
      </w:r>
    </w:p>
    <w:p w14:paraId="5D4862D6">
      <w:pPr>
        <w:spacing w:line="440" w:lineRule="exact"/>
        <w:ind w:firstLine="243" w:firstLineChars="100"/>
        <w:rPr>
          <w:rFonts w:ascii="仿宋" w:hAnsi="仿宋" w:eastAsia="仿宋" w:cs="仿宋"/>
          <w:color w:val="auto"/>
          <w:szCs w:val="21"/>
          <w:lang w:eastAsia="zh-CN"/>
        </w:rPr>
      </w:pPr>
      <w:r>
        <w:rPr>
          <w:rFonts w:hint="eastAsia" w:ascii="仿宋" w:hAnsi="仿宋" w:eastAsia="仿宋" w:cs="仿宋"/>
          <w:color w:val="auto"/>
          <w:szCs w:val="21"/>
          <w:lang w:eastAsia="zh-CN"/>
        </w:rPr>
        <w:t>37.7 对不同文字文本投标文件的解释发生异议的，以中文文本为准；</w:t>
      </w:r>
    </w:p>
    <w:p w14:paraId="08AA86E5">
      <w:pPr>
        <w:spacing w:line="440" w:lineRule="exact"/>
        <w:ind w:firstLine="243" w:firstLineChars="100"/>
        <w:rPr>
          <w:rFonts w:ascii="仿宋" w:hAnsi="仿宋" w:eastAsia="仿宋" w:cs="仿宋"/>
          <w:b/>
          <w:bCs/>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lang w:eastAsia="zh-CN"/>
        </w:rPr>
        <w:t>修正应当采用电子询标的形式，并加盖公章（电子印章）。</w:t>
      </w:r>
    </w:p>
    <w:p w14:paraId="198D4C33">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38．无效投标文件</w:t>
      </w:r>
    </w:p>
    <w:p w14:paraId="55BDCB84">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有下列情形之一的，投标文件按无效标处理：</w:t>
      </w:r>
    </w:p>
    <w:p w14:paraId="32C0CC36">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 报名的供应商与参加投标的供应商发生实质性变更的且未提供有效证明的；</w:t>
      </w:r>
    </w:p>
    <w:p w14:paraId="06EB3B32">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38.2 供应商提交两份或两份以上内容不同的投标文件，未声明哪一份有效的；</w:t>
      </w:r>
    </w:p>
    <w:p w14:paraId="70ECCDD5">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38.3 投标文件非供应商法定代表人签署的，未提供或提供无效的法定代表人授权书；</w:t>
      </w:r>
    </w:p>
    <w:p w14:paraId="110027A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38.4 未按磋商文件规定装订；</w:t>
      </w:r>
    </w:p>
    <w:p w14:paraId="41124D5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38.5 投标文件内容未按磋商文件规定签章或盖章的；</w:t>
      </w:r>
    </w:p>
    <w:p w14:paraId="658176C7">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38.6 投标文件组成漏项或未按规定的格式编制或投标文件正、副本份数不足或内容不全或内容字迹模糊辨认不清的等而导致评标活动无法正常进行；</w:t>
      </w:r>
    </w:p>
    <w:p w14:paraId="7F8CB714">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38.7 供应商未按磋商文件变更通知更改投标文件的；</w:t>
      </w:r>
    </w:p>
    <w:p w14:paraId="281FD0B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38.8 《开标一览表》和《投标分项报价表》内容不完整且不接受修正意见或字迹不能辨认的或未提供；</w:t>
      </w:r>
    </w:p>
    <w:p w14:paraId="60E62AF5">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38.9 标项投标报价超过磋商文件规定的预算金额或最高限价</w:t>
      </w:r>
    </w:p>
    <w:p w14:paraId="7A6718BF">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38.10 因供应商原因编制错误造成经评标委员会修正后的报价达到或超过投标报价的0.5%；</w:t>
      </w:r>
    </w:p>
    <w:p w14:paraId="6529ADC7">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38.11 供应商的报价明显低于其他通过符合性审查供应商的报价，有可能影响产品质量或者不能诚信履约的，且在规定时间内不能合理说明原因并提供证明材料的；</w:t>
      </w:r>
    </w:p>
    <w:p w14:paraId="7A91282E">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38.12 未实质性响应磋商文件中条款要求的投标文件；</w:t>
      </w:r>
    </w:p>
    <w:p w14:paraId="34351627">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38.13 不符合招标范围、技术规格、技术标准的要求无法满足采购人使用要求；</w:t>
      </w:r>
    </w:p>
    <w:p w14:paraId="293A4CC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38.14 投标文件附有采购人不能接受的条款；</w:t>
      </w:r>
    </w:p>
    <w:p w14:paraId="524CFD17">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38.15 投标文件中提供了赠品或者与本项目采购无关的其他商品、服务；</w:t>
      </w:r>
    </w:p>
    <w:p w14:paraId="19DBD59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38.16 投标文件中承诺的投标有效期少于磋商文件中载明的投标有效期；</w:t>
      </w:r>
    </w:p>
    <w:p w14:paraId="0FC0420B">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38.17供应商串通投标，妨碍其他供应商的竞争行为，损害采购人或者其他供应商的合法权益；</w:t>
      </w:r>
    </w:p>
    <w:p w14:paraId="64D8CFF7">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38.18违反国家及政府部门相关法律、法规、文件规定或经评标委员会认定的其他属于重大偏离；</w:t>
      </w:r>
    </w:p>
    <w:p w14:paraId="70E21C95">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39．废标</w:t>
      </w:r>
    </w:p>
    <w:p w14:paraId="0F21587B">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39.1 符合磋商文件规定废标情形的；</w:t>
      </w:r>
    </w:p>
    <w:p w14:paraId="04FF2BCF">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39.2 出现影响采购公正的违法、违规行为的；</w:t>
      </w:r>
    </w:p>
    <w:p w14:paraId="45FDF075">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39.3 供应商的报价均超过了采购预算（或最高限价），采购人不能支付的;</w:t>
      </w:r>
    </w:p>
    <w:p w14:paraId="012CF464">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39.4 因重大变故，采购任务取消的。</w:t>
      </w:r>
    </w:p>
    <w:p w14:paraId="556423B0">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40．突发情况处理</w:t>
      </w:r>
    </w:p>
    <w:p w14:paraId="7ACFCF4B">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40.1 采购过程中出现以下情形，导致电子交易平台无法正常运行，或者无法保证电子交易的公平、公正和安全时，采购组织机构可中止电子交易活动：</w:t>
      </w:r>
    </w:p>
    <w:p w14:paraId="01F4E79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（1）电子交易平台发生故障而无法登录访问的； </w:t>
      </w:r>
    </w:p>
    <w:p w14:paraId="2D0DEC30">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（2）电子交易平台应用或数据库出现错误，不能进行正常操作的；</w:t>
      </w:r>
    </w:p>
    <w:p w14:paraId="0262B5C3">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（3）电子交易平台发现严重安全漏洞，有潜在泄密危险的；</w:t>
      </w:r>
    </w:p>
    <w:p w14:paraId="123E1220">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（4）病毒发作导致不能进行正常操作的； </w:t>
      </w:r>
    </w:p>
    <w:p w14:paraId="0B4098B9">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（5）其他无法保证电子交易的公平、公正和安全的情况。</w:t>
      </w:r>
    </w:p>
    <w:p w14:paraId="72541861">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675B53D8">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40.2 采购代理机构或评审小组因不可抗力（不可抗力包括但不限于自然灾害、断电、传播疫病等）原因造成电子交易活动无法正常运行的，将采取以下措施：</w:t>
      </w:r>
    </w:p>
    <w:p w14:paraId="5C9A49D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（1）短时间内能消除不可抗力因素的，采购代理机构或评审小组在消除不可抗力因素后继续组织电子交易活动； </w:t>
      </w:r>
    </w:p>
    <w:p w14:paraId="56D5B317">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（2）长时间内无法消除不可抗力因素的，采购代理机构或评审小组将中止电子交易活动。中止电子交易活动的，采购人应当重新组织政府采购活动。</w:t>
      </w:r>
    </w:p>
    <w:p w14:paraId="1384C522">
      <w:pPr>
        <w:keepNext w:val="0"/>
        <w:keepLines w:val="0"/>
        <w:pageBreakBefore w:val="0"/>
        <w:widowControl w:val="0"/>
        <w:kinsoku/>
        <w:wordWrap/>
        <w:overflowPunct/>
        <w:topLinePunct w:val="0"/>
        <w:autoSpaceDE/>
        <w:autoSpaceDN/>
        <w:bidi w:val="0"/>
        <w:snapToGrid w:val="0"/>
        <w:spacing w:line="380" w:lineRule="exact"/>
        <w:ind w:firstLine="421"/>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41. 定标</w:t>
      </w:r>
    </w:p>
    <w:p w14:paraId="128B9E85">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w:t>
      </w:r>
      <w:bookmarkStart w:id="25" w:name="_Toc469495729"/>
      <w:r>
        <w:rPr>
          <w:rFonts w:hint="eastAsia" w:ascii="仿宋" w:hAnsi="仿宋" w:eastAsia="仿宋" w:cs="仿宋"/>
          <w:color w:val="auto"/>
          <w:szCs w:val="21"/>
          <w:lang w:eastAsia="zh-CN"/>
        </w:rPr>
        <w:t>41.1采购结果确认（确定中标供应商）</w:t>
      </w:r>
    </w:p>
    <w:p w14:paraId="13BD63D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采购结果确认（确定中标供应商）：本项目由采购人根据评标委员会提交的《评审报告》，通过“政府采购云平台”依法确认采购结果、确定中标供应商。具体流程如下：</w:t>
      </w:r>
    </w:p>
    <w:p w14:paraId="68EF974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（1）采购代理机构将在评审结束后2个工作日内将评审报告送采购人。</w:t>
      </w:r>
    </w:p>
    <w:p w14:paraId="70735ED4">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（2）采购人将在收到评审报告之日起5个工作日内，在评审报告推荐的中标候选供应商名单中按顺序确定中标供应商，并将确认意见以书面形式回复采购代理机构。 </w:t>
      </w:r>
    </w:p>
    <w:p w14:paraId="4C21E29F">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b/>
          <w:bCs/>
          <w:color w:val="auto"/>
          <w:szCs w:val="21"/>
          <w:lang w:eastAsia="zh-CN"/>
        </w:rPr>
      </w:pPr>
      <w:r>
        <w:rPr>
          <w:rFonts w:hint="eastAsia" w:ascii="仿宋" w:hAnsi="仿宋" w:eastAsia="仿宋" w:cs="仿宋"/>
          <w:color w:val="auto"/>
          <w:szCs w:val="21"/>
          <w:lang w:eastAsia="zh-CN"/>
        </w:rPr>
        <w:t>41.2采购结果经采购人确认后2个工作日内，采购代理机构将在</w:t>
      </w:r>
      <w:r>
        <w:rPr>
          <w:rFonts w:hint="eastAsia" w:ascii="仿宋" w:hAnsi="仿宋" w:eastAsia="仿宋" w:cs="仿宋"/>
          <w:b/>
          <w:bCs/>
          <w:color w:val="auto"/>
          <w:szCs w:val="21"/>
          <w:lang w:eastAsia="zh-CN"/>
        </w:rPr>
        <w:t>克州公共资源交易中心网、新疆政府采购网（www.zjzfcg.gov.cn）上公告采购结果，中标公告期限为1个工作日。</w:t>
      </w:r>
    </w:p>
    <w:p w14:paraId="675F868D">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 中标通知书</w:t>
      </w:r>
    </w:p>
    <w:p w14:paraId="71F254A2">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lang w:eastAsia="zh-CN"/>
        </w:rPr>
        <w:t>公示期为一个工作日。待公示期结束后，</w:t>
      </w:r>
      <w:r>
        <w:rPr>
          <w:rFonts w:hint="eastAsia" w:ascii="仿宋" w:hAnsi="仿宋" w:eastAsia="仿宋" w:cs="仿宋"/>
          <w:color w:val="auto"/>
          <w:szCs w:val="21"/>
          <w:lang w:eastAsia="zh-CN"/>
        </w:rPr>
        <w:t>采购组织机构向中标人发出中标通知书。</w:t>
      </w:r>
    </w:p>
    <w:p w14:paraId="200F62A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2944FBC8">
      <w:pPr>
        <w:keepNext w:val="0"/>
        <w:keepLines w:val="0"/>
        <w:pageBreakBefore w:val="0"/>
        <w:widowControl w:val="0"/>
        <w:kinsoku/>
        <w:wordWrap/>
        <w:overflowPunct/>
        <w:topLinePunct w:val="0"/>
        <w:autoSpaceDE/>
        <w:autoSpaceDN/>
        <w:bidi w:val="0"/>
        <w:spacing w:beforeLines="50" w:line="380" w:lineRule="exact"/>
        <w:jc w:val="center"/>
        <w:textAlignment w:val="auto"/>
        <w:outlineLvl w:val="2"/>
        <w:rPr>
          <w:rFonts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25"/>
    </w:p>
    <w:p w14:paraId="27B536E9">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bookmarkStart w:id="26" w:name="_Toc73975842"/>
      <w:bookmarkStart w:id="27" w:name="_Toc469495730"/>
      <w:r>
        <w:rPr>
          <w:rFonts w:hint="eastAsia" w:ascii="仿宋" w:hAnsi="仿宋" w:eastAsia="仿宋" w:cs="仿宋"/>
          <w:color w:val="auto"/>
          <w:szCs w:val="21"/>
          <w:lang w:eastAsia="zh-CN"/>
        </w:rPr>
        <w:t>43．履约保证金</w:t>
      </w:r>
      <w:bookmarkEnd w:id="26"/>
    </w:p>
    <w:p w14:paraId="6AC0EA9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43.1 </w:t>
      </w:r>
      <w:r>
        <w:rPr>
          <w:rFonts w:hint="eastAsia" w:ascii="仿宋" w:hAnsi="仿宋" w:eastAsia="仿宋" w:cs="仿宋"/>
          <w:color w:val="auto"/>
          <w:szCs w:val="21"/>
          <w:highlight w:val="none"/>
          <w:lang w:eastAsia="zh-CN"/>
        </w:rPr>
        <w:t>中标供应商在签订合同后10个工作日内向采购人缴纳中标价</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eastAsia="zh-CN"/>
        </w:rPr>
        <w:t>的履约保证金</w:t>
      </w:r>
      <w:r>
        <w:rPr>
          <w:rFonts w:hint="eastAsia" w:ascii="仿宋" w:hAnsi="仿宋" w:eastAsia="仿宋" w:cs="仿宋"/>
          <w:color w:val="auto"/>
          <w:szCs w:val="21"/>
          <w:lang w:eastAsia="zh-CN"/>
        </w:rPr>
        <w:t>（鼓励以银行、保险公司出具的履约保函形式提交；若以电汇、银行转账方式提交的，必须转到采购人的指定账户）。</w:t>
      </w:r>
    </w:p>
    <w:p w14:paraId="79C88F6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签订合同后，如中标供应商不按合同约定履约的，履约保证金不予退还，履约保证金不足以赔偿损失的，按实际损失赔偿。</w:t>
      </w:r>
    </w:p>
    <w:p w14:paraId="4C760719">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43.3 如果中标供应商在</w:t>
      </w:r>
      <w:r>
        <w:rPr>
          <w:rFonts w:hint="eastAsia" w:ascii="仿宋" w:hAnsi="仿宋" w:eastAsia="仿宋" w:cs="仿宋"/>
          <w:color w:val="auto"/>
          <w:szCs w:val="21"/>
          <w:lang w:val="en-US" w:eastAsia="zh-CN"/>
        </w:rPr>
        <w:t>服务</w:t>
      </w:r>
      <w:r>
        <w:rPr>
          <w:rFonts w:hint="eastAsia" w:ascii="仿宋" w:hAnsi="仿宋" w:eastAsia="仿宋" w:cs="仿宋"/>
          <w:color w:val="auto"/>
          <w:szCs w:val="21"/>
          <w:lang w:eastAsia="zh-CN"/>
        </w:rPr>
        <w:t>期内没有涉及采购人的应付而未付金额或违约行为，采购人在项目验收合格后或提前终止合同后全额无息退还履约保证金。</w:t>
      </w:r>
    </w:p>
    <w:p w14:paraId="6FC94830">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bookmarkStart w:id="28" w:name="_Toc73975843"/>
      <w:r>
        <w:rPr>
          <w:rFonts w:hint="eastAsia" w:ascii="仿宋" w:hAnsi="仿宋" w:eastAsia="仿宋" w:cs="仿宋"/>
          <w:color w:val="auto"/>
          <w:szCs w:val="21"/>
          <w:lang w:eastAsia="zh-CN"/>
        </w:rPr>
        <w:t>44．签订合同及公告</w:t>
      </w:r>
      <w:bookmarkEnd w:id="28"/>
    </w:p>
    <w:p w14:paraId="55BAC47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44.1采购人在中标通知书发出之日起30日内与中标供应商签订合同。</w:t>
      </w:r>
    </w:p>
    <w:p w14:paraId="547C8EA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44.2中标供应商拖延、拒签合同的,取消中标资格。</w:t>
      </w:r>
    </w:p>
    <w:p w14:paraId="37D1F99C">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14:paraId="3B76A4B0">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14:paraId="053A61D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14:paraId="0893ADA2">
      <w:pPr>
        <w:keepNext w:val="0"/>
        <w:keepLines w:val="0"/>
        <w:pageBreakBefore w:val="0"/>
        <w:widowControl w:val="0"/>
        <w:kinsoku/>
        <w:wordWrap/>
        <w:overflowPunct/>
        <w:topLinePunct w:val="0"/>
        <w:autoSpaceDE/>
        <w:autoSpaceDN/>
        <w:bidi w:val="0"/>
        <w:adjustRightInd w:val="0"/>
        <w:snapToGrid w:val="0"/>
        <w:spacing w:line="380" w:lineRule="exact"/>
        <w:jc w:val="center"/>
        <w:textAlignment w:val="auto"/>
        <w:outlineLvl w:val="2"/>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27"/>
    </w:p>
    <w:p w14:paraId="4B64C83F">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14:paraId="60EA7A22">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45.1招标人不得泄漏招标投标活动中应当保密的情况和资料，不得与供应商串通损害国家利益，社会公共利益或者他人合法权益。 </w:t>
      </w:r>
    </w:p>
    <w:p w14:paraId="4C564E91">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46. 对供应商的纪律要求 </w:t>
      </w:r>
    </w:p>
    <w:p w14:paraId="011348C5">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46.1供应商不得相互串通投标或者与招标人串通投标，不得向招标人或者评标委员会成员行贿谋取中标，不得以他人名义投标或者以其他方式弄虚作假骗取中标；供应商不得以任何方式干扰、影响评标工作。</w:t>
      </w:r>
    </w:p>
    <w:p w14:paraId="61AE31C9">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14:paraId="5B7BE242">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47.1评标委员会成员不得收受他人的财物或者其他好处，不得向他人透漏对投标文件的评审和比较、中标候选人的推荐情况以及评标有关的其他情况。</w:t>
      </w:r>
    </w:p>
    <w:p w14:paraId="5D0853A3">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14:paraId="66A06742">
      <w:pPr>
        <w:keepNext w:val="0"/>
        <w:keepLines w:val="0"/>
        <w:pageBreakBefore w:val="0"/>
        <w:widowControl w:val="0"/>
        <w:kinsoku/>
        <w:wordWrap/>
        <w:overflowPunct/>
        <w:topLinePunct w:val="0"/>
        <w:autoSpaceDE/>
        <w:autoSpaceDN/>
        <w:bidi w:val="0"/>
        <w:spacing w:line="380" w:lineRule="exact"/>
        <w:ind w:firstLine="356" w:firstLineChars="147"/>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14:paraId="27F749E7">
      <w:pPr>
        <w:keepNext w:val="0"/>
        <w:keepLines w:val="0"/>
        <w:pageBreakBefore w:val="0"/>
        <w:widowControl w:val="0"/>
        <w:kinsoku/>
        <w:wordWrap/>
        <w:overflowPunct/>
        <w:topLinePunct w:val="0"/>
        <w:autoSpaceDE/>
        <w:autoSpaceDN/>
        <w:bidi w:val="0"/>
        <w:adjustRightInd w:val="0"/>
        <w:snapToGrid w:val="0"/>
        <w:spacing w:line="380" w:lineRule="exact"/>
        <w:ind w:firstLine="364" w:firstLineChars="150"/>
        <w:textAlignment w:val="auto"/>
        <w:rPr>
          <w:rFonts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9AB15DE">
      <w:pPr>
        <w:keepNext w:val="0"/>
        <w:keepLines w:val="0"/>
        <w:pageBreakBefore w:val="0"/>
        <w:widowControl w:val="0"/>
        <w:kinsoku/>
        <w:wordWrap/>
        <w:overflowPunct/>
        <w:topLinePunct w:val="0"/>
        <w:autoSpaceDE/>
        <w:autoSpaceDN/>
        <w:bidi w:val="0"/>
        <w:spacing w:beforeLines="50" w:afterLines="50" w:line="380" w:lineRule="exact"/>
        <w:jc w:val="center"/>
        <w:textAlignment w:val="auto"/>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14:paraId="0091C401">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14:paraId="60CE9E9B">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14:paraId="59415494">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（一）对可以质疑的采购文件提出质疑的，为收到采购文件之日或者采购文件公告期限届满之日；</w:t>
      </w:r>
    </w:p>
    <w:p w14:paraId="1CA287E2">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14:paraId="3F7EBB9A">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14:paraId="1C5DAF87">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14:paraId="46EC2152">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14:paraId="31D30C89">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14:paraId="70DA51BF">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14:paraId="5C6C70C5">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49.5供应商有下列情形之一的，采购代理机构将报告克州财政局，将其列入不良行为记录名单：</w:t>
      </w:r>
    </w:p>
    <w:p w14:paraId="5C9926D6">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14:paraId="7E7C62E1">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14:paraId="01AEC5D2">
      <w:pPr>
        <w:keepNext w:val="0"/>
        <w:keepLines w:val="0"/>
        <w:pageBreakBefore w:val="0"/>
        <w:widowControl w:val="0"/>
        <w:kinsoku/>
        <w:wordWrap/>
        <w:overflowPunct/>
        <w:topLinePunct w:val="0"/>
        <w:autoSpaceDE/>
        <w:autoSpaceDN/>
        <w:bidi w:val="0"/>
        <w:spacing w:line="38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14:paraId="2E951982">
      <w:pPr>
        <w:spacing w:line="360" w:lineRule="exact"/>
        <w:jc w:val="center"/>
        <w:rPr>
          <w:rFonts w:ascii="仿宋" w:hAnsi="仿宋" w:eastAsia="仿宋" w:cs="仿宋"/>
          <w:color w:val="auto"/>
          <w:sz w:val="30"/>
          <w:szCs w:val="30"/>
          <w:lang w:eastAsia="zh-CN"/>
        </w:rPr>
      </w:pPr>
    </w:p>
    <w:p w14:paraId="7A9BEF25">
      <w:pPr>
        <w:pStyle w:val="32"/>
        <w:rPr>
          <w:rFonts w:ascii="仿宋" w:hAnsi="仿宋" w:eastAsia="仿宋" w:cs="仿宋"/>
          <w:color w:val="auto"/>
          <w:sz w:val="30"/>
          <w:szCs w:val="30"/>
          <w:lang w:eastAsia="zh-CN"/>
        </w:rPr>
      </w:pPr>
    </w:p>
    <w:p w14:paraId="039184ED">
      <w:pPr>
        <w:pStyle w:val="32"/>
        <w:rPr>
          <w:rFonts w:ascii="仿宋" w:hAnsi="仿宋" w:eastAsia="仿宋" w:cs="仿宋"/>
          <w:color w:val="auto"/>
          <w:sz w:val="30"/>
          <w:szCs w:val="30"/>
          <w:lang w:eastAsia="zh-CN"/>
        </w:rPr>
      </w:pPr>
    </w:p>
    <w:p w14:paraId="58BDFD01">
      <w:pPr>
        <w:pStyle w:val="32"/>
        <w:rPr>
          <w:rFonts w:ascii="仿宋" w:hAnsi="仿宋" w:eastAsia="仿宋" w:cs="仿宋"/>
          <w:color w:val="auto"/>
          <w:sz w:val="30"/>
          <w:szCs w:val="30"/>
          <w:lang w:eastAsia="zh-CN"/>
        </w:rPr>
      </w:pPr>
    </w:p>
    <w:p w14:paraId="3C27DE5F">
      <w:pPr>
        <w:pStyle w:val="32"/>
        <w:rPr>
          <w:rFonts w:ascii="仿宋" w:hAnsi="仿宋" w:eastAsia="仿宋" w:cs="仿宋"/>
          <w:color w:val="auto"/>
          <w:sz w:val="30"/>
          <w:szCs w:val="30"/>
          <w:lang w:eastAsia="zh-CN"/>
        </w:rPr>
      </w:pPr>
    </w:p>
    <w:p w14:paraId="6189A59D">
      <w:pPr>
        <w:pStyle w:val="32"/>
        <w:rPr>
          <w:rFonts w:ascii="仿宋" w:hAnsi="仿宋" w:eastAsia="仿宋" w:cs="仿宋"/>
          <w:color w:val="auto"/>
          <w:sz w:val="30"/>
          <w:szCs w:val="30"/>
          <w:lang w:eastAsia="zh-CN"/>
        </w:rPr>
      </w:pPr>
    </w:p>
    <w:p w14:paraId="5FEC876F">
      <w:pPr>
        <w:pStyle w:val="32"/>
        <w:rPr>
          <w:rFonts w:ascii="仿宋" w:hAnsi="仿宋" w:eastAsia="仿宋" w:cs="仿宋"/>
          <w:color w:val="auto"/>
          <w:sz w:val="30"/>
          <w:szCs w:val="30"/>
          <w:lang w:eastAsia="zh-CN"/>
        </w:rPr>
      </w:pPr>
    </w:p>
    <w:p w14:paraId="339F7482">
      <w:pPr>
        <w:pStyle w:val="32"/>
        <w:rPr>
          <w:rFonts w:ascii="仿宋" w:hAnsi="仿宋" w:eastAsia="仿宋" w:cs="仿宋"/>
          <w:color w:val="auto"/>
          <w:sz w:val="30"/>
          <w:szCs w:val="30"/>
          <w:lang w:eastAsia="zh-CN"/>
        </w:rPr>
      </w:pPr>
    </w:p>
    <w:p w14:paraId="49993AA0">
      <w:pPr>
        <w:pStyle w:val="32"/>
        <w:rPr>
          <w:rFonts w:ascii="仿宋" w:hAnsi="仿宋" w:eastAsia="仿宋" w:cs="仿宋"/>
          <w:color w:val="auto"/>
          <w:sz w:val="30"/>
          <w:szCs w:val="30"/>
          <w:lang w:eastAsia="zh-CN"/>
        </w:rPr>
      </w:pPr>
    </w:p>
    <w:p w14:paraId="5945367E">
      <w:pPr>
        <w:pStyle w:val="32"/>
        <w:rPr>
          <w:rFonts w:ascii="仿宋" w:hAnsi="仿宋" w:eastAsia="仿宋" w:cs="仿宋"/>
          <w:color w:val="auto"/>
          <w:sz w:val="30"/>
          <w:szCs w:val="30"/>
          <w:lang w:eastAsia="zh-CN"/>
        </w:rPr>
      </w:pPr>
    </w:p>
    <w:p w14:paraId="49ED3E2A">
      <w:pPr>
        <w:pStyle w:val="32"/>
        <w:rPr>
          <w:rFonts w:ascii="仿宋" w:hAnsi="仿宋" w:eastAsia="仿宋" w:cs="仿宋"/>
          <w:color w:val="auto"/>
          <w:sz w:val="30"/>
          <w:szCs w:val="30"/>
          <w:lang w:eastAsia="zh-CN"/>
        </w:rPr>
      </w:pPr>
    </w:p>
    <w:p w14:paraId="6D61B1C6">
      <w:pPr>
        <w:rPr>
          <w:rFonts w:ascii="仿宋" w:hAnsi="仿宋" w:eastAsia="仿宋" w:cs="仿宋"/>
          <w:b/>
          <w:bCs/>
          <w:color w:val="auto"/>
          <w:sz w:val="21"/>
          <w:szCs w:val="21"/>
          <w:lang w:eastAsia="zh-CN"/>
        </w:rPr>
      </w:pPr>
    </w:p>
    <w:p w14:paraId="313B9546">
      <w:pPr>
        <w:rPr>
          <w:rFonts w:hint="eastAsia" w:ascii="仿宋" w:hAnsi="仿宋" w:eastAsia="仿宋" w:cs="仿宋"/>
          <w:b/>
          <w:bCs/>
          <w:color w:val="auto"/>
          <w:lang w:eastAsia="zh-CN"/>
        </w:rPr>
      </w:pPr>
    </w:p>
    <w:p w14:paraId="3C58CAD7">
      <w:pPr>
        <w:rPr>
          <w:rFonts w:hint="eastAsia" w:ascii="仿宋" w:hAnsi="仿宋" w:eastAsia="仿宋" w:cs="仿宋"/>
          <w:b/>
          <w:bCs/>
          <w:color w:val="auto"/>
          <w:lang w:eastAsia="zh-CN"/>
        </w:rPr>
      </w:pPr>
    </w:p>
    <w:p w14:paraId="7DBCEEF4">
      <w:pPr>
        <w:rPr>
          <w:rFonts w:hint="eastAsia" w:ascii="仿宋" w:hAnsi="仿宋" w:eastAsia="仿宋" w:cs="仿宋"/>
          <w:b/>
          <w:bCs/>
          <w:color w:val="auto"/>
          <w:lang w:eastAsia="zh-CN"/>
        </w:rPr>
      </w:pPr>
    </w:p>
    <w:p w14:paraId="125CA81F">
      <w:pPr>
        <w:rPr>
          <w:rFonts w:hint="eastAsia" w:ascii="仿宋" w:hAnsi="仿宋" w:eastAsia="仿宋" w:cs="仿宋"/>
          <w:b/>
          <w:bCs/>
          <w:color w:val="auto"/>
          <w:lang w:eastAsia="zh-CN"/>
        </w:rPr>
      </w:pPr>
    </w:p>
    <w:p w14:paraId="7C14C262">
      <w:pPr>
        <w:rPr>
          <w:rFonts w:hint="eastAsia" w:ascii="仿宋" w:hAnsi="仿宋" w:eastAsia="仿宋" w:cs="仿宋"/>
          <w:b/>
          <w:bCs/>
          <w:color w:val="auto"/>
          <w:lang w:eastAsia="zh-CN"/>
        </w:rPr>
      </w:pPr>
    </w:p>
    <w:p w14:paraId="6FA9AA2D">
      <w:pPr>
        <w:rPr>
          <w:rFonts w:hint="eastAsia" w:ascii="仿宋" w:hAnsi="仿宋" w:eastAsia="仿宋" w:cs="仿宋"/>
          <w:b/>
          <w:bCs/>
          <w:color w:val="auto"/>
          <w:lang w:eastAsia="zh-CN"/>
        </w:rPr>
      </w:pPr>
    </w:p>
    <w:p w14:paraId="32DBB711">
      <w:pPr>
        <w:rPr>
          <w:rFonts w:hint="eastAsia" w:ascii="仿宋" w:hAnsi="仿宋" w:eastAsia="仿宋" w:cs="仿宋"/>
          <w:b/>
          <w:bCs/>
          <w:color w:val="auto"/>
          <w:lang w:eastAsia="zh-CN"/>
        </w:rPr>
      </w:pPr>
    </w:p>
    <w:p w14:paraId="6D01E7D0">
      <w:pPr>
        <w:rPr>
          <w:rFonts w:hint="eastAsia" w:ascii="仿宋" w:hAnsi="仿宋" w:eastAsia="仿宋" w:cs="仿宋"/>
          <w:b/>
          <w:bCs/>
          <w:color w:val="auto"/>
          <w:lang w:eastAsia="zh-CN"/>
        </w:rPr>
      </w:pPr>
    </w:p>
    <w:p w14:paraId="34177391">
      <w:pPr>
        <w:rPr>
          <w:rFonts w:hint="eastAsia" w:ascii="仿宋" w:hAnsi="仿宋" w:eastAsia="仿宋" w:cs="仿宋"/>
          <w:b/>
          <w:bCs/>
          <w:color w:val="auto"/>
          <w:lang w:eastAsia="zh-CN"/>
        </w:rPr>
      </w:pPr>
    </w:p>
    <w:p w14:paraId="002963D3">
      <w:pPr>
        <w:rPr>
          <w:rFonts w:hint="eastAsia" w:ascii="仿宋" w:hAnsi="仿宋" w:eastAsia="仿宋" w:cs="仿宋"/>
          <w:b/>
          <w:bCs/>
          <w:color w:val="auto"/>
          <w:lang w:eastAsia="zh-CN"/>
        </w:rPr>
      </w:pPr>
    </w:p>
    <w:p w14:paraId="4BACFD96">
      <w:pPr>
        <w:rPr>
          <w:rFonts w:hint="eastAsia" w:ascii="仿宋" w:hAnsi="仿宋" w:eastAsia="仿宋" w:cs="仿宋"/>
          <w:b/>
          <w:bCs/>
          <w:color w:val="auto"/>
          <w:lang w:eastAsia="zh-CN"/>
        </w:rPr>
      </w:pPr>
    </w:p>
    <w:p w14:paraId="4C194726">
      <w:pPr>
        <w:rPr>
          <w:rFonts w:hint="eastAsia" w:ascii="仿宋" w:hAnsi="仿宋" w:eastAsia="仿宋" w:cs="仿宋"/>
          <w:b/>
          <w:bCs/>
          <w:color w:val="auto"/>
          <w:lang w:eastAsia="zh-CN"/>
        </w:rPr>
      </w:pPr>
    </w:p>
    <w:p w14:paraId="602229F8">
      <w:pPr>
        <w:rPr>
          <w:rFonts w:hint="eastAsia" w:ascii="仿宋" w:hAnsi="仿宋" w:eastAsia="仿宋" w:cs="仿宋"/>
          <w:b/>
          <w:bCs/>
          <w:color w:val="auto"/>
          <w:lang w:eastAsia="zh-CN"/>
        </w:rPr>
      </w:pPr>
    </w:p>
    <w:p w14:paraId="7CB4EFC9">
      <w:pPr>
        <w:rPr>
          <w:rFonts w:hint="eastAsia" w:ascii="仿宋" w:hAnsi="仿宋" w:eastAsia="仿宋" w:cs="仿宋"/>
          <w:b/>
          <w:bCs/>
          <w:color w:val="auto"/>
          <w:lang w:eastAsia="zh-CN"/>
        </w:rPr>
      </w:pPr>
    </w:p>
    <w:p w14:paraId="01751D82">
      <w:pPr>
        <w:rPr>
          <w:rFonts w:hint="eastAsia" w:ascii="仿宋" w:hAnsi="仿宋" w:eastAsia="仿宋" w:cs="仿宋"/>
          <w:b/>
          <w:bCs/>
          <w:color w:val="auto"/>
          <w:lang w:eastAsia="zh-CN"/>
        </w:rPr>
      </w:pPr>
    </w:p>
    <w:p w14:paraId="53F20FFA">
      <w:pPr>
        <w:rPr>
          <w:rFonts w:hint="eastAsia" w:ascii="仿宋" w:hAnsi="仿宋" w:eastAsia="仿宋" w:cs="仿宋"/>
          <w:b/>
          <w:bCs/>
          <w:color w:val="auto"/>
          <w:lang w:eastAsia="zh-CN"/>
        </w:rPr>
      </w:pPr>
    </w:p>
    <w:p w14:paraId="6EDE5979">
      <w:pPr>
        <w:rPr>
          <w:rFonts w:ascii="仿宋" w:hAnsi="仿宋" w:eastAsia="仿宋" w:cs="仿宋"/>
          <w:b/>
          <w:bCs/>
          <w:color w:val="auto"/>
          <w:lang w:eastAsia="zh-CN"/>
        </w:rPr>
      </w:pPr>
      <w:r>
        <w:rPr>
          <w:rFonts w:hint="eastAsia" w:ascii="仿宋" w:hAnsi="仿宋" w:eastAsia="仿宋" w:cs="仿宋"/>
          <w:b/>
          <w:bCs/>
          <w:color w:val="auto"/>
          <w:lang w:eastAsia="zh-CN"/>
        </w:rPr>
        <w:t>附件：</w:t>
      </w:r>
    </w:p>
    <w:p w14:paraId="792E5B1C">
      <w:pPr>
        <w:jc w:val="center"/>
        <w:rPr>
          <w:rFonts w:ascii="仿宋" w:hAnsi="仿宋" w:eastAsia="仿宋" w:cs="仿宋"/>
          <w:b/>
          <w:bCs/>
          <w:color w:val="auto"/>
          <w:sz w:val="28"/>
          <w:szCs w:val="28"/>
          <w:highlight w:val="none"/>
          <w:lang w:eastAsia="zh-CN"/>
        </w:rPr>
      </w:pPr>
      <w:r>
        <w:rPr>
          <w:rFonts w:hint="eastAsia" w:ascii="仿宋" w:hAnsi="仿宋" w:eastAsia="仿宋" w:cs="仿宋"/>
          <w:b/>
          <w:bCs/>
          <w:color w:val="auto"/>
          <w:sz w:val="32"/>
          <w:szCs w:val="32"/>
          <w:highlight w:val="none"/>
          <w:lang w:eastAsia="zh-CN"/>
        </w:rPr>
        <w:t>政府采购投诉书（范本）、质疑函范本</w:t>
      </w:r>
    </w:p>
    <w:p w14:paraId="1B5B8EC4">
      <w:pPr>
        <w:spacing w:line="400" w:lineRule="exact"/>
        <w:jc w:val="center"/>
        <w:rPr>
          <w:rFonts w:ascii="仿宋" w:hAnsi="仿宋" w:eastAsia="仿宋" w:cs="仿宋"/>
          <w:color w:val="auto"/>
          <w:highlight w:val="none"/>
          <w:u w:val="single"/>
          <w:lang w:eastAsia="zh-CN"/>
        </w:rPr>
      </w:pPr>
      <w:r>
        <w:rPr>
          <w:rFonts w:hint="eastAsia" w:ascii="仿宋" w:hAnsi="仿宋" w:eastAsia="仿宋" w:cs="仿宋"/>
          <w:b/>
          <w:bCs/>
          <w:color w:val="auto"/>
          <w:sz w:val="28"/>
          <w:szCs w:val="28"/>
          <w:highlight w:val="none"/>
          <w:lang w:eastAsia="zh-CN"/>
        </w:rPr>
        <w:t>政府采购投诉书（范本）</w:t>
      </w:r>
    </w:p>
    <w:p w14:paraId="1213DBAA">
      <w:pPr>
        <w:spacing w:line="400" w:lineRule="exact"/>
        <w:rPr>
          <w:rFonts w:ascii="仿宋" w:hAnsi="仿宋" w:eastAsia="仿宋" w:cs="仿宋"/>
          <w:color w:val="auto"/>
          <w:highlight w:val="none"/>
          <w:lang w:eastAsia="zh-CN"/>
        </w:rPr>
      </w:pPr>
    </w:p>
    <w:p w14:paraId="229540F5">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5D2C1467">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0E820F61">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委托代理人姓名：</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职务：</w:t>
      </w:r>
      <w:r>
        <w:rPr>
          <w:rFonts w:hint="eastAsia" w:ascii="仿宋" w:hAnsi="仿宋" w:eastAsia="仿宋" w:cs="仿宋"/>
          <w:color w:val="auto"/>
          <w:highlight w:val="none"/>
          <w:u w:val="single"/>
          <w:lang w:eastAsia="zh-CN"/>
        </w:rPr>
        <w:t xml:space="preserve">               </w:t>
      </w:r>
    </w:p>
    <w:p w14:paraId="0B8B4411">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住址：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联系电话：</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w:t>
      </w:r>
    </w:p>
    <w:p w14:paraId="13620E85">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被投诉人：</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            法定代表人：</w:t>
      </w:r>
      <w:r>
        <w:rPr>
          <w:rFonts w:hint="eastAsia" w:ascii="仿宋" w:hAnsi="仿宋" w:eastAsia="仿宋" w:cs="仿宋"/>
          <w:color w:val="auto"/>
          <w:highlight w:val="none"/>
          <w:u w:val="single"/>
          <w:lang w:eastAsia="zh-CN"/>
        </w:rPr>
        <w:t xml:space="preserve">         </w:t>
      </w:r>
    </w:p>
    <w:p w14:paraId="3335D69D">
      <w:pPr>
        <w:spacing w:line="400" w:lineRule="exact"/>
        <w:ind w:firstLine="486" w:firstLineChars="200"/>
        <w:rPr>
          <w:rFonts w:ascii="仿宋" w:hAnsi="仿宋" w:eastAsia="仿宋" w:cs="仿宋"/>
          <w:color w:val="auto"/>
          <w:highlight w:val="none"/>
          <w:u w:val="singl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电话：</w:t>
      </w:r>
      <w:r>
        <w:rPr>
          <w:rFonts w:hint="eastAsia" w:ascii="仿宋" w:hAnsi="仿宋" w:eastAsia="仿宋" w:cs="仿宋"/>
          <w:color w:val="auto"/>
          <w:highlight w:val="none"/>
          <w:u w:val="single"/>
          <w:lang w:eastAsia="zh-CN"/>
        </w:rPr>
        <w:t xml:space="preserve">               </w:t>
      </w:r>
    </w:p>
    <w:p w14:paraId="035A0760">
      <w:pPr>
        <w:spacing w:line="400" w:lineRule="exact"/>
        <w:ind w:firstLine="486" w:firstLineChars="200"/>
        <w:rPr>
          <w:rFonts w:ascii="仿宋" w:hAnsi="仿宋" w:eastAsia="仿宋" w:cs="仿宋"/>
          <w:color w:val="auto"/>
          <w:highlight w:val="none"/>
          <w:lang w:eastAsia="zh-CN"/>
        </w:rPr>
      </w:pPr>
    </w:p>
    <w:p w14:paraId="2BBD4A1D">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我公司参加了</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 xml:space="preserve">年 </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日被投诉人组织的</w:t>
      </w:r>
      <w:r>
        <w:rPr>
          <w:rFonts w:hint="eastAsia" w:ascii="仿宋" w:hAnsi="仿宋" w:eastAsia="仿宋" w:cs="仿宋"/>
          <w:color w:val="auto"/>
          <w:highlight w:val="none"/>
          <w:u w:val="single"/>
          <w:lang w:eastAsia="zh-CN"/>
        </w:rPr>
        <w:t>（采购人）（项目名称）（项目编号）</w:t>
      </w:r>
      <w:r>
        <w:rPr>
          <w:rFonts w:hint="eastAsia" w:ascii="仿宋" w:hAnsi="仿宋" w:eastAsia="仿宋" w:cs="仿宋"/>
          <w:color w:val="auto"/>
          <w:highlight w:val="none"/>
          <w:lang w:eastAsia="zh-CN"/>
        </w:rPr>
        <w:t>的采购活动，我公司认为该项目的</w:t>
      </w:r>
      <w:r>
        <w:rPr>
          <w:rFonts w:hint="eastAsia" w:ascii="仿宋" w:hAnsi="仿宋" w:eastAsia="仿宋" w:cs="仿宋"/>
          <w:color w:val="auto"/>
          <w:highlight w:val="none"/>
          <w:u w:val="single"/>
          <w:lang w:eastAsia="zh-CN"/>
        </w:rPr>
        <w:t>（采购文件/采购过程/中标（中标）结果）</w:t>
      </w:r>
      <w:r>
        <w:rPr>
          <w:rFonts w:hint="eastAsia" w:ascii="仿宋" w:hAnsi="仿宋" w:eastAsia="仿宋" w:cs="仿宋"/>
          <w:color w:val="auto"/>
          <w:highlight w:val="none"/>
          <w:lang w:eastAsia="zh-CN"/>
        </w:rPr>
        <w:t>损害了我公司权益，对此，我公司于</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日向</w:t>
      </w:r>
      <w:r>
        <w:rPr>
          <w:rFonts w:hint="eastAsia" w:ascii="仿宋" w:hAnsi="仿宋" w:eastAsia="仿宋" w:cs="仿宋"/>
          <w:color w:val="auto"/>
          <w:highlight w:val="none"/>
          <w:u w:val="single"/>
          <w:lang w:eastAsia="zh-CN"/>
        </w:rPr>
        <w:t>（采购人或者政府采购代理机构）</w:t>
      </w:r>
      <w:r>
        <w:rPr>
          <w:rFonts w:hint="eastAsia" w:ascii="仿宋" w:hAnsi="仿宋" w:eastAsia="仿宋" w:cs="仿宋"/>
          <w:color w:val="auto"/>
          <w:highlight w:val="none"/>
          <w:lang w:eastAsia="zh-CN"/>
        </w:rPr>
        <w:t>提出了质疑，</w:t>
      </w:r>
      <w:r>
        <w:rPr>
          <w:rFonts w:hint="eastAsia" w:ascii="仿宋" w:hAnsi="仿宋" w:eastAsia="仿宋" w:cs="仿宋"/>
          <w:color w:val="auto"/>
          <w:highlight w:val="none"/>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highlight w:val="none"/>
          <w:lang w:eastAsia="zh-CN"/>
        </w:rPr>
        <w:t>，现向贵机关提起投诉：</w:t>
      </w:r>
    </w:p>
    <w:p w14:paraId="50C5DA86">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u w:val="single"/>
          <w:lang w:eastAsia="zh-CN"/>
        </w:rPr>
        <w:t>具体的投诉事项及事实依据；</w:t>
      </w:r>
    </w:p>
    <w:p w14:paraId="3C7995F6">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u w:val="single"/>
          <w:lang w:eastAsia="zh-CN"/>
        </w:rPr>
        <w:t>质疑和质疑答复情况简要描述；</w:t>
      </w:r>
    </w:p>
    <w:p w14:paraId="2160A972">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3.</w:t>
      </w:r>
      <w:r>
        <w:rPr>
          <w:rFonts w:hint="eastAsia" w:ascii="仿宋" w:hAnsi="仿宋" w:eastAsia="仿宋" w:cs="仿宋"/>
          <w:color w:val="auto"/>
          <w:highlight w:val="none"/>
          <w:u w:val="single"/>
          <w:lang w:eastAsia="zh-CN"/>
        </w:rPr>
        <w:t>投诉请求。</w:t>
      </w:r>
    </w:p>
    <w:p w14:paraId="12E8E910">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附件：</w:t>
      </w:r>
    </w:p>
    <w:p w14:paraId="30C2B88C">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1.质疑书和质疑答复书；</w:t>
      </w:r>
    </w:p>
    <w:p w14:paraId="56A01B6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2.证据材料（需注明证据来源），证人的姓名、住址和联系方式等；</w:t>
      </w:r>
    </w:p>
    <w:p w14:paraId="4192450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3.营业执照；</w:t>
      </w:r>
    </w:p>
    <w:p w14:paraId="71BDA945">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4.法定代表人身份证明函</w:t>
      </w:r>
    </w:p>
    <w:p w14:paraId="5FC37D99">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5.法定代表人授权委托书（包含法定代表人和委托代理人的身份证复印件）；</w:t>
      </w:r>
    </w:p>
    <w:p w14:paraId="5EDF5913">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6.政府采购监管部门认为应当提供的其它材料。</w:t>
      </w:r>
    </w:p>
    <w:p w14:paraId="4488EEA3">
      <w:pPr>
        <w:spacing w:line="400" w:lineRule="exact"/>
        <w:jc w:val="center"/>
        <w:rPr>
          <w:rFonts w:ascii="仿宋" w:hAnsi="仿宋" w:eastAsia="仿宋" w:cs="仿宋"/>
          <w:color w:val="auto"/>
          <w:highlight w:val="none"/>
          <w:lang w:eastAsia="zh-CN"/>
        </w:rPr>
      </w:pPr>
    </w:p>
    <w:p w14:paraId="46A8E0C2">
      <w:pPr>
        <w:spacing w:line="40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投诉供应商：（盖章）</w:t>
      </w:r>
    </w:p>
    <w:p w14:paraId="7FA2E5DE">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法定代表人（或主要负责人）：（签章）</w:t>
      </w:r>
    </w:p>
    <w:p w14:paraId="5F3602D5">
      <w:pPr>
        <w:spacing w:line="400" w:lineRule="exact"/>
        <w:ind w:firstLine="3645" w:firstLineChars="15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年</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月</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日</w:t>
      </w:r>
    </w:p>
    <w:p w14:paraId="767003A1">
      <w:pPr>
        <w:spacing w:line="400" w:lineRule="exact"/>
        <w:rPr>
          <w:rFonts w:ascii="仿宋" w:hAnsi="仿宋" w:eastAsia="仿宋" w:cs="仿宋"/>
          <w:color w:val="auto"/>
          <w:highlight w:val="none"/>
          <w:lang w:eastAsia="zh-CN"/>
        </w:rPr>
      </w:pPr>
    </w:p>
    <w:p w14:paraId="476BA5FD">
      <w:pPr>
        <w:spacing w:line="400" w:lineRule="exact"/>
        <w:jc w:val="center"/>
        <w:rPr>
          <w:rFonts w:hint="eastAsia" w:ascii="仿宋" w:hAnsi="仿宋" w:eastAsia="仿宋" w:cs="仿宋"/>
          <w:b/>
          <w:bCs/>
          <w:color w:val="auto"/>
          <w:sz w:val="32"/>
          <w:szCs w:val="32"/>
          <w:highlight w:val="none"/>
          <w:lang w:eastAsia="zh-CN"/>
        </w:rPr>
      </w:pP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本投诉书正本叁份，副本</w:t>
      </w:r>
      <w:r>
        <w:rPr>
          <w:rFonts w:hint="eastAsia" w:ascii="仿宋" w:hAnsi="仿宋" w:eastAsia="仿宋" w:cs="仿宋"/>
          <w:color w:val="auto"/>
          <w:highlight w:val="none"/>
          <w:u w:val="single"/>
          <w:lang w:eastAsia="zh-CN"/>
        </w:rPr>
        <w:t xml:space="preserve">   </w:t>
      </w:r>
      <w:r>
        <w:rPr>
          <w:rFonts w:hint="eastAsia" w:ascii="仿宋" w:hAnsi="仿宋" w:eastAsia="仿宋" w:cs="仿宋"/>
          <w:color w:val="auto"/>
          <w:highlight w:val="none"/>
          <w:lang w:eastAsia="zh-CN"/>
        </w:rPr>
        <w:t>份并附电子文档。</w:t>
      </w:r>
      <w:bookmarkStart w:id="29" w:name="_Toc17515"/>
    </w:p>
    <w:p w14:paraId="1F52D901">
      <w:pPr>
        <w:ind w:left="5783" w:hanging="5814" w:hangingChars="1800"/>
        <w:jc w:val="center"/>
        <w:outlineLvl w:val="0"/>
        <w:rPr>
          <w:rFonts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lang w:eastAsia="zh-CN"/>
        </w:rPr>
        <w:t>投诉相关说明</w:t>
      </w:r>
      <w:bookmarkEnd w:id="29"/>
    </w:p>
    <w:p w14:paraId="17A6F2EC">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投诉人应当满足《政府采购法》、《政府采购法实施条例》和《政府采购供应商投诉处理办法》的相关规定。</w:t>
      </w:r>
    </w:p>
    <w:p w14:paraId="06541A2B">
      <w:pPr>
        <w:numPr>
          <w:ilvl w:val="0"/>
          <w:numId w:val="2"/>
        </w:numPr>
        <w:spacing w:line="400" w:lineRule="exact"/>
        <w:ind w:left="4626" w:leftChars="304" w:hanging="3888" w:hangingChars="1600"/>
        <w:outlineLvl w:val="0"/>
        <w:rPr>
          <w:rFonts w:ascii="仿宋" w:hAnsi="仿宋" w:eastAsia="仿宋" w:cs="仿宋"/>
          <w:b/>
          <w:bCs/>
          <w:color w:val="auto"/>
          <w:sz w:val="24"/>
          <w:szCs w:val="24"/>
          <w:highlight w:val="none"/>
        </w:rPr>
      </w:pPr>
      <w:bookmarkStart w:id="30" w:name="_Toc11499"/>
      <w:r>
        <w:rPr>
          <w:rFonts w:hint="eastAsia" w:ascii="仿宋" w:hAnsi="仿宋" w:eastAsia="仿宋" w:cs="仿宋"/>
          <w:b/>
          <w:bCs/>
          <w:color w:val="auto"/>
          <w:sz w:val="24"/>
          <w:szCs w:val="24"/>
          <w:highlight w:val="none"/>
        </w:rPr>
        <w:t>质疑前置及时间要求</w:t>
      </w:r>
      <w:bookmarkEnd w:id="30"/>
    </w:p>
    <w:p w14:paraId="074B4956">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lang w:eastAsia="zh-CN"/>
        </w:rPr>
        <w:t>《中华人民共和国政府采购法》</w:t>
      </w:r>
      <w:r>
        <w:rPr>
          <w:rFonts w:hint="eastAsia" w:ascii="仿宋" w:hAnsi="仿宋" w:eastAsia="仿宋" w:cs="仿宋"/>
          <w:color w:val="auto"/>
          <w:highlight w:val="none"/>
          <w:shd w:val="clear" w:color="auto" w:fill="FFFFFF"/>
          <w:lang w:eastAsia="zh-CN"/>
        </w:rPr>
        <w:t>第五十一条：供应商对政府采购活动事项有疑问的，可以向采购人提出询问，采购人应当及时作出答复，但答复的内容不得涉及商业秘密。</w:t>
      </w:r>
    </w:p>
    <w:p w14:paraId="4B955774">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14:paraId="164A05F3">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14:paraId="3DF1ED07">
      <w:pPr>
        <w:widowControl/>
        <w:spacing w:line="400" w:lineRule="exact"/>
        <w:ind w:firstLine="420"/>
        <w:rPr>
          <w:rFonts w:ascii="仿宋" w:hAnsi="仿宋" w:eastAsia="仿宋" w:cs="仿宋"/>
          <w:color w:val="auto"/>
          <w:highlight w:val="none"/>
          <w:shd w:val="clear" w:color="auto" w:fill="FFFFFF"/>
          <w:lang w:eastAsia="zh-CN"/>
        </w:rPr>
      </w:pPr>
      <w:r>
        <w:rPr>
          <w:rFonts w:hint="eastAsia" w:ascii="仿宋" w:hAnsi="仿宋" w:eastAsia="仿宋" w:cs="仿宋"/>
          <w:color w:val="auto"/>
          <w:highlight w:val="none"/>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14:paraId="12D7C83E">
      <w:pPr>
        <w:widowControl/>
        <w:spacing w:line="400" w:lineRule="exact"/>
        <w:ind w:firstLine="420"/>
        <w:rPr>
          <w:rFonts w:ascii="仿宋" w:hAnsi="仿宋" w:eastAsia="仿宋" w:cs="仿宋"/>
          <w:color w:val="auto"/>
          <w:highlight w:val="none"/>
          <w:lang w:eastAsia="zh-CN"/>
        </w:rPr>
      </w:pPr>
      <w:r>
        <w:rPr>
          <w:rFonts w:hint="eastAsia" w:ascii="仿宋" w:hAnsi="仿宋" w:eastAsia="仿宋" w:cs="仿宋"/>
          <w:color w:val="auto"/>
          <w:highlight w:val="none"/>
          <w:shd w:val="clear" w:color="auto" w:fill="FFFFFF"/>
          <w:lang w:eastAsia="zh-CN"/>
        </w:rPr>
        <w:t xml:space="preserve">  《政府采购实施条例》第五十五条：供应商质疑、投诉应当有明确的请求和必要的证明材料。供应商投诉的事项不得超出质疑事项的范围。</w:t>
      </w:r>
    </w:p>
    <w:p w14:paraId="0E238935">
      <w:pPr>
        <w:spacing w:line="400" w:lineRule="exact"/>
        <w:ind w:left="3780" w:hanging="3834" w:hangingChars="1800"/>
        <w:outlineLvl w:val="0"/>
        <w:rPr>
          <w:rFonts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b/>
          <w:bCs/>
          <w:color w:val="auto"/>
          <w:sz w:val="21"/>
          <w:szCs w:val="21"/>
          <w:highlight w:val="none"/>
          <w:lang w:eastAsia="zh-CN"/>
        </w:rPr>
        <w:t xml:space="preserve">   </w:t>
      </w:r>
      <w:bookmarkStart w:id="31" w:name="_Toc13508"/>
      <w:r>
        <w:rPr>
          <w:rFonts w:hint="eastAsia" w:ascii="仿宋" w:hAnsi="仿宋" w:eastAsia="仿宋" w:cs="仿宋"/>
          <w:b/>
          <w:bCs/>
          <w:color w:val="auto"/>
          <w:sz w:val="21"/>
          <w:szCs w:val="21"/>
          <w:highlight w:val="none"/>
          <w:lang w:eastAsia="zh-CN"/>
        </w:rPr>
        <w:t>二、书面方式</w:t>
      </w:r>
      <w:bookmarkEnd w:id="31"/>
    </w:p>
    <w:p w14:paraId="2A55A2A6">
      <w:pPr>
        <w:spacing w:line="400" w:lineRule="exact"/>
        <w:ind w:left="3780" w:hanging="3834" w:hangingChars="1800"/>
        <w:rPr>
          <w:rFonts w:ascii="仿宋" w:hAnsi="仿宋" w:eastAsia="仿宋" w:cs="仿宋"/>
          <w:color w:val="auto"/>
          <w:highlight w:val="none"/>
          <w:lang w:eastAsia="zh-CN"/>
        </w:rPr>
      </w:pPr>
      <w:r>
        <w:rPr>
          <w:rFonts w:hint="eastAsia" w:ascii="仿宋" w:hAnsi="仿宋" w:eastAsia="仿宋" w:cs="仿宋"/>
          <w:color w:val="auto"/>
          <w:sz w:val="21"/>
          <w:szCs w:val="21"/>
          <w:highlight w:val="none"/>
          <w:lang w:eastAsia="zh-CN"/>
        </w:rPr>
        <w:t xml:space="preserve">    《</w:t>
      </w:r>
      <w:r>
        <w:rPr>
          <w:rFonts w:hint="eastAsia" w:ascii="仿宋" w:hAnsi="仿宋" w:eastAsia="仿宋" w:cs="仿宋"/>
          <w:color w:val="auto"/>
          <w:highlight w:val="none"/>
          <w:lang w:eastAsia="zh-CN"/>
        </w:rPr>
        <w:t>政府采购供应商投诉处理办法》第八条：投诉人投诉</w:t>
      </w:r>
    </w:p>
    <w:p w14:paraId="2AC5E646">
      <w:p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时，应当提交投诉书，并按照被投诉人以及与投诉事项有关的供应商数量提供投诉书的副本。</w:t>
      </w:r>
    </w:p>
    <w:p w14:paraId="1B60A3FA">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投诉书应当包括下列主要内容：</w:t>
      </w:r>
    </w:p>
    <w:p w14:paraId="28A0F0FC">
      <w:pPr>
        <w:numPr>
          <w:ilvl w:val="0"/>
          <w:numId w:val="3"/>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投诉人和被投诉人的名称、地址、电话等；</w:t>
      </w:r>
    </w:p>
    <w:p w14:paraId="5611CB05">
      <w:pPr>
        <w:numPr>
          <w:ilvl w:val="0"/>
          <w:numId w:val="3"/>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具体的投诉事项及事实依据；</w:t>
      </w:r>
    </w:p>
    <w:p w14:paraId="39103BEB">
      <w:pPr>
        <w:numPr>
          <w:ilvl w:val="0"/>
          <w:numId w:val="3"/>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质疑和质疑答复情况及相关证明材料；</w:t>
      </w:r>
    </w:p>
    <w:p w14:paraId="6808DEF9">
      <w:pPr>
        <w:numPr>
          <w:ilvl w:val="0"/>
          <w:numId w:val="3"/>
        </w:numPr>
        <w:spacing w:line="400" w:lineRule="exact"/>
        <w:rPr>
          <w:rFonts w:ascii="仿宋" w:hAnsi="仿宋" w:eastAsia="仿宋" w:cs="仿宋"/>
          <w:color w:val="auto"/>
          <w:highlight w:val="none"/>
        </w:rPr>
      </w:pPr>
      <w:r>
        <w:rPr>
          <w:rFonts w:hint="eastAsia" w:ascii="仿宋" w:hAnsi="仿宋" w:eastAsia="仿宋" w:cs="仿宋"/>
          <w:color w:val="auto"/>
          <w:highlight w:val="none"/>
        </w:rPr>
        <w:t>提起投诉的日期。</w:t>
      </w:r>
    </w:p>
    <w:p w14:paraId="202914B2">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投诉书应当署名。投诉人为自然人，应当由本人签章；投诉人为法人或者其他组织的，应当由法定代表人或者主要负责人签章并加盖公章。</w:t>
      </w:r>
    </w:p>
    <w:p w14:paraId="3B142D81">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14:paraId="0FDDFB7D">
      <w:pPr>
        <w:spacing w:line="400" w:lineRule="exact"/>
        <w:ind w:firstLine="645"/>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《政府采购供应商投诉处理办法》第十条：投诉人提起投诉应当符合下列条件：</w:t>
      </w:r>
    </w:p>
    <w:p w14:paraId="3C07B8E7">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投诉人是参与所投诉政府采购活动的供应商；</w:t>
      </w:r>
    </w:p>
    <w:p w14:paraId="3485E7C4">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提起投诉诉前已依法进行质疑；</w:t>
      </w:r>
    </w:p>
    <w:p w14:paraId="3A10B0CF">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投诉书内容符合本办法的规定；</w:t>
      </w:r>
    </w:p>
    <w:p w14:paraId="2B5E5791">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在投诉有效期内提起投诉；</w:t>
      </w:r>
    </w:p>
    <w:p w14:paraId="69BDCB73">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属于本级财政部门管辖；</w:t>
      </w:r>
    </w:p>
    <w:p w14:paraId="5891201C">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同一投诉事项未经财政部门投诉处理；</w:t>
      </w:r>
    </w:p>
    <w:p w14:paraId="459AFD2E">
      <w:pPr>
        <w:numPr>
          <w:ilvl w:val="0"/>
          <w:numId w:val="4"/>
        </w:numPr>
        <w:spacing w:line="40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国务院财政部门规定的其他条件。</w:t>
      </w:r>
    </w:p>
    <w:p w14:paraId="56C6483C">
      <w:pPr>
        <w:spacing w:line="400" w:lineRule="exact"/>
        <w:ind w:left="4320" w:hanging="4374" w:hangingChars="18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p>
    <w:p w14:paraId="12759BFC">
      <w:pPr>
        <w:outlineLvl w:val="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 xml:space="preserve">   </w:t>
      </w:r>
      <w:bookmarkStart w:id="32" w:name="_Toc5978"/>
      <w:r>
        <w:rPr>
          <w:rFonts w:hint="eastAsia" w:ascii="仿宋" w:hAnsi="仿宋" w:eastAsia="仿宋" w:cs="仿宋"/>
          <w:b/>
          <w:bCs/>
          <w:color w:val="auto"/>
          <w:highlight w:val="none"/>
          <w:lang w:eastAsia="zh-CN"/>
        </w:rPr>
        <w:t>三、虚假、恶意投诉法律责任</w:t>
      </w:r>
      <w:bookmarkEnd w:id="32"/>
    </w:p>
    <w:p w14:paraId="5FFC46A7">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第七十三条：供应商捏造</w:t>
      </w:r>
      <w:r>
        <w:rPr>
          <w:rFonts w:hint="eastAsia" w:ascii="仿宋" w:hAnsi="仿宋" w:eastAsia="仿宋" w:cs="仿宋"/>
          <w:color w:val="auto"/>
          <w:highlight w:val="none"/>
          <w:lang w:val="en-US" w:eastAsia="zh-CN"/>
        </w:rPr>
        <w:t>事实</w:t>
      </w:r>
      <w:r>
        <w:rPr>
          <w:rFonts w:hint="eastAsia" w:ascii="仿宋" w:hAnsi="仿宋" w:eastAsia="仿宋" w:cs="仿宋"/>
          <w:color w:val="auto"/>
          <w:highlight w:val="none"/>
          <w:lang w:eastAsia="zh-CN"/>
        </w:rPr>
        <w:t>、提供虚假材料或者以非法手段取得证明材料进行投诉的，由财政部门列入不良行为记录名单，禁止其1至3年内参加政府采购活动。</w:t>
      </w:r>
    </w:p>
    <w:p w14:paraId="50492EA7">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《政府采购供应商投诉处理办法》第二十六条：投诉人有下列情形之一的，属于虚假、恶意投诉，财政部门应当驳回投诉，将其列入不良行为记录名单，并依法予以处罚：</w:t>
      </w:r>
    </w:p>
    <w:p w14:paraId="331B1582">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（一）1年内3次以上投诉均查无实据的；</w:t>
      </w:r>
    </w:p>
    <w:p w14:paraId="5933E8DE">
      <w:pPr>
        <w:spacing w:line="40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（二）捏造事实或者提供虚假投诉材料的。</w:t>
      </w:r>
    </w:p>
    <w:p w14:paraId="7499D3C3">
      <w:pPr>
        <w:spacing w:line="400" w:lineRule="exact"/>
        <w:rPr>
          <w:rFonts w:ascii="仿宋" w:hAnsi="仿宋" w:eastAsia="仿宋" w:cs="仿宋"/>
          <w:color w:val="auto"/>
          <w:sz w:val="21"/>
          <w:szCs w:val="21"/>
          <w:highlight w:val="none"/>
          <w:lang w:eastAsia="zh-CN"/>
        </w:rPr>
      </w:pPr>
    </w:p>
    <w:p w14:paraId="2D47E448">
      <w:pPr>
        <w:spacing w:line="400" w:lineRule="exact"/>
        <w:rPr>
          <w:rFonts w:ascii="仿宋" w:hAnsi="仿宋" w:eastAsia="仿宋" w:cs="仿宋"/>
          <w:color w:val="auto"/>
          <w:sz w:val="21"/>
          <w:szCs w:val="21"/>
          <w:highlight w:val="none"/>
          <w:lang w:eastAsia="zh-CN"/>
        </w:rPr>
      </w:pPr>
    </w:p>
    <w:p w14:paraId="3E1017D4">
      <w:pPr>
        <w:jc w:val="both"/>
        <w:rPr>
          <w:rFonts w:ascii="仿宋" w:hAnsi="仿宋" w:eastAsia="仿宋" w:cs="仿宋"/>
          <w:color w:val="auto"/>
          <w:highlight w:val="none"/>
          <w:lang w:eastAsia="zh-CN"/>
        </w:rPr>
      </w:pPr>
      <w:r>
        <w:rPr>
          <w:rFonts w:hint="eastAsia" w:ascii="仿宋" w:hAnsi="仿宋" w:eastAsia="仿宋" w:cs="仿宋"/>
          <w:color w:val="auto"/>
          <w:highlight w:val="none"/>
          <w:lang w:eastAsia="zh-CN"/>
        </w:rPr>
        <w:t>递交投诉书地址：</w:t>
      </w:r>
      <w:r>
        <w:rPr>
          <w:rFonts w:hint="eastAsia" w:ascii="仿宋" w:hAnsi="仿宋" w:eastAsia="仿宋" w:cs="仿宋"/>
          <w:color w:val="auto"/>
          <w:highlight w:val="none"/>
          <w:lang w:val="en-US" w:eastAsia="zh-CN"/>
        </w:rPr>
        <w:t>阿图什市</w:t>
      </w:r>
      <w:r>
        <w:rPr>
          <w:rFonts w:hint="eastAsia" w:ascii="仿宋" w:hAnsi="仿宋" w:eastAsia="仿宋" w:cs="仿宋"/>
          <w:color w:val="auto"/>
          <w:highlight w:val="none"/>
          <w:lang w:eastAsia="zh-CN"/>
        </w:rPr>
        <w:t>政府采购办监管办公室</w:t>
      </w:r>
    </w:p>
    <w:p w14:paraId="50258DF0">
      <w:pPr>
        <w:jc w:val="right"/>
        <w:rPr>
          <w:rFonts w:ascii="仿宋" w:hAnsi="仿宋" w:eastAsia="仿宋" w:cs="仿宋"/>
          <w:color w:val="auto"/>
          <w:sz w:val="32"/>
          <w:szCs w:val="32"/>
          <w:highlight w:val="none"/>
          <w:lang w:eastAsia="zh-CN"/>
        </w:rPr>
      </w:pPr>
    </w:p>
    <w:p w14:paraId="42B82376">
      <w:pPr>
        <w:spacing w:line="540" w:lineRule="exact"/>
        <w:jc w:val="center"/>
        <w:rPr>
          <w:rFonts w:ascii="仿宋" w:hAnsi="仿宋" w:eastAsia="仿宋" w:cs="仿宋"/>
          <w:b/>
          <w:bCs/>
          <w:color w:val="auto"/>
          <w:sz w:val="44"/>
          <w:szCs w:val="44"/>
          <w:highlight w:val="none"/>
          <w:lang w:eastAsia="zh-CN"/>
        </w:rPr>
      </w:pPr>
    </w:p>
    <w:p w14:paraId="21036070">
      <w:pPr>
        <w:spacing w:line="540" w:lineRule="exact"/>
        <w:jc w:val="center"/>
        <w:rPr>
          <w:rFonts w:ascii="仿宋" w:hAnsi="仿宋" w:eastAsia="仿宋" w:cs="仿宋"/>
          <w:b/>
          <w:bCs/>
          <w:color w:val="auto"/>
          <w:sz w:val="44"/>
          <w:szCs w:val="44"/>
          <w:highlight w:val="none"/>
          <w:lang w:eastAsia="zh-CN"/>
        </w:rPr>
      </w:pPr>
    </w:p>
    <w:p w14:paraId="149EF7D4">
      <w:pPr>
        <w:spacing w:line="540" w:lineRule="exact"/>
        <w:jc w:val="center"/>
        <w:rPr>
          <w:rFonts w:ascii="仿宋" w:hAnsi="仿宋" w:eastAsia="仿宋" w:cs="仿宋"/>
          <w:b/>
          <w:bCs/>
          <w:color w:val="auto"/>
          <w:sz w:val="44"/>
          <w:szCs w:val="44"/>
          <w:highlight w:val="none"/>
          <w:lang w:eastAsia="zh-CN"/>
        </w:rPr>
      </w:pPr>
    </w:p>
    <w:p w14:paraId="2AD8423E">
      <w:pPr>
        <w:spacing w:line="540" w:lineRule="exact"/>
        <w:jc w:val="center"/>
        <w:rPr>
          <w:rFonts w:ascii="仿宋" w:hAnsi="仿宋" w:eastAsia="仿宋" w:cs="仿宋"/>
          <w:b/>
          <w:bCs/>
          <w:color w:val="auto"/>
          <w:sz w:val="44"/>
          <w:szCs w:val="44"/>
          <w:highlight w:val="none"/>
          <w:lang w:eastAsia="zh-CN"/>
        </w:rPr>
      </w:pPr>
    </w:p>
    <w:p w14:paraId="0ECB3D4F">
      <w:pPr>
        <w:spacing w:line="540" w:lineRule="exact"/>
        <w:jc w:val="center"/>
        <w:rPr>
          <w:rFonts w:ascii="仿宋" w:hAnsi="仿宋" w:eastAsia="仿宋" w:cs="仿宋"/>
          <w:b/>
          <w:bCs/>
          <w:color w:val="auto"/>
          <w:sz w:val="44"/>
          <w:szCs w:val="44"/>
          <w:highlight w:val="none"/>
          <w:lang w:eastAsia="zh-CN"/>
        </w:rPr>
      </w:pPr>
    </w:p>
    <w:p w14:paraId="37C367E5">
      <w:pPr>
        <w:spacing w:line="540" w:lineRule="exact"/>
        <w:jc w:val="center"/>
        <w:rPr>
          <w:rFonts w:ascii="仿宋" w:hAnsi="仿宋" w:eastAsia="仿宋" w:cs="仿宋"/>
          <w:b/>
          <w:bCs/>
          <w:color w:val="auto"/>
          <w:sz w:val="44"/>
          <w:szCs w:val="44"/>
          <w:highlight w:val="none"/>
          <w:lang w:eastAsia="zh-CN"/>
        </w:rPr>
      </w:pPr>
    </w:p>
    <w:p w14:paraId="002A9979">
      <w:pPr>
        <w:spacing w:line="540" w:lineRule="exact"/>
        <w:jc w:val="center"/>
        <w:rPr>
          <w:rFonts w:ascii="仿宋" w:hAnsi="仿宋" w:eastAsia="仿宋" w:cs="仿宋"/>
          <w:b/>
          <w:bCs/>
          <w:color w:val="auto"/>
          <w:sz w:val="44"/>
          <w:szCs w:val="44"/>
          <w:highlight w:val="none"/>
          <w:lang w:eastAsia="zh-CN"/>
        </w:rPr>
      </w:pPr>
    </w:p>
    <w:p w14:paraId="07F57EE2">
      <w:pPr>
        <w:spacing w:line="540" w:lineRule="exact"/>
        <w:jc w:val="center"/>
        <w:rPr>
          <w:rFonts w:ascii="仿宋" w:hAnsi="仿宋" w:eastAsia="仿宋" w:cs="仿宋"/>
          <w:b/>
          <w:bCs/>
          <w:color w:val="auto"/>
          <w:sz w:val="44"/>
          <w:szCs w:val="44"/>
          <w:highlight w:val="none"/>
          <w:lang w:eastAsia="zh-CN"/>
        </w:rPr>
      </w:pPr>
    </w:p>
    <w:p w14:paraId="0539ED4E">
      <w:pPr>
        <w:spacing w:line="540" w:lineRule="exact"/>
        <w:jc w:val="center"/>
        <w:rPr>
          <w:rFonts w:ascii="仿宋" w:hAnsi="仿宋" w:eastAsia="仿宋" w:cs="仿宋"/>
          <w:b/>
          <w:bCs/>
          <w:color w:val="auto"/>
          <w:sz w:val="44"/>
          <w:szCs w:val="44"/>
          <w:highlight w:val="none"/>
          <w:lang w:eastAsia="zh-CN"/>
        </w:rPr>
      </w:pPr>
    </w:p>
    <w:p w14:paraId="46D05F22">
      <w:pPr>
        <w:spacing w:line="540" w:lineRule="exact"/>
        <w:jc w:val="center"/>
        <w:rPr>
          <w:rFonts w:ascii="仿宋" w:hAnsi="仿宋" w:eastAsia="仿宋" w:cs="仿宋"/>
          <w:b/>
          <w:bCs/>
          <w:color w:val="auto"/>
          <w:sz w:val="44"/>
          <w:szCs w:val="44"/>
          <w:highlight w:val="none"/>
          <w:lang w:eastAsia="zh-CN"/>
        </w:rPr>
      </w:pPr>
    </w:p>
    <w:p w14:paraId="55FDAB08">
      <w:pPr>
        <w:spacing w:line="540" w:lineRule="exact"/>
        <w:jc w:val="center"/>
        <w:outlineLvl w:val="0"/>
        <w:rPr>
          <w:rFonts w:hint="eastAsia" w:ascii="仿宋" w:hAnsi="仿宋" w:eastAsia="仿宋" w:cs="仿宋"/>
          <w:b/>
          <w:bCs/>
          <w:color w:val="auto"/>
          <w:sz w:val="32"/>
          <w:szCs w:val="32"/>
          <w:highlight w:val="none"/>
          <w:lang w:eastAsia="zh-CN"/>
        </w:rPr>
      </w:pPr>
    </w:p>
    <w:p w14:paraId="5E6C8038">
      <w:pPr>
        <w:spacing w:line="540" w:lineRule="exact"/>
        <w:jc w:val="center"/>
        <w:outlineLvl w:val="0"/>
        <w:rPr>
          <w:rFonts w:hint="eastAsia" w:ascii="仿宋" w:hAnsi="仿宋" w:eastAsia="仿宋" w:cs="仿宋"/>
          <w:b/>
          <w:bCs/>
          <w:color w:val="auto"/>
          <w:sz w:val="32"/>
          <w:szCs w:val="32"/>
          <w:highlight w:val="none"/>
          <w:lang w:eastAsia="zh-CN"/>
        </w:rPr>
      </w:pPr>
    </w:p>
    <w:p w14:paraId="55BE5F43">
      <w:pPr>
        <w:spacing w:line="540" w:lineRule="exact"/>
        <w:jc w:val="center"/>
        <w:outlineLvl w:val="0"/>
        <w:rPr>
          <w:rFonts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eastAsia="zh-CN"/>
        </w:rPr>
        <w:t>质疑函范本</w:t>
      </w:r>
    </w:p>
    <w:p w14:paraId="51F8A3EE">
      <w:pPr>
        <w:adjustRightInd w:val="0"/>
        <w:snapToGrid w:val="0"/>
        <w:spacing w:beforeLines="100" w:line="540" w:lineRule="exact"/>
        <w:ind w:firstLine="486"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一、质疑供应商基本信息</w:t>
      </w:r>
    </w:p>
    <w:p w14:paraId="25940242">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质疑供应商：</w:t>
      </w:r>
      <w:r>
        <w:rPr>
          <w:rFonts w:hint="eastAsia" w:ascii="仿宋" w:hAnsi="仿宋" w:eastAsia="仿宋" w:cs="仿宋"/>
          <w:color w:val="auto"/>
          <w:highlight w:val="none"/>
          <w:u w:val="dotted"/>
          <w:lang w:eastAsia="zh-CN"/>
        </w:rPr>
        <w:t xml:space="preserve">                         </w:t>
      </w:r>
    </w:p>
    <w:p w14:paraId="6609D53E">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地址：</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4937A0E9">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联系人：</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0F4AD85D">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授权代表：</w:t>
      </w:r>
      <w:r>
        <w:rPr>
          <w:rFonts w:hint="eastAsia" w:ascii="仿宋" w:hAnsi="仿宋" w:eastAsia="仿宋" w:cs="仿宋"/>
          <w:color w:val="auto"/>
          <w:highlight w:val="none"/>
          <w:u w:val="dotted"/>
          <w:lang w:eastAsia="zh-CN"/>
        </w:rPr>
        <w:t xml:space="preserve">                                          </w:t>
      </w:r>
    </w:p>
    <w:p w14:paraId="700E2D1B">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联系电话：</w:t>
      </w:r>
      <w:r>
        <w:rPr>
          <w:rFonts w:hint="eastAsia" w:ascii="仿宋" w:hAnsi="仿宋" w:eastAsia="仿宋" w:cs="仿宋"/>
          <w:color w:val="auto"/>
          <w:highlight w:val="none"/>
          <w:u w:val="dotted"/>
          <w:lang w:eastAsia="zh-CN"/>
        </w:rPr>
        <w:t xml:space="preserve">                                          </w:t>
      </w:r>
    </w:p>
    <w:p w14:paraId="36225243">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地址： </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邮编：</w:t>
      </w:r>
      <w:r>
        <w:rPr>
          <w:rFonts w:hint="eastAsia" w:ascii="仿宋" w:hAnsi="仿宋" w:eastAsia="仿宋" w:cs="仿宋"/>
          <w:color w:val="auto"/>
          <w:highlight w:val="none"/>
          <w:u w:val="dotted"/>
          <w:lang w:eastAsia="zh-CN"/>
        </w:rPr>
        <w:t xml:space="preserve">               </w:t>
      </w:r>
    </w:p>
    <w:p w14:paraId="756F9DDE">
      <w:pPr>
        <w:adjustRightInd w:val="0"/>
        <w:snapToGrid w:val="0"/>
        <w:spacing w:line="540" w:lineRule="exact"/>
        <w:ind w:firstLine="486"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二、质疑项目基本情况</w:t>
      </w:r>
    </w:p>
    <w:p w14:paraId="058A30EC">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质疑项目的名称：</w:t>
      </w:r>
      <w:r>
        <w:rPr>
          <w:rFonts w:hint="eastAsia" w:ascii="仿宋" w:hAnsi="仿宋" w:eastAsia="仿宋" w:cs="仿宋"/>
          <w:color w:val="auto"/>
          <w:highlight w:val="none"/>
          <w:u w:val="dotted"/>
          <w:lang w:eastAsia="zh-CN"/>
        </w:rPr>
        <w:t xml:space="preserve">                                     </w:t>
      </w:r>
    </w:p>
    <w:p w14:paraId="2348B5C0">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质疑项目的编号：</w:t>
      </w:r>
      <w:r>
        <w:rPr>
          <w:rFonts w:hint="eastAsia" w:ascii="仿宋" w:hAnsi="仿宋" w:eastAsia="仿宋" w:cs="仿宋"/>
          <w:color w:val="auto"/>
          <w:highlight w:val="none"/>
          <w:u w:val="dotted"/>
          <w:lang w:eastAsia="zh-CN"/>
        </w:rPr>
        <w:t xml:space="preserve">               </w:t>
      </w:r>
      <w:r>
        <w:rPr>
          <w:rFonts w:hint="eastAsia" w:ascii="仿宋" w:hAnsi="仿宋" w:eastAsia="仿宋" w:cs="仿宋"/>
          <w:color w:val="auto"/>
          <w:highlight w:val="none"/>
          <w:lang w:eastAsia="zh-CN"/>
        </w:rPr>
        <w:t>包号：</w:t>
      </w:r>
      <w:r>
        <w:rPr>
          <w:rFonts w:hint="eastAsia" w:ascii="仿宋" w:hAnsi="仿宋" w:eastAsia="仿宋" w:cs="仿宋"/>
          <w:color w:val="auto"/>
          <w:highlight w:val="none"/>
          <w:u w:val="dotted"/>
          <w:lang w:eastAsia="zh-CN"/>
        </w:rPr>
        <w:t xml:space="preserve">                </w:t>
      </w:r>
    </w:p>
    <w:p w14:paraId="22866429">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采购人名称：</w:t>
      </w:r>
      <w:r>
        <w:rPr>
          <w:rFonts w:hint="eastAsia" w:ascii="仿宋" w:hAnsi="仿宋" w:eastAsia="仿宋" w:cs="仿宋"/>
          <w:color w:val="auto"/>
          <w:highlight w:val="none"/>
          <w:u w:val="dotted"/>
          <w:lang w:eastAsia="zh-CN"/>
        </w:rPr>
        <w:t xml:space="preserve">                                         </w:t>
      </w:r>
    </w:p>
    <w:p w14:paraId="598D09C6">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采购文件获取日期：</w:t>
      </w:r>
      <w:r>
        <w:rPr>
          <w:rFonts w:hint="eastAsia" w:ascii="仿宋" w:hAnsi="仿宋" w:eastAsia="仿宋" w:cs="仿宋"/>
          <w:color w:val="auto"/>
          <w:highlight w:val="none"/>
          <w:u w:val="dotted"/>
          <w:lang w:eastAsia="zh-CN"/>
        </w:rPr>
        <w:t xml:space="preserve">                                   </w:t>
      </w:r>
    </w:p>
    <w:p w14:paraId="44C3692F">
      <w:pPr>
        <w:adjustRightInd w:val="0"/>
        <w:snapToGrid w:val="0"/>
        <w:spacing w:line="540" w:lineRule="exact"/>
        <w:ind w:firstLine="486"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三、质疑事项具体内容</w:t>
      </w:r>
    </w:p>
    <w:p w14:paraId="47A54299">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质疑事项1：</w:t>
      </w:r>
      <w:r>
        <w:rPr>
          <w:rFonts w:hint="eastAsia" w:ascii="仿宋" w:hAnsi="仿宋" w:eastAsia="仿宋" w:cs="仿宋"/>
          <w:color w:val="auto"/>
          <w:highlight w:val="none"/>
          <w:u w:val="dotted"/>
          <w:lang w:eastAsia="zh-CN"/>
        </w:rPr>
        <w:t xml:space="preserve">                                         </w:t>
      </w:r>
    </w:p>
    <w:p w14:paraId="4F94B9B7">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事实依据：</w:t>
      </w:r>
      <w:r>
        <w:rPr>
          <w:rFonts w:hint="eastAsia" w:ascii="仿宋" w:hAnsi="仿宋" w:eastAsia="仿宋" w:cs="仿宋"/>
          <w:color w:val="auto"/>
          <w:highlight w:val="none"/>
          <w:u w:val="dotted"/>
          <w:lang w:eastAsia="zh-CN"/>
        </w:rPr>
        <w:t xml:space="preserve">                                           </w:t>
      </w:r>
    </w:p>
    <w:p w14:paraId="5F89674C">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法律依据：</w:t>
      </w:r>
      <w:r>
        <w:rPr>
          <w:rFonts w:hint="eastAsia" w:ascii="仿宋" w:hAnsi="仿宋" w:eastAsia="仿宋" w:cs="仿宋"/>
          <w:color w:val="auto"/>
          <w:highlight w:val="none"/>
          <w:u w:val="dotted"/>
          <w:lang w:eastAsia="zh-CN"/>
        </w:rPr>
        <w:t xml:space="preserve">                                           </w:t>
      </w:r>
    </w:p>
    <w:p w14:paraId="5A711B6C">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质疑事项2</w:t>
      </w:r>
    </w:p>
    <w:p w14:paraId="160C125D">
      <w:pPr>
        <w:adjustRightInd w:val="0"/>
        <w:snapToGrid w:val="0"/>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w:t>
      </w:r>
    </w:p>
    <w:p w14:paraId="4549388F">
      <w:pPr>
        <w:adjustRightInd w:val="0"/>
        <w:snapToGrid w:val="0"/>
        <w:spacing w:line="540" w:lineRule="exact"/>
        <w:ind w:firstLine="486" w:firstLineChars="200"/>
        <w:outlineLvl w:val="0"/>
        <w:rPr>
          <w:rFonts w:ascii="仿宋" w:hAnsi="仿宋" w:eastAsia="仿宋" w:cs="仿宋"/>
          <w:bCs/>
          <w:color w:val="auto"/>
          <w:highlight w:val="none"/>
          <w:lang w:eastAsia="zh-CN"/>
        </w:rPr>
      </w:pPr>
      <w:r>
        <w:rPr>
          <w:rFonts w:hint="eastAsia" w:ascii="仿宋" w:hAnsi="仿宋" w:eastAsia="仿宋" w:cs="仿宋"/>
          <w:bCs/>
          <w:color w:val="auto"/>
          <w:highlight w:val="none"/>
          <w:lang w:eastAsia="zh-CN"/>
        </w:rPr>
        <w:t>四、与质疑事项相关的质疑请求</w:t>
      </w:r>
    </w:p>
    <w:p w14:paraId="7AC1A23F">
      <w:pPr>
        <w:adjustRightInd w:val="0"/>
        <w:snapToGrid w:val="0"/>
        <w:spacing w:line="540" w:lineRule="exact"/>
        <w:ind w:firstLine="486" w:firstLineChars="200"/>
        <w:rPr>
          <w:rFonts w:ascii="仿宋" w:hAnsi="仿宋" w:eastAsia="仿宋" w:cs="仿宋"/>
          <w:color w:val="auto"/>
          <w:highlight w:val="none"/>
          <w:u w:val="dotted"/>
          <w:lang w:eastAsia="zh-CN"/>
        </w:rPr>
      </w:pPr>
      <w:r>
        <w:rPr>
          <w:rFonts w:hint="eastAsia" w:ascii="仿宋" w:hAnsi="仿宋" w:eastAsia="仿宋" w:cs="仿宋"/>
          <w:color w:val="auto"/>
          <w:highlight w:val="none"/>
          <w:lang w:eastAsia="zh-CN"/>
        </w:rPr>
        <w:t>请求：</w:t>
      </w:r>
      <w:r>
        <w:rPr>
          <w:rFonts w:hint="eastAsia" w:ascii="仿宋" w:hAnsi="仿宋" w:eastAsia="仿宋" w:cs="仿宋"/>
          <w:color w:val="auto"/>
          <w:highlight w:val="none"/>
          <w:u w:val="dotted"/>
          <w:lang w:eastAsia="zh-CN"/>
        </w:rPr>
        <w:t xml:space="preserve">                                               </w:t>
      </w:r>
    </w:p>
    <w:p w14:paraId="71FE2FD6">
      <w:pPr>
        <w:spacing w:line="5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签章(签章)：                   公章：                      </w:t>
      </w:r>
    </w:p>
    <w:p w14:paraId="2A053C32">
      <w:pPr>
        <w:spacing w:line="540" w:lineRule="exact"/>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日期：    </w:t>
      </w:r>
      <w:bookmarkStart w:id="33" w:name="_Toc469495731"/>
    </w:p>
    <w:p w14:paraId="52BF0A0E">
      <w:pPr>
        <w:spacing w:line="540" w:lineRule="exact"/>
        <w:ind w:firstLine="606" w:firstLineChars="200"/>
        <w:jc w:val="center"/>
        <w:rPr>
          <w:rFonts w:hint="eastAsia" w:ascii="仿宋" w:hAnsi="仿宋" w:eastAsia="仿宋" w:cs="仿宋"/>
          <w:b/>
          <w:bCs/>
          <w:color w:val="auto"/>
          <w:sz w:val="30"/>
          <w:szCs w:val="30"/>
          <w:lang w:eastAsia="zh-CN"/>
        </w:rPr>
      </w:pPr>
    </w:p>
    <w:p w14:paraId="67ED377C">
      <w:pPr>
        <w:spacing w:line="540" w:lineRule="exact"/>
        <w:ind w:firstLine="606" w:firstLineChars="200"/>
        <w:jc w:val="center"/>
        <w:rPr>
          <w:rFonts w:hint="eastAsia" w:ascii="仿宋" w:hAnsi="仿宋" w:eastAsia="仿宋" w:cs="仿宋"/>
          <w:b/>
          <w:bCs/>
          <w:color w:val="auto"/>
          <w:sz w:val="30"/>
          <w:szCs w:val="30"/>
          <w:lang w:eastAsia="zh-CN"/>
        </w:rPr>
      </w:pPr>
    </w:p>
    <w:p w14:paraId="0705EB9B">
      <w:pPr>
        <w:spacing w:line="540" w:lineRule="exact"/>
        <w:ind w:firstLine="606" w:firstLineChars="200"/>
        <w:jc w:val="center"/>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第三部分  评标办法</w:t>
      </w:r>
      <w:bookmarkEnd w:id="33"/>
    </w:p>
    <w:p w14:paraId="75795C1D">
      <w:pPr>
        <w:jc w:val="center"/>
        <w:outlineLvl w:val="1"/>
        <w:rPr>
          <w:rFonts w:ascii="仿宋" w:hAnsi="仿宋" w:eastAsia="仿宋" w:cs="仿宋"/>
          <w:b/>
          <w:color w:val="auto"/>
          <w:sz w:val="28"/>
          <w:szCs w:val="28"/>
          <w:lang w:eastAsia="zh-CN"/>
        </w:rPr>
      </w:pPr>
      <w:bookmarkStart w:id="34" w:name="_Toc469495733"/>
      <w:bookmarkStart w:id="35" w:name="_Toc362983802"/>
      <w:bookmarkStart w:id="36" w:name="_Toc267320058"/>
      <w:bookmarkStart w:id="37" w:name="_Toc363135205"/>
      <w:r>
        <w:rPr>
          <w:rFonts w:hint="eastAsia" w:ascii="仿宋" w:hAnsi="仿宋" w:eastAsia="仿宋" w:cs="仿宋"/>
          <w:b/>
          <w:color w:val="auto"/>
          <w:sz w:val="28"/>
          <w:szCs w:val="28"/>
          <w:lang w:eastAsia="zh-CN"/>
        </w:rPr>
        <w:t>一  总  则</w:t>
      </w:r>
    </w:p>
    <w:p w14:paraId="212FC09F">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1、一般规定</w:t>
      </w:r>
    </w:p>
    <w:p w14:paraId="70D4177E">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1.1本项目的招标按照《中华人民共和国政府采购法》、《政府采购货物和服务招标投标管理办法》及政府采购的有关规定进行。</w:t>
      </w:r>
    </w:p>
    <w:p w14:paraId="5C7E399A">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14:paraId="093A7735">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14:paraId="675BF0B5">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1.4评标按照磋商文件规定的内容进行，采取综合比较和分项打分相结合的评标方法（综合评分法）， 避免纯技术或纯经济的倾向。</w:t>
      </w:r>
    </w:p>
    <w:p w14:paraId="0DBF02BC">
      <w:pPr>
        <w:keepNext w:val="0"/>
        <w:keepLines w:val="0"/>
        <w:pageBreakBefore w:val="0"/>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1.5本办法的评标对象是指供应商按照磋商文件要求提供的有效投标文件，包括供应商应评标委员会要求对原投标文件作出的正式书面澄清文件。</w:t>
      </w:r>
    </w:p>
    <w:p w14:paraId="6CD30A4F">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2、磋商组织机构的组成</w:t>
      </w:r>
    </w:p>
    <w:p w14:paraId="233ECF02">
      <w:pPr>
        <w:keepNext w:val="0"/>
        <w:keepLines w:val="0"/>
        <w:pageBreakBefore w:val="0"/>
        <w:widowControl/>
        <w:kinsoku/>
        <w:wordWrap/>
        <w:overflowPunct/>
        <w:topLinePunct w:val="0"/>
        <w:autoSpaceDE/>
        <w:autoSpaceDN/>
        <w:bidi w:val="0"/>
        <w:adjustRightInd/>
        <w:snapToGrid/>
        <w:spacing w:line="400" w:lineRule="exact"/>
        <w:ind w:firstLine="48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商小组成员由招标人的代表</w:t>
      </w:r>
      <w:r>
        <w:rPr>
          <w:rFonts w:hint="default" w:ascii="仿宋" w:hAnsi="仿宋" w:eastAsia="仿宋" w:cs="仿宋"/>
          <w:color w:val="auto"/>
          <w:spacing w:val="-2"/>
          <w:lang w:eastAsia="zh-CN"/>
        </w:rPr>
        <w:t>1人</w:t>
      </w:r>
      <w:r>
        <w:rPr>
          <w:rFonts w:hint="eastAsia" w:ascii="仿宋" w:hAnsi="仿宋" w:eastAsia="仿宋" w:cs="仿宋"/>
          <w:color w:val="auto"/>
          <w:spacing w:val="-2"/>
          <w:lang w:eastAsia="zh-CN"/>
        </w:rPr>
        <w:t>和随机抽取的有关方面的专家</w:t>
      </w:r>
      <w:r>
        <w:rPr>
          <w:rFonts w:hint="default" w:ascii="仿宋" w:hAnsi="仿宋" w:eastAsia="仿宋" w:cs="仿宋"/>
          <w:color w:val="auto"/>
          <w:spacing w:val="-2"/>
          <w:lang w:eastAsia="zh-CN"/>
        </w:rPr>
        <w:t>2名，共</w:t>
      </w:r>
      <w:r>
        <w:rPr>
          <w:rFonts w:hint="eastAsia" w:ascii="仿宋" w:hAnsi="仿宋" w:eastAsia="仿宋" w:cs="仿宋"/>
          <w:color w:val="auto"/>
          <w:spacing w:val="-2"/>
          <w:lang w:eastAsia="zh-CN"/>
        </w:rPr>
        <w:t xml:space="preserve"> 3名</w:t>
      </w:r>
      <w:r>
        <w:rPr>
          <w:rFonts w:hint="default" w:ascii="仿宋" w:hAnsi="仿宋" w:eastAsia="仿宋" w:cs="仿宋"/>
          <w:color w:val="auto"/>
          <w:spacing w:val="-2"/>
          <w:lang w:eastAsia="zh-CN"/>
        </w:rPr>
        <w:t>专家</w:t>
      </w:r>
      <w:r>
        <w:rPr>
          <w:rFonts w:hint="eastAsia" w:ascii="仿宋" w:hAnsi="仿宋" w:eastAsia="仿宋" w:cs="仿宋"/>
          <w:color w:val="auto"/>
          <w:spacing w:val="-2"/>
          <w:lang w:eastAsia="zh-CN"/>
        </w:rPr>
        <w:t>组成或以上的单数组成，磋商小组的成员在评标过程中必须严格遵守政府采购的有关规定。专家从当地专家库中随机抽取产生。</w:t>
      </w:r>
    </w:p>
    <w:p w14:paraId="4C86C263">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2.2评标工作组由招标人及有关专家组成，由评标委员会确认，并接受其领导。</w:t>
      </w:r>
    </w:p>
    <w:p w14:paraId="66F1279C">
      <w:pPr>
        <w:keepNext w:val="0"/>
        <w:keepLines w:val="0"/>
        <w:pageBreakBefore w:val="0"/>
        <w:tabs>
          <w:tab w:val="left" w:pos="567"/>
          <w:tab w:val="left" w:pos="1145"/>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14:paraId="72A273BA">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3、磋商小组职责</w:t>
      </w:r>
    </w:p>
    <w:p w14:paraId="69931B4F">
      <w:pPr>
        <w:pStyle w:val="4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3.1审查投标文件是否符合磋商文件要求，并作出评价；</w:t>
      </w:r>
    </w:p>
    <w:p w14:paraId="304C1FF8">
      <w:pPr>
        <w:pStyle w:val="4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3.2要求供应商对投标文件有关事项作出解释或者澄清；</w:t>
      </w:r>
    </w:p>
    <w:p w14:paraId="05916D85">
      <w:pPr>
        <w:pStyle w:val="4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14:paraId="271CE0A7">
      <w:pPr>
        <w:pStyle w:val="40"/>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619" w:firstLineChars="255"/>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14:paraId="682A51E1">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4、磋商小组义务</w:t>
      </w:r>
    </w:p>
    <w:p w14:paraId="7A894632">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14:paraId="24B8A105">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4.2按照磋商文件规定的评标方法和评标标准进行评标，对评审意见承担个人责任；</w:t>
      </w:r>
    </w:p>
    <w:p w14:paraId="4B48414A">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4.3对评标过程和结果，以及供应商的商业秘密保密；</w:t>
      </w:r>
    </w:p>
    <w:p w14:paraId="11C39676">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14:paraId="304529A4">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14:paraId="50FC3E6B">
      <w:pPr>
        <w:keepNext w:val="0"/>
        <w:keepLines w:val="0"/>
        <w:pageBreakBefore w:val="0"/>
        <w:tabs>
          <w:tab w:val="left" w:pos="567"/>
          <w:tab w:val="left" w:pos="60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14:paraId="1D6F46B6">
      <w:pPr>
        <w:keepNext w:val="0"/>
        <w:keepLines w:val="0"/>
        <w:pageBreakBefore w:val="0"/>
        <w:tabs>
          <w:tab w:val="left" w:pos="1547"/>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14:paraId="111A17C5">
      <w:pPr>
        <w:pStyle w:val="20"/>
        <w:keepNext w:val="0"/>
        <w:keepLines w:val="0"/>
        <w:pageBreakBefore w:val="0"/>
        <w:tabs>
          <w:tab w:val="left" w:pos="720"/>
          <w:tab w:val="clear" w:pos="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5.1本次评标首先由评标委员会对供应商的投标文件进行初审，对未能通过初审的投标文件作无效标处理；</w:t>
      </w:r>
    </w:p>
    <w:p w14:paraId="56AC87AB">
      <w:pPr>
        <w:keepNext w:val="0"/>
        <w:keepLines w:val="0"/>
        <w:pageBreakBefore w:val="0"/>
        <w:tabs>
          <w:tab w:val="left" w:pos="720"/>
        </w:tabs>
        <w:kinsoku/>
        <w:wordWrap/>
        <w:overflowPunct/>
        <w:topLinePunct w:val="0"/>
        <w:autoSpaceDE/>
        <w:autoSpaceDN/>
        <w:bidi w:val="0"/>
        <w:adjustRightInd/>
        <w:snapToGrid/>
        <w:spacing w:line="400" w:lineRule="exact"/>
        <w:ind w:firstLine="619" w:firstLineChars="255"/>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5.2对通过初审的供应商的投标文件进行详细的比较和评价。如需要，进行必要的澄清工作；</w:t>
      </w:r>
    </w:p>
    <w:p w14:paraId="3E39A218">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default" w:ascii="仿宋" w:hAnsi="仿宋" w:eastAsia="仿宋" w:cs="仿宋"/>
          <w:color w:val="auto"/>
          <w:szCs w:val="21"/>
          <w:lang w:eastAsia="zh-CN" w:bidi="ar-SA"/>
        </w:rPr>
      </w:pPr>
      <w:r>
        <w:rPr>
          <w:rFonts w:hint="default" w:ascii="仿宋" w:hAnsi="仿宋" w:eastAsia="仿宋" w:cs="仿宋"/>
          <w:color w:val="auto"/>
          <w:szCs w:val="21"/>
          <w:lang w:eastAsia="zh-CN" w:bidi="ar-SA"/>
        </w:rPr>
        <w:t>5.3评标报告与推荐成交候选人；</w:t>
      </w:r>
    </w:p>
    <w:p w14:paraId="31160D8A">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default" w:ascii="仿宋" w:hAnsi="仿宋" w:eastAsia="仿宋" w:cs="仿宋"/>
          <w:color w:val="auto"/>
          <w:szCs w:val="21"/>
          <w:lang w:eastAsia="zh-CN" w:bidi="ar-SA"/>
        </w:rPr>
      </w:pPr>
      <w:r>
        <w:rPr>
          <w:rFonts w:hint="default" w:ascii="仿宋" w:hAnsi="仿宋" w:eastAsia="仿宋" w:cs="仿宋"/>
          <w:color w:val="auto"/>
          <w:szCs w:val="21"/>
          <w:lang w:eastAsia="zh-CN" w:bidi="ar-SA"/>
        </w:rPr>
        <w:t>5.4磋商小组各成员应当独立对每个有效响应的文件进行评价、打分，然后汇总每个供应商每项评分因素的得分。</w:t>
      </w:r>
    </w:p>
    <w:p w14:paraId="50CE8AB5">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综合评分法货物项目的价格分值占总分值的比重(即权值)为</w:t>
      </w:r>
      <w:r>
        <w:rPr>
          <w:rFonts w:hint="eastAsia" w:ascii="仿宋" w:hAnsi="仿宋" w:eastAsia="仿宋" w:cs="仿宋"/>
          <w:color w:val="auto"/>
          <w:szCs w:val="21"/>
          <w:lang w:val="en-US" w:eastAsia="zh-CN" w:bidi="ar-SA"/>
        </w:rPr>
        <w:t>30</w:t>
      </w:r>
      <w:r>
        <w:rPr>
          <w:rFonts w:hint="eastAsia" w:ascii="仿宋" w:hAnsi="仿宋" w:eastAsia="仿宋" w:cs="仿宋"/>
          <w:color w:val="auto"/>
          <w:szCs w:val="21"/>
          <w:lang w:eastAsia="zh-CN" w:bidi="ar-SA"/>
        </w:rPr>
        <w:t>％， 采购项目中含不同采购对象的，以占项目资金比例最高的采购对象确定其项目属性。其价格不列为评分因素，有特殊情况需要在上述规定范围 外设定价格分权重的。</w:t>
      </w:r>
    </w:p>
    <w:p w14:paraId="48179EF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综合评分法中的价格分统一采用低价优先法计算，即满足招标文件要求且最后报价最低的供应商的价 格为招标基准价，其价格分为满分。其他供应商的价格分统一按照下列公式计算：</w:t>
      </w:r>
    </w:p>
    <w:p w14:paraId="586E6311">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报价得分=（</w:t>
      </w: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基准价/最后</w:t>
      </w:r>
      <w:r>
        <w:rPr>
          <w:rFonts w:hint="default" w:ascii="仿宋" w:hAnsi="仿宋" w:eastAsia="仿宋" w:cs="仿宋"/>
          <w:color w:val="auto"/>
          <w:szCs w:val="21"/>
          <w:lang w:eastAsia="zh-CN" w:bidi="ar-SA"/>
        </w:rPr>
        <w:t>磋商</w:t>
      </w:r>
      <w:r>
        <w:rPr>
          <w:rFonts w:hint="eastAsia" w:ascii="仿宋" w:hAnsi="仿宋" w:eastAsia="仿宋" w:cs="仿宋"/>
          <w:color w:val="auto"/>
          <w:szCs w:val="21"/>
          <w:lang w:eastAsia="zh-CN" w:bidi="ar-SA"/>
        </w:rPr>
        <w:t xml:space="preserve">报价） ×价格权值×100 </w:t>
      </w:r>
    </w:p>
    <w:p w14:paraId="4DD8FFDB">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项目评审过程中，不得去掉最后报价中的最高报价和最低报价。</w:t>
      </w:r>
    </w:p>
    <w:p w14:paraId="02CF4C52">
      <w:pPr>
        <w:keepNext w:val="0"/>
        <w:keepLines w:val="0"/>
        <w:pageBreakBefore w:val="0"/>
        <w:widowControl/>
        <w:kinsoku/>
        <w:wordWrap/>
        <w:overflowPunct/>
        <w:topLinePunct w:val="0"/>
        <w:autoSpaceDE/>
        <w:autoSpaceDN/>
        <w:bidi w:val="0"/>
        <w:adjustRightInd/>
        <w:snapToGrid/>
        <w:spacing w:line="400" w:lineRule="exact"/>
        <w:ind w:firstLine="482"/>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磋商小组应当根据综合评分情况，按照评审得分由高到低顺序推荐 3 名以上成交候选供应商符合《政府采购竞争性招标采购方式管理暂行办法》法第二十五条招标小组应当根据综合评分情况，按照评审得分由高到低顺序推荐 3 名以上成交候选供应商。符合本办法第二十一条第三款情形的，可以推荐 2 家成交候选供应商。评审得分相同的，按照最后报价由低到高的顺序推荐。评审得分且最后报价相同的，按照技术指标优劣顺序推荐。</w:t>
      </w:r>
    </w:p>
    <w:p w14:paraId="4627B2BF">
      <w:pPr>
        <w:keepNext w:val="0"/>
        <w:keepLines w:val="0"/>
        <w:pageBreakBefore w:val="0"/>
        <w:widowControl/>
        <w:kinsoku/>
        <w:wordWrap/>
        <w:overflowPunct/>
        <w:topLinePunct w:val="0"/>
        <w:autoSpaceDE/>
        <w:autoSpaceDN/>
        <w:bidi w:val="0"/>
        <w:adjustRightInd/>
        <w:snapToGrid/>
        <w:spacing w:line="400" w:lineRule="exact"/>
        <w:ind w:firstLine="482"/>
        <w:jc w:val="center"/>
        <w:textAlignment w:val="auto"/>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投标文件初审</w:t>
      </w:r>
      <w:bookmarkEnd w:id="34"/>
      <w:bookmarkEnd w:id="35"/>
    </w:p>
    <w:p w14:paraId="6F2FC6BC">
      <w:pPr>
        <w:spacing w:line="400" w:lineRule="exact"/>
        <w:ind w:firstLine="356" w:firstLineChars="147"/>
        <w:rPr>
          <w:rFonts w:ascii="仿宋" w:hAnsi="仿宋" w:eastAsia="仿宋" w:cs="仿宋"/>
          <w:b/>
          <w:color w:val="auto"/>
          <w:szCs w:val="21"/>
          <w:lang w:eastAsia="zh-CN"/>
        </w:rPr>
      </w:pPr>
      <w:r>
        <w:rPr>
          <w:rFonts w:hint="eastAsia" w:ascii="仿宋" w:hAnsi="仿宋" w:eastAsia="仿宋" w:cs="仿宋"/>
          <w:b/>
          <w:color w:val="auto"/>
          <w:szCs w:val="21"/>
          <w:lang w:eastAsia="zh-CN"/>
        </w:rPr>
        <w:t>6.资格性审查:</w:t>
      </w:r>
    </w:p>
    <w:p w14:paraId="53B0318C">
      <w:pPr>
        <w:spacing w:line="400" w:lineRule="exact"/>
        <w:ind w:firstLine="356" w:firstLineChars="147"/>
        <w:rPr>
          <w:rFonts w:ascii="仿宋" w:hAnsi="仿宋" w:eastAsia="仿宋" w:cs="仿宋"/>
          <w:color w:val="auto"/>
          <w:szCs w:val="21"/>
        </w:rPr>
      </w:pPr>
      <w:r>
        <w:rPr>
          <w:rFonts w:hint="eastAsia" w:ascii="仿宋" w:hAnsi="仿宋" w:eastAsia="仿宋" w:cs="仿宋"/>
          <w:color w:val="auto"/>
          <w:szCs w:val="21"/>
          <w:lang w:eastAsia="zh-CN"/>
        </w:rPr>
        <w:t>6</w:t>
      </w:r>
      <w:r>
        <w:rPr>
          <w:rFonts w:hint="eastAsia" w:ascii="仿宋" w:hAnsi="仿宋" w:eastAsia="仿宋" w:cs="仿宋"/>
          <w:color w:val="auto"/>
          <w:szCs w:val="21"/>
        </w:rPr>
        <w:t>.1评审细则</w:t>
      </w:r>
    </w:p>
    <w:tbl>
      <w:tblPr>
        <w:tblStyle w:val="25"/>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95"/>
        <w:gridCol w:w="7662"/>
        <w:gridCol w:w="525"/>
        <w:gridCol w:w="568"/>
      </w:tblGrid>
      <w:tr w14:paraId="75088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36" w:type="dxa"/>
            <w:vMerge w:val="restart"/>
            <w:vAlign w:val="center"/>
          </w:tcPr>
          <w:p w14:paraId="4E13FECD">
            <w:pPr>
              <w:jc w:val="center"/>
              <w:rPr>
                <w:rFonts w:ascii="仿宋" w:hAnsi="仿宋" w:eastAsia="仿宋" w:cs="仿宋"/>
                <w:b/>
                <w:color w:val="auto"/>
                <w:sz w:val="21"/>
                <w:szCs w:val="21"/>
              </w:rPr>
            </w:pPr>
            <w:r>
              <w:rPr>
                <w:rFonts w:hint="eastAsia" w:ascii="仿宋" w:hAnsi="仿宋" w:eastAsia="仿宋" w:cs="仿宋"/>
                <w:b/>
                <w:color w:val="auto"/>
                <w:sz w:val="21"/>
                <w:szCs w:val="21"/>
              </w:rPr>
              <w:t>项目</w:t>
            </w:r>
          </w:p>
        </w:tc>
        <w:tc>
          <w:tcPr>
            <w:tcW w:w="8157" w:type="dxa"/>
            <w:gridSpan w:val="2"/>
            <w:vMerge w:val="restart"/>
            <w:vAlign w:val="center"/>
          </w:tcPr>
          <w:p w14:paraId="1DC5000C">
            <w:pPr>
              <w:jc w:val="center"/>
              <w:rPr>
                <w:rFonts w:ascii="仿宋" w:hAnsi="仿宋" w:eastAsia="仿宋" w:cs="仿宋"/>
                <w:b/>
                <w:color w:val="auto"/>
                <w:sz w:val="21"/>
                <w:szCs w:val="21"/>
              </w:rPr>
            </w:pPr>
            <w:r>
              <w:rPr>
                <w:rFonts w:hint="eastAsia" w:ascii="仿宋" w:hAnsi="仿宋" w:eastAsia="仿宋" w:cs="仿宋"/>
                <w:b/>
                <w:color w:val="auto"/>
                <w:sz w:val="21"/>
                <w:szCs w:val="21"/>
              </w:rPr>
              <w:t>评审内容</w:t>
            </w:r>
          </w:p>
        </w:tc>
        <w:tc>
          <w:tcPr>
            <w:tcW w:w="1093" w:type="dxa"/>
            <w:gridSpan w:val="2"/>
            <w:vAlign w:val="center"/>
          </w:tcPr>
          <w:p w14:paraId="43BAE270">
            <w:pPr>
              <w:jc w:val="center"/>
              <w:rPr>
                <w:rFonts w:ascii="仿宋" w:hAnsi="仿宋" w:eastAsia="仿宋" w:cs="仿宋"/>
                <w:b/>
                <w:color w:val="auto"/>
                <w:sz w:val="21"/>
                <w:szCs w:val="21"/>
              </w:rPr>
            </w:pPr>
            <w:r>
              <w:rPr>
                <w:rFonts w:hint="eastAsia" w:ascii="仿宋" w:hAnsi="仿宋" w:eastAsia="仿宋" w:cs="仿宋"/>
                <w:b/>
                <w:color w:val="auto"/>
                <w:sz w:val="21"/>
                <w:szCs w:val="21"/>
              </w:rPr>
              <w:t>评审意见</w:t>
            </w:r>
          </w:p>
        </w:tc>
      </w:tr>
      <w:tr w14:paraId="6E77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6" w:type="dxa"/>
            <w:vMerge w:val="continue"/>
            <w:vAlign w:val="center"/>
          </w:tcPr>
          <w:p w14:paraId="708FD2BF">
            <w:pPr>
              <w:rPr>
                <w:rFonts w:ascii="仿宋" w:hAnsi="仿宋" w:eastAsia="仿宋" w:cs="仿宋"/>
                <w:color w:val="auto"/>
                <w:sz w:val="18"/>
                <w:szCs w:val="21"/>
              </w:rPr>
            </w:pPr>
          </w:p>
        </w:tc>
        <w:tc>
          <w:tcPr>
            <w:tcW w:w="8157" w:type="dxa"/>
            <w:gridSpan w:val="2"/>
            <w:vMerge w:val="continue"/>
          </w:tcPr>
          <w:p w14:paraId="4884E922">
            <w:pPr>
              <w:rPr>
                <w:rFonts w:ascii="仿宋" w:hAnsi="仿宋" w:eastAsia="仿宋" w:cs="仿宋"/>
                <w:color w:val="auto"/>
                <w:sz w:val="18"/>
                <w:szCs w:val="21"/>
              </w:rPr>
            </w:pPr>
          </w:p>
        </w:tc>
        <w:tc>
          <w:tcPr>
            <w:tcW w:w="525" w:type="dxa"/>
            <w:vAlign w:val="center"/>
          </w:tcPr>
          <w:p w14:paraId="42E79587">
            <w:pPr>
              <w:jc w:val="center"/>
              <w:rPr>
                <w:rFonts w:ascii="仿宋" w:hAnsi="仿宋" w:eastAsia="仿宋" w:cs="仿宋"/>
                <w:b/>
                <w:color w:val="auto"/>
                <w:sz w:val="21"/>
                <w:szCs w:val="21"/>
              </w:rPr>
            </w:pPr>
            <w:r>
              <w:rPr>
                <w:rFonts w:hint="eastAsia" w:ascii="仿宋" w:hAnsi="仿宋" w:eastAsia="仿宋" w:cs="仿宋"/>
                <w:b/>
                <w:color w:val="auto"/>
                <w:sz w:val="21"/>
                <w:szCs w:val="21"/>
              </w:rPr>
              <w:t>是</w:t>
            </w:r>
          </w:p>
        </w:tc>
        <w:tc>
          <w:tcPr>
            <w:tcW w:w="568" w:type="dxa"/>
            <w:vAlign w:val="center"/>
          </w:tcPr>
          <w:p w14:paraId="50BA6558">
            <w:pPr>
              <w:jc w:val="center"/>
              <w:rPr>
                <w:rFonts w:ascii="仿宋" w:hAnsi="仿宋" w:eastAsia="仿宋" w:cs="仿宋"/>
                <w:b/>
                <w:color w:val="auto"/>
                <w:sz w:val="21"/>
                <w:szCs w:val="21"/>
              </w:rPr>
            </w:pPr>
            <w:r>
              <w:rPr>
                <w:rFonts w:hint="eastAsia" w:ascii="仿宋" w:hAnsi="仿宋" w:eastAsia="仿宋" w:cs="仿宋"/>
                <w:b/>
                <w:color w:val="auto"/>
                <w:sz w:val="21"/>
                <w:szCs w:val="21"/>
              </w:rPr>
              <w:t>否</w:t>
            </w:r>
          </w:p>
        </w:tc>
      </w:tr>
      <w:tr w14:paraId="0442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34A6BA69">
            <w:pPr>
              <w:jc w:val="center"/>
              <w:rPr>
                <w:rFonts w:ascii="仿宋" w:hAnsi="仿宋" w:eastAsia="仿宋" w:cs="仿宋"/>
                <w:color w:val="auto"/>
                <w:szCs w:val="21"/>
                <w:lang w:eastAsia="zh-CN"/>
              </w:rPr>
            </w:pPr>
          </w:p>
        </w:tc>
        <w:tc>
          <w:tcPr>
            <w:tcW w:w="495" w:type="dxa"/>
            <w:vAlign w:val="center"/>
          </w:tcPr>
          <w:p w14:paraId="24371AFF">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7662" w:type="dxa"/>
            <w:vAlign w:val="center"/>
          </w:tcPr>
          <w:p w14:paraId="2E1ABEB0">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rPr>
              <w:t xml:space="preserve">供应商为中小企业 </w:t>
            </w:r>
          </w:p>
        </w:tc>
        <w:tc>
          <w:tcPr>
            <w:tcW w:w="525" w:type="dxa"/>
          </w:tcPr>
          <w:p w14:paraId="0CB4868E">
            <w:pPr>
              <w:rPr>
                <w:rFonts w:ascii="仿宋" w:hAnsi="仿宋" w:eastAsia="仿宋" w:cs="仿宋"/>
                <w:color w:val="auto"/>
                <w:szCs w:val="21"/>
                <w:lang w:eastAsia="zh-CN"/>
              </w:rPr>
            </w:pPr>
          </w:p>
        </w:tc>
        <w:tc>
          <w:tcPr>
            <w:tcW w:w="568" w:type="dxa"/>
          </w:tcPr>
          <w:p w14:paraId="43666D08">
            <w:pPr>
              <w:rPr>
                <w:rFonts w:ascii="仿宋" w:hAnsi="仿宋" w:eastAsia="仿宋" w:cs="仿宋"/>
                <w:color w:val="auto"/>
                <w:szCs w:val="21"/>
                <w:lang w:eastAsia="zh-CN"/>
              </w:rPr>
            </w:pPr>
          </w:p>
        </w:tc>
      </w:tr>
      <w:tr w14:paraId="7700B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936" w:type="dxa"/>
            <w:vMerge w:val="continue"/>
            <w:vAlign w:val="center"/>
          </w:tcPr>
          <w:p w14:paraId="14C94B59">
            <w:pPr>
              <w:jc w:val="center"/>
              <w:rPr>
                <w:rFonts w:ascii="仿宋" w:hAnsi="仿宋" w:eastAsia="仿宋" w:cs="仿宋"/>
                <w:color w:val="auto"/>
                <w:szCs w:val="21"/>
                <w:lang w:eastAsia="zh-CN"/>
              </w:rPr>
            </w:pPr>
          </w:p>
        </w:tc>
        <w:tc>
          <w:tcPr>
            <w:tcW w:w="495" w:type="dxa"/>
            <w:vAlign w:val="center"/>
          </w:tcPr>
          <w:p w14:paraId="69336710">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p>
        </w:tc>
        <w:tc>
          <w:tcPr>
            <w:tcW w:w="7662" w:type="dxa"/>
            <w:vAlign w:val="center"/>
          </w:tcPr>
          <w:p w14:paraId="3BFCE457">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（三证合一）营业执照</w:t>
            </w:r>
          </w:p>
        </w:tc>
        <w:tc>
          <w:tcPr>
            <w:tcW w:w="525" w:type="dxa"/>
          </w:tcPr>
          <w:p w14:paraId="6655E31E">
            <w:pPr>
              <w:rPr>
                <w:rFonts w:ascii="仿宋" w:hAnsi="仿宋" w:eastAsia="仿宋" w:cs="仿宋"/>
                <w:color w:val="auto"/>
                <w:szCs w:val="21"/>
                <w:lang w:eastAsia="zh-CN"/>
              </w:rPr>
            </w:pPr>
          </w:p>
        </w:tc>
        <w:tc>
          <w:tcPr>
            <w:tcW w:w="568" w:type="dxa"/>
          </w:tcPr>
          <w:p w14:paraId="36C75181">
            <w:pPr>
              <w:rPr>
                <w:rFonts w:ascii="仿宋" w:hAnsi="仿宋" w:eastAsia="仿宋" w:cs="仿宋"/>
                <w:color w:val="auto"/>
                <w:szCs w:val="21"/>
                <w:lang w:eastAsia="zh-CN"/>
              </w:rPr>
            </w:pPr>
          </w:p>
        </w:tc>
      </w:tr>
      <w:tr w14:paraId="5651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36" w:type="dxa"/>
            <w:vMerge w:val="continue"/>
            <w:vAlign w:val="center"/>
          </w:tcPr>
          <w:p w14:paraId="48C83B59">
            <w:pPr>
              <w:rPr>
                <w:rFonts w:ascii="仿宋" w:hAnsi="仿宋" w:eastAsia="仿宋" w:cs="仿宋"/>
                <w:color w:val="auto"/>
                <w:lang w:eastAsia="zh-CN"/>
              </w:rPr>
            </w:pPr>
          </w:p>
        </w:tc>
        <w:tc>
          <w:tcPr>
            <w:tcW w:w="495" w:type="dxa"/>
            <w:vAlign w:val="center"/>
          </w:tcPr>
          <w:p w14:paraId="1092E803">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7662" w:type="dxa"/>
            <w:vAlign w:val="center"/>
          </w:tcPr>
          <w:p w14:paraId="44012F65">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法定代表人投标需提供法定代表人资格证明书，委托代理人投标需提供法定代表人授权委托书</w:t>
            </w:r>
          </w:p>
        </w:tc>
        <w:tc>
          <w:tcPr>
            <w:tcW w:w="525" w:type="dxa"/>
          </w:tcPr>
          <w:p w14:paraId="67934208">
            <w:pPr>
              <w:rPr>
                <w:rFonts w:ascii="仿宋" w:hAnsi="仿宋" w:eastAsia="仿宋" w:cs="仿宋"/>
                <w:color w:val="auto"/>
                <w:szCs w:val="21"/>
                <w:lang w:eastAsia="zh-CN"/>
              </w:rPr>
            </w:pPr>
          </w:p>
        </w:tc>
        <w:tc>
          <w:tcPr>
            <w:tcW w:w="568" w:type="dxa"/>
          </w:tcPr>
          <w:p w14:paraId="7958548F">
            <w:pPr>
              <w:rPr>
                <w:rFonts w:ascii="仿宋" w:hAnsi="仿宋" w:eastAsia="仿宋" w:cs="仿宋"/>
                <w:color w:val="auto"/>
                <w:szCs w:val="21"/>
                <w:lang w:eastAsia="zh-CN"/>
              </w:rPr>
            </w:pPr>
          </w:p>
        </w:tc>
      </w:tr>
      <w:tr w14:paraId="6D327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936" w:type="dxa"/>
            <w:vMerge w:val="continue"/>
            <w:vAlign w:val="center"/>
          </w:tcPr>
          <w:p w14:paraId="2D3441A4">
            <w:pPr>
              <w:rPr>
                <w:rFonts w:ascii="仿宋" w:hAnsi="仿宋" w:eastAsia="仿宋" w:cs="仿宋"/>
                <w:color w:val="auto"/>
                <w:lang w:eastAsia="zh-CN"/>
              </w:rPr>
            </w:pPr>
          </w:p>
        </w:tc>
        <w:tc>
          <w:tcPr>
            <w:tcW w:w="495" w:type="dxa"/>
            <w:vAlign w:val="center"/>
          </w:tcPr>
          <w:p w14:paraId="70B0C0EC">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7662" w:type="dxa"/>
            <w:vAlign w:val="center"/>
          </w:tcPr>
          <w:p w14:paraId="1442963E">
            <w:pPr>
              <w:widowControl/>
              <w:textAlignment w:val="center"/>
              <w:rPr>
                <w:rFonts w:ascii="仿宋" w:hAnsi="仿宋" w:eastAsia="仿宋" w:cs="仿宋"/>
                <w:color w:val="auto"/>
                <w:lang w:eastAsia="zh-CN"/>
              </w:rPr>
            </w:pPr>
            <w:r>
              <w:rPr>
                <w:rFonts w:hint="eastAsia" w:ascii="仿宋" w:hAnsi="仿宋" w:eastAsia="仿宋" w:cs="仿宋"/>
                <w:color w:val="auto"/>
                <w:highlight w:val="none"/>
                <w:lang w:eastAsia="zh-CN"/>
              </w:rPr>
              <w:t>加政府采购活动前三年内，在经营活动中没有重大违法记录；未被“信用中国”（www.creditchina.gov.cn）、中国政府采购网（www.ccgp.gov.cn）列入失信被执行人、税收违法黑名单、政府采购严重违法失信行为记录名单。</w:t>
            </w:r>
          </w:p>
        </w:tc>
        <w:tc>
          <w:tcPr>
            <w:tcW w:w="525" w:type="dxa"/>
          </w:tcPr>
          <w:p w14:paraId="4C6EA9A9">
            <w:pPr>
              <w:rPr>
                <w:rFonts w:ascii="仿宋" w:hAnsi="仿宋" w:eastAsia="仿宋" w:cs="仿宋"/>
                <w:color w:val="auto"/>
                <w:szCs w:val="21"/>
                <w:lang w:eastAsia="zh-CN"/>
              </w:rPr>
            </w:pPr>
          </w:p>
        </w:tc>
        <w:tc>
          <w:tcPr>
            <w:tcW w:w="568" w:type="dxa"/>
          </w:tcPr>
          <w:p w14:paraId="583EBCB6">
            <w:pPr>
              <w:rPr>
                <w:rFonts w:ascii="仿宋" w:hAnsi="仿宋" w:eastAsia="仿宋" w:cs="仿宋"/>
                <w:color w:val="auto"/>
                <w:szCs w:val="21"/>
                <w:lang w:eastAsia="zh-CN"/>
              </w:rPr>
            </w:pPr>
          </w:p>
        </w:tc>
      </w:tr>
      <w:tr w14:paraId="15067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36" w:type="dxa"/>
            <w:vMerge w:val="continue"/>
            <w:vAlign w:val="center"/>
          </w:tcPr>
          <w:p w14:paraId="1AEB29D8">
            <w:pPr>
              <w:rPr>
                <w:rFonts w:ascii="仿宋" w:hAnsi="仿宋" w:eastAsia="仿宋" w:cs="仿宋"/>
                <w:color w:val="auto"/>
                <w:lang w:eastAsia="zh-CN"/>
              </w:rPr>
            </w:pPr>
          </w:p>
        </w:tc>
        <w:tc>
          <w:tcPr>
            <w:tcW w:w="495" w:type="dxa"/>
            <w:vAlign w:val="center"/>
          </w:tcPr>
          <w:p w14:paraId="101103AB">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7662" w:type="dxa"/>
            <w:vAlign w:val="center"/>
          </w:tcPr>
          <w:p w14:paraId="42EE4680">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投标保证金缴纳凭证或投标担保函</w:t>
            </w:r>
          </w:p>
        </w:tc>
        <w:tc>
          <w:tcPr>
            <w:tcW w:w="525" w:type="dxa"/>
          </w:tcPr>
          <w:p w14:paraId="7D34F3D8">
            <w:pPr>
              <w:rPr>
                <w:rFonts w:ascii="仿宋" w:hAnsi="仿宋" w:eastAsia="仿宋" w:cs="仿宋"/>
                <w:color w:val="auto"/>
                <w:szCs w:val="21"/>
                <w:lang w:eastAsia="zh-CN"/>
              </w:rPr>
            </w:pPr>
          </w:p>
        </w:tc>
        <w:tc>
          <w:tcPr>
            <w:tcW w:w="568" w:type="dxa"/>
          </w:tcPr>
          <w:p w14:paraId="0E89A870">
            <w:pPr>
              <w:rPr>
                <w:rFonts w:ascii="仿宋" w:hAnsi="仿宋" w:eastAsia="仿宋" w:cs="仿宋"/>
                <w:color w:val="auto"/>
                <w:szCs w:val="21"/>
                <w:lang w:eastAsia="zh-CN"/>
              </w:rPr>
            </w:pPr>
          </w:p>
        </w:tc>
      </w:tr>
      <w:tr w14:paraId="6CF0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36" w:type="dxa"/>
            <w:vMerge w:val="continue"/>
            <w:vAlign w:val="center"/>
          </w:tcPr>
          <w:p w14:paraId="4A4D6CF3">
            <w:pPr>
              <w:rPr>
                <w:rFonts w:ascii="仿宋" w:hAnsi="仿宋" w:eastAsia="仿宋" w:cs="仿宋"/>
                <w:color w:val="auto"/>
                <w:lang w:eastAsia="zh-CN"/>
              </w:rPr>
            </w:pPr>
          </w:p>
        </w:tc>
        <w:tc>
          <w:tcPr>
            <w:tcW w:w="495" w:type="dxa"/>
            <w:vAlign w:val="center"/>
          </w:tcPr>
          <w:p w14:paraId="2CFF9FFE">
            <w:pPr>
              <w:jc w:val="center"/>
              <w:rPr>
                <w:rFonts w:ascii="仿宋" w:hAnsi="仿宋" w:eastAsia="仿宋" w:cs="仿宋"/>
                <w:color w:val="auto"/>
                <w:szCs w:val="21"/>
                <w:lang w:eastAsia="zh-CN"/>
              </w:rPr>
            </w:pPr>
            <w:r>
              <w:rPr>
                <w:rFonts w:hint="eastAsia" w:ascii="仿宋" w:hAnsi="仿宋" w:eastAsia="仿宋" w:cs="仿宋"/>
                <w:color w:val="auto"/>
                <w:szCs w:val="21"/>
                <w:lang w:val="en-US" w:eastAsia="zh-CN"/>
              </w:rPr>
              <w:t>6</w:t>
            </w:r>
          </w:p>
        </w:tc>
        <w:tc>
          <w:tcPr>
            <w:tcW w:w="7662" w:type="dxa"/>
            <w:vAlign w:val="center"/>
          </w:tcPr>
          <w:p w14:paraId="01FA7968">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投标企业须提供投标人（被授权在职人员）近6个月内任意一个月有效的社保证明；</w:t>
            </w:r>
          </w:p>
        </w:tc>
        <w:tc>
          <w:tcPr>
            <w:tcW w:w="525" w:type="dxa"/>
          </w:tcPr>
          <w:p w14:paraId="4A3A1C16">
            <w:pPr>
              <w:rPr>
                <w:rFonts w:ascii="仿宋" w:hAnsi="仿宋" w:eastAsia="仿宋" w:cs="仿宋"/>
                <w:color w:val="auto"/>
                <w:szCs w:val="21"/>
                <w:lang w:eastAsia="zh-CN"/>
              </w:rPr>
            </w:pPr>
          </w:p>
        </w:tc>
        <w:tc>
          <w:tcPr>
            <w:tcW w:w="568" w:type="dxa"/>
          </w:tcPr>
          <w:p w14:paraId="11290DF0">
            <w:pPr>
              <w:rPr>
                <w:rFonts w:ascii="仿宋" w:hAnsi="仿宋" w:eastAsia="仿宋" w:cs="仿宋"/>
                <w:color w:val="auto"/>
                <w:szCs w:val="21"/>
                <w:lang w:eastAsia="zh-CN"/>
              </w:rPr>
            </w:pPr>
          </w:p>
        </w:tc>
      </w:tr>
      <w:tr w14:paraId="7A29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36" w:type="dxa"/>
            <w:vMerge w:val="continue"/>
            <w:vAlign w:val="center"/>
          </w:tcPr>
          <w:p w14:paraId="4303F568">
            <w:pPr>
              <w:jc w:val="center"/>
              <w:rPr>
                <w:rFonts w:ascii="仿宋" w:hAnsi="仿宋" w:eastAsia="仿宋" w:cs="仿宋"/>
                <w:color w:val="auto"/>
                <w:szCs w:val="21"/>
                <w:lang w:eastAsia="zh-CN"/>
              </w:rPr>
            </w:pPr>
          </w:p>
        </w:tc>
        <w:tc>
          <w:tcPr>
            <w:tcW w:w="495" w:type="dxa"/>
          </w:tcPr>
          <w:p w14:paraId="2D69FFAC">
            <w:pPr>
              <w:spacing w:line="440" w:lineRule="exact"/>
              <w:rPr>
                <w:rFonts w:ascii="仿宋" w:hAnsi="仿宋" w:eastAsia="仿宋" w:cs="仿宋"/>
                <w:color w:val="auto"/>
                <w:szCs w:val="21"/>
                <w:lang w:eastAsia="zh-CN"/>
              </w:rPr>
            </w:pPr>
          </w:p>
        </w:tc>
        <w:tc>
          <w:tcPr>
            <w:tcW w:w="7662" w:type="dxa"/>
          </w:tcPr>
          <w:p w14:paraId="708FF5C6">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14:paraId="199A72A2">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093" w:type="dxa"/>
            <w:gridSpan w:val="2"/>
          </w:tcPr>
          <w:p w14:paraId="773F4BD4">
            <w:pPr>
              <w:rPr>
                <w:rFonts w:ascii="仿宋" w:hAnsi="仿宋" w:eastAsia="仿宋" w:cs="仿宋"/>
                <w:color w:val="auto"/>
                <w:szCs w:val="21"/>
                <w:lang w:eastAsia="zh-CN"/>
              </w:rPr>
            </w:pPr>
          </w:p>
        </w:tc>
      </w:tr>
    </w:tbl>
    <w:p w14:paraId="6C20A225">
      <w:pPr>
        <w:spacing w:line="400" w:lineRule="exact"/>
        <w:ind w:firstLine="585" w:firstLineChars="241"/>
        <w:rPr>
          <w:rFonts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6.2如评标专家在检验电子标书过程中，如果由于供应商自身原因导致评标专家无法查看并检验电子标书中以上相关资料的，否决其投标。即使投标单位将原件携带至现场的，同样按无效投标处理。</w:t>
      </w:r>
    </w:p>
    <w:p w14:paraId="1B55EB25">
      <w:pPr>
        <w:spacing w:beforeLines="50" w:line="440" w:lineRule="exact"/>
        <w:ind w:firstLine="356" w:firstLineChars="147"/>
        <w:rPr>
          <w:rFonts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14:paraId="3007AAD0">
      <w:pPr>
        <w:spacing w:line="440" w:lineRule="exact"/>
        <w:ind w:firstLine="364" w:firstLineChars="150"/>
        <w:rPr>
          <w:rFonts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tbl>
      <w:tblPr>
        <w:tblStyle w:val="25"/>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14:paraId="168B27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14:paraId="282437C2">
            <w:pPr>
              <w:jc w:val="center"/>
              <w:rPr>
                <w:rFonts w:ascii="仿宋" w:hAnsi="仿宋" w:eastAsia="仿宋" w:cs="仿宋"/>
                <w:b/>
                <w:color w:val="auto"/>
              </w:rPr>
            </w:pPr>
            <w:r>
              <w:rPr>
                <w:rFonts w:hint="eastAsia" w:ascii="仿宋" w:hAnsi="仿宋" w:eastAsia="仿宋" w:cs="仿宋"/>
                <w:b/>
                <w:color w:val="auto"/>
              </w:rPr>
              <w:t>项目</w:t>
            </w:r>
          </w:p>
        </w:tc>
        <w:tc>
          <w:tcPr>
            <w:tcW w:w="6975" w:type="dxa"/>
            <w:gridSpan w:val="2"/>
            <w:vMerge w:val="restart"/>
            <w:tcBorders>
              <w:top w:val="single" w:color="auto" w:sz="4" w:space="0"/>
            </w:tcBorders>
            <w:vAlign w:val="center"/>
          </w:tcPr>
          <w:p w14:paraId="1D815A15">
            <w:pPr>
              <w:jc w:val="center"/>
              <w:rPr>
                <w:rFonts w:ascii="仿宋" w:hAnsi="仿宋" w:eastAsia="仿宋" w:cs="仿宋"/>
                <w:b/>
                <w:color w:val="auto"/>
              </w:rPr>
            </w:pPr>
            <w:r>
              <w:rPr>
                <w:rFonts w:hint="eastAsia" w:ascii="仿宋" w:hAnsi="仿宋" w:eastAsia="仿宋" w:cs="仿宋"/>
                <w:b/>
                <w:color w:val="auto"/>
              </w:rPr>
              <w:t>评审内容</w:t>
            </w:r>
          </w:p>
        </w:tc>
        <w:tc>
          <w:tcPr>
            <w:tcW w:w="1366" w:type="dxa"/>
            <w:gridSpan w:val="2"/>
            <w:tcBorders>
              <w:top w:val="single" w:color="auto" w:sz="4" w:space="0"/>
              <w:right w:val="single" w:color="auto" w:sz="4" w:space="0"/>
            </w:tcBorders>
            <w:vAlign w:val="center"/>
          </w:tcPr>
          <w:p w14:paraId="26629D1E">
            <w:pPr>
              <w:jc w:val="center"/>
              <w:rPr>
                <w:rFonts w:ascii="仿宋" w:hAnsi="仿宋" w:eastAsia="仿宋" w:cs="仿宋"/>
                <w:b/>
                <w:color w:val="auto"/>
              </w:rPr>
            </w:pPr>
            <w:r>
              <w:rPr>
                <w:rFonts w:hint="eastAsia" w:ascii="仿宋" w:hAnsi="仿宋" w:eastAsia="仿宋" w:cs="仿宋"/>
                <w:b/>
                <w:color w:val="auto"/>
              </w:rPr>
              <w:t>评审意见</w:t>
            </w:r>
          </w:p>
        </w:tc>
      </w:tr>
      <w:tr w14:paraId="694776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14:paraId="6E062DAB">
            <w:pPr>
              <w:rPr>
                <w:rFonts w:ascii="仿宋" w:hAnsi="仿宋" w:eastAsia="仿宋" w:cs="仿宋"/>
                <w:color w:val="auto"/>
              </w:rPr>
            </w:pPr>
          </w:p>
        </w:tc>
        <w:tc>
          <w:tcPr>
            <w:tcW w:w="6975" w:type="dxa"/>
            <w:gridSpan w:val="2"/>
            <w:vMerge w:val="continue"/>
            <w:tcBorders>
              <w:bottom w:val="single" w:color="auto" w:sz="4" w:space="0"/>
            </w:tcBorders>
          </w:tcPr>
          <w:p w14:paraId="2E6E1ED1">
            <w:pPr>
              <w:rPr>
                <w:rFonts w:ascii="仿宋" w:hAnsi="仿宋" w:eastAsia="仿宋" w:cs="仿宋"/>
                <w:color w:val="auto"/>
              </w:rPr>
            </w:pPr>
          </w:p>
        </w:tc>
        <w:tc>
          <w:tcPr>
            <w:tcW w:w="749" w:type="dxa"/>
            <w:vAlign w:val="center"/>
          </w:tcPr>
          <w:p w14:paraId="40E2E7A0">
            <w:pPr>
              <w:jc w:val="center"/>
              <w:rPr>
                <w:rFonts w:ascii="仿宋" w:hAnsi="仿宋" w:eastAsia="仿宋" w:cs="仿宋"/>
                <w:b/>
                <w:color w:val="auto"/>
              </w:rPr>
            </w:pPr>
            <w:r>
              <w:rPr>
                <w:rFonts w:hint="eastAsia" w:ascii="仿宋" w:hAnsi="仿宋" w:eastAsia="仿宋" w:cs="仿宋"/>
                <w:b/>
                <w:color w:val="auto"/>
              </w:rPr>
              <w:t>是</w:t>
            </w:r>
          </w:p>
        </w:tc>
        <w:tc>
          <w:tcPr>
            <w:tcW w:w="617" w:type="dxa"/>
            <w:tcBorders>
              <w:right w:val="single" w:color="auto" w:sz="4" w:space="0"/>
            </w:tcBorders>
            <w:vAlign w:val="center"/>
          </w:tcPr>
          <w:p w14:paraId="38FAAFDF">
            <w:pPr>
              <w:jc w:val="center"/>
              <w:rPr>
                <w:rFonts w:ascii="仿宋" w:hAnsi="仿宋" w:eastAsia="仿宋" w:cs="仿宋"/>
                <w:b/>
                <w:color w:val="auto"/>
              </w:rPr>
            </w:pPr>
            <w:r>
              <w:rPr>
                <w:rFonts w:hint="eastAsia" w:ascii="仿宋" w:hAnsi="仿宋" w:eastAsia="仿宋" w:cs="仿宋"/>
                <w:b/>
                <w:color w:val="auto"/>
              </w:rPr>
              <w:t>否</w:t>
            </w:r>
          </w:p>
        </w:tc>
      </w:tr>
      <w:tr w14:paraId="2648D1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14:paraId="1A9BCA4A">
            <w:pPr>
              <w:jc w:val="center"/>
              <w:rPr>
                <w:rFonts w:ascii="仿宋" w:hAnsi="仿宋" w:eastAsia="仿宋" w:cs="仿宋"/>
                <w:color w:val="auto"/>
                <w:szCs w:val="21"/>
              </w:rPr>
            </w:pPr>
            <w:r>
              <w:rPr>
                <w:rFonts w:hint="eastAsia" w:ascii="仿宋" w:hAnsi="仿宋" w:eastAsia="仿宋" w:cs="仿宋"/>
                <w:color w:val="auto"/>
                <w:szCs w:val="21"/>
              </w:rPr>
              <w:t>审</w:t>
            </w:r>
          </w:p>
          <w:p w14:paraId="7C0FDA09">
            <w:pPr>
              <w:jc w:val="center"/>
              <w:rPr>
                <w:rFonts w:ascii="仿宋" w:hAnsi="仿宋" w:eastAsia="仿宋" w:cs="仿宋"/>
                <w:color w:val="auto"/>
                <w:szCs w:val="21"/>
              </w:rPr>
            </w:pPr>
            <w:r>
              <w:rPr>
                <w:rFonts w:hint="eastAsia" w:ascii="仿宋" w:hAnsi="仿宋" w:eastAsia="仿宋" w:cs="仿宋"/>
                <w:color w:val="auto"/>
                <w:szCs w:val="21"/>
              </w:rPr>
              <w:t>查</w:t>
            </w:r>
          </w:p>
          <w:p w14:paraId="675A0494">
            <w:pPr>
              <w:jc w:val="center"/>
              <w:rPr>
                <w:rFonts w:ascii="仿宋" w:hAnsi="仿宋" w:eastAsia="仿宋" w:cs="仿宋"/>
                <w:color w:val="auto"/>
                <w:szCs w:val="21"/>
              </w:rPr>
            </w:pPr>
            <w:r>
              <w:rPr>
                <w:rFonts w:hint="eastAsia" w:ascii="仿宋" w:hAnsi="仿宋" w:eastAsia="仿宋" w:cs="仿宋"/>
                <w:color w:val="auto"/>
                <w:szCs w:val="21"/>
              </w:rPr>
              <w:t>标</w:t>
            </w:r>
          </w:p>
          <w:p w14:paraId="26A1F245">
            <w:pPr>
              <w:jc w:val="center"/>
              <w:rPr>
                <w:rFonts w:ascii="仿宋" w:hAnsi="仿宋" w:eastAsia="仿宋" w:cs="仿宋"/>
                <w:color w:val="auto"/>
                <w:szCs w:val="21"/>
              </w:rPr>
            </w:pPr>
            <w:r>
              <w:rPr>
                <w:rFonts w:hint="eastAsia" w:ascii="仿宋" w:hAnsi="仿宋" w:eastAsia="仿宋" w:cs="仿宋"/>
                <w:color w:val="auto"/>
                <w:szCs w:val="21"/>
              </w:rPr>
              <w:t>准</w:t>
            </w:r>
          </w:p>
        </w:tc>
        <w:tc>
          <w:tcPr>
            <w:tcW w:w="597" w:type="dxa"/>
            <w:tcBorders>
              <w:top w:val="single" w:color="auto" w:sz="4" w:space="0"/>
              <w:left w:val="single" w:color="auto" w:sz="4" w:space="0"/>
              <w:right w:val="single" w:color="auto" w:sz="4" w:space="0"/>
            </w:tcBorders>
            <w:vAlign w:val="center"/>
          </w:tcPr>
          <w:p w14:paraId="104129FC">
            <w:pPr>
              <w:jc w:val="center"/>
              <w:rPr>
                <w:rFonts w:ascii="仿宋" w:hAnsi="仿宋" w:eastAsia="仿宋" w:cs="仿宋"/>
                <w:color w:val="auto"/>
              </w:rPr>
            </w:pPr>
            <w:r>
              <w:rPr>
                <w:rFonts w:hint="eastAsia" w:ascii="仿宋" w:hAnsi="仿宋" w:eastAsia="仿宋" w:cs="仿宋"/>
                <w:color w:val="auto"/>
              </w:rPr>
              <w:t>1</w:t>
            </w:r>
          </w:p>
        </w:tc>
        <w:tc>
          <w:tcPr>
            <w:tcW w:w="6378" w:type="dxa"/>
            <w:tcBorders>
              <w:top w:val="single" w:color="auto" w:sz="4" w:space="0"/>
              <w:left w:val="single" w:color="auto" w:sz="4" w:space="0"/>
              <w:right w:val="single" w:color="auto" w:sz="4" w:space="0"/>
            </w:tcBorders>
            <w:vAlign w:val="center"/>
          </w:tcPr>
          <w:p w14:paraId="49414CDD">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由政府立项核准、审批的采购项目, 报价高于设定的采购预算价的；</w:t>
            </w:r>
          </w:p>
        </w:tc>
        <w:tc>
          <w:tcPr>
            <w:tcW w:w="749" w:type="dxa"/>
            <w:tcBorders>
              <w:left w:val="single" w:color="auto" w:sz="4" w:space="0"/>
              <w:right w:val="single" w:color="auto" w:sz="4" w:space="0"/>
            </w:tcBorders>
          </w:tcPr>
          <w:p w14:paraId="350DD3D2">
            <w:pPr>
              <w:jc w:val="center"/>
              <w:rPr>
                <w:rFonts w:ascii="仿宋" w:hAnsi="仿宋" w:eastAsia="仿宋" w:cs="仿宋"/>
                <w:b/>
                <w:color w:val="auto"/>
                <w:szCs w:val="21"/>
                <w:lang w:eastAsia="zh-CN"/>
              </w:rPr>
            </w:pPr>
          </w:p>
        </w:tc>
        <w:tc>
          <w:tcPr>
            <w:tcW w:w="617" w:type="dxa"/>
            <w:tcBorders>
              <w:left w:val="single" w:color="auto" w:sz="4" w:space="0"/>
              <w:right w:val="single" w:color="auto" w:sz="4" w:space="0"/>
            </w:tcBorders>
          </w:tcPr>
          <w:p w14:paraId="172658A2">
            <w:pPr>
              <w:jc w:val="center"/>
              <w:rPr>
                <w:rFonts w:ascii="仿宋" w:hAnsi="仿宋" w:eastAsia="仿宋" w:cs="仿宋"/>
                <w:b/>
                <w:color w:val="auto"/>
                <w:szCs w:val="21"/>
                <w:lang w:eastAsia="zh-CN"/>
              </w:rPr>
            </w:pPr>
          </w:p>
        </w:tc>
      </w:tr>
      <w:tr w14:paraId="7F7B5F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14:paraId="6EC0C25E">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764AB092">
            <w:pPr>
              <w:jc w:val="center"/>
              <w:rPr>
                <w:rFonts w:ascii="仿宋" w:hAnsi="仿宋" w:eastAsia="仿宋" w:cs="仿宋"/>
                <w:color w:val="auto"/>
              </w:rPr>
            </w:pPr>
            <w:r>
              <w:rPr>
                <w:rFonts w:hint="eastAsia" w:ascii="仿宋" w:hAnsi="仿宋" w:eastAsia="仿宋" w:cs="仿宋"/>
                <w:color w:val="auto"/>
              </w:rPr>
              <w:t>2</w:t>
            </w:r>
          </w:p>
        </w:tc>
        <w:tc>
          <w:tcPr>
            <w:tcW w:w="6378" w:type="dxa"/>
            <w:tcBorders>
              <w:top w:val="single" w:color="auto" w:sz="4" w:space="0"/>
              <w:left w:val="single" w:color="auto" w:sz="4" w:space="0"/>
              <w:bottom w:val="single" w:color="auto" w:sz="4" w:space="0"/>
              <w:right w:val="single" w:color="auto" w:sz="4" w:space="0"/>
            </w:tcBorders>
            <w:vAlign w:val="center"/>
          </w:tcPr>
          <w:p w14:paraId="4E35496B">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法定代表人身份证明及授权委托书有效，且符合磋商文件规定的格式。</w:t>
            </w:r>
          </w:p>
        </w:tc>
        <w:tc>
          <w:tcPr>
            <w:tcW w:w="749" w:type="dxa"/>
            <w:tcBorders>
              <w:left w:val="single" w:color="auto" w:sz="4" w:space="0"/>
            </w:tcBorders>
          </w:tcPr>
          <w:p w14:paraId="2C4AC001">
            <w:pPr>
              <w:rPr>
                <w:rFonts w:ascii="仿宋" w:hAnsi="仿宋" w:eastAsia="仿宋" w:cs="仿宋"/>
                <w:color w:val="auto"/>
                <w:szCs w:val="21"/>
                <w:lang w:eastAsia="zh-CN"/>
              </w:rPr>
            </w:pPr>
          </w:p>
        </w:tc>
        <w:tc>
          <w:tcPr>
            <w:tcW w:w="617" w:type="dxa"/>
            <w:tcBorders>
              <w:right w:val="single" w:color="auto" w:sz="4" w:space="0"/>
            </w:tcBorders>
          </w:tcPr>
          <w:p w14:paraId="473E2861">
            <w:pPr>
              <w:rPr>
                <w:rFonts w:ascii="仿宋" w:hAnsi="仿宋" w:eastAsia="仿宋" w:cs="仿宋"/>
                <w:color w:val="auto"/>
                <w:szCs w:val="21"/>
                <w:lang w:eastAsia="zh-CN"/>
              </w:rPr>
            </w:pPr>
          </w:p>
        </w:tc>
      </w:tr>
      <w:tr w14:paraId="1991A3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14:paraId="4CF1A243">
            <w:pPr>
              <w:rPr>
                <w:rFonts w:ascii="仿宋" w:hAnsi="仿宋" w:eastAsia="仿宋" w:cs="仿宋"/>
                <w:color w:val="auto"/>
                <w:lang w:eastAsia="zh-CN"/>
              </w:rPr>
            </w:pPr>
          </w:p>
        </w:tc>
        <w:tc>
          <w:tcPr>
            <w:tcW w:w="597" w:type="dxa"/>
            <w:tcBorders>
              <w:top w:val="single" w:color="auto" w:sz="4" w:space="0"/>
              <w:left w:val="single" w:color="auto" w:sz="4" w:space="0"/>
              <w:right w:val="single" w:color="auto" w:sz="4" w:space="0"/>
            </w:tcBorders>
            <w:vAlign w:val="center"/>
          </w:tcPr>
          <w:p w14:paraId="631F8102">
            <w:pPr>
              <w:jc w:val="center"/>
              <w:rPr>
                <w:rFonts w:ascii="仿宋" w:hAnsi="仿宋" w:eastAsia="仿宋" w:cs="仿宋"/>
                <w:color w:val="auto"/>
              </w:rPr>
            </w:pPr>
            <w:r>
              <w:rPr>
                <w:rFonts w:hint="eastAsia" w:ascii="仿宋" w:hAnsi="仿宋" w:eastAsia="仿宋" w:cs="仿宋"/>
                <w:color w:val="auto"/>
              </w:rPr>
              <w:t>3</w:t>
            </w:r>
          </w:p>
        </w:tc>
        <w:tc>
          <w:tcPr>
            <w:tcW w:w="6378" w:type="dxa"/>
            <w:tcBorders>
              <w:top w:val="single" w:color="auto" w:sz="4" w:space="0"/>
              <w:left w:val="single" w:color="auto" w:sz="4" w:space="0"/>
              <w:right w:val="single" w:color="auto" w:sz="4" w:space="0"/>
            </w:tcBorders>
            <w:vAlign w:val="center"/>
          </w:tcPr>
          <w:p w14:paraId="4BC8BDEF">
            <w:pPr>
              <w:widowControl/>
              <w:textAlignment w:val="center"/>
              <w:rPr>
                <w:rFonts w:ascii="仿宋" w:hAnsi="仿宋" w:eastAsia="仿宋" w:cs="仿宋"/>
                <w:color w:val="auto"/>
              </w:rPr>
            </w:pPr>
            <w:r>
              <w:rPr>
                <w:rFonts w:hint="eastAsia" w:ascii="仿宋" w:hAnsi="仿宋" w:eastAsia="仿宋" w:cs="仿宋"/>
                <w:color w:val="auto"/>
              </w:rPr>
              <w:t>只有一个方案投标。</w:t>
            </w:r>
          </w:p>
        </w:tc>
        <w:tc>
          <w:tcPr>
            <w:tcW w:w="749" w:type="dxa"/>
            <w:tcBorders>
              <w:left w:val="single" w:color="auto" w:sz="4" w:space="0"/>
            </w:tcBorders>
          </w:tcPr>
          <w:p w14:paraId="18232BC7">
            <w:pPr>
              <w:rPr>
                <w:rFonts w:ascii="仿宋" w:hAnsi="仿宋" w:eastAsia="仿宋" w:cs="仿宋"/>
                <w:color w:val="auto"/>
                <w:szCs w:val="21"/>
              </w:rPr>
            </w:pPr>
          </w:p>
        </w:tc>
        <w:tc>
          <w:tcPr>
            <w:tcW w:w="617" w:type="dxa"/>
            <w:tcBorders>
              <w:right w:val="single" w:color="auto" w:sz="4" w:space="0"/>
            </w:tcBorders>
          </w:tcPr>
          <w:p w14:paraId="494D6236">
            <w:pPr>
              <w:rPr>
                <w:rFonts w:ascii="仿宋" w:hAnsi="仿宋" w:eastAsia="仿宋" w:cs="仿宋"/>
                <w:color w:val="auto"/>
                <w:szCs w:val="21"/>
              </w:rPr>
            </w:pPr>
          </w:p>
        </w:tc>
      </w:tr>
      <w:tr w14:paraId="65482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14:paraId="690A0277">
            <w:pPr>
              <w:rPr>
                <w:rFonts w:ascii="仿宋" w:hAnsi="仿宋" w:eastAsia="仿宋" w:cs="仿宋"/>
                <w:color w:val="auto"/>
              </w:rPr>
            </w:pPr>
          </w:p>
        </w:tc>
        <w:tc>
          <w:tcPr>
            <w:tcW w:w="597" w:type="dxa"/>
            <w:tcBorders>
              <w:left w:val="single" w:color="auto" w:sz="4" w:space="0"/>
            </w:tcBorders>
            <w:vAlign w:val="center"/>
          </w:tcPr>
          <w:p w14:paraId="3DE854DE">
            <w:pPr>
              <w:jc w:val="center"/>
              <w:rPr>
                <w:rFonts w:ascii="仿宋" w:hAnsi="仿宋" w:eastAsia="仿宋" w:cs="仿宋"/>
                <w:color w:val="auto"/>
              </w:rPr>
            </w:pPr>
            <w:r>
              <w:rPr>
                <w:rFonts w:hint="eastAsia" w:ascii="仿宋" w:hAnsi="仿宋" w:eastAsia="仿宋" w:cs="仿宋"/>
                <w:color w:val="auto"/>
                <w:lang w:eastAsia="zh-CN"/>
              </w:rPr>
              <w:t>4</w:t>
            </w:r>
          </w:p>
        </w:tc>
        <w:tc>
          <w:tcPr>
            <w:tcW w:w="6378" w:type="dxa"/>
            <w:tcBorders>
              <w:right w:val="single" w:color="auto" w:sz="4" w:space="0"/>
            </w:tcBorders>
            <w:vAlign w:val="center"/>
          </w:tcPr>
          <w:p w14:paraId="730EEDDE">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投标文件内容齐全、无遗漏。</w:t>
            </w:r>
          </w:p>
        </w:tc>
        <w:tc>
          <w:tcPr>
            <w:tcW w:w="749" w:type="dxa"/>
            <w:tcBorders>
              <w:left w:val="single" w:color="auto" w:sz="4" w:space="0"/>
            </w:tcBorders>
          </w:tcPr>
          <w:p w14:paraId="1FFAE8AD">
            <w:pPr>
              <w:rPr>
                <w:rFonts w:ascii="仿宋" w:hAnsi="仿宋" w:eastAsia="仿宋" w:cs="仿宋"/>
                <w:color w:val="auto"/>
                <w:szCs w:val="21"/>
                <w:lang w:eastAsia="zh-CN"/>
              </w:rPr>
            </w:pPr>
          </w:p>
        </w:tc>
        <w:tc>
          <w:tcPr>
            <w:tcW w:w="617" w:type="dxa"/>
            <w:tcBorders>
              <w:right w:val="single" w:color="auto" w:sz="4" w:space="0"/>
            </w:tcBorders>
          </w:tcPr>
          <w:p w14:paraId="116C3A99">
            <w:pPr>
              <w:rPr>
                <w:rFonts w:ascii="仿宋" w:hAnsi="仿宋" w:eastAsia="仿宋" w:cs="仿宋"/>
                <w:color w:val="auto"/>
                <w:szCs w:val="21"/>
                <w:lang w:eastAsia="zh-CN"/>
              </w:rPr>
            </w:pPr>
          </w:p>
        </w:tc>
      </w:tr>
      <w:tr w14:paraId="43824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14:paraId="74953C74">
            <w:pPr>
              <w:rPr>
                <w:rFonts w:ascii="仿宋" w:hAnsi="仿宋" w:eastAsia="仿宋" w:cs="仿宋"/>
                <w:color w:val="auto"/>
                <w:lang w:eastAsia="zh-CN"/>
              </w:rPr>
            </w:pPr>
          </w:p>
        </w:tc>
        <w:tc>
          <w:tcPr>
            <w:tcW w:w="597" w:type="dxa"/>
            <w:tcBorders>
              <w:left w:val="single" w:color="auto" w:sz="4" w:space="0"/>
              <w:bottom w:val="single" w:color="auto" w:sz="4" w:space="0"/>
            </w:tcBorders>
            <w:vAlign w:val="center"/>
          </w:tcPr>
          <w:p w14:paraId="3BA59E4D">
            <w:pPr>
              <w:jc w:val="center"/>
              <w:rPr>
                <w:rFonts w:ascii="仿宋" w:hAnsi="仿宋" w:eastAsia="仿宋" w:cs="仿宋"/>
                <w:color w:val="auto"/>
              </w:rPr>
            </w:pPr>
            <w:r>
              <w:rPr>
                <w:rFonts w:hint="eastAsia" w:ascii="仿宋" w:hAnsi="仿宋" w:eastAsia="仿宋" w:cs="仿宋"/>
                <w:color w:val="auto"/>
              </w:rPr>
              <w:t>5</w:t>
            </w:r>
          </w:p>
        </w:tc>
        <w:tc>
          <w:tcPr>
            <w:tcW w:w="6378" w:type="dxa"/>
            <w:tcBorders>
              <w:bottom w:val="single" w:color="auto" w:sz="4" w:space="0"/>
              <w:right w:val="single" w:color="auto" w:sz="4" w:space="0"/>
            </w:tcBorders>
            <w:vAlign w:val="center"/>
          </w:tcPr>
          <w:p w14:paraId="166F2EF6">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对磋商文件规定的招标内容全部作出响应。</w:t>
            </w:r>
          </w:p>
        </w:tc>
        <w:tc>
          <w:tcPr>
            <w:tcW w:w="749" w:type="dxa"/>
            <w:tcBorders>
              <w:left w:val="single" w:color="auto" w:sz="4" w:space="0"/>
              <w:bottom w:val="single" w:color="auto" w:sz="4" w:space="0"/>
            </w:tcBorders>
          </w:tcPr>
          <w:p w14:paraId="6EC62288">
            <w:pPr>
              <w:rPr>
                <w:rFonts w:ascii="仿宋" w:hAnsi="仿宋" w:eastAsia="仿宋" w:cs="仿宋"/>
                <w:color w:val="auto"/>
                <w:szCs w:val="21"/>
                <w:lang w:eastAsia="zh-CN"/>
              </w:rPr>
            </w:pPr>
          </w:p>
        </w:tc>
        <w:tc>
          <w:tcPr>
            <w:tcW w:w="617" w:type="dxa"/>
            <w:tcBorders>
              <w:bottom w:val="single" w:color="auto" w:sz="4" w:space="0"/>
              <w:right w:val="single" w:color="auto" w:sz="4" w:space="0"/>
            </w:tcBorders>
          </w:tcPr>
          <w:p w14:paraId="096EDE6A">
            <w:pPr>
              <w:rPr>
                <w:rFonts w:ascii="仿宋" w:hAnsi="仿宋" w:eastAsia="仿宋" w:cs="仿宋"/>
                <w:color w:val="auto"/>
                <w:szCs w:val="21"/>
                <w:lang w:eastAsia="zh-CN"/>
              </w:rPr>
            </w:pPr>
          </w:p>
        </w:tc>
      </w:tr>
      <w:tr w14:paraId="1DB9BC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14:paraId="46B71245">
            <w:pPr>
              <w:rPr>
                <w:rFonts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14:paraId="63DC7E23">
            <w:pPr>
              <w:jc w:val="center"/>
              <w:rPr>
                <w:rFonts w:ascii="仿宋" w:hAnsi="仿宋" w:eastAsia="仿宋" w:cs="仿宋"/>
                <w:color w:val="auto"/>
              </w:rPr>
            </w:pPr>
            <w:r>
              <w:rPr>
                <w:rFonts w:hint="eastAsia" w:ascii="仿宋" w:hAnsi="仿宋" w:eastAsia="仿宋" w:cs="仿宋"/>
                <w:color w:val="auto"/>
              </w:rPr>
              <w:t>6</w:t>
            </w:r>
          </w:p>
        </w:tc>
        <w:tc>
          <w:tcPr>
            <w:tcW w:w="6378" w:type="dxa"/>
            <w:tcBorders>
              <w:top w:val="single" w:color="auto" w:sz="4" w:space="0"/>
              <w:left w:val="single" w:color="auto" w:sz="4" w:space="0"/>
              <w:bottom w:val="single" w:color="auto" w:sz="4" w:space="0"/>
              <w:right w:val="single" w:color="auto" w:sz="4" w:space="0"/>
            </w:tcBorders>
            <w:vAlign w:val="center"/>
          </w:tcPr>
          <w:p w14:paraId="02091743">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满足磋商文件提出的技术和质量要求。</w:t>
            </w:r>
          </w:p>
        </w:tc>
        <w:tc>
          <w:tcPr>
            <w:tcW w:w="749" w:type="dxa"/>
            <w:tcBorders>
              <w:top w:val="single" w:color="auto" w:sz="4" w:space="0"/>
              <w:left w:val="single" w:color="auto" w:sz="4" w:space="0"/>
              <w:bottom w:val="single" w:color="auto" w:sz="4" w:space="0"/>
              <w:right w:val="single" w:color="auto" w:sz="4" w:space="0"/>
            </w:tcBorders>
          </w:tcPr>
          <w:p w14:paraId="6DBD4DC1">
            <w:pPr>
              <w:rPr>
                <w:rFonts w:ascii="仿宋" w:hAnsi="仿宋" w:eastAsia="仿宋" w:cs="仿宋"/>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14:paraId="116C83D9">
            <w:pPr>
              <w:rPr>
                <w:rFonts w:ascii="仿宋" w:hAnsi="仿宋" w:eastAsia="仿宋" w:cs="仿宋"/>
                <w:color w:val="auto"/>
                <w:szCs w:val="21"/>
                <w:lang w:eastAsia="zh-CN"/>
              </w:rPr>
            </w:pPr>
          </w:p>
        </w:tc>
      </w:tr>
      <w:tr w14:paraId="01E1E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14:paraId="2D239D4A">
            <w:pPr>
              <w:rPr>
                <w:rFonts w:ascii="仿宋" w:hAnsi="仿宋" w:eastAsia="仿宋" w:cs="仿宋"/>
                <w:color w:val="auto"/>
                <w:lang w:eastAsia="zh-CN"/>
              </w:rPr>
            </w:pPr>
          </w:p>
        </w:tc>
        <w:tc>
          <w:tcPr>
            <w:tcW w:w="597" w:type="dxa"/>
            <w:tcBorders>
              <w:top w:val="single" w:color="auto" w:sz="4" w:space="0"/>
              <w:left w:val="single" w:color="auto" w:sz="4" w:space="0"/>
            </w:tcBorders>
            <w:vAlign w:val="center"/>
          </w:tcPr>
          <w:p w14:paraId="5D89467A">
            <w:pPr>
              <w:jc w:val="center"/>
              <w:rPr>
                <w:rFonts w:ascii="仿宋" w:hAnsi="仿宋" w:eastAsia="仿宋" w:cs="仿宋"/>
                <w:color w:val="auto"/>
              </w:rPr>
            </w:pPr>
            <w:r>
              <w:rPr>
                <w:rFonts w:hint="eastAsia" w:ascii="仿宋" w:hAnsi="仿宋" w:eastAsia="仿宋" w:cs="仿宋"/>
                <w:color w:val="auto"/>
              </w:rPr>
              <w:t>7</w:t>
            </w:r>
          </w:p>
        </w:tc>
        <w:tc>
          <w:tcPr>
            <w:tcW w:w="6378" w:type="dxa"/>
            <w:tcBorders>
              <w:top w:val="single" w:color="auto" w:sz="4" w:space="0"/>
              <w:right w:val="single" w:color="auto" w:sz="4" w:space="0"/>
            </w:tcBorders>
            <w:vAlign w:val="center"/>
          </w:tcPr>
          <w:p w14:paraId="54548AAC">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完成期限满足磋商文件要求。</w:t>
            </w:r>
          </w:p>
        </w:tc>
        <w:tc>
          <w:tcPr>
            <w:tcW w:w="749" w:type="dxa"/>
            <w:tcBorders>
              <w:top w:val="single" w:color="auto" w:sz="4" w:space="0"/>
              <w:left w:val="single" w:color="auto" w:sz="4" w:space="0"/>
            </w:tcBorders>
          </w:tcPr>
          <w:p w14:paraId="154AE69E">
            <w:pPr>
              <w:rPr>
                <w:rFonts w:ascii="仿宋" w:hAnsi="仿宋" w:eastAsia="仿宋" w:cs="仿宋"/>
                <w:color w:val="auto"/>
                <w:szCs w:val="21"/>
                <w:lang w:eastAsia="zh-CN"/>
              </w:rPr>
            </w:pPr>
          </w:p>
        </w:tc>
        <w:tc>
          <w:tcPr>
            <w:tcW w:w="617" w:type="dxa"/>
            <w:tcBorders>
              <w:top w:val="single" w:color="auto" w:sz="4" w:space="0"/>
              <w:right w:val="single" w:color="auto" w:sz="4" w:space="0"/>
            </w:tcBorders>
          </w:tcPr>
          <w:p w14:paraId="5473813E">
            <w:pPr>
              <w:rPr>
                <w:rFonts w:ascii="仿宋" w:hAnsi="仿宋" w:eastAsia="仿宋" w:cs="仿宋"/>
                <w:color w:val="auto"/>
                <w:szCs w:val="21"/>
                <w:lang w:eastAsia="zh-CN"/>
              </w:rPr>
            </w:pPr>
          </w:p>
        </w:tc>
      </w:tr>
      <w:tr w14:paraId="750628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14:paraId="4BC5F9D3">
            <w:pPr>
              <w:rPr>
                <w:rFonts w:ascii="仿宋" w:hAnsi="仿宋" w:eastAsia="仿宋" w:cs="仿宋"/>
                <w:color w:val="auto"/>
                <w:lang w:eastAsia="zh-CN"/>
              </w:rPr>
            </w:pPr>
          </w:p>
        </w:tc>
        <w:tc>
          <w:tcPr>
            <w:tcW w:w="597" w:type="dxa"/>
            <w:tcBorders>
              <w:left w:val="single" w:color="auto" w:sz="4" w:space="0"/>
            </w:tcBorders>
            <w:vAlign w:val="center"/>
          </w:tcPr>
          <w:p w14:paraId="3EBAF87E">
            <w:pPr>
              <w:jc w:val="center"/>
              <w:rPr>
                <w:rFonts w:ascii="仿宋" w:hAnsi="仿宋" w:eastAsia="仿宋" w:cs="仿宋"/>
                <w:color w:val="auto"/>
              </w:rPr>
            </w:pPr>
            <w:r>
              <w:rPr>
                <w:rFonts w:hint="eastAsia" w:ascii="仿宋" w:hAnsi="仿宋" w:eastAsia="仿宋" w:cs="仿宋"/>
                <w:color w:val="auto"/>
              </w:rPr>
              <w:t>8</w:t>
            </w:r>
          </w:p>
        </w:tc>
        <w:tc>
          <w:tcPr>
            <w:tcW w:w="6378" w:type="dxa"/>
            <w:tcBorders>
              <w:right w:val="single" w:color="auto" w:sz="4" w:space="0"/>
            </w:tcBorders>
            <w:vAlign w:val="center"/>
          </w:tcPr>
          <w:p w14:paraId="7E2C5DE9">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售后服务满足磋商文件要求。</w:t>
            </w:r>
          </w:p>
        </w:tc>
        <w:tc>
          <w:tcPr>
            <w:tcW w:w="749" w:type="dxa"/>
            <w:tcBorders>
              <w:left w:val="single" w:color="auto" w:sz="4" w:space="0"/>
            </w:tcBorders>
          </w:tcPr>
          <w:p w14:paraId="459CFE9F">
            <w:pPr>
              <w:rPr>
                <w:rFonts w:ascii="仿宋" w:hAnsi="仿宋" w:eastAsia="仿宋" w:cs="仿宋"/>
                <w:color w:val="auto"/>
                <w:szCs w:val="21"/>
                <w:lang w:eastAsia="zh-CN"/>
              </w:rPr>
            </w:pPr>
          </w:p>
        </w:tc>
        <w:tc>
          <w:tcPr>
            <w:tcW w:w="617" w:type="dxa"/>
            <w:tcBorders>
              <w:right w:val="single" w:color="auto" w:sz="4" w:space="0"/>
            </w:tcBorders>
          </w:tcPr>
          <w:p w14:paraId="4F4E82E6">
            <w:pPr>
              <w:rPr>
                <w:rFonts w:ascii="仿宋" w:hAnsi="仿宋" w:eastAsia="仿宋" w:cs="仿宋"/>
                <w:color w:val="auto"/>
                <w:szCs w:val="21"/>
                <w:lang w:eastAsia="zh-CN"/>
              </w:rPr>
            </w:pPr>
          </w:p>
        </w:tc>
      </w:tr>
      <w:tr w14:paraId="316A7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14:paraId="78F16FD6">
            <w:pPr>
              <w:rPr>
                <w:rFonts w:ascii="仿宋" w:hAnsi="仿宋" w:eastAsia="仿宋" w:cs="仿宋"/>
                <w:color w:val="auto"/>
                <w:lang w:eastAsia="zh-CN"/>
              </w:rPr>
            </w:pPr>
          </w:p>
        </w:tc>
        <w:tc>
          <w:tcPr>
            <w:tcW w:w="597" w:type="dxa"/>
            <w:tcBorders>
              <w:left w:val="single" w:color="auto" w:sz="4" w:space="0"/>
            </w:tcBorders>
            <w:vAlign w:val="center"/>
          </w:tcPr>
          <w:p w14:paraId="1CF6823D">
            <w:pPr>
              <w:jc w:val="center"/>
              <w:rPr>
                <w:rFonts w:ascii="仿宋" w:hAnsi="仿宋" w:eastAsia="仿宋" w:cs="仿宋"/>
                <w:color w:val="auto"/>
              </w:rPr>
            </w:pPr>
            <w:r>
              <w:rPr>
                <w:rFonts w:hint="eastAsia" w:ascii="仿宋" w:hAnsi="仿宋" w:eastAsia="仿宋" w:cs="仿宋"/>
                <w:color w:val="auto"/>
              </w:rPr>
              <w:t>9</w:t>
            </w:r>
          </w:p>
        </w:tc>
        <w:tc>
          <w:tcPr>
            <w:tcW w:w="6378" w:type="dxa"/>
            <w:tcBorders>
              <w:right w:val="single" w:color="auto" w:sz="4" w:space="0"/>
            </w:tcBorders>
            <w:vAlign w:val="center"/>
          </w:tcPr>
          <w:p w14:paraId="2F05C0D9">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投标有效期满足磋商文件要求。</w:t>
            </w:r>
          </w:p>
        </w:tc>
        <w:tc>
          <w:tcPr>
            <w:tcW w:w="749" w:type="dxa"/>
            <w:tcBorders>
              <w:left w:val="single" w:color="auto" w:sz="4" w:space="0"/>
            </w:tcBorders>
          </w:tcPr>
          <w:p w14:paraId="0BD9AB8D">
            <w:pPr>
              <w:rPr>
                <w:rFonts w:ascii="仿宋" w:hAnsi="仿宋" w:eastAsia="仿宋" w:cs="仿宋"/>
                <w:color w:val="auto"/>
                <w:szCs w:val="21"/>
                <w:lang w:eastAsia="zh-CN"/>
              </w:rPr>
            </w:pPr>
          </w:p>
        </w:tc>
        <w:tc>
          <w:tcPr>
            <w:tcW w:w="617" w:type="dxa"/>
            <w:tcBorders>
              <w:right w:val="single" w:color="auto" w:sz="4" w:space="0"/>
            </w:tcBorders>
          </w:tcPr>
          <w:p w14:paraId="37D10678">
            <w:pPr>
              <w:rPr>
                <w:rFonts w:ascii="仿宋" w:hAnsi="仿宋" w:eastAsia="仿宋" w:cs="仿宋"/>
                <w:color w:val="auto"/>
                <w:szCs w:val="21"/>
                <w:lang w:eastAsia="zh-CN"/>
              </w:rPr>
            </w:pPr>
          </w:p>
        </w:tc>
      </w:tr>
      <w:tr w14:paraId="7D1D1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14:paraId="68D5874B">
            <w:pPr>
              <w:rPr>
                <w:rFonts w:ascii="仿宋" w:hAnsi="仿宋" w:eastAsia="仿宋" w:cs="仿宋"/>
                <w:color w:val="auto"/>
                <w:lang w:eastAsia="zh-CN"/>
              </w:rPr>
            </w:pPr>
          </w:p>
        </w:tc>
        <w:tc>
          <w:tcPr>
            <w:tcW w:w="597" w:type="dxa"/>
            <w:tcBorders>
              <w:left w:val="single" w:color="auto" w:sz="4" w:space="0"/>
            </w:tcBorders>
            <w:vAlign w:val="center"/>
          </w:tcPr>
          <w:p w14:paraId="0DA0522F">
            <w:pPr>
              <w:jc w:val="center"/>
              <w:rPr>
                <w:rFonts w:ascii="仿宋" w:hAnsi="仿宋" w:eastAsia="仿宋" w:cs="仿宋"/>
                <w:color w:val="auto"/>
              </w:rPr>
            </w:pPr>
            <w:r>
              <w:rPr>
                <w:rFonts w:hint="eastAsia" w:ascii="仿宋" w:hAnsi="仿宋" w:eastAsia="仿宋" w:cs="仿宋"/>
                <w:color w:val="auto"/>
              </w:rPr>
              <w:t>10</w:t>
            </w:r>
          </w:p>
        </w:tc>
        <w:tc>
          <w:tcPr>
            <w:tcW w:w="6378" w:type="dxa"/>
            <w:tcBorders>
              <w:right w:val="single" w:color="auto" w:sz="4" w:space="0"/>
            </w:tcBorders>
            <w:vAlign w:val="center"/>
          </w:tcPr>
          <w:p w14:paraId="48A84BAF">
            <w:pPr>
              <w:widowControl/>
              <w:textAlignment w:val="center"/>
              <w:rPr>
                <w:rFonts w:ascii="仿宋" w:hAnsi="仿宋" w:eastAsia="仿宋" w:cs="仿宋"/>
                <w:color w:val="auto"/>
                <w:lang w:eastAsia="zh-CN"/>
              </w:rPr>
            </w:pPr>
            <w:r>
              <w:rPr>
                <w:rFonts w:hint="eastAsia" w:ascii="仿宋" w:hAnsi="仿宋" w:eastAsia="仿宋" w:cs="仿宋"/>
                <w:color w:val="auto"/>
                <w:lang w:eastAsia="zh-CN"/>
              </w:rPr>
              <w:t>供应商详细地址、联系人、电话</w:t>
            </w:r>
          </w:p>
        </w:tc>
        <w:tc>
          <w:tcPr>
            <w:tcW w:w="749" w:type="dxa"/>
            <w:tcBorders>
              <w:left w:val="single" w:color="auto" w:sz="4" w:space="0"/>
            </w:tcBorders>
          </w:tcPr>
          <w:p w14:paraId="28A8D9BB">
            <w:pPr>
              <w:rPr>
                <w:rFonts w:ascii="仿宋" w:hAnsi="仿宋" w:eastAsia="仿宋" w:cs="仿宋"/>
                <w:color w:val="auto"/>
                <w:szCs w:val="21"/>
                <w:lang w:eastAsia="zh-CN"/>
              </w:rPr>
            </w:pPr>
          </w:p>
        </w:tc>
        <w:tc>
          <w:tcPr>
            <w:tcW w:w="617" w:type="dxa"/>
            <w:tcBorders>
              <w:right w:val="single" w:color="auto" w:sz="4" w:space="0"/>
            </w:tcBorders>
          </w:tcPr>
          <w:p w14:paraId="75877244">
            <w:pPr>
              <w:rPr>
                <w:rFonts w:ascii="仿宋" w:hAnsi="仿宋" w:eastAsia="仿宋" w:cs="仿宋"/>
                <w:color w:val="auto"/>
                <w:szCs w:val="21"/>
                <w:lang w:eastAsia="zh-CN"/>
              </w:rPr>
            </w:pPr>
          </w:p>
        </w:tc>
      </w:tr>
      <w:tr w14:paraId="09A093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14:paraId="5F3FED0C">
            <w:pPr>
              <w:jc w:val="center"/>
              <w:rPr>
                <w:rFonts w:ascii="仿宋" w:hAnsi="仿宋" w:eastAsia="仿宋" w:cs="仿宋"/>
                <w:color w:val="auto"/>
                <w:szCs w:val="21"/>
                <w:lang w:eastAsia="zh-CN"/>
              </w:rPr>
            </w:pPr>
          </w:p>
        </w:tc>
        <w:tc>
          <w:tcPr>
            <w:tcW w:w="6975" w:type="dxa"/>
            <w:gridSpan w:val="2"/>
            <w:tcBorders>
              <w:left w:val="single" w:color="auto" w:sz="4" w:space="0"/>
              <w:bottom w:val="single" w:color="auto" w:sz="4" w:space="0"/>
              <w:right w:val="single" w:color="auto" w:sz="4" w:space="0"/>
            </w:tcBorders>
          </w:tcPr>
          <w:p w14:paraId="4683AAFC">
            <w:pPr>
              <w:rPr>
                <w:rFonts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14:paraId="665E0EA4">
            <w:pPr>
              <w:rPr>
                <w:rFonts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14:paraId="0B242D92">
            <w:pPr>
              <w:rPr>
                <w:rFonts w:ascii="仿宋" w:hAnsi="仿宋" w:eastAsia="仿宋" w:cs="仿宋"/>
                <w:color w:val="auto"/>
                <w:szCs w:val="21"/>
                <w:lang w:eastAsia="zh-CN"/>
              </w:rPr>
            </w:pPr>
          </w:p>
        </w:tc>
      </w:tr>
    </w:tbl>
    <w:p w14:paraId="247C3FCE">
      <w:pPr>
        <w:rPr>
          <w:rFonts w:ascii="仿宋" w:hAnsi="仿宋" w:eastAsia="仿宋" w:cs="仿宋"/>
          <w:color w:val="auto"/>
          <w:lang w:eastAsia="zh-CN"/>
        </w:rPr>
      </w:pPr>
    </w:p>
    <w:p w14:paraId="0676CDFD">
      <w:pPr>
        <w:keepNext w:val="0"/>
        <w:keepLines w:val="0"/>
        <w:pageBreakBefore w:val="0"/>
        <w:widowControl w:val="0"/>
        <w:kinsoku/>
        <w:wordWrap/>
        <w:overflowPunct/>
        <w:topLinePunct w:val="0"/>
        <w:bidi w:val="0"/>
        <w:snapToGrid/>
        <w:spacing w:line="360" w:lineRule="exact"/>
        <w:ind w:firstLine="585"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7.2评委会判定投标文件的响应性只根据投标文件本身的内容，而不寻求外部的证据，但投标有不真实不正确的内容时除外。</w:t>
      </w:r>
    </w:p>
    <w:p w14:paraId="308B91F4">
      <w:pPr>
        <w:keepNext w:val="0"/>
        <w:keepLines w:val="0"/>
        <w:pageBreakBefore w:val="0"/>
        <w:widowControl w:val="0"/>
        <w:kinsoku/>
        <w:wordWrap/>
        <w:overflowPunct/>
        <w:topLinePunct w:val="0"/>
        <w:bidi w:val="0"/>
        <w:snapToGrid/>
        <w:spacing w:line="360" w:lineRule="exact"/>
        <w:ind w:firstLine="585" w:firstLineChars="241"/>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7.3如果投标文件实质上没有响应采购文件的要求，评委会将予以拒绝，供应商不得通过修正或撤销不符合要求的偏离或保留，而使其投标成为实质上响应的投标。</w:t>
      </w:r>
    </w:p>
    <w:p w14:paraId="3FFF4A65">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7.4供应商可在现场20分钟内对评标委员会的评审结论提出异议，评标委员会根据采购文件及有关规定对供应商的异议进行复议</w:t>
      </w:r>
    </w:p>
    <w:p w14:paraId="7F1B4CA8">
      <w:pPr>
        <w:keepNext w:val="0"/>
        <w:keepLines w:val="0"/>
        <w:pageBreakBefore w:val="0"/>
        <w:widowControl w:val="0"/>
        <w:kinsoku/>
        <w:wordWrap/>
        <w:overflowPunct/>
        <w:topLinePunct w:val="0"/>
        <w:bidi w:val="0"/>
        <w:snapToGrid/>
        <w:spacing w:line="360" w:lineRule="exact"/>
        <w:ind w:firstLine="607" w:firstLineChars="2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7.5只有通过初审的供应商才能进入下一步评标程序。</w:t>
      </w:r>
    </w:p>
    <w:p w14:paraId="6764E7D9">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b/>
          <w:color w:val="auto"/>
          <w:szCs w:val="21"/>
          <w:lang w:eastAsia="zh-CN"/>
        </w:rPr>
        <w:t>温馨提示：投标文件资格审查资料请精心准备,如评标专家在检验电子标书过程中，如果由于供应商自身原因导致评标专家无法查看并检验电子标书中以上相关资料的，按无效投标处理。即使投标单位将原件携带至现场的，同样按无效投标处理。</w:t>
      </w:r>
    </w:p>
    <w:p w14:paraId="2112074C">
      <w:pPr>
        <w:keepNext w:val="0"/>
        <w:keepLines w:val="0"/>
        <w:pageBreakBefore w:val="0"/>
        <w:widowControl w:val="0"/>
        <w:kinsoku/>
        <w:wordWrap/>
        <w:overflowPunct/>
        <w:topLinePunct w:val="0"/>
        <w:bidi w:val="0"/>
        <w:snapToGrid/>
        <w:spacing w:beforeLines="50" w:line="360" w:lineRule="exact"/>
        <w:jc w:val="center"/>
        <w:textAlignment w:val="auto"/>
        <w:outlineLvl w:val="1"/>
        <w:rPr>
          <w:rFonts w:hint="eastAsia" w:ascii="仿宋" w:hAnsi="仿宋" w:eastAsia="仿宋" w:cs="仿宋"/>
          <w:b/>
          <w:color w:val="auto"/>
          <w:lang w:eastAsia="zh-CN"/>
        </w:rPr>
      </w:pPr>
      <w:bookmarkStart w:id="38" w:name="_Toc469495734"/>
      <w:bookmarkStart w:id="39" w:name="_Toc362983803"/>
    </w:p>
    <w:p w14:paraId="64D73938">
      <w:pPr>
        <w:keepNext w:val="0"/>
        <w:keepLines w:val="0"/>
        <w:pageBreakBefore w:val="0"/>
        <w:widowControl w:val="0"/>
        <w:kinsoku/>
        <w:wordWrap/>
        <w:overflowPunct/>
        <w:topLinePunct w:val="0"/>
        <w:bidi w:val="0"/>
        <w:snapToGrid/>
        <w:spacing w:beforeLines="50" w:line="360" w:lineRule="exact"/>
        <w:jc w:val="center"/>
        <w:textAlignment w:val="auto"/>
        <w:outlineLvl w:val="1"/>
        <w:rPr>
          <w:rFonts w:ascii="仿宋" w:hAnsi="仿宋" w:eastAsia="仿宋" w:cs="仿宋"/>
          <w:b/>
          <w:color w:val="auto"/>
          <w:lang w:eastAsia="zh-CN"/>
        </w:rPr>
      </w:pPr>
      <w:r>
        <w:rPr>
          <w:rFonts w:hint="eastAsia" w:ascii="仿宋" w:hAnsi="仿宋" w:eastAsia="仿宋" w:cs="仿宋"/>
          <w:b/>
          <w:color w:val="auto"/>
          <w:lang w:eastAsia="zh-CN"/>
        </w:rPr>
        <w:t xml:space="preserve">三 </w:t>
      </w:r>
      <w:r>
        <w:rPr>
          <w:rFonts w:hint="eastAsia" w:ascii="仿宋" w:hAnsi="仿宋" w:eastAsia="仿宋" w:cs="仿宋"/>
          <w:b/>
          <w:color w:val="auto"/>
          <w:sz w:val="28"/>
          <w:szCs w:val="28"/>
          <w:lang w:eastAsia="zh-CN"/>
        </w:rPr>
        <w:t xml:space="preserve"> </w:t>
      </w:r>
      <w:r>
        <w:rPr>
          <w:rFonts w:hint="eastAsia" w:ascii="仿宋" w:hAnsi="仿宋" w:eastAsia="仿宋" w:cs="仿宋"/>
          <w:b/>
          <w:color w:val="auto"/>
          <w:lang w:eastAsia="zh-CN"/>
        </w:rPr>
        <w:t>投标文件的澄清和补正</w:t>
      </w:r>
      <w:bookmarkEnd w:id="38"/>
      <w:bookmarkEnd w:id="39"/>
    </w:p>
    <w:p w14:paraId="10BF3630">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14:paraId="35E263BD">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2BE6F981">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4030E3CC">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6F26836D">
      <w:pPr>
        <w:keepNext w:val="0"/>
        <w:keepLines w:val="0"/>
        <w:pageBreakBefore w:val="0"/>
        <w:widowControl w:val="0"/>
        <w:kinsoku/>
        <w:wordWrap/>
        <w:overflowPunct/>
        <w:topLinePunct w:val="0"/>
        <w:bidi w:val="0"/>
        <w:snapToGrid/>
        <w:spacing w:line="360" w:lineRule="exact"/>
        <w:ind w:firstLine="243" w:firstLineChars="1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14:paraId="15FB0B48">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14:paraId="29F73760">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14:paraId="3AE5EFB0">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14:paraId="26C67956">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9.2 投标文件中的大写金额和小写金额不一致的，以大写金额为准；</w:t>
      </w:r>
    </w:p>
    <w:p w14:paraId="351A17B3">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14:paraId="3025394C">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14:paraId="727F196D">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14:paraId="3CCFC33E">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如有多报（指数量超出采购文件需求）、重报（指同一货物重复报价），其投标总价在评标过程中不予调整，如其中标，其合同价按其投标单价予以调整；</w:t>
      </w:r>
    </w:p>
    <w:p w14:paraId="3427CC03">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9.7 对不同文字文本投标文件的解释发生异议的，以中文文本为准；</w:t>
      </w:r>
    </w:p>
    <w:p w14:paraId="0354432C">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14:paraId="4514D740">
      <w:pPr>
        <w:keepNext w:val="0"/>
        <w:keepLines w:val="0"/>
        <w:pageBreakBefore w:val="0"/>
        <w:widowControl w:val="0"/>
        <w:kinsoku/>
        <w:wordWrap/>
        <w:overflowPunct/>
        <w:topLinePunct w:val="0"/>
        <w:bidi w:val="0"/>
        <w:snapToGrid/>
        <w:spacing w:line="360" w:lineRule="exact"/>
        <w:jc w:val="center"/>
        <w:textAlignment w:val="auto"/>
        <w:outlineLvl w:val="1"/>
        <w:rPr>
          <w:rFonts w:ascii="仿宋" w:hAnsi="仿宋" w:eastAsia="仿宋" w:cs="仿宋"/>
          <w:b/>
          <w:color w:val="auto"/>
          <w:lang w:eastAsia="zh-CN"/>
        </w:rPr>
      </w:pPr>
      <w:bookmarkStart w:id="40" w:name="_Toc469495735"/>
      <w:r>
        <w:rPr>
          <w:rFonts w:hint="eastAsia" w:ascii="仿宋" w:hAnsi="仿宋" w:eastAsia="仿宋" w:cs="仿宋"/>
          <w:b/>
          <w:color w:val="auto"/>
          <w:lang w:eastAsia="zh-CN"/>
        </w:rPr>
        <w:t>四 比较与评价</w:t>
      </w:r>
      <w:bookmarkEnd w:id="40"/>
    </w:p>
    <w:p w14:paraId="56C7F583">
      <w:pPr>
        <w:keepNext w:val="0"/>
        <w:keepLines w:val="0"/>
        <w:pageBreakBefore w:val="0"/>
        <w:widowControl w:val="0"/>
        <w:tabs>
          <w:tab w:val="left" w:pos="720"/>
        </w:tabs>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bookmarkStart w:id="41" w:name="_Toc469495736"/>
      <w:bookmarkStart w:id="42" w:name="_Toc362983805"/>
      <w:r>
        <w:rPr>
          <w:rFonts w:hint="eastAsia" w:ascii="仿宋" w:hAnsi="仿宋" w:eastAsia="仿宋" w:cs="仿宋"/>
          <w:color w:val="auto"/>
          <w:szCs w:val="21"/>
          <w:lang w:eastAsia="zh-CN" w:bidi="ar-SA"/>
        </w:rPr>
        <w:t>10.1评标委员会按磋商文件中规定的评标方法和标准，对资格性检查和符合性检查合格的投标文件进行商务和技术评估、综合比较与评价。</w:t>
      </w:r>
    </w:p>
    <w:p w14:paraId="211355B5">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14:paraId="32ACB09B">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14:paraId="5313086C">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14:paraId="0C86290B">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（2）衡量、对比的依据，应以磋商文件、投标文件、提供的正式试验数据、质询澄清中的文字为准，口头回答和收集的资料只作为参考。</w:t>
      </w:r>
    </w:p>
    <w:p w14:paraId="194AE7F5">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（3）评分主要是为比较各供应商的价格、商务和技术综合排序。</w:t>
      </w:r>
    </w:p>
    <w:p w14:paraId="2DDE21BF">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14:paraId="0429B0E9">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14:paraId="0A2FD516">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（6）对打分表中的每项条款，各评委应根据投标文件、澄清材料、磋商文件要求，按满足的程度给供应商打分。</w:t>
      </w:r>
    </w:p>
    <w:p w14:paraId="5F3865DE">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14:paraId="310319C6">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1)就供应商的投标文件对照整理出商务、技术评标因素对比表、偏差表，并在经过校核的基础上逐项打分。</w:t>
      </w:r>
    </w:p>
    <w:p w14:paraId="30EE77BF">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14:paraId="202282AC">
      <w:pPr>
        <w:keepNext w:val="0"/>
        <w:keepLines w:val="0"/>
        <w:pageBreakBefore w:val="0"/>
        <w:widowControl w:val="0"/>
        <w:kinsoku/>
        <w:wordWrap/>
        <w:overflowPunct/>
        <w:topLinePunct w:val="0"/>
        <w:bidi w:val="0"/>
        <w:snapToGrid/>
        <w:spacing w:line="36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3)最终汇总表中各供应商得分应为评委打分的算术平均值。</w:t>
      </w:r>
    </w:p>
    <w:p w14:paraId="2F36E629">
      <w:pPr>
        <w:pStyle w:val="6"/>
        <w:keepNext w:val="0"/>
        <w:keepLines w:val="0"/>
        <w:pageBreakBefore w:val="0"/>
        <w:widowControl w:val="0"/>
        <w:kinsoku/>
        <w:wordWrap/>
        <w:overflowPunct/>
        <w:topLinePunct w:val="0"/>
        <w:bidi w:val="0"/>
        <w:snapToGrid/>
        <w:spacing w:line="360" w:lineRule="exact"/>
        <w:jc w:val="left"/>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（8）评分标准和细则（综合评分法评分标准）</w:t>
      </w:r>
    </w:p>
    <w:p w14:paraId="69BF48DD">
      <w:pPr>
        <w:pStyle w:val="6"/>
        <w:keepNext w:val="0"/>
        <w:keepLines w:val="0"/>
        <w:pageBreakBefore w:val="0"/>
        <w:widowControl w:val="0"/>
        <w:kinsoku/>
        <w:wordWrap/>
        <w:overflowPunct/>
        <w:topLinePunct w:val="0"/>
        <w:bidi w:val="0"/>
        <w:snapToGrid/>
        <w:spacing w:line="400" w:lineRule="exact"/>
        <w:jc w:val="center"/>
        <w:textAlignment w:val="auto"/>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t>评分标准</w:t>
      </w:r>
    </w:p>
    <w:tbl>
      <w:tblPr>
        <w:tblStyle w:val="25"/>
        <w:tblW w:w="53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2"/>
        <w:gridCol w:w="996"/>
        <w:gridCol w:w="7482"/>
      </w:tblGrid>
      <w:tr w14:paraId="4DC2B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402" w:type="dxa"/>
            <w:vAlign w:val="center"/>
          </w:tcPr>
          <w:p w14:paraId="140257E5">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评分因素</w:t>
            </w:r>
          </w:p>
        </w:tc>
        <w:tc>
          <w:tcPr>
            <w:tcW w:w="996" w:type="dxa"/>
            <w:vAlign w:val="center"/>
          </w:tcPr>
          <w:p w14:paraId="67C2FAEF">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分值</w:t>
            </w:r>
          </w:p>
        </w:tc>
        <w:tc>
          <w:tcPr>
            <w:tcW w:w="7482" w:type="dxa"/>
            <w:vAlign w:val="center"/>
          </w:tcPr>
          <w:p w14:paraId="4B2B3AE4">
            <w:pPr>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评审标准</w:t>
            </w:r>
          </w:p>
        </w:tc>
      </w:tr>
      <w:tr w14:paraId="43DC9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402" w:type="dxa"/>
            <w:vAlign w:val="center"/>
          </w:tcPr>
          <w:p w14:paraId="54BD8B6A">
            <w:pPr>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报价部分</w:t>
            </w:r>
          </w:p>
        </w:tc>
        <w:tc>
          <w:tcPr>
            <w:tcW w:w="996" w:type="dxa"/>
            <w:vAlign w:val="center"/>
          </w:tcPr>
          <w:p w14:paraId="201A1992">
            <w:pPr>
              <w:spacing w:line="400" w:lineRule="exact"/>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分</w:t>
            </w:r>
          </w:p>
        </w:tc>
        <w:tc>
          <w:tcPr>
            <w:tcW w:w="7482" w:type="dxa"/>
            <w:vAlign w:val="center"/>
          </w:tcPr>
          <w:p w14:paraId="20D24A9F">
            <w:pPr>
              <w:spacing w:line="400" w:lineRule="exact"/>
              <w:jc w:val="left"/>
              <w:rPr>
                <w:rFonts w:hint="eastAsia" w:ascii="仿宋" w:hAnsi="仿宋" w:eastAsia="仿宋" w:cs="仿宋"/>
                <w:color w:val="auto"/>
                <w:sz w:val="24"/>
                <w:szCs w:val="24"/>
              </w:rPr>
            </w:pPr>
            <w:r>
              <w:rPr>
                <w:rFonts w:hint="eastAsia" w:ascii="仿宋" w:hAnsi="仿宋" w:eastAsia="仿宋" w:cs="仿宋"/>
                <w:color w:val="auto"/>
                <w:sz w:val="24"/>
                <w:szCs w:val="24"/>
              </w:rPr>
              <w:t>满足磋商文件要求且最后报价最低的报价为磋商基准价，</w:t>
            </w:r>
            <w:r>
              <w:rPr>
                <w:rFonts w:hint="eastAsia" w:ascii="仿宋" w:hAnsi="仿宋" w:eastAsia="仿宋" w:cs="仿宋"/>
                <w:color w:val="auto"/>
                <w:sz w:val="24"/>
                <w:szCs w:val="24"/>
                <w:lang w:eastAsia="zh-CN"/>
              </w:rPr>
              <w:t>磋商报价得分=（磋商基准价/最后磋商报价）×价格权值×100</w:t>
            </w:r>
            <w:r>
              <w:rPr>
                <w:rFonts w:hint="eastAsia" w:ascii="仿宋" w:hAnsi="仿宋" w:eastAsia="仿宋" w:cs="仿宋"/>
                <w:color w:val="auto"/>
                <w:sz w:val="24"/>
                <w:szCs w:val="24"/>
                <w:lang w:val="en-US" w:eastAsia="zh-CN"/>
              </w:rPr>
              <w:t>。</w:t>
            </w:r>
          </w:p>
          <w:p w14:paraId="6A1D687D">
            <w:pPr>
              <w:spacing w:line="400" w:lineRule="exact"/>
              <w:jc w:val="left"/>
              <w:rPr>
                <w:rFonts w:hint="eastAsia" w:ascii="仿宋" w:hAnsi="仿宋" w:eastAsia="仿宋" w:cs="仿宋"/>
                <w:color w:val="auto"/>
                <w:sz w:val="24"/>
                <w:szCs w:val="24"/>
              </w:rPr>
            </w:pPr>
            <w:r>
              <w:rPr>
                <w:rFonts w:hint="eastAsia" w:ascii="仿宋" w:hAnsi="仿宋" w:eastAsia="仿宋" w:cs="仿宋"/>
                <w:b/>
                <w:bCs/>
                <w:color w:val="auto"/>
                <w:sz w:val="24"/>
                <w:szCs w:val="24"/>
                <w:lang w:val="en-US" w:eastAsia="zh-CN"/>
              </w:rPr>
              <w:t>注：投标报价超过采购预算价的按废标处理</w:t>
            </w:r>
          </w:p>
        </w:tc>
      </w:tr>
      <w:tr w14:paraId="1A79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2" w:type="dxa"/>
            <w:vAlign w:val="center"/>
          </w:tcPr>
          <w:p w14:paraId="2B199370">
            <w:pPr>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类似业绩</w:t>
            </w:r>
          </w:p>
        </w:tc>
        <w:tc>
          <w:tcPr>
            <w:tcW w:w="996" w:type="dxa"/>
            <w:vAlign w:val="center"/>
          </w:tcPr>
          <w:p w14:paraId="409BCC0B">
            <w:pPr>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2分</w:t>
            </w:r>
          </w:p>
        </w:tc>
        <w:tc>
          <w:tcPr>
            <w:tcW w:w="7482" w:type="dxa"/>
            <w:vAlign w:val="center"/>
          </w:tcPr>
          <w:p w14:paraId="0AEFAC8F">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 xml:space="preserve">投标企业近三年类似业绩，2022 年 </w:t>
            </w:r>
            <w:r>
              <w:rPr>
                <w:rFonts w:hint="eastAsia" w:ascii="仿宋" w:hAnsi="仿宋" w:eastAsia="仿宋" w:cs="仿宋"/>
                <w:color w:val="auto"/>
                <w:sz w:val="24"/>
                <w:szCs w:val="24"/>
                <w:lang w:val="en-US" w:eastAsia="zh-CN"/>
              </w:rPr>
              <w:t>4</w:t>
            </w:r>
            <w:r>
              <w:rPr>
                <w:rFonts w:hint="default" w:ascii="仿宋" w:hAnsi="仿宋" w:eastAsia="仿宋" w:cs="仿宋"/>
                <w:color w:val="auto"/>
                <w:sz w:val="24"/>
                <w:szCs w:val="24"/>
                <w:lang w:val="en-US" w:eastAsia="zh-CN"/>
              </w:rPr>
              <w:t xml:space="preserve"> 月至今（需提供清晰的合同和中标成交通知书原件扫描件并加盖公章，签章或字迹模糊不清的不得分。每提供一个得</w:t>
            </w:r>
            <w:r>
              <w:rPr>
                <w:rFonts w:hint="eastAsia" w:ascii="仿宋" w:hAnsi="仿宋" w:eastAsia="仿宋" w:cs="仿宋"/>
                <w:color w:val="auto"/>
                <w:sz w:val="24"/>
                <w:szCs w:val="24"/>
                <w:lang w:val="en-US" w:eastAsia="zh-CN"/>
              </w:rPr>
              <w:t>1</w:t>
            </w:r>
            <w:r>
              <w:rPr>
                <w:rFonts w:hint="default" w:ascii="仿宋" w:hAnsi="仿宋" w:eastAsia="仿宋" w:cs="仿宋"/>
                <w:color w:val="auto"/>
                <w:sz w:val="24"/>
                <w:szCs w:val="24"/>
                <w:lang w:val="en-US" w:eastAsia="zh-CN"/>
              </w:rPr>
              <w:t xml:space="preserve">分，满分 </w:t>
            </w:r>
            <w:r>
              <w:rPr>
                <w:rFonts w:hint="eastAsia" w:ascii="仿宋" w:hAnsi="仿宋" w:eastAsia="仿宋" w:cs="仿宋"/>
                <w:color w:val="auto"/>
                <w:sz w:val="24"/>
                <w:szCs w:val="24"/>
                <w:lang w:val="en-US" w:eastAsia="zh-CN"/>
              </w:rPr>
              <w:t>2分）；不提供不得分。</w:t>
            </w:r>
          </w:p>
        </w:tc>
      </w:tr>
      <w:tr w14:paraId="0352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402" w:type="dxa"/>
            <w:vAlign w:val="center"/>
          </w:tcPr>
          <w:p w14:paraId="0DA01B7D">
            <w:pPr>
              <w:numPr>
                <w:ilvl w:val="0"/>
                <w:numId w:val="0"/>
              </w:numPr>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服务方案</w:t>
            </w:r>
          </w:p>
        </w:tc>
        <w:tc>
          <w:tcPr>
            <w:tcW w:w="996" w:type="dxa"/>
            <w:vAlign w:val="center"/>
          </w:tcPr>
          <w:p w14:paraId="5D7DC05B">
            <w:pPr>
              <w:numPr>
                <w:ilvl w:val="0"/>
                <w:numId w:val="0"/>
              </w:numPr>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22分</w:t>
            </w:r>
          </w:p>
        </w:tc>
        <w:tc>
          <w:tcPr>
            <w:tcW w:w="7482" w:type="dxa"/>
            <w:vAlign w:val="center"/>
          </w:tcPr>
          <w:p w14:paraId="1474FDA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投标人针对本项目制定的服务方案，内容包含：①新增补种大果沙枣苗； ②接穗的采集与贮藏；③砧木的培育；④嫁接及养护措施；⑤农药及化肥的使用、防潮、密封管理；⑥坏苗更换响应时间⑦清园；⑧苗木修剪；⑨人员的培训方案。</w:t>
            </w:r>
          </w:p>
          <w:p w14:paraId="667F0DB9">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 xml:space="preserve">方案可行性强，内容全面合理，得22分； </w:t>
            </w:r>
          </w:p>
          <w:p w14:paraId="3AD41CD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方案可行性较强，内容较全面合理得14分；</w:t>
            </w:r>
          </w:p>
          <w:p w14:paraId="7A53C06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方案可行性一般，内容一般全面合理得6分；</w:t>
            </w:r>
          </w:p>
          <w:p w14:paraId="2618DD5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方案可行性较差，内容不全面、合理性差或未提供方案不得分。</w:t>
            </w:r>
          </w:p>
        </w:tc>
      </w:tr>
      <w:tr w14:paraId="409C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402" w:type="dxa"/>
            <w:vAlign w:val="center"/>
          </w:tcPr>
          <w:p w14:paraId="60549C4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运输方案</w:t>
            </w:r>
          </w:p>
        </w:tc>
        <w:tc>
          <w:tcPr>
            <w:tcW w:w="996" w:type="dxa"/>
            <w:vAlign w:val="center"/>
          </w:tcPr>
          <w:p w14:paraId="5994C708">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12分</w:t>
            </w:r>
          </w:p>
        </w:tc>
        <w:tc>
          <w:tcPr>
            <w:tcW w:w="7482" w:type="dxa"/>
            <w:vAlign w:val="center"/>
          </w:tcPr>
          <w:p w14:paraId="244EA567">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人针对本项目产品的运输配送①运输配送方案;②运输保障体系;③运输能力等(可提供车况、车辆图片、行驶证及驾驶人员证书等，如不是自有车辆，可提供租赁协议等证明材料)(包括但不限于以上内容)制定方案;</w:t>
            </w:r>
          </w:p>
          <w:p w14:paraId="7F6F2F38">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1.方案内容完整全面，可行性较强、且具有针对性的，得12 分;</w:t>
            </w:r>
          </w:p>
          <w:p w14:paraId="23263B1C">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2.方案内容较为完整全面，可行性较强、有针对性的，得9分;</w:t>
            </w:r>
          </w:p>
          <w:p w14:paraId="481C3B7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3.方案内容不完整，可行性一般，得6分;</w:t>
            </w:r>
          </w:p>
          <w:p w14:paraId="664107A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方案内容未能满足采购需求、无针对性，得3分;</w:t>
            </w:r>
          </w:p>
          <w:p w14:paraId="353E39E1">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5.未提供或不符合实际需求不得分。</w:t>
            </w:r>
          </w:p>
        </w:tc>
      </w:tr>
      <w:tr w14:paraId="347B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02" w:type="dxa"/>
            <w:vAlign w:val="center"/>
          </w:tcPr>
          <w:p w14:paraId="7EF34E8C">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人员分配</w:t>
            </w:r>
          </w:p>
          <w:p w14:paraId="762BCAC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情况</w:t>
            </w:r>
          </w:p>
        </w:tc>
        <w:tc>
          <w:tcPr>
            <w:tcW w:w="996" w:type="dxa"/>
            <w:vAlign w:val="center"/>
          </w:tcPr>
          <w:p w14:paraId="279C38CA">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8分</w:t>
            </w:r>
          </w:p>
        </w:tc>
        <w:tc>
          <w:tcPr>
            <w:tcW w:w="7482" w:type="dxa"/>
            <w:vAlign w:val="center"/>
          </w:tcPr>
          <w:p w14:paraId="73796666">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针对本项目</w:t>
            </w:r>
            <w:r>
              <w:rPr>
                <w:rFonts w:hint="eastAsia" w:ascii="仿宋" w:hAnsi="仿宋" w:eastAsia="仿宋" w:cs="仿宋"/>
                <w:color w:val="auto"/>
                <w:sz w:val="24"/>
                <w:szCs w:val="24"/>
                <w:lang w:val="en-US" w:eastAsia="zh-CN"/>
              </w:rPr>
              <w:t>服务</w:t>
            </w:r>
            <w:r>
              <w:rPr>
                <w:rFonts w:hint="default" w:ascii="仿宋" w:hAnsi="仿宋" w:eastAsia="仿宋" w:cs="仿宋"/>
                <w:color w:val="auto"/>
                <w:sz w:val="24"/>
                <w:szCs w:val="24"/>
                <w:lang w:val="en-US" w:eastAsia="zh-CN"/>
              </w:rPr>
              <w:t>地点、</w:t>
            </w:r>
            <w:r>
              <w:rPr>
                <w:rFonts w:hint="eastAsia" w:ascii="仿宋" w:hAnsi="仿宋" w:eastAsia="仿宋" w:cs="仿宋"/>
                <w:color w:val="auto"/>
                <w:sz w:val="24"/>
                <w:szCs w:val="24"/>
                <w:lang w:val="en-US" w:eastAsia="zh-CN"/>
              </w:rPr>
              <w:t>供货期、服务期等</w:t>
            </w:r>
            <w:r>
              <w:rPr>
                <w:rFonts w:hint="default" w:ascii="仿宋" w:hAnsi="仿宋" w:eastAsia="仿宋" w:cs="仿宋"/>
                <w:color w:val="auto"/>
                <w:sz w:val="24"/>
                <w:szCs w:val="24"/>
                <w:lang w:val="en-US" w:eastAsia="zh-CN"/>
              </w:rPr>
              <w:t>特点，就项目人员岗位职责、分工进行评价。方案内容详细、全面、可行性情况酌情给分；本项满分</w:t>
            </w:r>
            <w:r>
              <w:rPr>
                <w:rFonts w:hint="eastAsia" w:ascii="仿宋" w:hAnsi="仿宋" w:eastAsia="仿宋" w:cs="仿宋"/>
                <w:color w:val="auto"/>
                <w:sz w:val="24"/>
                <w:szCs w:val="24"/>
                <w:lang w:val="en-US" w:eastAsia="zh-CN"/>
              </w:rPr>
              <w:t>8</w:t>
            </w:r>
            <w:r>
              <w:rPr>
                <w:rFonts w:hint="default" w:ascii="仿宋" w:hAnsi="仿宋" w:eastAsia="仿宋" w:cs="仿宋"/>
                <w:color w:val="auto"/>
                <w:sz w:val="24"/>
                <w:szCs w:val="24"/>
                <w:lang w:val="en-US" w:eastAsia="zh-CN"/>
              </w:rPr>
              <w:t>分。无相关说明或明显套用其他项目的得</w:t>
            </w:r>
            <w:r>
              <w:rPr>
                <w:rFonts w:hint="eastAsia" w:ascii="仿宋" w:hAnsi="仿宋" w:eastAsia="仿宋" w:cs="仿宋"/>
                <w:color w:val="auto"/>
                <w:sz w:val="24"/>
                <w:szCs w:val="24"/>
                <w:lang w:val="en-US" w:eastAsia="zh-CN"/>
              </w:rPr>
              <w:t>2</w:t>
            </w:r>
            <w:r>
              <w:rPr>
                <w:rFonts w:hint="default" w:ascii="仿宋" w:hAnsi="仿宋" w:eastAsia="仿宋" w:cs="仿宋"/>
                <w:color w:val="auto"/>
                <w:sz w:val="24"/>
                <w:szCs w:val="24"/>
                <w:lang w:val="en-US" w:eastAsia="zh-CN"/>
              </w:rPr>
              <w:t>分。</w:t>
            </w:r>
          </w:p>
        </w:tc>
      </w:tr>
      <w:tr w14:paraId="7B7A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402" w:type="dxa"/>
            <w:vAlign w:val="center"/>
          </w:tcPr>
          <w:p w14:paraId="24F48A1B">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供货期/服务期</w:t>
            </w:r>
          </w:p>
        </w:tc>
        <w:tc>
          <w:tcPr>
            <w:tcW w:w="996" w:type="dxa"/>
            <w:vAlign w:val="center"/>
          </w:tcPr>
          <w:p w14:paraId="361B2648">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1分</w:t>
            </w:r>
          </w:p>
        </w:tc>
        <w:tc>
          <w:tcPr>
            <w:tcW w:w="7482" w:type="dxa"/>
            <w:vAlign w:val="center"/>
          </w:tcPr>
          <w:p w14:paraId="25B5581E">
            <w:pPr>
              <w:rPr>
                <w:rFonts w:hint="eastAsia" w:ascii="仿宋" w:hAnsi="仿宋" w:eastAsia="仿宋" w:cs="仿宋"/>
                <w:color w:val="auto"/>
                <w:sz w:val="24"/>
                <w:szCs w:val="24"/>
                <w:lang w:val="en-US" w:eastAsia="zh-Hans"/>
              </w:rPr>
            </w:pPr>
            <w:r>
              <w:rPr>
                <w:rFonts w:hint="eastAsia" w:ascii="仿宋" w:hAnsi="仿宋" w:eastAsia="仿宋" w:cs="仿宋"/>
                <w:color w:val="auto"/>
                <w:sz w:val="24"/>
                <w:szCs w:val="24"/>
                <w:lang w:val="en-US" w:eastAsia="zh-CN"/>
              </w:rPr>
              <w:t>供货期/服务期</w:t>
            </w:r>
            <w:r>
              <w:rPr>
                <w:rFonts w:hint="eastAsia" w:ascii="仿宋" w:hAnsi="仿宋" w:eastAsia="仿宋" w:cs="仿宋"/>
                <w:color w:val="auto"/>
                <w:sz w:val="24"/>
                <w:szCs w:val="24"/>
                <w:lang w:val="en-US" w:eastAsia="zh-Hans"/>
              </w:rPr>
              <w:t>，满足</w:t>
            </w:r>
            <w:r>
              <w:rPr>
                <w:rFonts w:hint="eastAsia" w:ascii="仿宋" w:hAnsi="仿宋" w:eastAsia="仿宋" w:cs="仿宋"/>
                <w:color w:val="auto"/>
                <w:sz w:val="24"/>
                <w:szCs w:val="24"/>
                <w:lang w:val="en-US" w:eastAsia="zh-CN"/>
              </w:rPr>
              <w:t>磋商</w:t>
            </w:r>
            <w:r>
              <w:rPr>
                <w:rFonts w:hint="eastAsia" w:ascii="仿宋" w:hAnsi="仿宋" w:eastAsia="仿宋" w:cs="仿宋"/>
                <w:color w:val="auto"/>
                <w:sz w:val="24"/>
                <w:szCs w:val="24"/>
                <w:lang w:val="en-US" w:eastAsia="zh-Hans"/>
              </w:rPr>
              <w:t>文件</w:t>
            </w:r>
            <w:r>
              <w:rPr>
                <w:rFonts w:hint="eastAsia" w:ascii="仿宋" w:hAnsi="仿宋" w:eastAsia="仿宋" w:cs="仿宋"/>
                <w:color w:val="auto"/>
                <w:sz w:val="24"/>
                <w:szCs w:val="24"/>
                <w:lang w:val="en-US" w:eastAsia="zh-CN"/>
              </w:rPr>
              <w:t>基础上</w:t>
            </w:r>
            <w:r>
              <w:rPr>
                <w:rFonts w:hint="eastAsia" w:ascii="仿宋" w:hAnsi="仿宋" w:eastAsia="仿宋" w:cs="仿宋"/>
                <w:color w:val="auto"/>
                <w:sz w:val="24"/>
                <w:szCs w:val="24"/>
                <w:lang w:val="en-US" w:eastAsia="zh-Hans"/>
              </w:rPr>
              <w:t>每延长一个生长季（或一年）的，加1分，本项最多加</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val="en-US" w:eastAsia="zh-Hans"/>
              </w:rPr>
              <w:t>分。</w:t>
            </w:r>
          </w:p>
        </w:tc>
      </w:tr>
      <w:tr w14:paraId="0BC80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02" w:type="dxa"/>
            <w:vAlign w:val="center"/>
          </w:tcPr>
          <w:p w14:paraId="4676A61C">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 xml:space="preserve">售后服务 </w:t>
            </w:r>
          </w:p>
          <w:p w14:paraId="31A6D280">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及养护</w:t>
            </w:r>
          </w:p>
        </w:tc>
        <w:tc>
          <w:tcPr>
            <w:tcW w:w="996" w:type="dxa"/>
            <w:vAlign w:val="center"/>
          </w:tcPr>
          <w:p w14:paraId="7202E2F4">
            <w:pPr>
              <w:spacing w:line="40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15分</w:t>
            </w:r>
          </w:p>
        </w:tc>
        <w:tc>
          <w:tcPr>
            <w:tcW w:w="7482" w:type="dxa"/>
            <w:vAlign w:val="center"/>
          </w:tcPr>
          <w:p w14:paraId="7B4899BB">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Hans"/>
              </w:rPr>
              <w:t>针对本项目</w:t>
            </w:r>
            <w:r>
              <w:rPr>
                <w:rFonts w:hint="eastAsia" w:ascii="仿宋" w:hAnsi="仿宋" w:eastAsia="仿宋" w:cs="仿宋"/>
                <w:color w:val="auto"/>
                <w:sz w:val="24"/>
                <w:szCs w:val="24"/>
                <w:lang w:val="en-US" w:eastAsia="zh-CN"/>
              </w:rPr>
              <w:t>投标人根据售后服务内容①质保措施;②养护方案(包含养护人员配备、养护计划及流程、养护质量保证措施);③保证或提高苗木成活率的措施;④售后响应及处理时间等(包括但不限于以上内容)制定方案:</w:t>
            </w:r>
          </w:p>
          <w:p w14:paraId="73DFB3A3">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1.售后方案内容完整、具体合理、切实可行、符合实际情况得 15 分;</w:t>
            </w:r>
          </w:p>
          <w:p w14:paraId="01C12B0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2.售后方案内容较为完整、合理、并符合实际情况得10分:</w:t>
            </w:r>
          </w:p>
          <w:p w14:paraId="34D0167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3.售后方案内容简略、一般，得5分;</w:t>
            </w:r>
          </w:p>
          <w:p w14:paraId="191C5F8D">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4.未提供或不符合实际需求不得分。</w:t>
            </w:r>
          </w:p>
        </w:tc>
      </w:tr>
      <w:tr w14:paraId="53E2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02" w:type="dxa"/>
            <w:vAlign w:val="center"/>
          </w:tcPr>
          <w:p w14:paraId="3FA32E2D">
            <w:pPr>
              <w:keepNext w:val="0"/>
              <w:keepLines w:val="0"/>
              <w:pageBreakBefore w:val="0"/>
              <w:widowControl w:val="0"/>
              <w:numPr>
                <w:ilvl w:val="0"/>
                <w:numId w:val="0"/>
              </w:numPr>
              <w:kinsoku/>
              <w:wordWrap/>
              <w:overflowPunct/>
              <w:topLinePunct w:val="0"/>
              <w:autoSpaceDE/>
              <w:autoSpaceDN/>
              <w:bidi w:val="0"/>
              <w:adjustRightInd/>
              <w:snapToGrid/>
              <w:spacing w:line="240" w:lineRule="atLeast"/>
              <w:jc w:val="center"/>
              <w:textAlignment w:val="auto"/>
              <w:rPr>
                <w:rFonts w:hint="default" w:ascii="仿宋" w:hAnsi="仿宋" w:eastAsia="仿宋" w:cs="仿宋"/>
                <w:color w:val="auto"/>
                <w:sz w:val="24"/>
                <w:szCs w:val="24"/>
                <w:lang w:val="en-US" w:eastAsia="zh-CN"/>
              </w:rPr>
            </w:pPr>
            <w:r>
              <w:rPr>
                <w:rFonts w:hint="default" w:ascii="仿宋" w:hAnsi="仿宋" w:eastAsia="仿宋" w:cs="仿宋"/>
                <w:color w:val="auto"/>
                <w:sz w:val="24"/>
                <w:szCs w:val="24"/>
                <w:lang w:val="en-US" w:eastAsia="zh-CN"/>
              </w:rPr>
              <w:t>应急预案</w:t>
            </w:r>
          </w:p>
        </w:tc>
        <w:tc>
          <w:tcPr>
            <w:tcW w:w="996" w:type="dxa"/>
            <w:vAlign w:val="center"/>
          </w:tcPr>
          <w:p w14:paraId="6C4E3B7F">
            <w:pPr>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10分</w:t>
            </w:r>
          </w:p>
        </w:tc>
        <w:tc>
          <w:tcPr>
            <w:tcW w:w="7482" w:type="dxa"/>
            <w:vAlign w:val="center"/>
          </w:tcPr>
          <w:p w14:paraId="64825B1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Hans"/>
              </w:rPr>
              <w:t>针对本项目</w:t>
            </w:r>
            <w:r>
              <w:rPr>
                <w:rFonts w:hint="eastAsia" w:ascii="仿宋" w:hAnsi="仿宋" w:eastAsia="仿宋" w:cs="仿宋"/>
                <w:color w:val="auto"/>
                <w:sz w:val="24"/>
                <w:szCs w:val="24"/>
                <w:lang w:val="en-US" w:eastAsia="zh-CN"/>
              </w:rPr>
              <w:t>投标人根据有效预防和减轻潜在损失项目①突发事件应急预案针对苗木特点;②极端天气影响;③病虫害爆发;运输过程中的损耗等特殊情况(包括但不限于以上内容)制定应急预案:</w:t>
            </w:r>
          </w:p>
          <w:p w14:paraId="6EEB83B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1.方案合理、科学、全面的得10分;</w:t>
            </w:r>
          </w:p>
          <w:p w14:paraId="33BF0A24">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2.方案基本符合项目现状但科学性较为一般的得5分;</w:t>
            </w:r>
          </w:p>
          <w:p w14:paraId="27A026D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3.方案较为简单，不够科学、合理、全面的3分；</w:t>
            </w:r>
          </w:p>
          <w:p w14:paraId="332B2450">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4.未提供或不符合实际需求不得分；</w:t>
            </w:r>
          </w:p>
        </w:tc>
      </w:tr>
    </w:tbl>
    <w:p w14:paraId="3E8F726B">
      <w:pPr>
        <w:keepNext w:val="0"/>
        <w:keepLines w:val="0"/>
        <w:pageBreakBefore w:val="0"/>
        <w:kinsoku/>
        <w:wordWrap/>
        <w:overflowPunct/>
        <w:topLinePunct w:val="0"/>
        <w:autoSpaceDE/>
        <w:autoSpaceDN/>
        <w:bidi w:val="0"/>
        <w:adjustRightInd/>
        <w:spacing w:line="400" w:lineRule="exact"/>
        <w:ind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如评标专家在检验电子标书过程中，如果由于供应商自身原因导致评标专家无法查看并检验电子标书中以上相关资料的，否决其投标。即使投标单位将原件携带至现场的，同样按无效投标处理。</w:t>
      </w:r>
    </w:p>
    <w:p w14:paraId="3DD26F19">
      <w:pPr>
        <w:pStyle w:val="43"/>
        <w:keepNext w:val="0"/>
        <w:keepLines w:val="0"/>
        <w:pageBreakBefore w:val="0"/>
        <w:tabs>
          <w:tab w:val="left" w:pos="1701"/>
        </w:tabs>
        <w:kinsoku/>
        <w:wordWrap/>
        <w:overflowPunct/>
        <w:topLinePunct w:val="0"/>
        <w:autoSpaceDE/>
        <w:autoSpaceDN/>
        <w:bidi w:val="0"/>
        <w:adjustRightInd/>
        <w:spacing w:line="400" w:lineRule="exact"/>
        <w:ind w:left="0" w:firstLine="486" w:firstLineChars="200"/>
        <w:textAlignment w:val="auto"/>
        <w:rPr>
          <w:rFonts w:ascii="仿宋" w:hAnsi="仿宋" w:eastAsia="仿宋" w:cs="仿宋"/>
          <w:color w:val="auto"/>
          <w:szCs w:val="21"/>
          <w:lang w:eastAsia="zh-CN" w:bidi="ar-SA"/>
        </w:rPr>
      </w:pPr>
      <w:r>
        <w:rPr>
          <w:rFonts w:hint="eastAsia" w:ascii="仿宋" w:hAnsi="仿宋" w:eastAsia="仿宋" w:cs="仿宋"/>
          <w:color w:val="auto"/>
          <w:szCs w:val="21"/>
          <w:lang w:eastAsia="zh-CN" w:bidi="ar-SA"/>
        </w:rPr>
        <w:t>10.2.2价格评分方法</w:t>
      </w:r>
    </w:p>
    <w:p w14:paraId="43B75274">
      <w:pPr>
        <w:keepNext w:val="0"/>
        <w:keepLines w:val="0"/>
        <w:pageBreakBefore w:val="0"/>
        <w:kinsoku/>
        <w:wordWrap/>
        <w:overflowPunct/>
        <w:topLinePunct w:val="0"/>
        <w:autoSpaceDE/>
        <w:autoSpaceDN/>
        <w:bidi w:val="0"/>
        <w:adjustRightInd/>
        <w:spacing w:beforeLines="50" w:line="400" w:lineRule="exact"/>
        <w:jc w:val="left"/>
        <w:textAlignment w:val="auto"/>
        <w:outlineLvl w:val="1"/>
        <w:rPr>
          <w:rFonts w:hint="eastAsia" w:ascii="仿宋" w:hAnsi="仿宋" w:eastAsia="仿宋" w:cs="仿宋"/>
          <w:b/>
          <w:color w:val="auto"/>
          <w:lang w:eastAsia="zh-CN"/>
        </w:rPr>
      </w:pPr>
      <w:r>
        <w:rPr>
          <w:rFonts w:hint="eastAsia" w:ascii="仿宋" w:hAnsi="仿宋" w:eastAsia="仿宋" w:cs="仿宋"/>
          <w:color w:val="auto"/>
          <w:szCs w:val="21"/>
          <w:lang w:eastAsia="zh-CN" w:bidi="ar-SA"/>
        </w:rPr>
        <w:t>满足磋商文件技术要求且投标价格最低的投标报价为评标基准价，其价格分为满分。其他供应商的价格分别按照下列公式计算： 磋商报价得分=（磋商基准价/最后磋商报价）×价格权值。</w:t>
      </w:r>
    </w:p>
    <w:p w14:paraId="1D17883D">
      <w:pPr>
        <w:keepNext w:val="0"/>
        <w:keepLines w:val="0"/>
        <w:pageBreakBefore w:val="0"/>
        <w:kinsoku/>
        <w:wordWrap/>
        <w:overflowPunct/>
        <w:topLinePunct w:val="0"/>
        <w:autoSpaceDE/>
        <w:autoSpaceDN/>
        <w:bidi w:val="0"/>
        <w:adjustRightInd/>
        <w:spacing w:beforeLines="50" w:line="400" w:lineRule="exact"/>
        <w:jc w:val="center"/>
        <w:textAlignment w:val="auto"/>
        <w:outlineLvl w:val="1"/>
        <w:rPr>
          <w:rFonts w:ascii="仿宋" w:hAnsi="仿宋" w:eastAsia="仿宋" w:cs="仿宋"/>
          <w:b/>
          <w:color w:val="auto"/>
          <w:lang w:eastAsia="zh-CN"/>
        </w:rPr>
      </w:pPr>
      <w:r>
        <w:rPr>
          <w:rFonts w:hint="eastAsia" w:ascii="仿宋" w:hAnsi="仿宋" w:eastAsia="仿宋" w:cs="仿宋"/>
          <w:b/>
          <w:color w:val="auto"/>
          <w:lang w:eastAsia="zh-CN"/>
        </w:rPr>
        <w:t>五  推荐中标候选人</w:t>
      </w:r>
      <w:bookmarkEnd w:id="41"/>
      <w:bookmarkEnd w:id="42"/>
    </w:p>
    <w:p w14:paraId="261594B2">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11.1评标委员会推荐3名中标候选人，并标明排序。</w:t>
      </w:r>
    </w:p>
    <w:p w14:paraId="1A1BD1BE">
      <w:pPr>
        <w:keepNext w:val="0"/>
        <w:keepLines w:val="0"/>
        <w:pageBreakBefore w:val="0"/>
        <w:kinsoku/>
        <w:wordWrap/>
        <w:overflowPunct/>
        <w:topLinePunct w:val="0"/>
        <w:autoSpaceDE/>
        <w:autoSpaceDN/>
        <w:bidi w:val="0"/>
        <w:adjustRightInd/>
        <w:spacing w:line="400" w:lineRule="exact"/>
        <w:ind w:firstLine="475" w:firstLineChars="196"/>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11.2如出现报价相同情况，则由招标人现场抽签确定中标候选人排名顺序。</w:t>
      </w:r>
    </w:p>
    <w:bookmarkEnd w:id="36"/>
    <w:p w14:paraId="05D994A9">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b/>
          <w:color w:val="auto"/>
          <w:szCs w:val="21"/>
          <w:lang w:eastAsia="zh-CN"/>
        </w:rPr>
      </w:pPr>
      <w:r>
        <w:rPr>
          <w:rFonts w:hint="eastAsia" w:ascii="仿宋" w:hAnsi="仿宋" w:eastAsia="仿宋" w:cs="仿宋"/>
          <w:b/>
          <w:color w:val="auto"/>
          <w:szCs w:val="21"/>
          <w:lang w:eastAsia="zh-CN"/>
        </w:rPr>
        <w:t>12.无效投标条款</w:t>
      </w:r>
    </w:p>
    <w:p w14:paraId="7E580B3E">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12.1投标文件有下列情形之一的,其投标文件拒收:</w:t>
      </w:r>
    </w:p>
    <w:p w14:paraId="415443C9">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b/>
          <w:bCs/>
          <w:color w:val="auto"/>
          <w:szCs w:val="21"/>
          <w:lang w:eastAsia="zh-CN"/>
        </w:rPr>
      </w:pPr>
      <w:r>
        <w:rPr>
          <w:rFonts w:hint="eastAsia" w:ascii="仿宋" w:hAnsi="仿宋" w:eastAsia="仿宋" w:cs="仿宋"/>
          <w:color w:val="auto"/>
          <w:szCs w:val="21"/>
          <w:lang w:eastAsia="zh-CN"/>
        </w:rPr>
        <w:t xml:space="preserve">   </w:t>
      </w:r>
      <w:r>
        <w:rPr>
          <w:rFonts w:hint="eastAsia" w:ascii="仿宋" w:hAnsi="仿宋" w:eastAsia="仿宋" w:cs="仿宋"/>
          <w:b/>
          <w:bCs/>
          <w:color w:val="auto"/>
          <w:szCs w:val="21"/>
          <w:lang w:eastAsia="zh-CN"/>
        </w:rPr>
        <w:t xml:space="preserve"> (1) 未在开标截止时间前通过网上招标投标系统递交有效电子投标文件的，开标系统不予接收。</w:t>
      </w:r>
    </w:p>
    <w:p w14:paraId="68736DF1">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b/>
          <w:bCs/>
          <w:color w:val="auto"/>
          <w:szCs w:val="21"/>
          <w:lang w:eastAsia="zh-CN"/>
        </w:rPr>
      </w:pPr>
      <w:r>
        <w:rPr>
          <w:rFonts w:hint="eastAsia" w:ascii="仿宋" w:hAnsi="仿宋" w:eastAsia="仿宋" w:cs="仿宋"/>
          <w:b/>
          <w:bCs/>
          <w:color w:val="auto"/>
          <w:szCs w:val="21"/>
          <w:lang w:eastAsia="zh-CN"/>
        </w:rPr>
        <w:t>（2）</w:t>
      </w:r>
      <w:r>
        <w:rPr>
          <w:rFonts w:hint="eastAsia" w:ascii="仿宋" w:hAnsi="仿宋" w:eastAsia="仿宋" w:cs="仿宋"/>
          <w:b/>
          <w:color w:val="auto"/>
          <w:szCs w:val="21"/>
          <w:lang w:eastAsia="zh-CN"/>
        </w:rPr>
        <w:t>所有供应商应在规定时间里完成投标文件的解密工作</w:t>
      </w:r>
      <w:r>
        <w:rPr>
          <w:rFonts w:hint="eastAsia" w:ascii="仿宋" w:hAnsi="仿宋" w:eastAsia="仿宋" w:cs="仿宋"/>
          <w:b/>
          <w:bCs/>
          <w:color w:val="auto"/>
          <w:szCs w:val="21"/>
          <w:lang w:eastAsia="zh-CN"/>
        </w:rPr>
        <w:t>【供应商使用其有效加密锁（CA锁）进行解密（因供应商原因未能提供有效CA锁对其投标文件进行解密的，其投标文件按无效标处理），以网上招投标系统解密倒计时为准】</w:t>
      </w:r>
      <w:r>
        <w:rPr>
          <w:rFonts w:hint="eastAsia" w:ascii="仿宋" w:hAnsi="仿宋" w:eastAsia="仿宋" w:cs="仿宋"/>
          <w:b/>
          <w:color w:val="auto"/>
          <w:szCs w:val="21"/>
          <w:lang w:eastAsia="zh-CN"/>
        </w:rPr>
        <w:t>，因系统原因未能成功解密的投标文件，可导入备份投标文件。备份投标文件也无法导入的，则投标文件被否决。</w:t>
      </w:r>
    </w:p>
    <w:p w14:paraId="2C9AF4AA">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12.2供应商有下列情形之一的,资格审查后其投标作无效投标处理：</w:t>
      </w:r>
    </w:p>
    <w:p w14:paraId="3F3FAC60">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(1)法定代表人参加开标会议未携带有效的法定代表人身份证明原件和本人身份证的；委托代理人参加开标会议未携带有效的法定代表人授权书和本人身份证；</w:t>
      </w:r>
    </w:p>
    <w:p w14:paraId="14CAE210">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(2)供应商为本项目提供招标代理服务的；</w:t>
      </w:r>
    </w:p>
    <w:p w14:paraId="74DC348D">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(3)供应商与在本项目代理机构存在相互任职或工作的；</w:t>
      </w:r>
    </w:p>
    <w:p w14:paraId="0A81A402">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(4)投标保证金未按规定要求缴纳的；</w:t>
      </w:r>
    </w:p>
    <w:p w14:paraId="34FCD0E9">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(5)评标专家无法查看并检验电子标书中相关资料的；</w:t>
      </w:r>
    </w:p>
    <w:p w14:paraId="0A415E23">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(6)供应商超出营业范围投标的；</w:t>
      </w:r>
    </w:p>
    <w:p w14:paraId="0F11CB5C">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(7)联合体投标未提交联合体协议的；</w:t>
      </w:r>
    </w:p>
    <w:p w14:paraId="687F71DF">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(8)被暂停营业的；</w:t>
      </w:r>
    </w:p>
    <w:p w14:paraId="62CD49A4">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(9)被暂停或取消投标资格的；</w:t>
      </w:r>
    </w:p>
    <w:p w14:paraId="5557E9BD">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(10)财产被接管或冻结的；</w:t>
      </w:r>
    </w:p>
    <w:p w14:paraId="0D7954F7">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(11)供应商单位负责人为同一人或者存在控股、管理关系的不同单位的；</w:t>
      </w:r>
    </w:p>
    <w:p w14:paraId="6EE3C8B3">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（12）供应商基本资格条件和特定资格条件中有一项及以上不符合要求的；</w:t>
      </w:r>
    </w:p>
    <w:p w14:paraId="12BD7CE8">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（13）供应商使用相同的MAC地址进行报名的；</w:t>
      </w:r>
    </w:p>
    <w:p w14:paraId="16D75D68">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（14）其它情形，经评标委员会委提出按无效投标处理，并经公共资源交易监督部门核准的；</w:t>
      </w:r>
    </w:p>
    <w:p w14:paraId="48D55E4E">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（15）供应商使用相同IP地址报名的，一经发现，监管部门将进一步核实，查实后按串通投标处理；</w:t>
      </w:r>
    </w:p>
    <w:p w14:paraId="6D3D23BE">
      <w:pPr>
        <w:keepNext w:val="0"/>
        <w:keepLines w:val="0"/>
        <w:pageBreakBefore w:val="0"/>
        <w:kinsoku/>
        <w:wordWrap/>
        <w:overflowPunct/>
        <w:topLinePunct w:val="0"/>
        <w:autoSpaceDE/>
        <w:autoSpaceDN/>
        <w:bidi w:val="0"/>
        <w:adjustRightInd/>
        <w:snapToGrid w:val="0"/>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（16）采购文件规定的其它无效投标情形。</w:t>
      </w:r>
    </w:p>
    <w:p w14:paraId="2CB100BB">
      <w:pPr>
        <w:keepNext w:val="0"/>
        <w:keepLines w:val="0"/>
        <w:pageBreakBefore w:val="0"/>
        <w:kinsoku/>
        <w:wordWrap/>
        <w:overflowPunct/>
        <w:topLinePunct w:val="0"/>
        <w:autoSpaceDE/>
        <w:autoSpaceDN/>
        <w:bidi w:val="0"/>
        <w:adjustRightInd/>
        <w:snapToGrid w:val="0"/>
        <w:spacing w:line="400" w:lineRule="exact"/>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12.3 供应商有下列情形之一的,符合性审查后其投标按无效投标处理：</w:t>
      </w:r>
    </w:p>
    <w:p w14:paraId="39CF912F">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 投标文件签章、盖章不全，经评标委员会一致认定对开评标内容有实质性影响并经监督部门核准的；</w:t>
      </w:r>
    </w:p>
    <w:p w14:paraId="31278F99">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(2)未按规定的格式填写，实质性内容不全或关键字迹模糊、无法辨认; 经监督部门核准的；</w:t>
      </w:r>
    </w:p>
    <w:p w14:paraId="4003D434">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(4)同一供应商提交两个以上不同的投标文件或者投标报价，但采购文件规定提交备选方案的除外；</w:t>
      </w:r>
    </w:p>
    <w:p w14:paraId="053B0C36">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(3)投标文件没有对采购文件的实质性要求和条件作出响应;（注：参数允许出现负偏离，具体详见评分标准）</w:t>
      </w:r>
    </w:p>
    <w:p w14:paraId="56F7A12F">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(4)投标报价超出规定的投标限价或公布的采购预算的；</w:t>
      </w:r>
    </w:p>
    <w:p w14:paraId="3D554989">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(5)不按评标委员会要求澄清、说明或补正的，或者评标委员会根据采购文件的规定对采购文件的计算错误进行修正后，供应商不接受修正的投标报价的。</w:t>
      </w:r>
    </w:p>
    <w:p w14:paraId="69074EC1">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（6）其它情形，经评标委员会委提出按无效投标处理，并经公共资源交易监督部门核准的；</w:t>
      </w:r>
    </w:p>
    <w:p w14:paraId="7B385EA3">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w:t>
      </w:r>
      <w:r>
        <w:rPr>
          <w:rFonts w:hint="eastAsia" w:ascii="仿宋" w:hAnsi="仿宋" w:eastAsia="仿宋" w:cs="仿宋"/>
          <w:color w:val="auto"/>
          <w:szCs w:val="21"/>
          <w:shd w:val="clear" w:color="auto" w:fill="FFFFFF"/>
          <w:lang w:eastAsia="zh-CN"/>
        </w:rPr>
        <w:t>未按照磋商文件的规定提交投标保证金的；</w:t>
      </w:r>
    </w:p>
    <w:p w14:paraId="341598E3">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w:t>
      </w:r>
      <w:r>
        <w:rPr>
          <w:rFonts w:hint="eastAsia" w:ascii="仿宋" w:hAnsi="仿宋" w:eastAsia="仿宋" w:cs="仿宋"/>
          <w:color w:val="auto"/>
          <w:szCs w:val="21"/>
          <w:shd w:val="clear" w:color="auto" w:fill="FFFFFF"/>
          <w:lang w:eastAsia="zh-CN"/>
        </w:rPr>
        <w:t>投标文件含有采购人不能接受的附加条件的;</w:t>
      </w:r>
    </w:p>
    <w:p w14:paraId="4052E8C1">
      <w:pPr>
        <w:keepNext w:val="0"/>
        <w:keepLines w:val="0"/>
        <w:pageBreakBefore w:val="0"/>
        <w:tabs>
          <w:tab w:val="left" w:pos="1123"/>
        </w:tabs>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（9）采购文件规定的其它无效投标情形。</w:t>
      </w:r>
    </w:p>
    <w:p w14:paraId="18EC914D">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12.4 供应商有下列情形之一的, 详细评审后其投标按无效投标处理：</w:t>
      </w:r>
    </w:p>
    <w:p w14:paraId="0F554C04">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(1)投标产品不符合必须强制执行的国家标准的；</w:t>
      </w:r>
    </w:p>
    <w:p w14:paraId="69C97A7A">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(2)供应商有串通投标、弄虚作假、行贿等违法行为；</w:t>
      </w:r>
    </w:p>
    <w:p w14:paraId="5B5DE41E">
      <w:pPr>
        <w:keepNext w:val="0"/>
        <w:keepLines w:val="0"/>
        <w:pageBreakBefore w:val="0"/>
        <w:kinsoku/>
        <w:wordWrap/>
        <w:overflowPunct/>
        <w:topLinePunct w:val="0"/>
        <w:autoSpaceDE/>
        <w:autoSpaceDN/>
        <w:bidi w:val="0"/>
        <w:adjustRightInd/>
        <w:snapToGrid w:val="0"/>
        <w:spacing w:line="400" w:lineRule="exact"/>
        <w:ind w:firstLine="486" w:firstLineChars="20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(3)投标文件含有违反国家法律、法规的内容，或附有招标人不能接受的条件的；</w:t>
      </w:r>
    </w:p>
    <w:p w14:paraId="0A2C68B7">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（4）在同一项目（或同一标段）中有多个供应商有效投标报价接近最高限价，且评标委员会认为报价出现异常的，可以宣布其投标无效；</w:t>
      </w:r>
    </w:p>
    <w:p w14:paraId="7FE5D732">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（5）报价明显低于其他供应商，且不能证明报价合理性的投标无效；</w:t>
      </w:r>
    </w:p>
    <w:p w14:paraId="656330B7">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（6）拒不确认评标委员会评审修正的投标无效；</w:t>
      </w:r>
    </w:p>
    <w:p w14:paraId="3B737B0B">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（7）其它情形，经评标委员会委提出按无效投标处理，并经公共资源交易监督部门核准的；</w:t>
      </w:r>
    </w:p>
    <w:p w14:paraId="12951437">
      <w:pPr>
        <w:keepNext w:val="0"/>
        <w:keepLines w:val="0"/>
        <w:pageBreakBefore w:val="0"/>
        <w:kinsoku/>
        <w:wordWrap/>
        <w:overflowPunct/>
        <w:topLinePunct w:val="0"/>
        <w:autoSpaceDE/>
        <w:autoSpaceDN/>
        <w:bidi w:val="0"/>
        <w:adjustRightInd/>
        <w:spacing w:line="400" w:lineRule="exact"/>
        <w:ind w:firstLine="364" w:firstLineChars="150"/>
        <w:textAlignment w:val="auto"/>
        <w:rPr>
          <w:rFonts w:ascii="仿宋" w:hAnsi="仿宋" w:eastAsia="仿宋" w:cs="仿宋"/>
          <w:color w:val="auto"/>
          <w:szCs w:val="21"/>
          <w:lang w:eastAsia="zh-CN"/>
        </w:rPr>
      </w:pPr>
      <w:r>
        <w:rPr>
          <w:rFonts w:hint="eastAsia" w:ascii="仿宋" w:hAnsi="仿宋" w:eastAsia="仿宋" w:cs="仿宋"/>
          <w:color w:val="auto"/>
          <w:szCs w:val="21"/>
          <w:lang w:eastAsia="zh-CN"/>
        </w:rPr>
        <w:t>（8）采购文件规定的其它无效投标情形。</w:t>
      </w:r>
    </w:p>
    <w:p w14:paraId="0603FDC1">
      <w:pPr>
        <w:jc w:val="center"/>
        <w:rPr>
          <w:rFonts w:hint="eastAsia" w:ascii="仿宋" w:hAnsi="仿宋" w:eastAsia="仿宋" w:cs="仿宋"/>
          <w:b/>
          <w:bCs/>
          <w:color w:val="auto"/>
          <w:sz w:val="36"/>
          <w:szCs w:val="36"/>
        </w:rPr>
      </w:pPr>
      <w:bookmarkStart w:id="43" w:name="_Toc469495737"/>
      <w:bookmarkStart w:id="44" w:name="OLE_LINK4"/>
    </w:p>
    <w:p w14:paraId="58A28C6A">
      <w:pPr>
        <w:jc w:val="both"/>
        <w:rPr>
          <w:rFonts w:hint="eastAsia" w:ascii="仿宋" w:hAnsi="仿宋" w:eastAsia="仿宋" w:cs="仿宋"/>
          <w:b/>
          <w:bCs/>
          <w:color w:val="auto"/>
          <w:sz w:val="36"/>
          <w:szCs w:val="36"/>
        </w:rPr>
      </w:pPr>
    </w:p>
    <w:p w14:paraId="0E271FA7">
      <w:pPr>
        <w:jc w:val="center"/>
        <w:rPr>
          <w:rFonts w:ascii="仿宋" w:hAnsi="仿宋" w:eastAsia="仿宋" w:cs="仿宋"/>
          <w:b/>
          <w:bCs/>
          <w:color w:val="auto"/>
          <w:lang w:eastAsia="zh-CN"/>
        </w:rPr>
      </w:pPr>
      <w:r>
        <w:rPr>
          <w:rFonts w:hint="eastAsia" w:ascii="仿宋" w:hAnsi="仿宋" w:eastAsia="仿宋" w:cs="仿宋"/>
          <w:b/>
          <w:bCs/>
          <w:color w:val="auto"/>
          <w:sz w:val="36"/>
          <w:szCs w:val="36"/>
        </w:rPr>
        <w:t>第</w:t>
      </w:r>
      <w:r>
        <w:rPr>
          <w:rFonts w:hint="eastAsia" w:ascii="仿宋" w:hAnsi="仿宋" w:eastAsia="仿宋" w:cs="仿宋"/>
          <w:b/>
          <w:bCs/>
          <w:color w:val="auto"/>
          <w:sz w:val="36"/>
          <w:szCs w:val="36"/>
          <w:lang w:eastAsia="zh-CN"/>
        </w:rPr>
        <w:t>四</w:t>
      </w:r>
      <w:r>
        <w:rPr>
          <w:rFonts w:hint="eastAsia" w:ascii="仿宋" w:hAnsi="仿宋" w:eastAsia="仿宋" w:cs="仿宋"/>
          <w:b/>
          <w:bCs/>
          <w:color w:val="auto"/>
          <w:sz w:val="36"/>
          <w:szCs w:val="36"/>
        </w:rPr>
        <w:t xml:space="preserve">部分 </w:t>
      </w:r>
      <w:r>
        <w:rPr>
          <w:rFonts w:hint="eastAsia" w:ascii="仿宋" w:hAnsi="仿宋" w:eastAsia="仿宋" w:cs="仿宋"/>
          <w:b/>
          <w:color w:val="auto"/>
          <w:sz w:val="32"/>
          <w:szCs w:val="32"/>
          <w:lang w:val="en-US" w:eastAsia="zh-CN"/>
        </w:rPr>
        <w:t>服务</w:t>
      </w:r>
      <w:r>
        <w:rPr>
          <w:rFonts w:hint="eastAsia" w:ascii="仿宋" w:hAnsi="仿宋" w:eastAsia="仿宋" w:cs="仿宋"/>
          <w:b/>
          <w:color w:val="auto"/>
          <w:sz w:val="32"/>
          <w:szCs w:val="32"/>
          <w:lang w:eastAsia="zh-CN"/>
        </w:rPr>
        <w:t>内容</w:t>
      </w:r>
    </w:p>
    <w:bookmarkEnd w:id="37"/>
    <w:bookmarkEnd w:id="43"/>
    <w:bookmarkEnd w:id="44"/>
    <w:p w14:paraId="3394CFC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b/>
          <w:bCs/>
          <w:color w:val="auto"/>
          <w:sz w:val="28"/>
          <w:szCs w:val="28"/>
          <w:highlight w:val="none"/>
          <w:lang w:val="en-US" w:eastAsia="zh-CN"/>
        </w:rPr>
        <w:t>服务内容包括：</w:t>
      </w:r>
    </w:p>
    <w:p w14:paraId="2ABE0B60">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566" w:firstLineChars="200"/>
        <w:jc w:val="left"/>
        <w:textAlignment w:val="auto"/>
        <w:rPr>
          <w:rFonts w:hint="eastAsia" w:ascii="仿宋" w:hAnsi="仿宋" w:eastAsia="仿宋" w:cs="仿宋"/>
          <w:color w:val="auto"/>
          <w:sz w:val="28"/>
          <w:szCs w:val="28"/>
          <w:vertAlign w:val="baseline"/>
          <w:lang w:eastAsia="zh-CN"/>
        </w:rPr>
      </w:pPr>
      <w:r>
        <w:rPr>
          <w:rFonts w:hint="eastAsia" w:ascii="仿宋" w:hAnsi="仿宋" w:eastAsia="仿宋" w:cs="仿宋"/>
          <w:color w:val="auto"/>
          <w:sz w:val="28"/>
          <w:szCs w:val="28"/>
          <w:vertAlign w:val="baseline"/>
          <w:lang w:val="en-US" w:eastAsia="zh-CN"/>
        </w:rPr>
        <w:t>对已有的</w:t>
      </w:r>
      <w:r>
        <w:rPr>
          <w:rFonts w:hint="eastAsia" w:ascii="仿宋" w:hAnsi="仿宋" w:eastAsia="仿宋" w:cs="仿宋"/>
          <w:color w:val="auto"/>
          <w:sz w:val="28"/>
          <w:szCs w:val="28"/>
          <w:vertAlign w:val="baseline"/>
        </w:rPr>
        <w:t>45000</w:t>
      </w:r>
      <w:r>
        <w:rPr>
          <w:rFonts w:hint="eastAsia" w:ascii="仿宋" w:hAnsi="仿宋" w:eastAsia="仿宋" w:cs="仿宋"/>
          <w:color w:val="auto"/>
          <w:sz w:val="28"/>
          <w:szCs w:val="28"/>
          <w:vertAlign w:val="baseline"/>
          <w:lang w:val="en-US" w:eastAsia="zh-CN"/>
        </w:rPr>
        <w:t>棵沙枣苗进行</w:t>
      </w:r>
      <w:r>
        <w:rPr>
          <w:rFonts w:hint="eastAsia" w:ascii="仿宋" w:hAnsi="仿宋" w:eastAsia="仿宋" w:cs="仿宋"/>
          <w:color w:val="auto"/>
          <w:sz w:val="28"/>
          <w:szCs w:val="28"/>
          <w:vertAlign w:val="baseline"/>
        </w:rPr>
        <w:t>嫁接</w:t>
      </w:r>
      <w:r>
        <w:rPr>
          <w:rFonts w:hint="eastAsia" w:ascii="仿宋" w:hAnsi="仿宋" w:eastAsia="仿宋" w:cs="仿宋"/>
          <w:color w:val="auto"/>
          <w:sz w:val="28"/>
          <w:szCs w:val="28"/>
          <w:vertAlign w:val="baseline"/>
          <w:lang w:eastAsia="zh-CN"/>
        </w:rPr>
        <w:t>，</w:t>
      </w:r>
      <w:r>
        <w:rPr>
          <w:rFonts w:hint="eastAsia" w:ascii="仿宋" w:hAnsi="仿宋" w:eastAsia="仿宋" w:cs="仿宋"/>
          <w:color w:val="auto"/>
          <w:sz w:val="28"/>
          <w:szCs w:val="28"/>
          <w:vertAlign w:val="baseline"/>
          <w:lang w:val="en-US" w:eastAsia="zh-CN"/>
        </w:rPr>
        <w:t>供应商需提供</w:t>
      </w:r>
      <w:r>
        <w:rPr>
          <w:rFonts w:hint="eastAsia" w:ascii="仿宋" w:hAnsi="仿宋" w:eastAsia="仿宋" w:cs="仿宋"/>
          <w:color w:val="auto"/>
          <w:sz w:val="28"/>
          <w:szCs w:val="28"/>
          <w:vertAlign w:val="baseline"/>
        </w:rPr>
        <w:t>45000</w:t>
      </w:r>
      <w:r>
        <w:rPr>
          <w:rFonts w:hint="eastAsia" w:ascii="仿宋" w:hAnsi="仿宋" w:eastAsia="仿宋" w:cs="仿宋"/>
          <w:color w:val="auto"/>
          <w:sz w:val="28"/>
          <w:szCs w:val="28"/>
          <w:vertAlign w:val="baseline"/>
          <w:lang w:val="en-US" w:eastAsia="zh-CN"/>
        </w:rPr>
        <w:t>棵</w:t>
      </w:r>
      <w:r>
        <w:rPr>
          <w:rFonts w:hint="eastAsia" w:ascii="仿宋" w:hAnsi="仿宋" w:eastAsia="仿宋" w:cs="仿宋"/>
          <w:color w:val="auto"/>
          <w:sz w:val="28"/>
          <w:szCs w:val="28"/>
          <w:vertAlign w:val="baseline"/>
        </w:rPr>
        <w:t>金皇后</w:t>
      </w:r>
      <w:r>
        <w:rPr>
          <w:rFonts w:hint="eastAsia" w:ascii="仿宋" w:hAnsi="仿宋" w:eastAsia="仿宋" w:cs="仿宋"/>
          <w:color w:val="auto"/>
          <w:sz w:val="28"/>
          <w:szCs w:val="28"/>
          <w:vertAlign w:val="baseline"/>
          <w:lang w:val="en-US" w:eastAsia="zh-CN"/>
        </w:rPr>
        <w:t>沙枣嫁接条，要求</w:t>
      </w:r>
      <w:r>
        <w:rPr>
          <w:rFonts w:hint="eastAsia" w:ascii="仿宋" w:hAnsi="仿宋" w:eastAsia="仿宋" w:cs="仿宋"/>
          <w:color w:val="auto"/>
          <w:sz w:val="28"/>
          <w:szCs w:val="28"/>
          <w:vertAlign w:val="baseline"/>
        </w:rPr>
        <w:t>胸径1.5-2公分</w:t>
      </w:r>
      <w:r>
        <w:rPr>
          <w:rFonts w:hint="eastAsia" w:ascii="仿宋" w:hAnsi="仿宋" w:eastAsia="仿宋" w:cs="仿宋"/>
          <w:color w:val="auto"/>
          <w:sz w:val="28"/>
          <w:szCs w:val="28"/>
          <w:vertAlign w:val="baseline"/>
          <w:lang w:eastAsia="zh-CN"/>
        </w:rPr>
        <w:t>；</w:t>
      </w:r>
    </w:p>
    <w:p w14:paraId="0DE4F07A">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566" w:firstLineChars="200"/>
        <w:jc w:val="left"/>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rPr>
        <w:t>金皇后</w:t>
      </w:r>
      <w:r>
        <w:rPr>
          <w:rFonts w:hint="eastAsia" w:ascii="仿宋" w:hAnsi="仿宋" w:eastAsia="仿宋" w:cs="仿宋"/>
          <w:color w:val="auto"/>
          <w:sz w:val="28"/>
          <w:szCs w:val="28"/>
          <w:vertAlign w:val="baseline"/>
          <w:lang w:val="en-US" w:eastAsia="zh-CN"/>
        </w:rPr>
        <w:t>沙枣苗补植</w:t>
      </w:r>
      <w:r>
        <w:rPr>
          <w:rFonts w:hint="eastAsia" w:ascii="仿宋" w:hAnsi="仿宋" w:eastAsia="仿宋" w:cs="仿宋"/>
          <w:color w:val="auto"/>
          <w:sz w:val="28"/>
          <w:szCs w:val="28"/>
          <w:vertAlign w:val="baseline"/>
        </w:rPr>
        <w:t>75000</w:t>
      </w:r>
      <w:r>
        <w:rPr>
          <w:rFonts w:hint="eastAsia" w:ascii="仿宋" w:hAnsi="仿宋" w:eastAsia="仿宋" w:cs="仿宋"/>
          <w:color w:val="auto"/>
          <w:sz w:val="28"/>
          <w:szCs w:val="28"/>
          <w:vertAlign w:val="baseline"/>
          <w:lang w:val="en-US" w:eastAsia="zh-CN"/>
        </w:rPr>
        <w:t>棵  供应商需提供</w:t>
      </w:r>
      <w:r>
        <w:rPr>
          <w:rFonts w:hint="eastAsia" w:ascii="仿宋" w:hAnsi="仿宋" w:eastAsia="仿宋" w:cs="仿宋"/>
          <w:color w:val="auto"/>
          <w:sz w:val="28"/>
          <w:szCs w:val="28"/>
          <w:vertAlign w:val="baseline"/>
        </w:rPr>
        <w:t>金皇后</w:t>
      </w:r>
      <w:r>
        <w:rPr>
          <w:rFonts w:hint="eastAsia" w:ascii="仿宋" w:hAnsi="仿宋" w:eastAsia="仿宋" w:cs="仿宋"/>
          <w:color w:val="auto"/>
          <w:sz w:val="28"/>
          <w:szCs w:val="28"/>
          <w:vertAlign w:val="baseline"/>
          <w:lang w:val="en-US" w:eastAsia="zh-CN"/>
        </w:rPr>
        <w:t>沙枣</w:t>
      </w:r>
      <w:r>
        <w:rPr>
          <w:rFonts w:hint="eastAsia" w:ascii="仿宋" w:hAnsi="仿宋" w:eastAsia="仿宋" w:cs="仿宋"/>
          <w:color w:val="auto"/>
          <w:sz w:val="28"/>
          <w:szCs w:val="28"/>
          <w:vertAlign w:val="baseline"/>
        </w:rPr>
        <w:t>75000</w:t>
      </w:r>
      <w:r>
        <w:rPr>
          <w:rFonts w:hint="eastAsia" w:ascii="仿宋" w:hAnsi="仿宋" w:eastAsia="仿宋" w:cs="仿宋"/>
          <w:color w:val="auto"/>
          <w:sz w:val="28"/>
          <w:szCs w:val="28"/>
          <w:vertAlign w:val="baseline"/>
          <w:lang w:val="en-US" w:eastAsia="zh-CN"/>
        </w:rPr>
        <w:t>棵，要求：</w:t>
      </w:r>
      <w:r>
        <w:rPr>
          <w:rFonts w:hint="eastAsia" w:ascii="仿宋" w:hAnsi="仿宋" w:eastAsia="仿宋" w:cs="仿宋"/>
          <w:color w:val="auto"/>
          <w:sz w:val="28"/>
          <w:szCs w:val="28"/>
          <w:vertAlign w:val="baseline"/>
        </w:rPr>
        <w:t>胸径2—3公分。</w:t>
      </w:r>
      <w:r>
        <w:rPr>
          <w:rFonts w:hint="eastAsia" w:ascii="仿宋" w:hAnsi="仿宋" w:eastAsia="仿宋" w:cs="仿宋"/>
          <w:color w:val="auto"/>
          <w:sz w:val="28"/>
          <w:szCs w:val="28"/>
          <w:vertAlign w:val="baseline"/>
          <w:lang w:val="en-US" w:eastAsia="zh-CN"/>
        </w:rPr>
        <w:t>全冠、根系好，生长旺盛 、无病虫害、无冻害；</w:t>
      </w:r>
    </w:p>
    <w:p w14:paraId="0BC9D096">
      <w:pPr>
        <w:keepNext w:val="0"/>
        <w:keepLines w:val="0"/>
        <w:pageBreakBefore w:val="0"/>
        <w:widowControl w:val="0"/>
        <w:numPr>
          <w:ilvl w:val="0"/>
          <w:numId w:val="5"/>
        </w:numPr>
        <w:kinsoku/>
        <w:wordWrap/>
        <w:overflowPunct/>
        <w:topLinePunct w:val="0"/>
        <w:autoSpaceDE/>
        <w:autoSpaceDN/>
        <w:bidi w:val="0"/>
        <w:adjustRightInd/>
        <w:snapToGrid/>
        <w:spacing w:line="480" w:lineRule="exact"/>
        <w:ind w:firstLine="566" w:firstLineChars="200"/>
        <w:jc w:val="left"/>
        <w:textAlignment w:val="auto"/>
        <w:rPr>
          <w:rFonts w:hint="default" w:ascii="仿宋" w:hAnsi="仿宋" w:eastAsia="仿宋" w:cs="仿宋"/>
          <w:color w:val="auto"/>
          <w:sz w:val="28"/>
          <w:szCs w:val="28"/>
          <w:vertAlign w:val="baseline"/>
          <w:lang w:val="en-US" w:eastAsia="zh-CN"/>
        </w:rPr>
      </w:pPr>
      <w:r>
        <w:rPr>
          <w:rFonts w:hint="eastAsia" w:ascii="仿宋" w:hAnsi="仿宋" w:eastAsia="仿宋" w:cs="仿宋"/>
          <w:color w:val="auto"/>
          <w:sz w:val="28"/>
          <w:szCs w:val="28"/>
          <w:vertAlign w:val="baseline"/>
          <w:lang w:val="en-US" w:eastAsia="zh-CN"/>
        </w:rPr>
        <w:t>服务期内供应商根据当地气候环境，水土等提供适合树苗生长的化肥及农药，按照树苗生长周期时灌溉施肥、喷洒农药防止病虫害；</w:t>
      </w:r>
    </w:p>
    <w:p w14:paraId="4C073AB6">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vertAlign w:val="baseline"/>
          <w:lang w:val="en-US" w:eastAsia="zh-CN"/>
        </w:rPr>
        <w:t>服务要求</w:t>
      </w:r>
      <w:r>
        <w:rPr>
          <w:rFonts w:hint="eastAsia" w:ascii="仿宋" w:hAnsi="仿宋" w:eastAsia="仿宋" w:cs="仿宋"/>
          <w:color w:val="auto"/>
          <w:sz w:val="28"/>
          <w:szCs w:val="28"/>
          <w:vertAlign w:val="baseline"/>
          <w:lang w:val="en-US" w:eastAsia="zh-CN"/>
        </w:rPr>
        <w:t>：</w:t>
      </w:r>
    </w:p>
    <w:p w14:paraId="29CB419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9" w:firstLineChars="300"/>
        <w:textAlignment w:val="auto"/>
        <w:rPr>
          <w:rFonts w:hint="eastAsia" w:ascii="仿宋" w:hAnsi="仿宋" w:eastAsia="仿宋" w:cs="仿宋"/>
          <w:color w:val="auto"/>
          <w:sz w:val="28"/>
          <w:szCs w:val="28"/>
          <w:lang w:val="en-US" w:eastAsia="zh-CN"/>
        </w:rPr>
      </w:pPr>
      <w:r>
        <w:rPr>
          <w:rFonts w:hint="eastAsia" w:ascii="仿宋" w:hAnsi="仿宋" w:eastAsia="仿宋" w:cs="仿宋"/>
          <w:b/>
          <w:bCs/>
          <w:color w:val="auto"/>
          <w:sz w:val="28"/>
          <w:szCs w:val="28"/>
          <w:lang w:val="en-US" w:eastAsia="zh-CN" w:bidi="en-US"/>
        </w:rPr>
        <w:t>1、</w:t>
      </w:r>
      <w:r>
        <w:rPr>
          <w:rFonts w:hint="eastAsia" w:ascii="仿宋" w:hAnsi="仿宋" w:eastAsia="仿宋" w:cs="仿宋"/>
          <w:color w:val="auto"/>
          <w:sz w:val="28"/>
          <w:szCs w:val="28"/>
          <w:lang w:val="en-US" w:eastAsia="zh-CN"/>
        </w:rPr>
        <w:t>新增补种大果沙枣苗；</w:t>
      </w:r>
    </w:p>
    <w:p w14:paraId="7BC3979D">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9" w:firstLineChars="3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lang w:val="en-US" w:eastAsia="zh-CN" w:bidi="en-US"/>
        </w:rPr>
        <w:t>2、</w:t>
      </w:r>
      <w:r>
        <w:rPr>
          <w:rFonts w:hint="eastAsia" w:ascii="仿宋" w:hAnsi="仿宋" w:eastAsia="仿宋" w:cs="仿宋"/>
          <w:color w:val="auto"/>
          <w:sz w:val="28"/>
          <w:szCs w:val="28"/>
          <w:lang w:val="en-US" w:eastAsia="zh-CN"/>
        </w:rPr>
        <w:t>接穗采集贮藏；</w:t>
      </w:r>
    </w:p>
    <w:p w14:paraId="0A662DB5">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9" w:firstLineChars="3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lang w:val="en-US" w:eastAsia="zh-CN" w:bidi="en-US"/>
        </w:rPr>
        <w:t>3、</w:t>
      </w:r>
      <w:r>
        <w:rPr>
          <w:rFonts w:hint="eastAsia" w:ascii="仿宋" w:hAnsi="仿宋" w:eastAsia="仿宋" w:cs="仿宋"/>
          <w:color w:val="auto"/>
          <w:sz w:val="28"/>
          <w:szCs w:val="28"/>
          <w:lang w:val="en-US" w:eastAsia="zh-CN"/>
        </w:rPr>
        <w:t>砧木培育；</w:t>
      </w:r>
    </w:p>
    <w:p w14:paraId="4114152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9" w:firstLineChars="3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lang w:val="en-US" w:eastAsia="zh-CN" w:bidi="en-US"/>
        </w:rPr>
        <w:t>4、</w:t>
      </w:r>
      <w:r>
        <w:rPr>
          <w:rFonts w:hint="eastAsia" w:ascii="仿宋" w:hAnsi="仿宋" w:eastAsia="仿宋" w:cs="仿宋"/>
          <w:color w:val="auto"/>
          <w:sz w:val="28"/>
          <w:szCs w:val="28"/>
          <w:lang w:val="en-US" w:eastAsia="zh-CN"/>
        </w:rPr>
        <w:t>嫁接及养护；</w:t>
      </w:r>
    </w:p>
    <w:p w14:paraId="24424B1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9" w:firstLineChars="3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lang w:val="en-US" w:eastAsia="zh-CN" w:bidi="en-US"/>
        </w:rPr>
        <w:t>5、</w:t>
      </w:r>
      <w:r>
        <w:rPr>
          <w:rFonts w:hint="eastAsia" w:ascii="仿宋" w:hAnsi="仿宋" w:eastAsia="仿宋" w:cs="仿宋"/>
          <w:color w:val="auto"/>
          <w:sz w:val="28"/>
          <w:szCs w:val="28"/>
          <w:lang w:val="en-US" w:eastAsia="zh-CN"/>
        </w:rPr>
        <w:t>农药化肥使用、防潮、密封管理；</w:t>
      </w:r>
    </w:p>
    <w:p w14:paraId="30CD469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849" w:firstLineChars="3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lang w:val="en-US" w:eastAsia="zh-CN" w:bidi="en-US"/>
        </w:rPr>
        <w:t>6、</w:t>
      </w:r>
      <w:r>
        <w:rPr>
          <w:rFonts w:hint="eastAsia" w:ascii="仿宋" w:hAnsi="仿宋" w:eastAsia="仿宋" w:cs="仿宋"/>
          <w:color w:val="auto"/>
          <w:sz w:val="28"/>
          <w:szCs w:val="28"/>
          <w:lang w:val="en-US" w:eastAsia="zh-CN"/>
        </w:rPr>
        <w:t>坏苗更换；</w:t>
      </w:r>
    </w:p>
    <w:p w14:paraId="7343514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849" w:firstLineChars="300"/>
        <w:jc w:val="left"/>
        <w:textAlignment w:val="auto"/>
        <w:rPr>
          <w:rFonts w:hint="eastAsia" w:ascii="仿宋" w:hAnsi="仿宋" w:eastAsia="仿宋" w:cs="仿宋"/>
          <w:b/>
          <w:bCs/>
          <w:color w:val="auto"/>
          <w:sz w:val="28"/>
          <w:szCs w:val="28"/>
          <w:vertAlign w:val="baseline"/>
          <w:lang w:val="en-US" w:eastAsia="zh-CN"/>
        </w:rPr>
      </w:pPr>
      <w:r>
        <w:rPr>
          <w:rFonts w:hint="default" w:ascii="仿宋" w:hAnsi="仿宋" w:eastAsia="仿宋" w:cs="仿宋"/>
          <w:color w:val="auto"/>
          <w:sz w:val="28"/>
          <w:szCs w:val="28"/>
          <w:vertAlign w:val="baseline"/>
          <w:lang w:val="en-US" w:eastAsia="zh-CN" w:bidi="en-US"/>
        </w:rPr>
        <w:t>7、</w:t>
      </w:r>
      <w:r>
        <w:rPr>
          <w:rFonts w:hint="eastAsia" w:ascii="仿宋" w:hAnsi="仿宋" w:eastAsia="仿宋" w:cs="仿宋"/>
          <w:color w:val="auto"/>
          <w:sz w:val="28"/>
          <w:szCs w:val="28"/>
          <w:lang w:val="en-US" w:eastAsia="zh-CN"/>
        </w:rPr>
        <w:t>人员培训</w:t>
      </w:r>
    </w:p>
    <w:p w14:paraId="6CF052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技术指标</w:t>
      </w:r>
    </w:p>
    <w:p w14:paraId="0CFAE42F">
      <w:pPr>
        <w:shd w:val="clear" w:color="auto" w:fill="auto"/>
        <w:spacing w:line="264" w:lineRule="auto"/>
        <w:ind w:left="243" w:leftChars="100" w:firstLine="486" w:firstLineChars="200"/>
        <w:outlineLvl w:val="9"/>
        <w:rPr>
          <w:rFonts w:hint="eastAsia" w:ascii="Times New Roman" w:hAnsi="Times New Roman" w:eastAsia="仿宋" w:cs="Times New Roman"/>
          <w:bCs/>
          <w:color w:val="auto"/>
          <w:szCs w:val="21"/>
          <w:highlight w:val="none"/>
          <w:lang w:eastAsia="zh-CN"/>
        </w:rPr>
      </w:pPr>
      <w:r>
        <w:rPr>
          <w:rFonts w:hint="eastAsia" w:ascii="Times New Roman" w:hAnsi="Times New Roman" w:eastAsia="仿宋" w:cs="Times New Roman"/>
          <w:bCs/>
          <w:color w:val="auto"/>
          <w:szCs w:val="21"/>
          <w:highlight w:val="none"/>
          <w:lang w:eastAsia="zh-CN"/>
        </w:rPr>
        <w:t>注：报价包括苗木的价格、起苗、包装、运输、装卸、税费和检验检疫费、运到招标人指定的用苗地点等一切与之相关的费用。</w:t>
      </w:r>
    </w:p>
    <w:p w14:paraId="426F742B">
      <w:pPr>
        <w:shd w:val="clear" w:color="auto" w:fill="auto"/>
        <w:spacing w:line="264" w:lineRule="auto"/>
        <w:ind w:left="243" w:leftChars="100" w:firstLine="486" w:firstLineChars="200"/>
        <w:outlineLvl w:val="9"/>
        <w:rPr>
          <w:rFonts w:hint="eastAsia" w:ascii="Times New Roman" w:hAnsi="Times New Roman" w:eastAsia="仿宋" w:cs="Times New Roman"/>
          <w:b/>
          <w:bCs w:val="0"/>
          <w:color w:val="auto"/>
          <w:szCs w:val="21"/>
          <w:highlight w:val="none"/>
          <w:lang w:eastAsia="zh-CN"/>
        </w:rPr>
      </w:pPr>
      <w:r>
        <w:rPr>
          <w:rFonts w:hint="eastAsia" w:ascii="Times New Roman" w:hAnsi="Times New Roman" w:eastAsia="仿宋" w:cs="Times New Roman"/>
          <w:b/>
          <w:bCs w:val="0"/>
          <w:color w:val="auto"/>
          <w:szCs w:val="21"/>
          <w:highlight w:val="none"/>
          <w:lang w:eastAsia="zh-CN"/>
        </w:rPr>
        <w:t>二、其他相关说明：</w:t>
      </w:r>
    </w:p>
    <w:p w14:paraId="591AD6C0">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hint="eastAsia" w:ascii="仿宋" w:hAnsi="仿宋" w:eastAsia="仿宋" w:cs="仿宋"/>
          <w:color w:val="auto"/>
          <w:szCs w:val="21"/>
          <w:shd w:val="clear" w:color="auto" w:fill="FFFFFF"/>
          <w:lang w:eastAsia="zh-CN"/>
        </w:rPr>
      </w:pPr>
      <w:r>
        <w:rPr>
          <w:rFonts w:hint="eastAsia" w:ascii="仿宋" w:hAnsi="仿宋" w:eastAsia="仿宋" w:cs="仿宋"/>
          <w:color w:val="auto"/>
          <w:szCs w:val="21"/>
          <w:shd w:val="clear" w:color="auto" w:fill="FFFFFF"/>
          <w:lang w:eastAsia="zh-CN"/>
        </w:rPr>
        <w:t>1、所采购苗木必须随车携带一签两证，即：植物检疫证书、苗木检验证书和苗木标签；</w:t>
      </w:r>
    </w:p>
    <w:p w14:paraId="664D7625">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hint="eastAsia" w:ascii="仿宋" w:hAnsi="仿宋" w:eastAsia="仿宋" w:cs="仿宋"/>
          <w:color w:val="auto"/>
          <w:szCs w:val="21"/>
          <w:shd w:val="clear" w:color="auto" w:fill="FFFFFF"/>
          <w:lang w:eastAsia="zh-CN"/>
        </w:rPr>
      </w:pPr>
      <w:r>
        <w:rPr>
          <w:rFonts w:hint="eastAsia" w:ascii="仿宋" w:hAnsi="仿宋" w:eastAsia="仿宋" w:cs="仿宋"/>
          <w:color w:val="auto"/>
          <w:szCs w:val="21"/>
          <w:shd w:val="clear" w:color="auto" w:fill="FFFFFF"/>
          <w:lang w:eastAsia="zh-CN"/>
        </w:rPr>
        <w:t>2、所采购苗木应当无病虫害，无伤根、无药害，无机械损伤，无枯萎等不良状况，且需运至采购人指定地点。</w:t>
      </w:r>
    </w:p>
    <w:p w14:paraId="4F00C2CE">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hint="eastAsia" w:ascii="仿宋" w:hAnsi="仿宋" w:eastAsia="仿宋" w:cs="仿宋"/>
          <w:color w:val="auto"/>
          <w:szCs w:val="21"/>
          <w:shd w:val="clear" w:color="auto" w:fill="FFFFFF"/>
          <w:lang w:eastAsia="zh-CN"/>
        </w:rPr>
      </w:pPr>
      <w:r>
        <w:rPr>
          <w:rFonts w:hint="eastAsia" w:ascii="仿宋" w:hAnsi="仿宋" w:eastAsia="仿宋" w:cs="仿宋"/>
          <w:color w:val="auto"/>
          <w:szCs w:val="21"/>
          <w:shd w:val="clear" w:color="auto" w:fill="FFFFFF"/>
          <w:lang w:eastAsia="zh-CN"/>
        </w:rPr>
        <w:t>3、</w:t>
      </w:r>
      <w:r>
        <w:rPr>
          <w:rFonts w:hint="eastAsia" w:ascii="仿宋" w:hAnsi="仿宋" w:eastAsia="仿宋" w:cs="仿宋"/>
          <w:color w:val="auto"/>
          <w:szCs w:val="21"/>
          <w:shd w:val="clear" w:color="auto" w:fill="FFFFFF"/>
          <w:lang w:val="en-US" w:eastAsia="zh-CN"/>
        </w:rPr>
        <w:t>服务期内</w:t>
      </w:r>
      <w:r>
        <w:rPr>
          <w:rFonts w:hint="eastAsia" w:ascii="仿宋" w:hAnsi="仿宋" w:eastAsia="仿宋" w:cs="仿宋"/>
          <w:color w:val="auto"/>
          <w:szCs w:val="21"/>
          <w:shd w:val="clear" w:color="auto" w:fill="FFFFFF"/>
          <w:lang w:eastAsia="zh-CN"/>
        </w:rPr>
        <w:t>免费提供技术指导并有良好的售后跟踪服务，指导病虫害防治，保证苗木成活率达9</w:t>
      </w:r>
      <w:r>
        <w:rPr>
          <w:rFonts w:hint="eastAsia" w:ascii="仿宋" w:hAnsi="仿宋" w:eastAsia="仿宋" w:cs="仿宋"/>
          <w:color w:val="auto"/>
          <w:szCs w:val="21"/>
          <w:shd w:val="clear" w:color="auto" w:fill="FFFFFF"/>
          <w:lang w:val="en-US" w:eastAsia="zh-CN"/>
        </w:rPr>
        <w:t>8</w:t>
      </w:r>
      <w:r>
        <w:rPr>
          <w:rFonts w:hint="eastAsia" w:ascii="仿宋" w:hAnsi="仿宋" w:eastAsia="仿宋" w:cs="仿宋"/>
          <w:color w:val="auto"/>
          <w:szCs w:val="21"/>
          <w:shd w:val="clear" w:color="auto" w:fill="FFFFFF"/>
          <w:lang w:eastAsia="zh-CN"/>
        </w:rPr>
        <w:t>%,</w:t>
      </w:r>
      <w:r>
        <w:rPr>
          <w:rFonts w:hint="eastAsia" w:ascii="仿宋" w:hAnsi="仿宋" w:eastAsia="仿宋" w:cs="仿宋"/>
          <w:color w:val="auto"/>
          <w:szCs w:val="21"/>
          <w:shd w:val="clear" w:color="auto" w:fill="FFFFFF"/>
          <w:lang w:val="en-US" w:eastAsia="zh-CN"/>
        </w:rPr>
        <w:t xml:space="preserve"> 服务</w:t>
      </w:r>
      <w:r>
        <w:rPr>
          <w:rFonts w:hint="eastAsia" w:ascii="仿宋" w:hAnsi="仿宋" w:eastAsia="仿宋" w:cs="仿宋"/>
          <w:color w:val="auto"/>
          <w:szCs w:val="21"/>
          <w:shd w:val="clear" w:color="auto" w:fill="FFFFFF"/>
          <w:lang w:eastAsia="zh-CN"/>
        </w:rPr>
        <w:t>期为</w:t>
      </w:r>
      <w:r>
        <w:rPr>
          <w:rFonts w:hint="eastAsia" w:ascii="仿宋" w:hAnsi="仿宋" w:eastAsia="仿宋" w:cs="仿宋"/>
          <w:color w:val="auto"/>
          <w:szCs w:val="21"/>
          <w:shd w:val="clear" w:color="auto" w:fill="FFFFFF"/>
          <w:lang w:val="en-US" w:eastAsia="zh-CN"/>
        </w:rPr>
        <w:t>一</w:t>
      </w:r>
      <w:r>
        <w:rPr>
          <w:rFonts w:hint="eastAsia" w:ascii="仿宋" w:hAnsi="仿宋" w:eastAsia="仿宋" w:cs="仿宋"/>
          <w:color w:val="auto"/>
          <w:szCs w:val="21"/>
          <w:shd w:val="clear" w:color="auto" w:fill="FFFFFF"/>
          <w:lang w:eastAsia="zh-CN"/>
        </w:rPr>
        <w:t>个生长季（</w:t>
      </w:r>
      <w:r>
        <w:rPr>
          <w:rFonts w:hint="eastAsia" w:ascii="仿宋" w:hAnsi="仿宋" w:eastAsia="仿宋" w:cs="仿宋"/>
          <w:color w:val="auto"/>
          <w:szCs w:val="21"/>
          <w:shd w:val="clear" w:color="auto" w:fill="FFFFFF"/>
          <w:lang w:val="en-US" w:eastAsia="zh-CN"/>
        </w:rPr>
        <w:t>一</w:t>
      </w:r>
      <w:r>
        <w:rPr>
          <w:rFonts w:hint="eastAsia" w:ascii="仿宋" w:hAnsi="仿宋" w:eastAsia="仿宋" w:cs="仿宋"/>
          <w:color w:val="auto"/>
          <w:szCs w:val="21"/>
          <w:shd w:val="clear" w:color="auto" w:fill="FFFFFF"/>
          <w:lang w:eastAsia="zh-CN"/>
        </w:rPr>
        <w:t>年）。</w:t>
      </w:r>
    </w:p>
    <w:p w14:paraId="545428C5">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hint="eastAsia" w:ascii="仿宋" w:hAnsi="仿宋" w:eastAsia="仿宋" w:cs="仿宋"/>
          <w:color w:val="auto"/>
          <w:szCs w:val="21"/>
          <w:shd w:val="clear" w:color="auto" w:fill="FFFFFF"/>
          <w:lang w:eastAsia="zh-CN"/>
        </w:rPr>
      </w:pPr>
      <w:r>
        <w:rPr>
          <w:rFonts w:hint="eastAsia" w:ascii="仿宋" w:hAnsi="仿宋" w:eastAsia="仿宋" w:cs="仿宋"/>
          <w:color w:val="auto"/>
          <w:szCs w:val="21"/>
          <w:shd w:val="clear" w:color="auto" w:fill="FFFFFF"/>
          <w:lang w:eastAsia="zh-CN"/>
        </w:rPr>
        <w:t>4、投标人应提前做好必要的供苗准备；甲方提前通知投标人用苗数量、品种、送达地点、联系人；送达指定地点后由甲方对品种、数量、质量、规格、包装要求等进行外检验收，若因投标人自身原因导致苗木受损、影响成活的，按验收不合格苗处理，并要求投标人在3日内免费重新提供配送，不得以任何借口推诿。验收不合格的，甲方不予接收。</w:t>
      </w:r>
    </w:p>
    <w:p w14:paraId="009E01FF">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hint="eastAsia" w:ascii="仿宋" w:hAnsi="仿宋" w:eastAsia="仿宋" w:cs="仿宋"/>
          <w:color w:val="auto"/>
          <w:szCs w:val="21"/>
          <w:shd w:val="clear" w:color="auto" w:fill="FFFFFF"/>
          <w:lang w:eastAsia="zh-CN"/>
        </w:rPr>
      </w:pPr>
      <w:r>
        <w:rPr>
          <w:rFonts w:hint="eastAsia" w:ascii="仿宋" w:hAnsi="仿宋" w:eastAsia="仿宋" w:cs="仿宋"/>
          <w:color w:val="auto"/>
          <w:szCs w:val="21"/>
          <w:shd w:val="clear" w:color="auto" w:fill="FFFFFF"/>
          <w:lang w:eastAsia="zh-CN"/>
        </w:rPr>
        <w:t>5、苗木运抵收货现场后，中标人通知所在地苗木检疫部门进行苗木检疫复验，如发现苗木携带检疫病虫害，甲方有权拒收该批苗木，并依据相关法律政策处理，其责任及相关费用由供苗方承担。</w:t>
      </w:r>
    </w:p>
    <w:p w14:paraId="33073F07">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hint="eastAsia" w:ascii="仿宋" w:hAnsi="仿宋" w:eastAsia="仿宋" w:cs="仿宋"/>
          <w:color w:val="auto"/>
          <w:szCs w:val="21"/>
          <w:shd w:val="clear" w:color="auto" w:fill="FFFFFF"/>
          <w:lang w:eastAsia="zh-CN"/>
        </w:rPr>
      </w:pPr>
      <w:r>
        <w:rPr>
          <w:rFonts w:hint="eastAsia" w:ascii="仿宋" w:hAnsi="仿宋" w:eastAsia="仿宋" w:cs="仿宋"/>
          <w:color w:val="auto"/>
          <w:szCs w:val="21"/>
          <w:shd w:val="clear" w:color="auto" w:fill="FFFFFF"/>
          <w:lang w:eastAsia="zh-CN"/>
        </w:rPr>
        <w:t>6、中标公司交付延期或出现其他违规行为，按违约处理。</w:t>
      </w:r>
    </w:p>
    <w:p w14:paraId="04E4F19C">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hint="eastAsia" w:ascii="仿宋" w:hAnsi="仿宋" w:eastAsia="仿宋" w:cs="仿宋"/>
          <w:color w:val="auto"/>
          <w:szCs w:val="21"/>
          <w:shd w:val="clear" w:color="auto" w:fill="FFFFFF"/>
          <w:lang w:eastAsia="zh-CN"/>
        </w:rPr>
      </w:pPr>
      <w:r>
        <w:rPr>
          <w:rFonts w:hint="eastAsia" w:ascii="仿宋" w:hAnsi="仿宋" w:eastAsia="仿宋" w:cs="仿宋"/>
          <w:color w:val="auto"/>
          <w:szCs w:val="21"/>
          <w:shd w:val="clear" w:color="auto" w:fill="FFFFFF"/>
          <w:lang w:eastAsia="zh-CN"/>
        </w:rPr>
        <w:t>7、采购服务项目验收：由招标人（采购人）组织验收；对于验收中未成活的</w:t>
      </w:r>
    </w:p>
    <w:p w14:paraId="39DA2B77">
      <w:pPr>
        <w:keepNext w:val="0"/>
        <w:keepLines w:val="0"/>
        <w:pageBreakBefore w:val="0"/>
        <w:widowControl/>
        <w:kinsoku/>
        <w:wordWrap/>
        <w:overflowPunct/>
        <w:topLinePunct w:val="0"/>
        <w:autoSpaceDE/>
        <w:autoSpaceDN/>
        <w:bidi w:val="0"/>
        <w:adjustRightInd/>
        <w:spacing w:line="400" w:lineRule="exact"/>
        <w:ind w:firstLine="486" w:firstLineChars="200"/>
        <w:textAlignment w:val="auto"/>
        <w:rPr>
          <w:rFonts w:hint="eastAsia" w:ascii="仿宋" w:hAnsi="仿宋" w:eastAsia="仿宋" w:cs="仿宋"/>
          <w:color w:val="auto"/>
          <w:szCs w:val="21"/>
          <w:shd w:val="clear" w:color="auto" w:fill="FFFFFF"/>
          <w:lang w:eastAsia="zh-CN"/>
        </w:rPr>
      </w:pPr>
      <w:r>
        <w:rPr>
          <w:rFonts w:hint="eastAsia" w:ascii="仿宋" w:hAnsi="仿宋" w:eastAsia="仿宋" w:cs="仿宋"/>
          <w:color w:val="auto"/>
          <w:szCs w:val="21"/>
          <w:shd w:val="clear" w:color="auto" w:fill="FFFFFF"/>
          <w:lang w:eastAsia="zh-CN"/>
        </w:rPr>
        <w:t>苗木，由中标单位提供免费补苗。</w:t>
      </w:r>
    </w:p>
    <w:p w14:paraId="2FCB6053">
      <w:pPr>
        <w:shd w:val="clear" w:color="auto" w:fill="auto"/>
        <w:spacing w:line="264" w:lineRule="auto"/>
        <w:outlineLvl w:val="9"/>
        <w:rPr>
          <w:rFonts w:hint="eastAsia" w:ascii="Times New Roman" w:hAnsi="Times New Roman" w:eastAsia="仿宋" w:cs="Times New Roman"/>
          <w:b/>
          <w:bCs w:val="0"/>
          <w:color w:val="auto"/>
          <w:szCs w:val="21"/>
          <w:highlight w:val="none"/>
          <w:lang w:eastAsia="zh-CN"/>
        </w:rPr>
      </w:pPr>
      <w:r>
        <w:rPr>
          <w:rFonts w:hint="eastAsia" w:ascii="Times New Roman" w:hAnsi="Times New Roman" w:eastAsia="仿宋" w:cs="Times New Roman"/>
          <w:b/>
          <w:bCs w:val="0"/>
          <w:color w:val="auto"/>
          <w:szCs w:val="21"/>
          <w:highlight w:val="none"/>
          <w:lang w:eastAsia="zh-CN"/>
        </w:rPr>
        <w:t>1.2商务要求：</w:t>
      </w:r>
    </w:p>
    <w:p w14:paraId="7D48638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val="0"/>
          <w:bCs w:val="0"/>
          <w:color w:val="auto"/>
          <w:highlight w:val="none"/>
          <w:lang w:eastAsia="zh-CN"/>
        </w:rPr>
      </w:pPr>
      <w:r>
        <w:rPr>
          <w:rFonts w:hint="eastAsia" w:ascii="仿宋" w:hAnsi="仿宋" w:eastAsia="仿宋" w:cs="仿宋"/>
          <w:b/>
          <w:bCs/>
          <w:color w:val="auto"/>
          <w:highlight w:val="none"/>
          <w:lang w:eastAsia="zh-CN"/>
        </w:rPr>
        <w:t>（一）</w:t>
      </w:r>
      <w:r>
        <w:rPr>
          <w:rFonts w:hint="eastAsia" w:ascii="仿宋" w:hAnsi="仿宋" w:eastAsia="仿宋" w:cs="仿宋"/>
          <w:b/>
          <w:bCs/>
          <w:color w:val="auto"/>
          <w:highlight w:val="none"/>
          <w:lang w:val="en-US" w:eastAsia="zh-CN"/>
        </w:rPr>
        <w:t>供货期/服务</w:t>
      </w:r>
      <w:r>
        <w:rPr>
          <w:rFonts w:hint="eastAsia" w:ascii="仿宋" w:hAnsi="仿宋" w:eastAsia="仿宋" w:cs="仿宋"/>
          <w:b/>
          <w:bCs/>
          <w:color w:val="auto"/>
          <w:highlight w:val="none"/>
          <w:lang w:eastAsia="zh-CN"/>
        </w:rPr>
        <w:t xml:space="preserve">期 </w:t>
      </w:r>
      <w:r>
        <w:rPr>
          <w:rFonts w:hint="eastAsia" w:ascii="仿宋" w:hAnsi="仿宋" w:eastAsia="仿宋" w:cs="仿宋"/>
          <w:b w:val="0"/>
          <w:bCs w:val="0"/>
          <w:color w:val="auto"/>
          <w:highlight w:val="none"/>
          <w:lang w:eastAsia="zh-CN"/>
        </w:rPr>
        <w:t>：</w:t>
      </w:r>
      <w:r>
        <w:rPr>
          <w:rFonts w:hint="eastAsia" w:ascii="仿宋" w:hAnsi="仿宋" w:eastAsia="仿宋" w:cs="仿宋"/>
          <w:i w:val="0"/>
          <w:iCs w:val="0"/>
          <w:caps w:val="0"/>
          <w:color w:val="auto"/>
          <w:spacing w:val="0"/>
          <w:sz w:val="24"/>
          <w:szCs w:val="24"/>
          <w:lang w:eastAsia="zh-CN"/>
        </w:rPr>
        <w:t>自合同签订之日起</w:t>
      </w:r>
      <w:r>
        <w:rPr>
          <w:rFonts w:hint="eastAsia" w:ascii="仿宋" w:hAnsi="仿宋" w:eastAsia="仿宋" w:cs="仿宋"/>
          <w:i w:val="0"/>
          <w:iCs w:val="0"/>
          <w:caps w:val="0"/>
          <w:color w:val="auto"/>
          <w:spacing w:val="0"/>
          <w:sz w:val="24"/>
          <w:szCs w:val="24"/>
          <w:lang w:val="en-US" w:eastAsia="zh-CN"/>
        </w:rPr>
        <w:t>15</w:t>
      </w:r>
      <w:r>
        <w:rPr>
          <w:rFonts w:hint="eastAsia" w:ascii="仿宋" w:hAnsi="仿宋" w:eastAsia="仿宋" w:cs="仿宋"/>
          <w:i w:val="0"/>
          <w:iCs w:val="0"/>
          <w:caps w:val="0"/>
          <w:color w:val="auto"/>
          <w:spacing w:val="0"/>
          <w:sz w:val="24"/>
          <w:szCs w:val="24"/>
          <w:lang w:eastAsia="zh-CN"/>
        </w:rPr>
        <w:t>天内完成</w:t>
      </w:r>
      <w:r>
        <w:rPr>
          <w:rFonts w:hint="eastAsia" w:ascii="仿宋" w:hAnsi="仿宋" w:eastAsia="仿宋" w:cs="仿宋"/>
          <w:i w:val="0"/>
          <w:iCs w:val="0"/>
          <w:caps w:val="0"/>
          <w:color w:val="auto"/>
          <w:spacing w:val="0"/>
          <w:sz w:val="24"/>
          <w:szCs w:val="24"/>
          <w:lang w:val="en-US" w:eastAsia="zh-CN"/>
        </w:rPr>
        <w:t>供货，服务期1年</w:t>
      </w:r>
      <w:r>
        <w:rPr>
          <w:rFonts w:hint="eastAsia" w:ascii="仿宋" w:hAnsi="仿宋" w:eastAsia="仿宋" w:cs="仿宋"/>
          <w:i w:val="0"/>
          <w:iCs w:val="0"/>
          <w:caps w:val="0"/>
          <w:color w:val="auto"/>
          <w:spacing w:val="0"/>
          <w:sz w:val="24"/>
          <w:szCs w:val="24"/>
          <w:lang w:eastAsia="zh-CN"/>
        </w:rPr>
        <w:t>（具体以甲乙双方签订合同</w:t>
      </w:r>
      <w:r>
        <w:rPr>
          <w:rFonts w:hint="eastAsia" w:ascii="仿宋" w:hAnsi="仿宋" w:eastAsia="仿宋" w:cs="仿宋"/>
          <w:i w:val="0"/>
          <w:iCs w:val="0"/>
          <w:caps w:val="0"/>
          <w:color w:val="auto"/>
          <w:spacing w:val="0"/>
          <w:sz w:val="24"/>
          <w:szCs w:val="24"/>
          <w:lang w:val="en-US" w:eastAsia="zh-CN"/>
        </w:rPr>
        <w:t>时间</w:t>
      </w:r>
      <w:r>
        <w:rPr>
          <w:rFonts w:hint="eastAsia" w:ascii="仿宋" w:hAnsi="仿宋" w:eastAsia="仿宋" w:cs="仿宋"/>
          <w:i w:val="0"/>
          <w:iCs w:val="0"/>
          <w:caps w:val="0"/>
          <w:color w:val="auto"/>
          <w:spacing w:val="0"/>
          <w:sz w:val="24"/>
          <w:szCs w:val="24"/>
          <w:lang w:eastAsia="zh-CN"/>
        </w:rPr>
        <w:t>为准）</w:t>
      </w:r>
      <w:r>
        <w:rPr>
          <w:rFonts w:hint="eastAsia" w:ascii="仿宋" w:hAnsi="仿宋" w:eastAsia="仿宋" w:cs="仿宋"/>
          <w:color w:val="auto"/>
          <w:highlight w:val="none"/>
          <w:lang w:val="en-US" w:eastAsia="zh-CN"/>
        </w:rPr>
        <w:t>；</w:t>
      </w:r>
    </w:p>
    <w:p w14:paraId="3050C8EA">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color w:val="auto"/>
          <w:highlight w:val="none"/>
          <w:lang w:eastAsia="zh-CN"/>
        </w:rPr>
      </w:pPr>
      <w:r>
        <w:rPr>
          <w:rFonts w:hint="eastAsia" w:ascii="仿宋" w:hAnsi="仿宋" w:eastAsia="仿宋" w:cs="仿宋"/>
          <w:b/>
          <w:bCs/>
          <w:color w:val="auto"/>
          <w:highlight w:val="none"/>
          <w:lang w:eastAsia="zh-CN"/>
        </w:rPr>
        <w:t>（二）实施（交货）地点</w:t>
      </w:r>
      <w:r>
        <w:rPr>
          <w:rFonts w:hint="eastAsia" w:ascii="仿宋" w:hAnsi="仿宋" w:eastAsia="仿宋" w:cs="仿宋"/>
          <w:color w:val="auto"/>
          <w:highlight w:val="none"/>
          <w:lang w:eastAsia="zh-CN"/>
        </w:rPr>
        <w:t xml:space="preserve"> ：甲方指定地点</w:t>
      </w:r>
    </w:p>
    <w:p w14:paraId="74941D60">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（三）报价要求</w:t>
      </w:r>
    </w:p>
    <w:p w14:paraId="55A972D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人报价应为人民币含税全包价，包括招标文件规定的完成通过合同验收并正常运转所必需的有关产品的设计、生产、包装、保险、运输、装卸、安装、调试、培训、税费、验收、保修服务等货到采购人指定地点的一切费用（即交钥匙工程）。一旦中标，招标人不再追加支付任何费用。</w:t>
      </w:r>
    </w:p>
    <w:p w14:paraId="77320151">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（四）售后服务、理赔、质量技术及验收保证的承诺</w:t>
      </w:r>
    </w:p>
    <w:p w14:paraId="332BBE5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1、售后服务</w:t>
      </w:r>
    </w:p>
    <w:p w14:paraId="76D7417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1.1产品质量：在合同期内，</w:t>
      </w:r>
      <w:r>
        <w:rPr>
          <w:rFonts w:hint="eastAsia" w:ascii="仿宋" w:hAnsi="仿宋" w:eastAsia="仿宋" w:cs="仿宋"/>
          <w:color w:val="auto"/>
          <w:highlight w:val="none"/>
          <w:lang w:val="en-US" w:eastAsia="zh-CN"/>
        </w:rPr>
        <w:t>苗木</w:t>
      </w:r>
      <w:r>
        <w:rPr>
          <w:rFonts w:hint="eastAsia" w:ascii="仿宋" w:hAnsi="仿宋" w:eastAsia="仿宋" w:cs="仿宋"/>
          <w:color w:val="auto"/>
          <w:highlight w:val="none"/>
          <w:lang w:eastAsia="zh-CN"/>
        </w:rPr>
        <w:t>出现质量问题时，乙方负责；</w:t>
      </w:r>
    </w:p>
    <w:p w14:paraId="599849B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1.2</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lang w:eastAsia="zh-CN"/>
        </w:rPr>
        <w:t>期内，</w:t>
      </w:r>
      <w:r>
        <w:rPr>
          <w:rFonts w:hint="eastAsia" w:ascii="仿宋" w:hAnsi="仿宋" w:eastAsia="仿宋" w:cs="仿宋"/>
          <w:color w:val="auto"/>
          <w:highlight w:val="none"/>
          <w:lang w:val="en-US" w:eastAsia="zh-CN"/>
        </w:rPr>
        <w:t>采购人发现新补种树苗及嫁接苗出现枯苗、病虫害等一系列损伤树苗成活问题</w:t>
      </w:r>
      <w:r>
        <w:rPr>
          <w:rFonts w:hint="eastAsia" w:ascii="仿宋" w:hAnsi="仿宋" w:eastAsia="仿宋" w:cs="仿宋"/>
          <w:color w:val="auto"/>
          <w:highlight w:val="none"/>
          <w:lang w:eastAsia="zh-CN"/>
        </w:rPr>
        <w:t>，须在</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小时内到达现场进行处理。</w:t>
      </w:r>
      <w:r>
        <w:rPr>
          <w:rFonts w:hint="eastAsia" w:ascii="仿宋" w:hAnsi="仿宋" w:eastAsia="仿宋" w:cs="仿宋"/>
          <w:b w:val="0"/>
          <w:bCs w:val="0"/>
          <w:color w:val="auto"/>
          <w:highlight w:val="none"/>
          <w:lang w:eastAsia="zh-CN"/>
        </w:rPr>
        <w:t>一般8小时内</w:t>
      </w:r>
      <w:r>
        <w:rPr>
          <w:rFonts w:hint="eastAsia" w:ascii="仿宋" w:hAnsi="仿宋" w:eastAsia="仿宋" w:cs="仿宋"/>
          <w:b w:val="0"/>
          <w:bCs w:val="0"/>
          <w:color w:val="auto"/>
          <w:highlight w:val="none"/>
          <w:lang w:val="en-US" w:eastAsia="zh-CN"/>
        </w:rPr>
        <w:t>更换新苗；</w:t>
      </w:r>
    </w:p>
    <w:p w14:paraId="4CE1ED63">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3、培训：免费培训相关人员（每次不少于60人）至掌握苗木嫁接、接穗、品种养护等知识内容；</w:t>
      </w:r>
    </w:p>
    <w:p w14:paraId="5F79EBA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服务</w:t>
      </w:r>
      <w:r>
        <w:rPr>
          <w:rFonts w:hint="eastAsia" w:ascii="仿宋" w:hAnsi="仿宋" w:eastAsia="仿宋" w:cs="仿宋"/>
          <w:color w:val="auto"/>
          <w:highlight w:val="none"/>
          <w:lang w:eastAsia="zh-CN"/>
        </w:rPr>
        <w:t>期过后，供应商应同样提供免费电话咨询服务，并应承诺提供该产品上门维护服务；</w:t>
      </w:r>
    </w:p>
    <w:p w14:paraId="6227AD4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b/>
          <w:bCs/>
          <w:color w:val="auto"/>
          <w:highlight w:val="none"/>
          <w:lang w:eastAsia="zh-CN"/>
        </w:rPr>
      </w:pPr>
      <w:r>
        <w:rPr>
          <w:rFonts w:hint="eastAsia" w:ascii="仿宋" w:hAnsi="仿宋" w:eastAsia="仿宋" w:cs="仿宋"/>
          <w:color w:val="auto"/>
          <w:highlight w:val="none"/>
          <w:lang w:val="en-US" w:eastAsia="zh-CN"/>
        </w:rPr>
        <w:t>5、服务期过后，采购人需要继续由原投标人提供售后服务的，该投标人应以优惠价格提供售后服务；</w:t>
      </w:r>
    </w:p>
    <w:p w14:paraId="095A3AE4">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（五）验收</w:t>
      </w:r>
    </w:p>
    <w:p w14:paraId="226EE1AD">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采购服务项目验收：由招标人（采购人）组织验收；对于验收中未成活的</w:t>
      </w:r>
    </w:p>
    <w:p w14:paraId="79F30C9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苗木，由中标单位提供免费补苗</w:t>
      </w:r>
    </w:p>
    <w:p w14:paraId="1D815434">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（六）</w:t>
      </w:r>
      <w:r>
        <w:rPr>
          <w:rFonts w:hint="eastAsia" w:ascii="仿宋" w:hAnsi="仿宋" w:eastAsia="仿宋" w:cs="仿宋"/>
          <w:b/>
          <w:bCs/>
          <w:color w:val="auto"/>
          <w:highlight w:val="none"/>
          <w:lang w:val="en-US" w:eastAsia="zh-CN"/>
        </w:rPr>
        <w:t>付款方式</w:t>
      </w:r>
    </w:p>
    <w:p w14:paraId="067A4A9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highlight w:val="none"/>
          <w:lang w:val="en-US" w:eastAsia="zh-CN"/>
        </w:rPr>
        <w:t>甲乙双方签订合同后树苗、嫁接苗到达甲方指定地点付合同总价的50%，全部树苗栽种、嫁接完成，验收合格后付剩余50%。（具体以签订合同为准）；</w:t>
      </w:r>
    </w:p>
    <w:p w14:paraId="3CFF2365">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val="en-US" w:eastAsia="zh-CN"/>
        </w:rPr>
        <w:t>（七）</w:t>
      </w:r>
      <w:r>
        <w:rPr>
          <w:rFonts w:hint="eastAsia" w:ascii="仿宋" w:hAnsi="仿宋" w:eastAsia="仿宋" w:cs="仿宋"/>
          <w:b/>
          <w:bCs/>
          <w:color w:val="auto"/>
          <w:highlight w:val="none"/>
          <w:lang w:eastAsia="zh-CN"/>
        </w:rPr>
        <w:t>知识产权</w:t>
      </w:r>
    </w:p>
    <w:p w14:paraId="186CCDC4">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val="0"/>
          <w:bCs w:val="0"/>
          <w:color w:val="auto"/>
          <w:highlight w:val="none"/>
          <w:lang w:eastAsia="zh-CN"/>
        </w:rPr>
      </w:pPr>
      <w:r>
        <w:rPr>
          <w:rFonts w:hint="eastAsia" w:ascii="仿宋" w:hAnsi="仿宋" w:eastAsia="仿宋" w:cs="仿宋"/>
          <w:color w:val="auto"/>
          <w:highlight w:val="none"/>
          <w:lang w:eastAsia="zh-CN"/>
        </w:rPr>
        <w:t>采购人在中华人民共和国境内使用供应商提供的货物及服务时免受第三方提出的侵犯其专利权或其它知识产权的起诉。如果第三方提出侵权指控，中标人应承担由此而引起的一切法律责任和费用。</w:t>
      </w:r>
    </w:p>
    <w:p w14:paraId="094245D3">
      <w:pPr>
        <w:keepNext w:val="0"/>
        <w:keepLines w:val="0"/>
        <w:pageBreakBefore w:val="0"/>
        <w:widowControl w:val="0"/>
        <w:kinsoku/>
        <w:wordWrap/>
        <w:overflowPunct/>
        <w:topLinePunct w:val="0"/>
        <w:autoSpaceDE/>
        <w:autoSpaceDN/>
        <w:bidi w:val="0"/>
        <w:adjustRightInd/>
        <w:snapToGrid/>
        <w:spacing w:line="460" w:lineRule="exact"/>
        <w:textAlignment w:val="auto"/>
        <w:rPr>
          <w:rFonts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（八）其他</w:t>
      </w:r>
    </w:p>
    <w:p w14:paraId="1903908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1、供应商必须在投标文件中对以上条款和服务承诺明确列出，承诺内容必须达到本篇及招标文件其他条款的要求。</w:t>
      </w:r>
    </w:p>
    <w:p w14:paraId="321D488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2、中标人与采购人签订《协议》后，须与用户方签订《货物采购供应合同》（包括供货范围、需求数量、单价等），明确具体供货数量、供货时间、送达地点等内容。</w:t>
      </w:r>
    </w:p>
    <w:p w14:paraId="70EC364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3、其他未尽事宜由供需双方在采购合同中详细约定。</w:t>
      </w:r>
    </w:p>
    <w:p w14:paraId="5C776ADE">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4、 若供应商不能按招标文件规定的交货期正常交货，采购方有权终止采购合同，并将相关情况上报给采购计划主管部门，取消其中标资格。</w:t>
      </w:r>
    </w:p>
    <w:p w14:paraId="6C9E468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b/>
          <w:color w:val="auto"/>
          <w:sz w:val="30"/>
          <w:szCs w:val="30"/>
          <w:highlight w:val="none"/>
          <w:lang w:eastAsia="zh-CN"/>
        </w:rPr>
      </w:pPr>
      <w:r>
        <w:rPr>
          <w:rFonts w:hint="eastAsia" w:ascii="仿宋" w:hAnsi="仿宋" w:eastAsia="仿宋" w:cs="仿宋"/>
          <w:color w:val="auto"/>
          <w:highlight w:val="none"/>
          <w:lang w:eastAsia="zh-CN"/>
        </w:rPr>
        <w:t>5、</w:t>
      </w:r>
      <w:r>
        <w:rPr>
          <w:rFonts w:hint="eastAsia" w:ascii="仿宋" w:hAnsi="仿宋" w:eastAsia="仿宋" w:cs="仿宋"/>
          <w:color w:val="auto"/>
          <w:kern w:val="2"/>
          <w:highlight w:val="none"/>
          <w:lang w:eastAsia="zh-CN" w:bidi="ar-SA"/>
        </w:rPr>
        <w:t>其他未尽事宜由供需双方在采购合同中详细约定。</w:t>
      </w:r>
    </w:p>
    <w:p w14:paraId="29BFFBBD">
      <w:pPr>
        <w:spacing w:line="480" w:lineRule="exact"/>
        <w:jc w:val="both"/>
        <w:outlineLvl w:val="1"/>
        <w:rPr>
          <w:rFonts w:hint="eastAsia" w:ascii="仿宋" w:hAnsi="仿宋" w:eastAsia="仿宋" w:cs="仿宋"/>
          <w:b/>
          <w:color w:val="auto"/>
          <w:sz w:val="30"/>
          <w:szCs w:val="30"/>
          <w:highlight w:val="none"/>
          <w:lang w:eastAsia="zh-CN"/>
        </w:rPr>
      </w:pPr>
    </w:p>
    <w:p w14:paraId="1DFD4C0F">
      <w:pPr>
        <w:spacing w:line="480" w:lineRule="exact"/>
        <w:jc w:val="both"/>
        <w:outlineLvl w:val="1"/>
        <w:rPr>
          <w:rFonts w:hint="eastAsia" w:ascii="仿宋" w:hAnsi="仿宋" w:eastAsia="仿宋" w:cs="仿宋"/>
          <w:b/>
          <w:color w:val="auto"/>
          <w:sz w:val="30"/>
          <w:szCs w:val="30"/>
          <w:highlight w:val="none"/>
          <w:lang w:eastAsia="zh-CN"/>
        </w:rPr>
      </w:pPr>
    </w:p>
    <w:p w14:paraId="15D20311">
      <w:pPr>
        <w:spacing w:line="480" w:lineRule="exact"/>
        <w:jc w:val="both"/>
        <w:outlineLvl w:val="1"/>
        <w:rPr>
          <w:rFonts w:hint="eastAsia" w:ascii="仿宋" w:hAnsi="仿宋" w:eastAsia="仿宋" w:cs="仿宋"/>
          <w:b/>
          <w:color w:val="auto"/>
          <w:sz w:val="30"/>
          <w:szCs w:val="30"/>
          <w:highlight w:val="none"/>
          <w:lang w:eastAsia="zh-CN"/>
        </w:rPr>
      </w:pPr>
    </w:p>
    <w:p w14:paraId="6FF81BF0">
      <w:pPr>
        <w:spacing w:line="480" w:lineRule="exact"/>
        <w:jc w:val="both"/>
        <w:outlineLvl w:val="1"/>
        <w:rPr>
          <w:rFonts w:hint="eastAsia" w:ascii="仿宋" w:hAnsi="仿宋" w:eastAsia="仿宋" w:cs="仿宋"/>
          <w:b/>
          <w:color w:val="auto"/>
          <w:sz w:val="30"/>
          <w:szCs w:val="30"/>
          <w:highlight w:val="none"/>
          <w:lang w:eastAsia="zh-CN"/>
        </w:rPr>
      </w:pPr>
    </w:p>
    <w:p w14:paraId="2D99172E">
      <w:pPr>
        <w:spacing w:line="480" w:lineRule="exact"/>
        <w:jc w:val="both"/>
        <w:outlineLvl w:val="1"/>
        <w:rPr>
          <w:rFonts w:hint="eastAsia" w:ascii="仿宋" w:hAnsi="仿宋" w:eastAsia="仿宋" w:cs="仿宋"/>
          <w:b/>
          <w:color w:val="auto"/>
          <w:sz w:val="30"/>
          <w:szCs w:val="30"/>
          <w:highlight w:val="none"/>
          <w:lang w:eastAsia="zh-CN"/>
        </w:rPr>
      </w:pPr>
    </w:p>
    <w:p w14:paraId="03DB6E04">
      <w:pPr>
        <w:spacing w:line="480" w:lineRule="exact"/>
        <w:jc w:val="both"/>
        <w:outlineLvl w:val="1"/>
        <w:rPr>
          <w:rFonts w:hint="eastAsia" w:ascii="仿宋" w:hAnsi="仿宋" w:eastAsia="仿宋" w:cs="仿宋"/>
          <w:b/>
          <w:color w:val="auto"/>
          <w:sz w:val="30"/>
          <w:szCs w:val="30"/>
          <w:highlight w:val="none"/>
          <w:lang w:eastAsia="zh-CN"/>
        </w:rPr>
      </w:pPr>
    </w:p>
    <w:p w14:paraId="3C0137E5">
      <w:pPr>
        <w:spacing w:line="480" w:lineRule="exact"/>
        <w:jc w:val="both"/>
        <w:outlineLvl w:val="1"/>
        <w:rPr>
          <w:rFonts w:hint="eastAsia" w:ascii="仿宋" w:hAnsi="仿宋" w:eastAsia="仿宋" w:cs="仿宋"/>
          <w:b/>
          <w:color w:val="auto"/>
          <w:sz w:val="30"/>
          <w:szCs w:val="30"/>
          <w:highlight w:val="none"/>
          <w:lang w:eastAsia="zh-CN"/>
        </w:rPr>
      </w:pPr>
    </w:p>
    <w:p w14:paraId="4E712E1B">
      <w:pPr>
        <w:spacing w:line="480" w:lineRule="exact"/>
        <w:jc w:val="both"/>
        <w:outlineLvl w:val="1"/>
        <w:rPr>
          <w:rFonts w:hint="eastAsia" w:ascii="仿宋" w:hAnsi="仿宋" w:eastAsia="仿宋" w:cs="仿宋"/>
          <w:b/>
          <w:color w:val="auto"/>
          <w:sz w:val="30"/>
          <w:szCs w:val="30"/>
          <w:highlight w:val="none"/>
          <w:lang w:eastAsia="zh-CN"/>
        </w:rPr>
      </w:pPr>
    </w:p>
    <w:p w14:paraId="603D4C41">
      <w:pPr>
        <w:spacing w:line="480" w:lineRule="exact"/>
        <w:jc w:val="center"/>
        <w:outlineLvl w:val="1"/>
        <w:rPr>
          <w:rFonts w:hint="eastAsia" w:ascii="仿宋" w:hAnsi="仿宋" w:eastAsia="仿宋" w:cs="仿宋"/>
          <w:b/>
          <w:color w:val="auto"/>
          <w:sz w:val="30"/>
          <w:szCs w:val="30"/>
          <w:highlight w:val="none"/>
          <w:lang w:eastAsia="zh-CN"/>
        </w:rPr>
      </w:pPr>
    </w:p>
    <w:p w14:paraId="292734B4">
      <w:pPr>
        <w:spacing w:line="480" w:lineRule="exact"/>
        <w:jc w:val="center"/>
        <w:outlineLvl w:val="1"/>
        <w:rPr>
          <w:rFonts w:hint="eastAsia" w:ascii="仿宋" w:hAnsi="仿宋" w:eastAsia="仿宋" w:cs="仿宋"/>
          <w:b/>
          <w:color w:val="auto"/>
          <w:sz w:val="30"/>
          <w:szCs w:val="30"/>
          <w:highlight w:val="none"/>
          <w:lang w:eastAsia="zh-CN"/>
        </w:rPr>
      </w:pPr>
    </w:p>
    <w:p w14:paraId="4F338CED">
      <w:pPr>
        <w:spacing w:line="480" w:lineRule="exact"/>
        <w:jc w:val="center"/>
        <w:outlineLvl w:val="1"/>
        <w:rPr>
          <w:rFonts w:hint="eastAsia" w:ascii="仿宋" w:hAnsi="仿宋" w:eastAsia="仿宋" w:cs="仿宋"/>
          <w:b/>
          <w:color w:val="auto"/>
          <w:sz w:val="30"/>
          <w:szCs w:val="30"/>
          <w:highlight w:val="none"/>
          <w:lang w:eastAsia="zh-CN"/>
        </w:rPr>
      </w:pPr>
    </w:p>
    <w:p w14:paraId="3DC51C53">
      <w:pPr>
        <w:spacing w:line="480" w:lineRule="exact"/>
        <w:jc w:val="center"/>
        <w:outlineLvl w:val="1"/>
        <w:rPr>
          <w:rFonts w:hint="eastAsia" w:ascii="仿宋" w:hAnsi="仿宋" w:eastAsia="仿宋" w:cs="仿宋"/>
          <w:b/>
          <w:color w:val="auto"/>
          <w:sz w:val="30"/>
          <w:szCs w:val="30"/>
          <w:highlight w:val="none"/>
          <w:lang w:eastAsia="zh-CN"/>
        </w:rPr>
      </w:pPr>
    </w:p>
    <w:p w14:paraId="6DC26CB7">
      <w:pPr>
        <w:pStyle w:val="2"/>
        <w:rPr>
          <w:rFonts w:hint="eastAsia" w:ascii="仿宋" w:hAnsi="仿宋" w:eastAsia="仿宋" w:cs="仿宋"/>
          <w:b/>
          <w:color w:val="auto"/>
          <w:sz w:val="30"/>
          <w:szCs w:val="30"/>
          <w:highlight w:val="none"/>
          <w:lang w:eastAsia="zh-CN"/>
        </w:rPr>
      </w:pPr>
    </w:p>
    <w:p w14:paraId="27E1616D">
      <w:pPr>
        <w:pStyle w:val="2"/>
        <w:rPr>
          <w:rFonts w:hint="eastAsia" w:ascii="仿宋" w:hAnsi="仿宋" w:eastAsia="仿宋" w:cs="仿宋"/>
          <w:b/>
          <w:color w:val="auto"/>
          <w:sz w:val="30"/>
          <w:szCs w:val="30"/>
          <w:highlight w:val="none"/>
          <w:lang w:eastAsia="zh-CN"/>
        </w:rPr>
      </w:pPr>
    </w:p>
    <w:p w14:paraId="6D3517AC">
      <w:pPr>
        <w:spacing w:line="480" w:lineRule="exact"/>
        <w:jc w:val="center"/>
        <w:outlineLvl w:val="1"/>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第五部分 合同条款及格式</w:t>
      </w:r>
      <w:bookmarkStart w:id="45" w:name="_Toc20669"/>
    </w:p>
    <w:p w14:paraId="1E4F8B2F">
      <w:pPr>
        <w:spacing w:line="480" w:lineRule="exact"/>
        <w:jc w:val="center"/>
        <w:outlineLvl w:val="1"/>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（本合同为合同样稿，最终稿由供需双方协商后确定）</w:t>
      </w:r>
      <w:bookmarkEnd w:id="45"/>
    </w:p>
    <w:p w14:paraId="425A690F">
      <w:pPr>
        <w:keepNext w:val="0"/>
        <w:keepLines w:val="0"/>
        <w:pageBreakBefore w:val="0"/>
        <w:widowControl/>
        <w:numPr>
          <w:ilvl w:val="0"/>
          <w:numId w:val="6"/>
        </w:numPr>
        <w:kinsoku/>
        <w:wordWrap/>
        <w:overflowPunct/>
        <w:topLinePunct w:val="0"/>
        <w:autoSpaceDE/>
        <w:autoSpaceDN/>
        <w:bidi w:val="0"/>
        <w:adjustRightInd/>
        <w:snapToGrid/>
        <w:spacing w:line="440" w:lineRule="exact"/>
        <w:jc w:val="center"/>
        <w:textAlignment w:val="baseline"/>
        <w:outlineLvl w:val="1"/>
        <w:rPr>
          <w:rFonts w:ascii="宋体"/>
          <w:color w:val="auto"/>
          <w:highlight w:val="none"/>
        </w:rPr>
      </w:pPr>
      <w:r>
        <w:rPr>
          <w:rFonts w:hint="eastAsia" w:ascii="仿宋" w:hAnsi="仿宋" w:eastAsia="仿宋" w:cs="仿宋"/>
          <w:b/>
          <w:color w:val="auto"/>
          <w:sz w:val="30"/>
          <w:szCs w:val="30"/>
          <w:highlight w:val="none"/>
          <w:lang w:eastAsia="zh-CN"/>
        </w:rPr>
        <w:t xml:space="preserve"> </w:t>
      </w:r>
      <w:bookmarkStart w:id="46" w:name="_Toc469495741"/>
      <w:r>
        <w:rPr>
          <w:rFonts w:hint="eastAsia" w:ascii="仿宋" w:hAnsi="仿宋" w:eastAsia="仿宋" w:cs="仿宋"/>
          <w:b/>
          <w:color w:val="auto"/>
          <w:sz w:val="30"/>
          <w:szCs w:val="30"/>
          <w:highlight w:val="none"/>
        </w:rPr>
        <w:t>合同协议书</w:t>
      </w:r>
      <w:bookmarkEnd w:id="46"/>
      <w:r>
        <w:rPr>
          <w:rFonts w:hint="eastAsia" w:ascii="仿宋" w:hAnsi="仿宋" w:eastAsia="仿宋" w:cs="仿宋"/>
          <w:b/>
          <w:color w:val="auto"/>
          <w:sz w:val="30"/>
          <w:szCs w:val="30"/>
          <w:highlight w:val="none"/>
          <w:lang w:eastAsia="zh-CN"/>
        </w:rPr>
        <w:t xml:space="preserve">      </w:t>
      </w:r>
      <w:r>
        <w:rPr>
          <w:rFonts w:hint="eastAsia" w:ascii="仿宋" w:hAnsi="仿宋" w:eastAsia="仿宋" w:cs="仿宋"/>
          <w:b/>
          <w:color w:val="auto"/>
          <w:sz w:val="32"/>
          <w:szCs w:val="32"/>
          <w:highlight w:val="none"/>
        </w:rPr>
        <w:t>合同名称</w:t>
      </w:r>
      <w:r>
        <w:rPr>
          <w:rFonts w:hint="eastAsia" w:ascii="仿宋" w:hAnsi="仿宋" w:eastAsia="仿宋" w:cs="仿宋"/>
          <w:b/>
          <w:color w:val="auto"/>
          <w:highlight w:val="none"/>
        </w:rPr>
        <w:t xml:space="preserve"> </w:t>
      </w:r>
      <w:r>
        <w:rPr>
          <w:rFonts w:hint="eastAsia" w:ascii="宋体"/>
          <w:b/>
          <w:color w:val="auto"/>
          <w:highlight w:val="none"/>
        </w:rPr>
        <w:t xml:space="preserve"> </w:t>
      </w:r>
    </w:p>
    <w:p w14:paraId="535C28FE">
      <w:pPr>
        <w:keepNext w:val="0"/>
        <w:keepLines w:val="0"/>
        <w:pageBreakBefore w:val="0"/>
        <w:widowControl/>
        <w:kinsoku/>
        <w:wordWrap/>
        <w:overflowPunct/>
        <w:topLinePunct w:val="0"/>
        <w:autoSpaceDE/>
        <w:autoSpaceDN/>
        <w:bidi w:val="0"/>
        <w:adjustRightInd/>
        <w:snapToGrid/>
        <w:spacing w:line="440" w:lineRule="exact"/>
        <w:jc w:val="both"/>
        <w:textAlignment w:val="baseline"/>
        <w:outlineLvl w:val="1"/>
        <w:rPr>
          <w:rFonts w:ascii="仿宋" w:hAnsi="仿宋" w:eastAsia="仿宋" w:cs="仿宋"/>
          <w:color w:val="auto"/>
          <w:highlight w:val="none"/>
        </w:rPr>
      </w:pPr>
      <w:r>
        <w:rPr>
          <w:rFonts w:hint="eastAsia" w:ascii="仿宋" w:hAnsi="仿宋" w:eastAsia="仿宋" w:cs="仿宋"/>
          <w:color w:val="auto"/>
          <w:highlight w:val="none"/>
        </w:rPr>
        <w:t>编号</w:t>
      </w:r>
    </w:p>
    <w:p w14:paraId="2EBDD0E0">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bookmarkStart w:id="47" w:name="_Toc152045610"/>
      <w:bookmarkStart w:id="48" w:name="_Toc246996253"/>
      <w:bookmarkStart w:id="49" w:name="_Toc247085768"/>
      <w:bookmarkStart w:id="50" w:name="_Toc296602498"/>
      <w:bookmarkStart w:id="51" w:name="_Toc179632628"/>
      <w:bookmarkStart w:id="52" w:name="_Toc469495742"/>
      <w:bookmarkStart w:id="53" w:name="_Toc144974578"/>
      <w:bookmarkStart w:id="54" w:name="_Toc152042388"/>
      <w:bookmarkStart w:id="55" w:name="_Toc246996996"/>
      <w:r>
        <w:rPr>
          <w:rFonts w:hint="eastAsia" w:ascii="仿宋" w:hAnsi="仿宋" w:eastAsia="仿宋" w:cs="仿宋"/>
          <w:color w:val="auto"/>
          <w:highlight w:val="none"/>
        </w:rPr>
        <w:t>买    方：                                   卖    方：</w:t>
      </w:r>
    </w:p>
    <w:p w14:paraId="18A3F1FE">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电    话：                                   电    话：</w:t>
      </w:r>
    </w:p>
    <w:p w14:paraId="06D7EE6E">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rPr>
      </w:pPr>
      <w:r>
        <w:rPr>
          <w:rFonts w:hint="eastAsia" w:ascii="仿宋" w:hAnsi="仿宋" w:eastAsia="仿宋" w:cs="仿宋"/>
          <w:color w:val="auto"/>
          <w:highlight w:val="none"/>
        </w:rPr>
        <w:t xml:space="preserve">住    所：                                   住    所：                       </w:t>
      </w:r>
    </w:p>
    <w:p w14:paraId="71AEE5BE">
      <w:pPr>
        <w:keepNext w:val="0"/>
        <w:keepLines w:val="0"/>
        <w:pageBreakBefore w:val="0"/>
        <w:kinsoku/>
        <w:wordWrap/>
        <w:overflowPunct/>
        <w:topLinePunct w:val="0"/>
        <w:autoSpaceDE/>
        <w:autoSpaceDN/>
        <w:bidi w:val="0"/>
        <w:adjustRightInd/>
        <w:snapToGrid/>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u w:val="single"/>
          <w:lang w:eastAsia="zh-CN"/>
        </w:rPr>
        <w:t>（买方）</w:t>
      </w:r>
      <w:r>
        <w:rPr>
          <w:rFonts w:hint="eastAsia" w:ascii="仿宋" w:hAnsi="仿宋" w:eastAsia="仿宋" w:cs="仿宋"/>
          <w:color w:val="auto"/>
          <w:highlight w:val="none"/>
          <w:lang w:eastAsia="zh-CN"/>
        </w:rPr>
        <w:t>的</w:t>
      </w:r>
      <w:r>
        <w:rPr>
          <w:rFonts w:hint="eastAsia" w:ascii="仿宋" w:hAnsi="仿宋" w:eastAsia="仿宋" w:cs="仿宋"/>
          <w:color w:val="auto"/>
          <w:highlight w:val="none"/>
          <w:u w:val="single"/>
          <w:lang w:eastAsia="zh-CN"/>
        </w:rPr>
        <w:t>（项目名称）</w:t>
      </w:r>
      <w:r>
        <w:rPr>
          <w:rFonts w:hint="eastAsia" w:ascii="仿宋" w:hAnsi="仿宋" w:eastAsia="仿宋" w:cs="仿宋"/>
          <w:color w:val="auto"/>
          <w:highlight w:val="none"/>
          <w:lang w:eastAsia="zh-CN"/>
        </w:rPr>
        <w:t>中所需</w:t>
      </w:r>
      <w:r>
        <w:rPr>
          <w:rFonts w:hint="eastAsia" w:ascii="仿宋" w:hAnsi="仿宋" w:eastAsia="仿宋" w:cs="仿宋"/>
          <w:color w:val="auto"/>
          <w:highlight w:val="none"/>
          <w:u w:val="single"/>
          <w:lang w:eastAsia="zh-CN"/>
        </w:rPr>
        <w:t>（产品名称）</w:t>
      </w:r>
      <w:r>
        <w:rPr>
          <w:rFonts w:hint="eastAsia" w:ascii="仿宋" w:hAnsi="仿宋" w:eastAsia="仿宋" w:cs="仿宋"/>
          <w:color w:val="auto"/>
          <w:highlight w:val="none"/>
          <w:lang w:eastAsia="zh-CN"/>
        </w:rPr>
        <w:t xml:space="preserve"> 经公开招标，确定</w:t>
      </w:r>
      <w:r>
        <w:rPr>
          <w:rFonts w:hint="eastAsia" w:ascii="仿宋" w:hAnsi="仿宋" w:eastAsia="仿宋" w:cs="仿宋"/>
          <w:color w:val="auto"/>
          <w:highlight w:val="none"/>
          <w:u w:val="single"/>
          <w:lang w:eastAsia="zh-CN"/>
        </w:rPr>
        <w:t>（卖方）</w:t>
      </w:r>
      <w:r>
        <w:rPr>
          <w:rFonts w:hint="eastAsia" w:ascii="仿宋" w:hAnsi="仿宋" w:eastAsia="仿宋" w:cs="仿宋"/>
          <w:color w:val="auto"/>
          <w:highlight w:val="none"/>
          <w:lang w:eastAsia="zh-CN"/>
        </w:rPr>
        <w:t>为中标人。按照中华人民共和国合同法的规定，买卖双方同意按照下述的条款和条件，签署本合同。</w:t>
      </w:r>
    </w:p>
    <w:p w14:paraId="755DB339">
      <w:pPr>
        <w:keepNext w:val="0"/>
        <w:keepLines w:val="0"/>
        <w:pageBreakBefore w:val="0"/>
        <w:kinsoku/>
        <w:wordWrap/>
        <w:overflowPunct/>
        <w:topLinePunct w:val="0"/>
        <w:autoSpaceDE/>
        <w:autoSpaceDN/>
        <w:bidi w:val="0"/>
        <w:adjustRightInd/>
        <w:snapToGrid/>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lang w:eastAsia="zh-CN"/>
        </w:rPr>
        <w:t>、本合同文件</w:t>
      </w:r>
    </w:p>
    <w:p w14:paraId="5B87D6B5">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下列每一文件均应作为合同的组成部分进行阅读和解释：</w:t>
      </w:r>
    </w:p>
    <w:p w14:paraId="28897E56">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（1）采购文件（2）投标文件（3）中标通知书</w:t>
      </w:r>
    </w:p>
    <w:p w14:paraId="1EC79DBA">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（4）经双方确认进入合同的其它文件、补充条款或说明</w:t>
      </w:r>
    </w:p>
    <w:p w14:paraId="21B14E31">
      <w:pPr>
        <w:spacing w:line="42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eastAsia="zh-CN"/>
        </w:rPr>
        <w:t>、采购标的、数量、质量要求</w:t>
      </w:r>
    </w:p>
    <w:p w14:paraId="1F58D202">
      <w:pPr>
        <w:spacing w:line="420" w:lineRule="exact"/>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卖方所供的苗木必须符合品种、规格和质量要求的标准，苗木生长良好，形状优美，无病虫害，无药害，无机械损伤，无枯萎现象，保持根系完整和根系湿润，起挖苗木根系切口要平滑，根系无劈裂、无拉断、无干枯现象，要求带土球的苗木所带土球必须达到规定标准且所带土球不得破损，裸根苗木保留主根、根幅必须达到规定标准且必须保留侧根和须根。</w:t>
      </w:r>
    </w:p>
    <w:p w14:paraId="7A0906E3">
      <w:pPr>
        <w:spacing w:line="420" w:lineRule="exact"/>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lang w:eastAsia="zh-CN"/>
        </w:rPr>
        <w:t>、合同总价、货物币种、合同总价</w:t>
      </w:r>
    </w:p>
    <w:p w14:paraId="621B1092">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本合同总金额（中标金额）为</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＿，合同总金额中包括苗木的价格、起苗、包装、运输、装卸、税费和检验检疫费、运到招标人指定的绿化工程用苗地点等一切与之相关的费用。</w:t>
      </w:r>
    </w:p>
    <w:p w14:paraId="1B45629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lang w:eastAsia="zh-CN"/>
        </w:rPr>
        <w:t>本合同正式签订后，若无重大变更，价格不再做任何调整，甲方为此项目再向乙方支付任何费用。</w:t>
      </w:r>
    </w:p>
    <w:p w14:paraId="32C8079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b/>
          <w:bCs/>
          <w:color w:val="auto"/>
          <w:highlight w:val="none"/>
          <w:lang w:eastAsia="zh-CN"/>
        </w:rPr>
      </w:pPr>
      <w:r>
        <w:rPr>
          <w:rFonts w:hint="eastAsia" w:ascii="仿宋" w:hAnsi="仿宋" w:eastAsia="仿宋" w:cs="仿宋"/>
          <w:color w:val="auto"/>
          <w:highlight w:val="none"/>
          <w:lang w:val="en-US" w:eastAsia="zh-CN"/>
        </w:rPr>
        <w:t>四</w:t>
      </w:r>
      <w:r>
        <w:rPr>
          <w:rFonts w:hint="eastAsia" w:ascii="仿宋" w:hAnsi="仿宋" w:eastAsia="仿宋" w:cs="仿宋"/>
          <w:color w:val="auto"/>
          <w:highlight w:val="none"/>
          <w:lang w:eastAsia="zh-CN"/>
        </w:rPr>
        <w:t>、付款方式</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甲乙双方签订合同后树苗到达甲方指定地点付合同总价的50%，全部树苗栽种、嫁接完成，验收合格后付剩余50%。（具体以签订合同为准）；</w:t>
      </w:r>
    </w:p>
    <w:p w14:paraId="3CF808F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五</w:t>
      </w:r>
      <w:r>
        <w:rPr>
          <w:rFonts w:hint="eastAsia" w:ascii="仿宋" w:hAnsi="仿宋" w:eastAsia="仿宋" w:cs="仿宋"/>
          <w:color w:val="auto"/>
          <w:highlight w:val="none"/>
          <w:lang w:eastAsia="zh-CN"/>
        </w:rPr>
        <w:t>、交货期：其他备注说明：</w:t>
      </w:r>
    </w:p>
    <w:p w14:paraId="1D7C5BCA">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1、乙方安排运输</w:t>
      </w:r>
    </w:p>
    <w:p w14:paraId="23785441">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2、乙方发货后应及时将所运苗木品种、数量电话通知甲方，以便做好接货工作。所采购苗木必须随车携带一签两证：苗木运到现场后，由买方及有关人员进行检验，买卖双方代表签章，办理交接手续。</w:t>
      </w:r>
    </w:p>
    <w:p w14:paraId="2D2A7787">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六、交货地点采购人指定地点：</w:t>
      </w:r>
    </w:p>
    <w:p w14:paraId="5A1A73CC">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lang w:eastAsia="zh-CN"/>
        </w:rPr>
        <w:t>合同供货（服务）期限及地点和方式</w:t>
      </w:r>
    </w:p>
    <w:p w14:paraId="1B89EE2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七、产品质量保证</w:t>
      </w:r>
    </w:p>
    <w:p w14:paraId="3160A46B">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1、乙方所提供的苗木品种、数量及技术、质量标准、售前售后服务必须达到乙方投标文件所确定的。</w:t>
      </w:r>
    </w:p>
    <w:p w14:paraId="4C3DA83F">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2、乙方保证提供的苗木按国家标准要求起苗、包装、运输，质量完全满足用户的要求。</w:t>
      </w:r>
    </w:p>
    <w:p w14:paraId="5656B027">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八、包装及验收</w:t>
      </w:r>
    </w:p>
    <w:p w14:paraId="03910EC9">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1、所提供苗</w:t>
      </w:r>
      <w:r>
        <w:rPr>
          <w:rFonts w:hint="eastAsia" w:ascii="仿宋" w:hAnsi="仿宋" w:eastAsia="仿宋" w:cs="仿宋"/>
          <w:color w:val="auto"/>
          <w:highlight w:val="none"/>
          <w:lang w:val="en-US" w:eastAsia="zh-CN"/>
        </w:rPr>
        <w:t>木</w:t>
      </w:r>
      <w:r>
        <w:rPr>
          <w:rFonts w:hint="eastAsia" w:ascii="仿宋" w:hAnsi="仿宋" w:eastAsia="仿宋" w:cs="仿宋"/>
          <w:color w:val="auto"/>
          <w:highlight w:val="none"/>
          <w:lang w:eastAsia="zh-CN"/>
        </w:rPr>
        <w:t>必须进行包装，免收包装费，包装物不回收。</w:t>
      </w:r>
      <w:r>
        <w:rPr>
          <w:rFonts w:hint="eastAsia" w:ascii="仿宋" w:hAnsi="仿宋" w:eastAsia="仿宋" w:cs="仿宋"/>
          <w:color w:val="auto"/>
          <w:highlight w:val="none"/>
          <w:lang w:val="en-US" w:eastAsia="zh-CN"/>
        </w:rPr>
        <w:t xml:space="preserve"> </w:t>
      </w:r>
    </w:p>
    <w:p w14:paraId="2FFEAEE7">
      <w:pPr>
        <w:keepNext w:val="0"/>
        <w:keepLines w:val="0"/>
        <w:pageBreakBefore w:val="0"/>
        <w:widowControl w:val="0"/>
        <w:kinsoku/>
        <w:wordWrap/>
        <w:overflowPunct/>
        <w:topLinePunct w:val="0"/>
        <w:autoSpaceDE/>
        <w:autoSpaceDN/>
        <w:bidi w:val="0"/>
        <w:adjustRightInd/>
        <w:snapToGrid/>
        <w:spacing w:line="460" w:lineRule="exact"/>
        <w:ind w:firstLine="486"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因包装不得当引起苗木质量下降、损坏和损失均由乙方承担。</w:t>
      </w:r>
    </w:p>
    <w:p w14:paraId="24290E85">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、验收要求及违约责任</w:t>
      </w:r>
    </w:p>
    <w:p w14:paraId="6B0FA2EF">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、违约责任及解决争议方法</w:t>
      </w:r>
    </w:p>
    <w:p w14:paraId="6FF71BA1">
      <w:pPr>
        <w:spacing w:line="42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lang w:eastAsia="zh-CN"/>
        </w:rPr>
        <w:t>、合同的生效</w:t>
      </w:r>
    </w:p>
    <w:p w14:paraId="2B85CABE">
      <w:pPr>
        <w:pStyle w:val="11"/>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合同经双方授权代表签署，买卖双方加盖印章之后生效。</w:t>
      </w:r>
    </w:p>
    <w:p w14:paraId="2428566F">
      <w:pPr>
        <w:pStyle w:val="11"/>
        <w:spacing w:after="0" w:line="42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本合同一式     份，双方各执     份。</w:t>
      </w:r>
    </w:p>
    <w:p w14:paraId="73EB0CD9">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买  方：                            卖  方：</w:t>
      </w:r>
    </w:p>
    <w:p w14:paraId="0C317D2E">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名  称：（盖章）                    名  称：（盖章）</w:t>
      </w:r>
    </w:p>
    <w:p w14:paraId="6C2D0380">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法定代表人（或委托代理人签章）：    法定代表人（或委托代理人签章）：</w:t>
      </w:r>
    </w:p>
    <w:p w14:paraId="769E3F8D">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地    址：                          地    址：</w:t>
      </w:r>
    </w:p>
    <w:p w14:paraId="45899E27">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邮政编码：                          邮政编码：</w:t>
      </w:r>
    </w:p>
    <w:p w14:paraId="26799F63">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电    话：                          电    话：</w:t>
      </w:r>
    </w:p>
    <w:p w14:paraId="3265F6C8">
      <w:pPr>
        <w:pStyle w:val="11"/>
        <w:spacing w:after="0" w:line="360" w:lineRule="exact"/>
        <w:ind w:left="0" w:leftChars="0" w:firstLine="486" w:firstLineChars="200"/>
        <w:rPr>
          <w:rFonts w:ascii="仿宋" w:hAnsi="仿宋" w:eastAsia="仿宋" w:cs="仿宋"/>
          <w:color w:val="auto"/>
          <w:highlight w:val="none"/>
          <w:u w:color="000000"/>
          <w:lang w:eastAsia="zh-CN"/>
        </w:rPr>
      </w:pPr>
      <w:r>
        <w:rPr>
          <w:rFonts w:hint="eastAsia" w:ascii="仿宋" w:hAnsi="仿宋" w:eastAsia="仿宋" w:cs="仿宋"/>
          <w:color w:val="auto"/>
          <w:highlight w:val="none"/>
          <w:u w:color="000000"/>
          <w:lang w:eastAsia="zh-CN"/>
        </w:rPr>
        <w:t>开户银行：                          开户银行：</w:t>
      </w:r>
    </w:p>
    <w:p w14:paraId="04995317">
      <w:pPr>
        <w:pStyle w:val="11"/>
        <w:spacing w:after="0" w:line="360" w:lineRule="exact"/>
        <w:ind w:left="0" w:leftChars="0" w:firstLine="486" w:firstLineChars="200"/>
        <w:rPr>
          <w:rFonts w:ascii="仿宋" w:hAnsi="仿宋" w:eastAsia="仿宋" w:cs="仿宋"/>
          <w:b/>
          <w:color w:val="auto"/>
          <w:sz w:val="30"/>
          <w:szCs w:val="30"/>
          <w:highlight w:val="none"/>
          <w:lang w:eastAsia="zh-CN"/>
        </w:rPr>
      </w:pPr>
      <w:r>
        <w:rPr>
          <w:rFonts w:hint="eastAsia" w:ascii="仿宋" w:hAnsi="仿宋" w:eastAsia="仿宋" w:cs="仿宋"/>
          <w:color w:val="auto"/>
          <w:highlight w:val="none"/>
          <w:u w:color="000000"/>
          <w:lang w:eastAsia="zh-CN"/>
        </w:rPr>
        <w:t>帐    号：                          帐    号：</w:t>
      </w:r>
    </w:p>
    <w:p w14:paraId="35DFA906">
      <w:pPr>
        <w:pStyle w:val="11"/>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14:paraId="62950742">
      <w:pPr>
        <w:pStyle w:val="11"/>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14:paraId="43059179">
      <w:pPr>
        <w:pStyle w:val="11"/>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14:paraId="0454F28B">
      <w:pPr>
        <w:pStyle w:val="11"/>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14:paraId="66916D62">
      <w:pPr>
        <w:pStyle w:val="11"/>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14:paraId="78C4ABAF">
      <w:pPr>
        <w:pStyle w:val="11"/>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14:paraId="5CF245F8">
      <w:pPr>
        <w:pStyle w:val="11"/>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14:paraId="405859BB">
      <w:pPr>
        <w:pStyle w:val="11"/>
        <w:spacing w:after="0" w:line="420" w:lineRule="exact"/>
        <w:ind w:left="0" w:leftChars="0" w:firstLine="606" w:firstLineChars="200"/>
        <w:jc w:val="center"/>
        <w:rPr>
          <w:rFonts w:hint="eastAsia" w:ascii="仿宋" w:hAnsi="仿宋" w:eastAsia="仿宋" w:cs="仿宋"/>
          <w:b/>
          <w:color w:val="auto"/>
          <w:sz w:val="30"/>
          <w:szCs w:val="30"/>
          <w:highlight w:val="none"/>
          <w:lang w:eastAsia="zh-CN"/>
        </w:rPr>
      </w:pPr>
    </w:p>
    <w:p w14:paraId="631E9B4F">
      <w:pPr>
        <w:pStyle w:val="11"/>
        <w:spacing w:after="0" w:line="420" w:lineRule="exact"/>
        <w:ind w:left="0" w:leftChars="0" w:firstLine="606" w:firstLineChars="200"/>
        <w:jc w:val="center"/>
        <w:rPr>
          <w:rFonts w:ascii="仿宋" w:hAnsi="仿宋" w:eastAsia="仿宋" w:cs="仿宋"/>
          <w:b/>
          <w:color w:val="auto"/>
          <w:sz w:val="30"/>
          <w:szCs w:val="30"/>
          <w:highlight w:val="none"/>
          <w:lang w:eastAsia="zh-CN"/>
        </w:rPr>
      </w:pPr>
      <w:r>
        <w:rPr>
          <w:rFonts w:hint="eastAsia" w:ascii="仿宋" w:hAnsi="仿宋" w:eastAsia="仿宋" w:cs="仿宋"/>
          <w:b/>
          <w:color w:val="auto"/>
          <w:sz w:val="30"/>
          <w:szCs w:val="30"/>
          <w:highlight w:val="none"/>
          <w:lang w:eastAsia="zh-CN"/>
        </w:rPr>
        <w:t>二  合同条款</w:t>
      </w:r>
      <w:bookmarkEnd w:id="47"/>
      <w:bookmarkEnd w:id="48"/>
      <w:bookmarkEnd w:id="49"/>
      <w:bookmarkEnd w:id="50"/>
      <w:bookmarkEnd w:id="51"/>
      <w:bookmarkEnd w:id="52"/>
      <w:bookmarkEnd w:id="53"/>
      <w:bookmarkEnd w:id="54"/>
      <w:bookmarkEnd w:id="55"/>
    </w:p>
    <w:p w14:paraId="7AEE3FAD">
      <w:pPr>
        <w:spacing w:line="440" w:lineRule="exact"/>
        <w:rPr>
          <w:rFonts w:ascii="仿宋" w:hAnsi="仿宋" w:eastAsia="仿宋" w:cs="仿宋"/>
          <w:b/>
          <w:color w:val="auto"/>
          <w:szCs w:val="21"/>
          <w:highlight w:val="none"/>
        </w:rPr>
      </w:pPr>
      <w:r>
        <w:rPr>
          <w:rFonts w:hint="eastAsia" w:ascii="仿宋" w:hAnsi="仿宋" w:eastAsia="仿宋" w:cs="仿宋"/>
          <w:b/>
          <w:color w:val="auto"/>
          <w:szCs w:val="21"/>
          <w:highlight w:val="none"/>
        </w:rPr>
        <w:t>一.合同文件</w:t>
      </w:r>
    </w:p>
    <w:p w14:paraId="3D362B16">
      <w:pPr>
        <w:spacing w:line="44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1、合同文件适用法律</w:t>
      </w:r>
    </w:p>
    <w:p w14:paraId="40C00885">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适用于合同文件的法律是中华人民共和国现行法律、法规及招标人所在地的地方性法规。</w:t>
      </w:r>
    </w:p>
    <w:p w14:paraId="6CB11370">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2、合同文件组成和解释顺序</w:t>
      </w:r>
    </w:p>
    <w:p w14:paraId="178A6714">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(1)合同文件的组成和解释顺序如下：</w:t>
      </w:r>
    </w:p>
    <w:p w14:paraId="4AA5515A">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&lt;1&gt;合同的主要条款；</w:t>
      </w:r>
    </w:p>
    <w:p w14:paraId="0C823D1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&lt;2&gt;合同的一般性条款；</w:t>
      </w:r>
    </w:p>
    <w:p w14:paraId="69D9F3A8">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&lt;3&gt;洽商、变更等明确双方权利义务的纪要、协议；</w:t>
      </w:r>
    </w:p>
    <w:p w14:paraId="57C59C8D">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&lt;4&gt;中标通知书、投标文件和采购文件；</w:t>
      </w:r>
    </w:p>
    <w:p w14:paraId="537D707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&lt;5&gt;有关图纸、标准、规范和其它有关技术资料、技术要求。</w:t>
      </w:r>
    </w:p>
    <w:p w14:paraId="69A194AE">
      <w:pPr>
        <w:spacing w:line="440" w:lineRule="exact"/>
        <w:ind w:firstLine="486" w:firstLineChars="200"/>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&lt;6&gt;合同的主要条款的效力优于合同的一般性条款的效力。</w:t>
      </w:r>
    </w:p>
    <w:p w14:paraId="7CA2DC8C">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3、合同文件使用文字</w:t>
      </w:r>
    </w:p>
    <w:p w14:paraId="050CABF8">
      <w:pPr>
        <w:pStyle w:val="6"/>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(1)合同文件使用中文书写、解释和说明。</w:t>
      </w:r>
    </w:p>
    <w:p w14:paraId="6EE71E20">
      <w:pPr>
        <w:pStyle w:val="6"/>
        <w:overflowPunct w:val="0"/>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(2)合同文件使用技术性条款约定的为国家标准和规范；国家没有相应标准、规范时，可使用行业标准、规范。非标货物应按约定的技术性条款的标准和规范。 </w:t>
      </w:r>
    </w:p>
    <w:p w14:paraId="22C93F67">
      <w:pPr>
        <w:spacing w:line="440" w:lineRule="exact"/>
        <w:rPr>
          <w:rFonts w:ascii="仿宋" w:hAnsi="仿宋" w:eastAsia="仿宋" w:cs="仿宋"/>
          <w:b/>
          <w:color w:val="auto"/>
          <w:szCs w:val="21"/>
          <w:highlight w:val="none"/>
          <w:lang w:eastAsia="zh-CN"/>
        </w:rPr>
      </w:pPr>
      <w:r>
        <w:rPr>
          <w:rFonts w:hint="eastAsia" w:ascii="仿宋" w:hAnsi="仿宋" w:eastAsia="仿宋" w:cs="仿宋"/>
          <w:b/>
          <w:color w:val="auto"/>
          <w:szCs w:val="21"/>
          <w:highlight w:val="none"/>
          <w:lang w:eastAsia="zh-CN"/>
        </w:rPr>
        <w:t>二.标的物的一般条款</w:t>
      </w:r>
    </w:p>
    <w:p w14:paraId="4EC961A5">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4、完整物权</w:t>
      </w:r>
    </w:p>
    <w:p w14:paraId="7015D934">
      <w:pPr>
        <w:tabs>
          <w:tab w:val="left" w:pos="660"/>
        </w:tabs>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 xml:space="preserve">    对于出卖的标的物，卖方应当拥有完整物权，并且卖方负有保证第三人不得向买方主张任何权利（包括知识产权）的义务。</w:t>
      </w:r>
    </w:p>
    <w:p w14:paraId="45D7E862">
      <w:pPr>
        <w:spacing w:line="440" w:lineRule="exact"/>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5、质量保证</w:t>
      </w:r>
    </w:p>
    <w:p w14:paraId="46BE163B">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14:paraId="198F258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14:paraId="3F379E35">
      <w:pPr>
        <w:pStyle w:val="6"/>
        <w:tabs>
          <w:tab w:val="left" w:pos="900"/>
        </w:tabs>
        <w:overflowPunct w:val="0"/>
        <w:spacing w:line="440" w:lineRule="exact"/>
        <w:rPr>
          <w:rFonts w:cs="宋体"/>
          <w:color w:val="auto"/>
          <w:sz w:val="21"/>
          <w:szCs w:val="21"/>
          <w:highlight w:val="none"/>
          <w:u w:color="000000"/>
          <w:lang w:eastAsia="zh-CN"/>
        </w:rPr>
      </w:pPr>
      <w:r>
        <w:rPr>
          <w:rFonts w:hint="eastAsia" w:ascii="仿宋" w:hAnsi="仿宋" w:eastAsia="仿宋" w:cs="仿宋"/>
          <w:color w:val="auto"/>
          <w:szCs w:val="24"/>
          <w:highlight w:val="none"/>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cs="宋体"/>
          <w:color w:val="auto"/>
          <w:sz w:val="21"/>
          <w:szCs w:val="21"/>
          <w:highlight w:val="none"/>
          <w:u w:color="000000"/>
          <w:lang w:eastAsia="zh-CN"/>
        </w:rPr>
        <w:t>外）。</w:t>
      </w:r>
    </w:p>
    <w:p w14:paraId="4CD17A13">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6、包装</w:t>
      </w:r>
    </w:p>
    <w:p w14:paraId="30303F11">
      <w:pPr>
        <w:pStyle w:val="6"/>
        <w:tabs>
          <w:tab w:val="left" w:pos="900"/>
        </w:tabs>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14:paraId="0D90100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7、伴随服务</w:t>
      </w:r>
    </w:p>
    <w:p w14:paraId="04218FE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(1)卖方除应履行按期按量交付合格标的物的义务之外，还应提供下列服务：</w:t>
      </w:r>
    </w:p>
    <w:p w14:paraId="0ECE6ADE">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&lt;1&gt;标的物的现场安装或指导安装、启动、调试、监督（如果必须安装、调试的话）；</w:t>
      </w:r>
    </w:p>
    <w:p w14:paraId="42E33A1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&lt;2&gt;提供标的物组装和一般维修所必须的工具；</w:t>
      </w:r>
    </w:p>
    <w:p w14:paraId="7A8C1E55">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&lt;3&gt;在合同规定的期限内对所提供标的物实行运行监督、维修服务的前提条件是该服务并不能免除卖方在质量保证期内所承担的义务；</w:t>
      </w:r>
    </w:p>
    <w:p w14:paraId="3F5749DB">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&lt;4&gt;对买方技术人员的技术指导或培训。</w:t>
      </w:r>
    </w:p>
    <w:p w14:paraId="4E04DEE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(2)除合同另有规定之外，伴随服务的费用均已含在合同价款中，买方不再另行进行支付。</w:t>
      </w:r>
    </w:p>
    <w:p w14:paraId="1473370D">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三.标的物的交付、检验和验收</w:t>
      </w:r>
    </w:p>
    <w:p w14:paraId="1075A3B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8、标的物的交付</w:t>
      </w:r>
    </w:p>
    <w:p w14:paraId="1989A6DF">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(1)标的物的所有权自标的物交付时转移。</w:t>
      </w:r>
    </w:p>
    <w:p w14:paraId="720AE6A0">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(2)卖方应当按照约定的期限和约定的地点交付符合采购文件要求的标的物。</w:t>
      </w:r>
    </w:p>
    <w:p w14:paraId="4D588620">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(3)卖方应当按照约定或者交易习惯向招标人交付提取标的物单证以外的有关单证和资料。</w:t>
      </w:r>
    </w:p>
    <w:p w14:paraId="2AF46F41">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9、检验和验收</w:t>
      </w:r>
    </w:p>
    <w:p w14:paraId="29B6CB01">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14:paraId="1503AD2D">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(2)买方根据合同规定的内容和验收标准进行验收，经检验无误后出具验收合格证明，该证明作为最终付款所需文件的组成部分。</w:t>
      </w:r>
    </w:p>
    <w:p w14:paraId="057875C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(3)验收期限自标的物交付之日起三十天内。特殊情况需延长的，双方应在合同条款中约定。</w:t>
      </w:r>
    </w:p>
    <w:p w14:paraId="24D623AA">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四.对标的物提出异议的时间和办法</w:t>
      </w:r>
    </w:p>
    <w:p w14:paraId="11B38F9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10、对标的物提出异议的时间和办法 </w:t>
      </w:r>
    </w:p>
    <w:p w14:paraId="4B4818FA">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(1)买方在验收过程中，应当于双方约定的检验期间内将标的物的数量或质量不符合约定的情形及处理方式以书面形式通知卖方。</w:t>
      </w:r>
    </w:p>
    <w:p w14:paraId="34F7493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(2)如买方在验收期满后既不出具验收合格证明又未提出书面异议的视为卖方所交标的物符合合同规定。</w:t>
      </w:r>
    </w:p>
    <w:p w14:paraId="72AFF85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(3)卖方应在收到买方书面异议后七天内负责处理问题，否则将视为默认买方提出的异议和处理意见。</w:t>
      </w:r>
    </w:p>
    <w:p w14:paraId="73500381">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五.合同价款和支付</w:t>
      </w:r>
    </w:p>
    <w:p w14:paraId="0D431D3E">
      <w:pPr>
        <w:spacing w:line="440" w:lineRule="exact"/>
        <w:rPr>
          <w:rFonts w:ascii="仿宋" w:hAnsi="仿宋" w:eastAsia="仿宋" w:cs="仿宋"/>
          <w:color w:val="auto"/>
          <w:highlight w:val="none"/>
        </w:rPr>
      </w:pPr>
      <w:r>
        <w:rPr>
          <w:rFonts w:hint="eastAsia" w:ascii="仿宋" w:hAnsi="仿宋" w:eastAsia="仿宋" w:cs="仿宋"/>
          <w:color w:val="auto"/>
          <w:highlight w:val="none"/>
        </w:rPr>
        <w:t>11、合同价款和支付</w:t>
      </w:r>
    </w:p>
    <w:p w14:paraId="7064933E">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(1)本合同的结算货币为人民币，单位元。</w:t>
      </w:r>
    </w:p>
    <w:p w14:paraId="2021DBE4">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(2)卖方应按照双方签订的合同规定交货并在合同主要条款规定的期限内持下列单据结算货款：</w:t>
      </w:r>
    </w:p>
    <w:p w14:paraId="0059283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&lt;1&gt;合格的销售发票；</w:t>
      </w:r>
    </w:p>
    <w:p w14:paraId="2C376BDE">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&lt;2&gt;买方盖章签收后的送货回单和验收合格证明。</w:t>
      </w:r>
    </w:p>
    <w:p w14:paraId="16DB4B0A">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(3)买方应按合同主要条款规定的期限和方式付款。</w:t>
      </w:r>
    </w:p>
    <w:p w14:paraId="265D75D7">
      <w:pPr>
        <w:pStyle w:val="6"/>
        <w:tabs>
          <w:tab w:val="left" w:pos="54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(4)根据现行税法对买方征收的与本合同有关的一切税费均由买方承担；根据现行税法对卖方征收的与本合同有关的一切税费均由卖方承担。</w:t>
      </w:r>
    </w:p>
    <w:p w14:paraId="52863B38">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六.违约责任</w:t>
      </w:r>
    </w:p>
    <w:p w14:paraId="375E9FC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12、违约责任</w:t>
      </w:r>
    </w:p>
    <w:p w14:paraId="39F49B6C">
      <w:pPr>
        <w:pStyle w:val="6"/>
        <w:spacing w:line="440" w:lineRule="exact"/>
        <w:ind w:firstLine="486" w:firstLineChars="20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合同一方不履行合同义务或者履行合同义务不符合约定的，应当承担继续履行、采取补救措施或者赔偿损失等违约责任。</w:t>
      </w:r>
    </w:p>
    <w:p w14:paraId="1B90060A">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13、买方违约责任</w:t>
      </w:r>
    </w:p>
    <w:p w14:paraId="162BE46A">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(1)在合同生效后，买方要求退货的，应向卖方偿付合同总价款的5%，作为违约金，违约金不足以补偿损失的，卖方有权要求甲方补足。</w:t>
      </w:r>
    </w:p>
    <w:p w14:paraId="3EFAC1FB">
      <w:pPr>
        <w:pStyle w:val="6"/>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(2)买方逾期付款的应按照逾期付款金额的每天万分之四支付逾期付款违约金。</w:t>
      </w:r>
    </w:p>
    <w:p w14:paraId="4354DCC9">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(3)买方违反合同规定，拒绝接收卖方交付的符合采购文件要求的合格标的物，应当承担卖方由此造成的损失。</w:t>
      </w:r>
    </w:p>
    <w:p w14:paraId="6117B3D0">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14、卖方违约责任</w:t>
      </w:r>
    </w:p>
    <w:p w14:paraId="6C65034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(1)卖方不能交货（逾期超过五天视为不能交货），或交货不合格从而影响买方按期正常使用的，应向买方偿付合同总价款5%的违约金，违约金不足以补偿损失的，买方有权要求卖方补足。</w:t>
      </w:r>
    </w:p>
    <w:p w14:paraId="35AC48BE">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14:paraId="299E4F4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15、不可抗力</w:t>
      </w:r>
    </w:p>
    <w:p w14:paraId="66603948">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(1)因水灾、火灾、地震、战争等不可抗力不能履行合同的，根据不可抗力的影响，部分或者全部免除责任。但合同一方迟延履行后发生不可抗力的，不能免除责任。</w:t>
      </w:r>
    </w:p>
    <w:p w14:paraId="3302399A">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(2)合同一方因不可抗力不能履行合同的，应当及时通知对方，以减轻可能给对方造成的损失，并应当在合理期限内提供证明。</w:t>
      </w:r>
    </w:p>
    <w:p w14:paraId="01D63BEB">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七.索赔</w:t>
      </w:r>
    </w:p>
    <w:p w14:paraId="64234EBD">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16、索赔</w:t>
      </w:r>
    </w:p>
    <w:p w14:paraId="1EAA1A1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(1)买方有权根据当地产品质量检验机构或其它有权威部门出具的检验证书向卖方提出索赔。</w:t>
      </w:r>
    </w:p>
    <w:p w14:paraId="0ED7775F">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(2)在本合同规定的检验期和质量保证期内，如果卖方对买方提出的索赔或差异有责任，则卖方应按买方同意的下列一种或多种方式解决索赔事宜：</w:t>
      </w:r>
    </w:p>
    <w:p w14:paraId="02626D2E">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14:paraId="7FBE5268">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&lt;2&gt;根据标的物的低劣程度、损坏程度以及甲方遭受损失的数额，经双方协商确定降低标的物的价格；</w:t>
      </w:r>
    </w:p>
    <w:p w14:paraId="2D3B673B">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14:paraId="651AEA36">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14:paraId="5D8D5B45">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(4)买方提出索赔的书面材料应报当地政府采购管理部门备案。卖方同意的索赔方案应报当地政府采购管理部门审核。</w:t>
      </w:r>
    </w:p>
    <w:p w14:paraId="3D6D7E47">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八.履约保证金</w:t>
      </w:r>
    </w:p>
    <w:p w14:paraId="74613D8B">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17、履约保证金</w:t>
      </w:r>
    </w:p>
    <w:p w14:paraId="0C3424D7">
      <w:pPr>
        <w:pStyle w:val="6"/>
        <w:overflowPunct w:val="0"/>
        <w:spacing w:line="440" w:lineRule="exact"/>
        <w:ind w:firstLine="607" w:firstLineChars="25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(1)卖方应在本合同签订时，按采购文件的约定提供相应的履约保证金，保证金的有效期应不低于合同有效期。</w:t>
      </w:r>
    </w:p>
    <w:p w14:paraId="09135A52">
      <w:pPr>
        <w:pStyle w:val="6"/>
        <w:overflowPunct w:val="0"/>
        <w:spacing w:line="440" w:lineRule="exact"/>
        <w:ind w:right="-386" w:rightChars="-159"/>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(2)如果卖方未能履行合同规定的任何义务，买方有权从履约保证金中取得补偿。</w:t>
      </w:r>
    </w:p>
    <w:p w14:paraId="1333E294">
      <w:pPr>
        <w:pStyle w:val="6"/>
        <w:overflowPunct w:val="0"/>
        <w:spacing w:line="440" w:lineRule="exact"/>
        <w:ind w:right="-1010" w:rightChars="-416"/>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(3)履约保证金（无息）将在卖方履行完合同义务，买方支付合同价款的五天内</w:t>
      </w:r>
    </w:p>
    <w:p w14:paraId="7D4B0E60">
      <w:pPr>
        <w:pStyle w:val="6"/>
        <w:overflowPunct w:val="0"/>
        <w:spacing w:line="440" w:lineRule="exact"/>
        <w:ind w:right="-1010" w:rightChars="-416" w:firstLine="0"/>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退回。</w:t>
      </w:r>
    </w:p>
    <w:p w14:paraId="2EDCA35B">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九.合同的解除和转让</w:t>
      </w:r>
    </w:p>
    <w:p w14:paraId="462AD307">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18、合同的解除</w:t>
      </w:r>
    </w:p>
    <w:p w14:paraId="3F72E9A5">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(1)买方和卖方协商一致，可以解除合同。</w:t>
      </w:r>
    </w:p>
    <w:p w14:paraId="4042C9AD">
      <w:pPr>
        <w:pStyle w:val="6"/>
        <w:spacing w:line="440" w:lineRule="exact"/>
        <w:rPr>
          <w:rFonts w:ascii="仿宋" w:hAnsi="仿宋" w:eastAsia="仿宋" w:cs="仿宋"/>
          <w:color w:val="auto"/>
          <w:szCs w:val="24"/>
          <w:highlight w:val="none"/>
          <w:u w:color="000000"/>
        </w:rPr>
      </w:pPr>
      <w:r>
        <w:rPr>
          <w:rFonts w:hint="eastAsia" w:ascii="仿宋" w:hAnsi="仿宋" w:eastAsia="仿宋" w:cs="仿宋"/>
          <w:color w:val="auto"/>
          <w:szCs w:val="24"/>
          <w:highlight w:val="none"/>
          <w:u w:color="000000"/>
        </w:rPr>
        <w:t>(2)有下列情形之一，合同一方可以解除合同：</w:t>
      </w:r>
    </w:p>
    <w:p w14:paraId="5F032C4F">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&lt;1&gt;因不可抗力致使不能实现合同目的，未受不可抗力影响的一方有权解除合同；</w:t>
      </w:r>
    </w:p>
    <w:p w14:paraId="4C3F90F3">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&lt;2&gt;因合同一方违约导致合同不能履行，另一方有权解除合同。</w:t>
      </w:r>
    </w:p>
    <w:p w14:paraId="44EF6E36">
      <w:pPr>
        <w:pStyle w:val="6"/>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(3)有权解除合同的一方，应当在违约事实或不可抗力发生之后三十天内书面通知对方以主张解除合同，合同在书面通知到达对方时解除。</w:t>
      </w:r>
    </w:p>
    <w:p w14:paraId="01EE6386">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19、合同的转让</w:t>
      </w:r>
    </w:p>
    <w:p w14:paraId="4718FEEF">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合同的部分和全部都不得转让。</w:t>
      </w:r>
    </w:p>
    <w:p w14:paraId="4D439256">
      <w:pPr>
        <w:spacing w:line="440" w:lineRule="exact"/>
        <w:rPr>
          <w:rFonts w:ascii="仿宋" w:hAnsi="仿宋" w:eastAsia="仿宋" w:cs="仿宋"/>
          <w:b/>
          <w:color w:val="auto"/>
          <w:highlight w:val="none"/>
        </w:rPr>
      </w:pPr>
      <w:r>
        <w:rPr>
          <w:rFonts w:hint="eastAsia" w:ascii="仿宋" w:hAnsi="仿宋" w:eastAsia="仿宋" w:cs="仿宋"/>
          <w:b/>
          <w:color w:val="auto"/>
          <w:highlight w:val="none"/>
        </w:rPr>
        <w:t>十.合同的生效</w:t>
      </w:r>
    </w:p>
    <w:p w14:paraId="3824D645">
      <w:pPr>
        <w:spacing w:line="440" w:lineRule="exact"/>
        <w:rPr>
          <w:rFonts w:ascii="仿宋" w:hAnsi="仿宋" w:eastAsia="仿宋" w:cs="仿宋"/>
          <w:color w:val="auto"/>
          <w:highlight w:val="none"/>
        </w:rPr>
      </w:pPr>
      <w:r>
        <w:rPr>
          <w:rFonts w:hint="eastAsia" w:ascii="仿宋" w:hAnsi="仿宋" w:eastAsia="仿宋" w:cs="仿宋"/>
          <w:color w:val="auto"/>
          <w:highlight w:val="none"/>
        </w:rPr>
        <w:t>20</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合同的生效</w:t>
      </w:r>
    </w:p>
    <w:p w14:paraId="4423781D">
      <w:pPr>
        <w:spacing w:line="440" w:lineRule="exact"/>
        <w:ind w:firstLine="486" w:firstLineChars="200"/>
        <w:rPr>
          <w:rFonts w:ascii="仿宋" w:hAnsi="仿宋" w:eastAsia="仿宋" w:cs="仿宋"/>
          <w:color w:val="auto"/>
          <w:highlight w:val="none"/>
          <w:lang w:eastAsia="zh-CN"/>
        </w:rPr>
      </w:pPr>
      <w:r>
        <w:rPr>
          <w:rFonts w:hint="eastAsia" w:ascii="仿宋" w:hAnsi="仿宋" w:eastAsia="仿宋" w:cs="仿宋"/>
          <w:color w:val="auto"/>
          <w:highlight w:val="none"/>
          <w:lang w:eastAsia="zh-CN"/>
        </w:rPr>
        <w:t>本合同在双方签字盖章并在招标人收到中标人提交的履约保证金后，经招标采购管理部门备案后生效。</w:t>
      </w:r>
    </w:p>
    <w:p w14:paraId="304752E4">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十一. 争议解决</w:t>
      </w:r>
    </w:p>
    <w:p w14:paraId="5319A924">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21、争议解决</w:t>
      </w:r>
    </w:p>
    <w:p w14:paraId="02B4147C">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 xml:space="preserve"> 买卖双方因合同发生争议，进行调解，协商不成，可选择：</w:t>
      </w:r>
    </w:p>
    <w:p w14:paraId="397BF001">
      <w:pPr>
        <w:pStyle w:val="6"/>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(1)双方同时申请仲裁；</w:t>
      </w:r>
    </w:p>
    <w:p w14:paraId="6FC4F616">
      <w:pPr>
        <w:pStyle w:val="6"/>
        <w:tabs>
          <w:tab w:val="left" w:pos="900"/>
        </w:tabs>
        <w:overflowPunct w:val="0"/>
        <w:spacing w:line="440" w:lineRule="exact"/>
        <w:rPr>
          <w:rFonts w:ascii="仿宋" w:hAnsi="仿宋" w:eastAsia="仿宋" w:cs="仿宋"/>
          <w:color w:val="auto"/>
          <w:szCs w:val="24"/>
          <w:highlight w:val="none"/>
          <w:u w:color="000000"/>
          <w:lang w:eastAsia="zh-CN"/>
        </w:rPr>
      </w:pPr>
      <w:r>
        <w:rPr>
          <w:rFonts w:hint="eastAsia" w:ascii="仿宋" w:hAnsi="仿宋" w:eastAsia="仿宋" w:cs="仿宋"/>
          <w:color w:val="auto"/>
          <w:szCs w:val="24"/>
          <w:highlight w:val="none"/>
          <w:u w:color="000000"/>
          <w:lang w:eastAsia="zh-CN"/>
        </w:rPr>
        <w:t>(2)向买方所在地人民法院提起诉讼。</w:t>
      </w:r>
    </w:p>
    <w:p w14:paraId="75AC8225">
      <w:pPr>
        <w:spacing w:line="440" w:lineRule="exact"/>
        <w:rPr>
          <w:rFonts w:ascii="仿宋" w:hAnsi="仿宋" w:eastAsia="仿宋" w:cs="仿宋"/>
          <w:b/>
          <w:color w:val="auto"/>
          <w:highlight w:val="none"/>
          <w:lang w:eastAsia="zh-CN"/>
        </w:rPr>
      </w:pPr>
      <w:r>
        <w:rPr>
          <w:rFonts w:hint="eastAsia" w:ascii="仿宋" w:hAnsi="仿宋" w:eastAsia="仿宋" w:cs="仿宋"/>
          <w:b/>
          <w:color w:val="auto"/>
          <w:highlight w:val="none"/>
          <w:lang w:eastAsia="zh-CN"/>
        </w:rPr>
        <w:t>十二 .附则</w:t>
      </w:r>
    </w:p>
    <w:p w14:paraId="043BD4F0">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22、合同份数。</w:t>
      </w:r>
    </w:p>
    <w:p w14:paraId="0A3B5AD2">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color w:val="auto"/>
          <w:highlight w:val="none"/>
          <w:lang w:eastAsia="zh-CN"/>
        </w:rPr>
        <w:tab/>
      </w:r>
      <w:r>
        <w:rPr>
          <w:rFonts w:hint="eastAsia" w:ascii="仿宋" w:hAnsi="仿宋" w:eastAsia="仿宋" w:cs="仿宋"/>
          <w:color w:val="auto"/>
          <w:highlight w:val="none"/>
          <w:lang w:eastAsia="zh-CN"/>
        </w:rPr>
        <w:t xml:space="preserve"> 本合同一式陆份，买卖双方各执二份，招标代理机构一份，招标采购管理部门一份。</w:t>
      </w:r>
    </w:p>
    <w:p w14:paraId="07C49A1B">
      <w:pPr>
        <w:spacing w:line="440" w:lineRule="exact"/>
        <w:ind w:firstLine="243" w:firstLineChars="100"/>
        <w:rPr>
          <w:rFonts w:ascii="仿宋" w:hAnsi="仿宋" w:eastAsia="仿宋" w:cs="仿宋"/>
          <w:color w:val="auto"/>
          <w:highlight w:val="none"/>
          <w:lang w:eastAsia="zh-CN"/>
        </w:rPr>
      </w:pPr>
      <w:r>
        <w:rPr>
          <w:rFonts w:hint="eastAsia" w:ascii="仿宋" w:hAnsi="仿宋" w:eastAsia="仿宋" w:cs="仿宋"/>
          <w:color w:val="auto"/>
          <w:highlight w:val="none"/>
          <w:lang w:eastAsia="zh-CN"/>
        </w:rPr>
        <w:t>23、未尽事宜</w:t>
      </w:r>
    </w:p>
    <w:p w14:paraId="24252366">
      <w:pPr>
        <w:spacing w:line="440" w:lineRule="exact"/>
        <w:ind w:firstLine="607" w:firstLineChars="250"/>
        <w:rPr>
          <w:rFonts w:ascii="宋体" w:cs="宋体"/>
          <w:color w:val="auto"/>
          <w:szCs w:val="21"/>
          <w:highlight w:val="none"/>
          <w:lang w:eastAsia="zh-CN"/>
        </w:rPr>
      </w:pPr>
      <w:r>
        <w:rPr>
          <w:rFonts w:hint="eastAsia" w:ascii="仿宋" w:hAnsi="仿宋" w:eastAsia="仿宋" w:cs="仿宋"/>
          <w:color w:val="auto"/>
          <w:highlight w:val="none"/>
          <w:lang w:eastAsia="zh-CN"/>
        </w:rPr>
        <w:t>本合同未尽事宜应按《中华人民共和国政府采购法》、《中华人民共和国合同法》、《中华人民共和国产品质量法》之规定解释。</w:t>
      </w:r>
    </w:p>
    <w:p w14:paraId="36169E6C">
      <w:pPr>
        <w:pStyle w:val="19"/>
        <w:keepNext w:val="0"/>
        <w:keepLines w:val="0"/>
        <w:pageBreakBefore w:val="0"/>
        <w:kinsoku/>
        <w:wordWrap/>
        <w:topLinePunct w:val="0"/>
        <w:autoSpaceDE/>
        <w:autoSpaceDN/>
        <w:bidi w:val="0"/>
        <w:adjustRightInd/>
        <w:spacing w:line="240" w:lineRule="auto"/>
        <w:textAlignment w:val="auto"/>
        <w:rPr>
          <w:rFonts w:hint="eastAsia" w:ascii="仿宋" w:hAnsi="仿宋" w:eastAsia="仿宋" w:cs="仿宋"/>
          <w:b w:val="0"/>
          <w:bCs w:val="0"/>
          <w:color w:val="auto"/>
          <w:sz w:val="24"/>
          <w:szCs w:val="24"/>
        </w:rPr>
      </w:pPr>
    </w:p>
    <w:p w14:paraId="0CBDA4A1">
      <w:pPr>
        <w:pStyle w:val="9"/>
        <w:numPr>
          <w:ilvl w:val="0"/>
          <w:numId w:val="0"/>
        </w:numPr>
        <w:rPr>
          <w:rFonts w:ascii="仿宋" w:hAnsi="仿宋" w:eastAsia="仿宋" w:cs="仿宋"/>
          <w:color w:val="auto"/>
          <w:sz w:val="24"/>
          <w:lang w:eastAsia="zh-CN"/>
        </w:rPr>
      </w:pPr>
    </w:p>
    <w:p w14:paraId="5665D032">
      <w:pPr>
        <w:rPr>
          <w:rFonts w:ascii="仿宋" w:hAnsi="仿宋" w:eastAsia="仿宋" w:cs="仿宋"/>
          <w:b/>
          <w:bCs/>
          <w:color w:val="auto"/>
          <w:lang w:eastAsia="zh-CN"/>
        </w:rPr>
      </w:pPr>
    </w:p>
    <w:p w14:paraId="140B89E7">
      <w:pPr>
        <w:rPr>
          <w:rFonts w:ascii="仿宋" w:hAnsi="仿宋" w:eastAsia="仿宋" w:cs="仿宋"/>
          <w:color w:val="auto"/>
          <w:lang w:eastAsia="zh-CN"/>
        </w:rPr>
      </w:pPr>
    </w:p>
    <w:p w14:paraId="4ECAF631">
      <w:pPr>
        <w:pStyle w:val="34"/>
        <w:keepNext/>
        <w:keepLines/>
        <w:spacing w:before="0" w:after="1160"/>
        <w:rPr>
          <w:rFonts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六</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投标文件格式</w:t>
      </w:r>
    </w:p>
    <w:p w14:paraId="6C5F8CEA">
      <w:pPr>
        <w:adjustRightInd w:val="0"/>
        <w:snapToGrid w:val="0"/>
        <w:spacing w:line="360" w:lineRule="auto"/>
        <w:ind w:left="602" w:right="70" w:hanging="602"/>
        <w:jc w:val="right"/>
        <w:rPr>
          <w:rFonts w:ascii="仿宋" w:hAnsi="仿宋" w:eastAsia="仿宋" w:cs="仿宋"/>
          <w:b/>
          <w:bCs/>
          <w:color w:val="auto"/>
          <w:sz w:val="28"/>
          <w:szCs w:val="28"/>
          <w:bdr w:val="single" w:color="auto" w:sz="4" w:space="0"/>
          <w:lang w:eastAsia="zh-CN"/>
        </w:rPr>
      </w:pPr>
      <w:bookmarkStart w:id="56" w:name="bookmark196"/>
      <w:r>
        <w:rPr>
          <w:rFonts w:hint="eastAsia" w:ascii="仿宋" w:hAnsi="仿宋" w:eastAsia="仿宋" w:cs="仿宋"/>
          <w:b/>
          <w:bCs/>
          <w:color w:val="auto"/>
          <w:sz w:val="28"/>
          <w:szCs w:val="28"/>
          <w:bdr w:val="single" w:color="auto" w:sz="4" w:space="0"/>
          <w:lang w:eastAsia="zh-CN"/>
        </w:rPr>
        <w:t>正/副 本</w:t>
      </w:r>
    </w:p>
    <w:p w14:paraId="4F55B73C">
      <w:pPr>
        <w:adjustRightInd w:val="0"/>
        <w:snapToGrid w:val="0"/>
        <w:spacing w:line="360" w:lineRule="auto"/>
        <w:jc w:val="center"/>
        <w:rPr>
          <w:rFonts w:ascii="仿宋" w:hAnsi="仿宋" w:eastAsia="仿宋" w:cs="仿宋"/>
          <w:b/>
          <w:caps/>
          <w:color w:val="auto"/>
          <w:lang w:eastAsia="zh-CN"/>
        </w:rPr>
      </w:pPr>
    </w:p>
    <w:p w14:paraId="20137DBD">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14:paraId="09E218A8">
      <w:pPr>
        <w:adjustRightInd w:val="0"/>
        <w:snapToGrid w:val="0"/>
        <w:spacing w:line="360" w:lineRule="auto"/>
        <w:jc w:val="both"/>
        <w:rPr>
          <w:rFonts w:ascii="仿宋" w:hAnsi="仿宋" w:eastAsia="仿宋" w:cs="仿宋"/>
          <w:bCs/>
          <w:color w:val="auto"/>
          <w:sz w:val="32"/>
          <w:szCs w:val="32"/>
          <w:lang w:eastAsia="zh-CN"/>
        </w:rPr>
      </w:pPr>
    </w:p>
    <w:p w14:paraId="151A3584">
      <w:pPr>
        <w:adjustRightInd w:val="0"/>
        <w:snapToGrid w:val="0"/>
        <w:spacing w:line="360" w:lineRule="auto"/>
        <w:jc w:val="center"/>
        <w:rPr>
          <w:rFonts w:ascii="仿宋" w:hAnsi="仿宋" w:eastAsia="仿宋" w:cs="仿宋"/>
          <w:bCs/>
          <w:color w:val="auto"/>
          <w:sz w:val="32"/>
          <w:szCs w:val="32"/>
          <w:lang w:eastAsia="zh-CN"/>
        </w:rPr>
      </w:pPr>
    </w:p>
    <w:p w14:paraId="61055A9F">
      <w:pPr>
        <w:adjustRightInd w:val="0"/>
        <w:snapToGrid w:val="0"/>
        <w:spacing w:line="360" w:lineRule="auto"/>
        <w:jc w:val="center"/>
        <w:rPr>
          <w:rFonts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14:paraId="1D69C686">
      <w:pPr>
        <w:adjustRightInd w:val="0"/>
        <w:snapToGrid w:val="0"/>
        <w:spacing w:line="360" w:lineRule="auto"/>
        <w:jc w:val="center"/>
        <w:rPr>
          <w:rFonts w:ascii="仿宋" w:hAnsi="仿宋" w:eastAsia="仿宋" w:cs="仿宋"/>
          <w:bCs/>
          <w:color w:val="auto"/>
          <w:sz w:val="32"/>
          <w:szCs w:val="32"/>
          <w:lang w:eastAsia="zh-CN"/>
        </w:rPr>
      </w:pPr>
    </w:p>
    <w:p w14:paraId="0C0D73D3">
      <w:pPr>
        <w:adjustRightInd w:val="0"/>
        <w:snapToGrid w:val="0"/>
        <w:spacing w:line="360" w:lineRule="auto"/>
        <w:jc w:val="both"/>
        <w:rPr>
          <w:rFonts w:ascii="仿宋" w:hAnsi="仿宋" w:eastAsia="仿宋" w:cs="仿宋"/>
          <w:bCs/>
          <w:color w:val="auto"/>
          <w:sz w:val="32"/>
          <w:szCs w:val="32"/>
          <w:lang w:eastAsia="zh-CN"/>
        </w:rPr>
      </w:pPr>
    </w:p>
    <w:p w14:paraId="73F73037">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1470909418"/>
          <w:lang w:eastAsia="zh-CN"/>
        </w:rPr>
        <w:t>供应商名称（公章）：</w:t>
      </w:r>
    </w:p>
    <w:p w14:paraId="67039877">
      <w:pPr>
        <w:adjustRightInd w:val="0"/>
        <w:snapToGrid w:val="0"/>
        <w:spacing w:line="360" w:lineRule="auto"/>
        <w:ind w:right="-155" w:rightChars="-64"/>
        <w:rPr>
          <w:rFonts w:ascii="仿宋" w:hAnsi="仿宋" w:eastAsia="仿宋" w:cs="仿宋"/>
          <w:b/>
          <w:caps/>
          <w:color w:val="auto"/>
          <w:sz w:val="28"/>
          <w:szCs w:val="28"/>
          <w:lang w:eastAsia="zh-CN"/>
        </w:rPr>
      </w:pPr>
    </w:p>
    <w:p w14:paraId="39E8CFDD">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1"/>
          <w:lang w:eastAsia="zh-CN"/>
        </w:rPr>
        <w:t>法定代表人（签章或盖章）</w:t>
      </w:r>
      <w:r>
        <w:rPr>
          <w:rFonts w:hint="eastAsia" w:ascii="仿宋" w:hAnsi="仿宋" w:eastAsia="仿宋" w:cs="仿宋"/>
          <w:b/>
          <w:caps/>
          <w:color w:val="auto"/>
          <w:spacing w:val="-1"/>
          <w:w w:val="77"/>
          <w:kern w:val="0"/>
          <w:sz w:val="28"/>
          <w:szCs w:val="28"/>
          <w:fitText w:val="2810" w:id="1"/>
          <w:lang w:eastAsia="zh-CN"/>
        </w:rPr>
        <w:t>：</w:t>
      </w:r>
    </w:p>
    <w:p w14:paraId="79F11E76">
      <w:pPr>
        <w:adjustRightInd w:val="0"/>
        <w:snapToGrid w:val="0"/>
        <w:spacing w:line="360" w:lineRule="auto"/>
        <w:ind w:right="-155" w:rightChars="-64"/>
        <w:rPr>
          <w:rFonts w:ascii="仿宋" w:hAnsi="仿宋" w:eastAsia="仿宋" w:cs="仿宋"/>
          <w:b/>
          <w:caps/>
          <w:color w:val="auto"/>
          <w:sz w:val="28"/>
          <w:szCs w:val="28"/>
          <w:lang w:eastAsia="zh-CN"/>
        </w:rPr>
      </w:pPr>
    </w:p>
    <w:p w14:paraId="6C04DBCE">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2"/>
          <w:lang w:eastAsia="zh-CN"/>
        </w:rPr>
        <w:t>供应商地址</w:t>
      </w:r>
      <w:r>
        <w:rPr>
          <w:rFonts w:hint="eastAsia" w:ascii="仿宋" w:hAnsi="仿宋" w:eastAsia="仿宋" w:cs="仿宋"/>
          <w:b/>
          <w:caps/>
          <w:color w:val="auto"/>
          <w:spacing w:val="0"/>
          <w:kern w:val="0"/>
          <w:sz w:val="28"/>
          <w:szCs w:val="28"/>
          <w:fitText w:val="2810" w:id="2"/>
          <w:lang w:eastAsia="zh-CN"/>
        </w:rPr>
        <w:t>：</w:t>
      </w:r>
    </w:p>
    <w:p w14:paraId="5E35CFED">
      <w:pPr>
        <w:adjustRightInd w:val="0"/>
        <w:snapToGrid w:val="0"/>
        <w:spacing w:line="360" w:lineRule="auto"/>
        <w:ind w:right="-155" w:rightChars="-64"/>
        <w:rPr>
          <w:rFonts w:ascii="仿宋" w:hAnsi="仿宋" w:eastAsia="仿宋" w:cs="仿宋"/>
          <w:b/>
          <w:caps/>
          <w:color w:val="auto"/>
          <w:sz w:val="28"/>
          <w:szCs w:val="28"/>
          <w:lang w:eastAsia="zh-CN"/>
        </w:rPr>
      </w:pPr>
    </w:p>
    <w:p w14:paraId="434B5FB0">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3"/>
          <w:lang w:eastAsia="zh-CN"/>
        </w:rPr>
        <w:t>联系人</w:t>
      </w:r>
      <w:r>
        <w:rPr>
          <w:rFonts w:hint="eastAsia" w:ascii="仿宋" w:hAnsi="仿宋" w:eastAsia="仿宋" w:cs="仿宋"/>
          <w:b/>
          <w:caps/>
          <w:color w:val="auto"/>
          <w:spacing w:val="2"/>
          <w:kern w:val="0"/>
          <w:sz w:val="28"/>
          <w:szCs w:val="28"/>
          <w:fitText w:val="2810" w:id="3"/>
          <w:lang w:eastAsia="zh-CN"/>
        </w:rPr>
        <w:t>：</w:t>
      </w:r>
    </w:p>
    <w:p w14:paraId="3506BD8C">
      <w:pPr>
        <w:adjustRightInd w:val="0"/>
        <w:snapToGrid w:val="0"/>
        <w:spacing w:line="360" w:lineRule="auto"/>
        <w:ind w:right="-155" w:rightChars="-64"/>
        <w:rPr>
          <w:rFonts w:ascii="仿宋" w:hAnsi="仿宋" w:eastAsia="仿宋" w:cs="仿宋"/>
          <w:b/>
          <w:caps/>
          <w:color w:val="auto"/>
          <w:sz w:val="28"/>
          <w:szCs w:val="28"/>
          <w:lang w:eastAsia="zh-CN"/>
        </w:rPr>
      </w:pPr>
    </w:p>
    <w:p w14:paraId="56205B0F">
      <w:pPr>
        <w:adjustRightInd w:val="0"/>
        <w:snapToGrid w:val="0"/>
        <w:spacing w:line="360" w:lineRule="auto"/>
        <w:ind w:right="-155" w:rightChars="-64"/>
        <w:rPr>
          <w:rFonts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4"/>
          <w:lang w:eastAsia="zh-CN"/>
        </w:rPr>
        <w:t>联系电话</w:t>
      </w:r>
      <w:r>
        <w:rPr>
          <w:rFonts w:hint="eastAsia" w:ascii="仿宋" w:hAnsi="仿宋" w:eastAsia="仿宋" w:cs="仿宋"/>
          <w:b/>
          <w:caps/>
          <w:color w:val="auto"/>
          <w:spacing w:val="1"/>
          <w:kern w:val="0"/>
          <w:sz w:val="28"/>
          <w:szCs w:val="28"/>
          <w:fitText w:val="2810" w:id="4"/>
          <w:lang w:eastAsia="zh-CN"/>
        </w:rPr>
        <w:t>：</w:t>
      </w:r>
    </w:p>
    <w:p w14:paraId="6E369C9A">
      <w:pPr>
        <w:adjustRightInd w:val="0"/>
        <w:snapToGrid w:val="0"/>
        <w:spacing w:line="360" w:lineRule="auto"/>
        <w:jc w:val="center"/>
        <w:rPr>
          <w:rFonts w:ascii="仿宋" w:hAnsi="仿宋" w:eastAsia="仿宋" w:cs="仿宋"/>
          <w:b/>
          <w:caps/>
          <w:color w:val="auto"/>
          <w:sz w:val="28"/>
          <w:szCs w:val="28"/>
          <w:lang w:eastAsia="zh-CN"/>
        </w:rPr>
      </w:pPr>
    </w:p>
    <w:p w14:paraId="6DB6261A">
      <w:pPr>
        <w:adjustRightInd w:val="0"/>
        <w:snapToGrid w:val="0"/>
        <w:spacing w:line="360" w:lineRule="auto"/>
        <w:jc w:val="center"/>
        <w:rPr>
          <w:rFonts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p w14:paraId="51B48AC9">
      <w:pPr>
        <w:pStyle w:val="36"/>
        <w:spacing w:after="340" w:line="240" w:lineRule="auto"/>
        <w:ind w:firstLine="0"/>
        <w:rPr>
          <w:rFonts w:ascii="仿宋" w:hAnsi="仿宋" w:eastAsia="仿宋" w:cs="仿宋"/>
          <w:color w:val="auto"/>
        </w:rPr>
      </w:pPr>
    </w:p>
    <w:bookmarkEnd w:id="56"/>
    <w:p w14:paraId="3EF81DD6">
      <w:pPr>
        <w:pStyle w:val="4"/>
        <w:spacing w:line="240" w:lineRule="atLeast"/>
        <w:rPr>
          <w:rFonts w:ascii="仿宋" w:hAnsi="仿宋" w:eastAsia="仿宋" w:cs="仿宋"/>
          <w:bCs/>
          <w:color w:val="auto"/>
          <w:sz w:val="24"/>
          <w:lang w:eastAsia="zh-CN"/>
        </w:rPr>
      </w:pPr>
      <w:bookmarkStart w:id="57" w:name="_Toc515647803"/>
      <w:bookmarkStart w:id="58" w:name="_Toc18974"/>
      <w:bookmarkStart w:id="59" w:name="_Toc18694"/>
      <w:bookmarkStart w:id="60" w:name="_Toc8919"/>
    </w:p>
    <w:p w14:paraId="352CF780">
      <w:pPr>
        <w:pStyle w:val="4"/>
        <w:spacing w:line="240" w:lineRule="atLeast"/>
        <w:rPr>
          <w:rFonts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57"/>
      <w:bookmarkEnd w:id="58"/>
      <w:bookmarkEnd w:id="59"/>
      <w:bookmarkEnd w:id="60"/>
    </w:p>
    <w:p w14:paraId="39541EB2">
      <w:pPr>
        <w:spacing w:line="240" w:lineRule="atLeast"/>
        <w:ind w:left="717" w:hanging="716" w:hangingChars="295"/>
        <w:jc w:val="center"/>
        <w:rPr>
          <w:rFonts w:ascii="仿宋" w:hAnsi="仿宋" w:eastAsia="仿宋" w:cs="仿宋"/>
          <w:color w:val="auto"/>
          <w:lang w:eastAsia="zh-CN"/>
        </w:rPr>
      </w:pPr>
    </w:p>
    <w:p w14:paraId="768FDFAB">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1、法人或者非法人组织的营业执照等证明文件复印件（须加盖本单位章）或自然人的身份证明复印件;</w:t>
      </w:r>
    </w:p>
    <w:p w14:paraId="7400877B">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eastAsia="zh-CN"/>
        </w:rPr>
        <w:t>2、法定代表人资格证明书；</w:t>
      </w:r>
    </w:p>
    <w:p w14:paraId="42CFDD61">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3、法定代表人授权书；</w:t>
      </w:r>
    </w:p>
    <w:p w14:paraId="29A32C66">
      <w:pPr>
        <w:tabs>
          <w:tab w:val="left" w:pos="5580"/>
        </w:tabs>
        <w:spacing w:line="500" w:lineRule="atLeast"/>
        <w:ind w:left="1" w:firstLine="571" w:firstLineChars="235"/>
        <w:rPr>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、参加政府采购活动前3年内在经营活动中没有重大违法记录的书面声明;</w:t>
      </w:r>
    </w:p>
    <w:p w14:paraId="672B3798">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、投标保证金收据或投标担保函；</w:t>
      </w:r>
    </w:p>
    <w:p w14:paraId="46F2306A">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val="en-US" w:eastAsia="zh-CN"/>
        </w:rPr>
        <w:t>6</w:t>
      </w:r>
      <w:r>
        <w:rPr>
          <w:rFonts w:hint="eastAsia" w:ascii="仿宋" w:hAnsi="仿宋" w:eastAsia="仿宋" w:cs="仿宋"/>
          <w:color w:val="auto"/>
          <w:lang w:eastAsia="zh-CN"/>
        </w:rPr>
        <w:t>、投标企业须提供投标人（被授权在职人员）近6个月内任意一个月有效的社保证明；</w:t>
      </w:r>
    </w:p>
    <w:p w14:paraId="2F1CE0C7">
      <w:pPr>
        <w:tabs>
          <w:tab w:val="left" w:pos="5580"/>
        </w:tabs>
        <w:spacing w:line="500" w:lineRule="atLeast"/>
        <w:ind w:left="1" w:firstLine="571" w:firstLineChars="235"/>
        <w:rPr>
          <w:rFonts w:hint="eastAsia" w:ascii="仿宋" w:hAnsi="仿宋" w:eastAsia="仿宋" w:cs="仿宋"/>
          <w:color w:val="auto"/>
          <w:lang w:val="en-US" w:eastAsia="zh-CN"/>
        </w:rPr>
      </w:pPr>
      <w:r>
        <w:rPr>
          <w:rFonts w:hint="eastAsia" w:ascii="仿宋" w:hAnsi="仿宋" w:eastAsia="仿宋" w:cs="仿宋"/>
          <w:color w:val="auto"/>
          <w:lang w:val="en-US" w:eastAsia="zh-CN"/>
        </w:rPr>
        <w:t>7</w:t>
      </w:r>
      <w:r>
        <w:rPr>
          <w:rFonts w:hint="eastAsia" w:ascii="仿宋" w:hAnsi="仿宋" w:eastAsia="仿宋" w:cs="仿宋"/>
          <w:color w:val="auto"/>
          <w:lang w:eastAsia="zh-CN"/>
        </w:rPr>
        <w:t>、</w:t>
      </w:r>
      <w:r>
        <w:rPr>
          <w:rFonts w:hint="eastAsia" w:ascii="仿宋" w:hAnsi="仿宋" w:eastAsia="仿宋" w:cs="仿宋"/>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34A7CFAF">
      <w:pPr>
        <w:tabs>
          <w:tab w:val="left" w:pos="5580"/>
        </w:tabs>
        <w:spacing w:line="500" w:lineRule="atLeast"/>
        <w:ind w:left="1" w:firstLine="571" w:firstLineChars="235"/>
        <w:rPr>
          <w:rFonts w:ascii="仿宋" w:hAnsi="仿宋" w:eastAsia="仿宋" w:cs="仿宋"/>
          <w:color w:val="auto"/>
          <w:lang w:eastAsia="zh-CN"/>
        </w:rPr>
      </w:pPr>
      <w:r>
        <w:rPr>
          <w:rFonts w:hint="eastAsia" w:ascii="仿宋" w:hAnsi="仿宋" w:eastAsia="仿宋" w:cs="仿宋"/>
          <w:color w:val="auto"/>
          <w:lang w:val="en-US" w:eastAsia="zh-CN"/>
        </w:rPr>
        <w:t>8</w:t>
      </w:r>
      <w:r>
        <w:rPr>
          <w:rFonts w:hint="eastAsia" w:ascii="仿宋" w:hAnsi="仿宋" w:eastAsia="仿宋" w:cs="仿宋"/>
          <w:color w:val="auto"/>
          <w:lang w:eastAsia="zh-CN"/>
        </w:rPr>
        <w:t>、供应商须知资料表要求的其他资格证明文件;</w:t>
      </w:r>
    </w:p>
    <w:p w14:paraId="15C9E625">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14:paraId="2597CC36">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p>
    <w:p w14:paraId="7886FED0">
      <w:pPr>
        <w:rPr>
          <w:rFonts w:ascii="仿宋" w:hAnsi="仿宋" w:eastAsia="仿宋" w:cs="仿宋"/>
          <w:b/>
          <w:bCs/>
          <w:color w:val="auto"/>
          <w:sz w:val="36"/>
          <w:szCs w:val="36"/>
          <w:lang w:eastAsia="zh-CN"/>
        </w:rPr>
      </w:pPr>
    </w:p>
    <w:p w14:paraId="76F8A664">
      <w:pPr>
        <w:pStyle w:val="32"/>
        <w:rPr>
          <w:rFonts w:ascii="仿宋" w:hAnsi="仿宋" w:eastAsia="仿宋" w:cs="仿宋"/>
          <w:b/>
          <w:bCs/>
          <w:color w:val="auto"/>
          <w:sz w:val="36"/>
          <w:szCs w:val="36"/>
          <w:lang w:eastAsia="zh-CN"/>
        </w:rPr>
      </w:pPr>
    </w:p>
    <w:p w14:paraId="03E301C8">
      <w:pPr>
        <w:pStyle w:val="32"/>
        <w:rPr>
          <w:rFonts w:ascii="仿宋" w:hAnsi="仿宋" w:eastAsia="仿宋" w:cs="仿宋"/>
          <w:b/>
          <w:bCs/>
          <w:color w:val="auto"/>
          <w:sz w:val="36"/>
          <w:szCs w:val="36"/>
          <w:lang w:eastAsia="zh-CN"/>
        </w:rPr>
      </w:pPr>
    </w:p>
    <w:p w14:paraId="2EA532F9">
      <w:pPr>
        <w:pStyle w:val="32"/>
        <w:rPr>
          <w:rFonts w:ascii="仿宋" w:hAnsi="仿宋" w:eastAsia="仿宋" w:cs="仿宋"/>
          <w:b/>
          <w:bCs/>
          <w:color w:val="auto"/>
          <w:sz w:val="36"/>
          <w:szCs w:val="36"/>
          <w:lang w:eastAsia="zh-CN"/>
        </w:rPr>
      </w:pPr>
    </w:p>
    <w:p w14:paraId="7E49D742">
      <w:pPr>
        <w:pStyle w:val="32"/>
        <w:rPr>
          <w:rFonts w:ascii="仿宋" w:hAnsi="仿宋" w:eastAsia="仿宋" w:cs="仿宋"/>
          <w:b/>
          <w:bCs/>
          <w:color w:val="auto"/>
          <w:sz w:val="36"/>
          <w:szCs w:val="36"/>
          <w:lang w:eastAsia="zh-CN"/>
        </w:rPr>
      </w:pPr>
    </w:p>
    <w:p w14:paraId="6C60733C">
      <w:pPr>
        <w:pStyle w:val="32"/>
        <w:rPr>
          <w:rFonts w:ascii="仿宋" w:hAnsi="仿宋" w:eastAsia="仿宋" w:cs="仿宋"/>
          <w:b/>
          <w:bCs/>
          <w:color w:val="auto"/>
          <w:sz w:val="36"/>
          <w:szCs w:val="36"/>
          <w:lang w:eastAsia="zh-CN"/>
        </w:rPr>
      </w:pPr>
    </w:p>
    <w:p w14:paraId="047F09CD">
      <w:pPr>
        <w:pStyle w:val="32"/>
        <w:rPr>
          <w:rFonts w:ascii="仿宋" w:hAnsi="仿宋" w:eastAsia="仿宋" w:cs="仿宋"/>
          <w:b/>
          <w:bCs/>
          <w:color w:val="auto"/>
          <w:sz w:val="36"/>
          <w:szCs w:val="36"/>
          <w:lang w:eastAsia="zh-CN"/>
        </w:rPr>
      </w:pPr>
    </w:p>
    <w:p w14:paraId="50DB8E65">
      <w:pPr>
        <w:pStyle w:val="32"/>
        <w:rPr>
          <w:rFonts w:ascii="仿宋" w:hAnsi="仿宋" w:eastAsia="仿宋" w:cs="仿宋"/>
          <w:b/>
          <w:bCs/>
          <w:color w:val="auto"/>
          <w:sz w:val="36"/>
          <w:szCs w:val="36"/>
          <w:lang w:eastAsia="zh-CN"/>
        </w:rPr>
      </w:pPr>
    </w:p>
    <w:p w14:paraId="4C67308F">
      <w:pPr>
        <w:pStyle w:val="32"/>
        <w:rPr>
          <w:rFonts w:ascii="仿宋" w:hAnsi="仿宋" w:eastAsia="仿宋" w:cs="仿宋"/>
          <w:b/>
          <w:bCs/>
          <w:color w:val="auto"/>
          <w:sz w:val="36"/>
          <w:szCs w:val="36"/>
          <w:lang w:eastAsia="zh-CN"/>
        </w:rPr>
      </w:pPr>
    </w:p>
    <w:p w14:paraId="3846AE30">
      <w:pPr>
        <w:pStyle w:val="9"/>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14:paraId="1D9DC978">
      <w:pPr>
        <w:pStyle w:val="9"/>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bookmarkStart w:id="61" w:name="_Toc515647805"/>
      <w:bookmarkStart w:id="62" w:name="_Toc29899"/>
      <w:bookmarkStart w:id="63" w:name="_Toc17577"/>
      <w:bookmarkStart w:id="64" w:name="_Toc4844"/>
    </w:p>
    <w:p w14:paraId="723E5ED8">
      <w:pPr>
        <w:pStyle w:val="9"/>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14:paraId="180A0759">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法人或者非法人组织的营业执照等证明文件</w:t>
      </w:r>
      <w:bookmarkEnd w:id="61"/>
      <w:bookmarkStart w:id="65" w:name="_Toc515647806"/>
      <w:r>
        <w:rPr>
          <w:rFonts w:hint="eastAsia" w:ascii="仿宋" w:hAnsi="仿宋" w:eastAsia="仿宋" w:cs="仿宋"/>
          <w:b/>
          <w:bCs/>
          <w:color w:val="auto"/>
          <w:sz w:val="36"/>
          <w:szCs w:val="36"/>
          <w:lang w:eastAsia="zh-CN"/>
        </w:rPr>
        <w:t>或自然人的身份证明</w:t>
      </w:r>
      <w:bookmarkEnd w:id="62"/>
      <w:bookmarkEnd w:id="63"/>
      <w:bookmarkEnd w:id="64"/>
      <w:bookmarkEnd w:id="65"/>
    </w:p>
    <w:p w14:paraId="66DFB43E">
      <w:pPr>
        <w:pStyle w:val="13"/>
        <w:tabs>
          <w:tab w:val="left" w:pos="5580"/>
        </w:tabs>
        <w:spacing w:line="400" w:lineRule="exact"/>
        <w:ind w:left="1164" w:leftChars="257" w:hanging="540"/>
        <w:jc w:val="center"/>
        <w:rPr>
          <w:rFonts w:ascii="仿宋" w:hAnsi="仿宋" w:eastAsia="仿宋" w:cs="仿宋"/>
          <w:b/>
          <w:color w:val="auto"/>
          <w:lang w:eastAsia="zh-CN"/>
        </w:rPr>
      </w:pPr>
    </w:p>
    <w:p w14:paraId="6CA292E2">
      <w:pPr>
        <w:pStyle w:val="13"/>
        <w:tabs>
          <w:tab w:val="left" w:pos="5580"/>
        </w:tabs>
        <w:spacing w:line="400" w:lineRule="exact"/>
        <w:ind w:left="1164" w:leftChars="257" w:hanging="540"/>
        <w:rPr>
          <w:rFonts w:ascii="仿宋" w:hAnsi="仿宋" w:eastAsia="仿宋" w:cs="仿宋"/>
          <w:b/>
          <w:color w:val="auto"/>
          <w:lang w:eastAsia="zh-CN"/>
        </w:rPr>
      </w:pPr>
    </w:p>
    <w:p w14:paraId="209E3EE3">
      <w:pPr>
        <w:pStyle w:val="13"/>
        <w:tabs>
          <w:tab w:val="left" w:pos="5580"/>
        </w:tabs>
        <w:spacing w:line="400" w:lineRule="exact"/>
        <w:ind w:left="1164" w:leftChars="257" w:hanging="540"/>
        <w:rPr>
          <w:rFonts w:ascii="仿宋" w:hAnsi="仿宋" w:eastAsia="仿宋" w:cs="仿宋"/>
          <w:b/>
          <w:color w:val="auto"/>
          <w:lang w:eastAsia="zh-CN"/>
        </w:rPr>
      </w:pPr>
    </w:p>
    <w:p w14:paraId="72A60AE7">
      <w:pPr>
        <w:pStyle w:val="13"/>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14:paraId="20C5C195">
      <w:pPr>
        <w:pStyle w:val="13"/>
        <w:tabs>
          <w:tab w:val="left" w:pos="5580"/>
        </w:tabs>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2.供应商为自然人的，应提供身份证明的复印件。</w:t>
      </w:r>
    </w:p>
    <w:p w14:paraId="63604D5C">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4C125EA0">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283C04E3">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46F98153">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0772FCE5">
      <w:pPr>
        <w:pStyle w:val="9"/>
        <w:numPr>
          <w:ilvl w:val="0"/>
          <w:numId w:val="0"/>
        </w:numPr>
        <w:kinsoku w:val="0"/>
        <w:overflowPunct w:val="0"/>
        <w:spacing w:before="34" w:line="440" w:lineRule="exact"/>
        <w:ind w:left="480" w:right="126"/>
        <w:jc w:val="center"/>
        <w:rPr>
          <w:rFonts w:ascii="仿宋" w:hAnsi="仿宋" w:eastAsia="仿宋" w:cs="仿宋"/>
          <w:b/>
          <w:bCs/>
          <w:color w:val="auto"/>
          <w:sz w:val="36"/>
          <w:szCs w:val="36"/>
          <w:lang w:eastAsia="zh-CN"/>
        </w:rPr>
      </w:pPr>
    </w:p>
    <w:p w14:paraId="794873EF">
      <w:pPr>
        <w:pStyle w:val="9"/>
        <w:numPr>
          <w:ilvl w:val="0"/>
          <w:numId w:val="0"/>
        </w:numPr>
        <w:kinsoku w:val="0"/>
        <w:overflowPunct w:val="0"/>
        <w:spacing w:before="34" w:line="440" w:lineRule="exact"/>
        <w:ind w:right="126"/>
        <w:jc w:val="both"/>
        <w:rPr>
          <w:rFonts w:ascii="仿宋" w:hAnsi="仿宋" w:eastAsia="仿宋" w:cs="仿宋"/>
          <w:b/>
          <w:bCs/>
          <w:color w:val="auto"/>
          <w:sz w:val="36"/>
          <w:szCs w:val="36"/>
          <w:lang w:eastAsia="zh-CN"/>
        </w:rPr>
      </w:pPr>
    </w:p>
    <w:p w14:paraId="091E2B54">
      <w:pPr>
        <w:rPr>
          <w:rFonts w:ascii="仿宋" w:hAnsi="仿宋" w:eastAsia="仿宋" w:cs="仿宋"/>
          <w:b/>
          <w:bCs/>
          <w:color w:val="auto"/>
          <w:sz w:val="36"/>
          <w:szCs w:val="36"/>
          <w:lang w:eastAsia="zh-CN"/>
        </w:rPr>
      </w:pPr>
    </w:p>
    <w:p w14:paraId="381CCBDC">
      <w:pPr>
        <w:pStyle w:val="32"/>
        <w:rPr>
          <w:rFonts w:ascii="仿宋" w:hAnsi="仿宋" w:eastAsia="仿宋" w:cs="仿宋"/>
          <w:b/>
          <w:bCs/>
          <w:color w:val="auto"/>
          <w:sz w:val="36"/>
          <w:szCs w:val="36"/>
          <w:lang w:eastAsia="zh-CN"/>
        </w:rPr>
      </w:pPr>
    </w:p>
    <w:p w14:paraId="382B7B82">
      <w:pPr>
        <w:pStyle w:val="32"/>
        <w:rPr>
          <w:rFonts w:ascii="仿宋" w:hAnsi="仿宋" w:eastAsia="仿宋" w:cs="仿宋"/>
          <w:b/>
          <w:bCs/>
          <w:color w:val="auto"/>
          <w:sz w:val="36"/>
          <w:szCs w:val="36"/>
          <w:lang w:eastAsia="zh-CN"/>
        </w:rPr>
      </w:pPr>
    </w:p>
    <w:p w14:paraId="581D5867">
      <w:pPr>
        <w:pStyle w:val="32"/>
        <w:rPr>
          <w:rFonts w:ascii="仿宋" w:hAnsi="仿宋" w:eastAsia="仿宋" w:cs="仿宋"/>
          <w:b/>
          <w:bCs/>
          <w:color w:val="auto"/>
          <w:sz w:val="36"/>
          <w:szCs w:val="36"/>
          <w:lang w:eastAsia="zh-CN"/>
        </w:rPr>
      </w:pPr>
    </w:p>
    <w:p w14:paraId="332A33EA">
      <w:pPr>
        <w:pStyle w:val="32"/>
        <w:rPr>
          <w:rFonts w:ascii="仿宋" w:hAnsi="仿宋" w:eastAsia="仿宋" w:cs="仿宋"/>
          <w:b/>
          <w:bCs/>
          <w:color w:val="auto"/>
          <w:sz w:val="36"/>
          <w:szCs w:val="36"/>
          <w:lang w:eastAsia="zh-CN"/>
        </w:rPr>
      </w:pPr>
    </w:p>
    <w:p w14:paraId="1064F8B7">
      <w:pPr>
        <w:pStyle w:val="32"/>
        <w:rPr>
          <w:rFonts w:ascii="仿宋" w:hAnsi="仿宋" w:eastAsia="仿宋" w:cs="仿宋"/>
          <w:b/>
          <w:bCs/>
          <w:color w:val="auto"/>
          <w:sz w:val="36"/>
          <w:szCs w:val="36"/>
          <w:lang w:eastAsia="zh-CN"/>
        </w:rPr>
      </w:pPr>
    </w:p>
    <w:p w14:paraId="61744457">
      <w:pPr>
        <w:pStyle w:val="32"/>
        <w:rPr>
          <w:rFonts w:ascii="仿宋" w:hAnsi="仿宋" w:eastAsia="仿宋" w:cs="仿宋"/>
          <w:b/>
          <w:bCs/>
          <w:color w:val="auto"/>
          <w:sz w:val="36"/>
          <w:szCs w:val="36"/>
          <w:lang w:eastAsia="zh-CN"/>
        </w:rPr>
      </w:pPr>
    </w:p>
    <w:p w14:paraId="73F779B4">
      <w:pPr>
        <w:pStyle w:val="32"/>
        <w:rPr>
          <w:rFonts w:ascii="仿宋" w:hAnsi="仿宋" w:eastAsia="仿宋" w:cs="仿宋"/>
          <w:b/>
          <w:bCs/>
          <w:color w:val="auto"/>
          <w:sz w:val="36"/>
          <w:szCs w:val="36"/>
          <w:lang w:eastAsia="zh-CN"/>
        </w:rPr>
      </w:pPr>
    </w:p>
    <w:p w14:paraId="431B783E">
      <w:pPr>
        <w:pStyle w:val="32"/>
        <w:rPr>
          <w:rFonts w:ascii="仿宋" w:hAnsi="仿宋" w:eastAsia="仿宋" w:cs="仿宋"/>
          <w:b/>
          <w:bCs/>
          <w:color w:val="auto"/>
          <w:sz w:val="36"/>
          <w:szCs w:val="36"/>
          <w:lang w:eastAsia="zh-CN"/>
        </w:rPr>
      </w:pPr>
    </w:p>
    <w:p w14:paraId="184300BE">
      <w:pPr>
        <w:pStyle w:val="32"/>
        <w:rPr>
          <w:rFonts w:ascii="仿宋" w:hAnsi="仿宋" w:eastAsia="仿宋" w:cs="仿宋"/>
          <w:b/>
          <w:bCs/>
          <w:color w:val="auto"/>
          <w:sz w:val="36"/>
          <w:szCs w:val="36"/>
          <w:lang w:eastAsia="zh-CN"/>
        </w:rPr>
      </w:pPr>
    </w:p>
    <w:p w14:paraId="11A3C12C">
      <w:pPr>
        <w:pStyle w:val="32"/>
        <w:rPr>
          <w:rFonts w:ascii="仿宋" w:hAnsi="仿宋" w:eastAsia="仿宋" w:cs="仿宋"/>
          <w:b/>
          <w:bCs/>
          <w:color w:val="auto"/>
          <w:sz w:val="36"/>
          <w:szCs w:val="36"/>
          <w:lang w:eastAsia="zh-CN"/>
        </w:rPr>
      </w:pPr>
    </w:p>
    <w:p w14:paraId="428F2764">
      <w:pPr>
        <w:pStyle w:val="32"/>
        <w:rPr>
          <w:rFonts w:ascii="仿宋" w:hAnsi="仿宋" w:eastAsia="仿宋" w:cs="仿宋"/>
          <w:b/>
          <w:bCs/>
          <w:color w:val="auto"/>
          <w:sz w:val="36"/>
          <w:szCs w:val="36"/>
          <w:lang w:eastAsia="zh-CN"/>
        </w:rPr>
      </w:pPr>
    </w:p>
    <w:p w14:paraId="1004B2D7">
      <w:pPr>
        <w:pStyle w:val="32"/>
        <w:rPr>
          <w:rFonts w:ascii="仿宋" w:hAnsi="仿宋" w:eastAsia="仿宋" w:cs="仿宋"/>
          <w:b/>
          <w:bCs/>
          <w:color w:val="auto"/>
          <w:sz w:val="36"/>
          <w:szCs w:val="36"/>
          <w:lang w:eastAsia="zh-CN"/>
        </w:rPr>
      </w:pPr>
    </w:p>
    <w:p w14:paraId="7C82069C">
      <w:pPr>
        <w:pStyle w:val="32"/>
        <w:rPr>
          <w:rFonts w:ascii="仿宋" w:hAnsi="仿宋" w:eastAsia="仿宋" w:cs="仿宋"/>
          <w:b/>
          <w:bCs/>
          <w:color w:val="auto"/>
          <w:sz w:val="36"/>
          <w:szCs w:val="36"/>
          <w:lang w:eastAsia="zh-CN"/>
        </w:rPr>
      </w:pPr>
    </w:p>
    <w:p w14:paraId="44ED0184">
      <w:pPr>
        <w:pStyle w:val="32"/>
        <w:rPr>
          <w:rFonts w:ascii="仿宋" w:hAnsi="仿宋" w:eastAsia="仿宋" w:cs="仿宋"/>
          <w:b/>
          <w:bCs/>
          <w:color w:val="auto"/>
          <w:sz w:val="36"/>
          <w:szCs w:val="36"/>
          <w:lang w:eastAsia="zh-CN"/>
        </w:rPr>
      </w:pPr>
    </w:p>
    <w:p w14:paraId="6B48C5FB">
      <w:pPr>
        <w:pStyle w:val="32"/>
        <w:rPr>
          <w:rFonts w:ascii="仿宋" w:hAnsi="仿宋" w:eastAsia="仿宋" w:cs="仿宋"/>
          <w:b/>
          <w:bCs/>
          <w:color w:val="auto"/>
          <w:sz w:val="36"/>
          <w:szCs w:val="36"/>
          <w:lang w:eastAsia="zh-CN"/>
        </w:rPr>
      </w:pPr>
    </w:p>
    <w:p w14:paraId="3E6D61E5">
      <w:pPr>
        <w:pStyle w:val="32"/>
        <w:ind w:firstLine="0"/>
        <w:rPr>
          <w:rFonts w:ascii="仿宋" w:hAnsi="仿宋" w:eastAsia="仿宋" w:cs="仿宋"/>
          <w:b/>
          <w:bCs/>
          <w:color w:val="auto"/>
          <w:sz w:val="36"/>
          <w:szCs w:val="36"/>
          <w:lang w:eastAsia="zh-CN"/>
        </w:rPr>
      </w:pPr>
    </w:p>
    <w:p w14:paraId="552F4CD0">
      <w:pPr>
        <w:pStyle w:val="9"/>
        <w:numPr>
          <w:ilvl w:val="0"/>
          <w:numId w:val="0"/>
        </w:numPr>
        <w:kinsoku w:val="0"/>
        <w:overflowPunct w:val="0"/>
        <w:spacing w:before="34" w:line="440" w:lineRule="exact"/>
        <w:ind w:left="480" w:right="126"/>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2、法定代表人身份证明</w:t>
      </w:r>
    </w:p>
    <w:p w14:paraId="5C49CB4A">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14:paraId="3EF585B7">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14:paraId="30C32F02">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14:paraId="33606324">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26E4AFBB">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14:paraId="235F1CE1">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14:paraId="6BE33D4E">
      <w:pPr>
        <w:spacing w:line="420" w:lineRule="exact"/>
        <w:ind w:firstLine="486" w:firstLineChars="200"/>
        <w:rPr>
          <w:rFonts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14:paraId="7BD9400C">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14:paraId="163B35EA">
      <w:pPr>
        <w:spacing w:line="420" w:lineRule="exact"/>
        <w:ind w:firstLine="972" w:firstLineChars="400"/>
        <w:rPr>
          <w:rFonts w:ascii="仿宋" w:hAnsi="仿宋" w:eastAsia="仿宋" w:cs="仿宋"/>
          <w:color w:val="auto"/>
        </w:rPr>
      </w:pPr>
      <w:r>
        <w:rPr>
          <w:rFonts w:hint="eastAsia" w:ascii="仿宋" w:hAnsi="仿宋" w:eastAsia="仿宋" w:cs="仿宋"/>
          <w:color w:val="auto"/>
        </w:rPr>
        <w:t>特此证明。</w:t>
      </w:r>
    </w:p>
    <w:p w14:paraId="5B83F6B0">
      <w:pPr>
        <w:pStyle w:val="9"/>
        <w:numPr>
          <w:ilvl w:val="0"/>
          <w:numId w:val="0"/>
        </w:numPr>
        <w:kinsoku w:val="0"/>
        <w:overflowPunct w:val="0"/>
        <w:rPr>
          <w:rFonts w:ascii="仿宋" w:hAnsi="仿宋" w:eastAsia="仿宋" w:cs="仿宋"/>
          <w:color w:val="auto"/>
          <w:sz w:val="20"/>
          <w:szCs w:val="20"/>
        </w:rPr>
      </w:pPr>
      <w:r>
        <w:rPr>
          <w:color w:val="auto"/>
          <w:sz w:val="25"/>
        </w:rPr>
        <mc:AlternateContent>
          <mc:Choice Requires="wps">
            <w:drawing>
              <wp:anchor distT="0" distB="0" distL="114300" distR="114300" simplePos="0" relativeHeight="251661312" behindDoc="0" locked="0" layoutInCell="1" allowOverlap="1">
                <wp:simplePos x="0" y="0"/>
                <wp:positionH relativeFrom="column">
                  <wp:posOffset>2991485</wp:posOffset>
                </wp:positionH>
                <wp:positionV relativeFrom="paragraph">
                  <wp:posOffset>194945</wp:posOffset>
                </wp:positionV>
                <wp:extent cx="2363470" cy="1403350"/>
                <wp:effectExtent l="5080" t="4445" r="12700" b="20955"/>
                <wp:wrapSquare wrapText="bothSides"/>
                <wp:docPr id="2" name="自选图形 77"/>
                <wp:cNvGraphicFramePr/>
                <a:graphic xmlns:a="http://schemas.openxmlformats.org/drawingml/2006/main">
                  <a:graphicData uri="http://schemas.microsoft.com/office/word/2010/wordprocessingShape">
                    <wps:wsp>
                      <wps:cNvSpPr/>
                      <wps:spPr>
                        <a:xfrm>
                          <a:off x="0" y="0"/>
                          <a:ext cx="2363470"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5DB597E">
                            <w:pPr>
                              <w:jc w:val="center"/>
                              <w:rPr>
                                <w:rFonts w:hint="eastAsia" w:ascii="仿宋" w:hAnsi="仿宋" w:eastAsia="仿宋" w:cs="仿宋"/>
                                <w:sz w:val="24"/>
                                <w:szCs w:val="24"/>
                              </w:rPr>
                            </w:pPr>
                          </w:p>
                          <w:p w14:paraId="18FB7F80">
                            <w:pPr>
                              <w:jc w:val="center"/>
                              <w:rPr>
                                <w:rFonts w:hint="eastAsia" w:ascii="仿宋" w:hAnsi="仿宋" w:eastAsia="仿宋" w:cs="仿宋"/>
                                <w:sz w:val="24"/>
                                <w:szCs w:val="24"/>
                              </w:rPr>
                            </w:pPr>
                          </w:p>
                          <w:p w14:paraId="0868C9B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7B49D09C"/>
                        </w:txbxContent>
                      </wps:txbx>
                      <wps:bodyPr upright="1"/>
                    </wps:wsp>
                  </a:graphicData>
                </a:graphic>
              </wp:anchor>
            </w:drawing>
          </mc:Choice>
          <mc:Fallback>
            <w:pict>
              <v:roundrect id="自选图形 77" o:spid="_x0000_s1026" o:spt="2" style="position:absolute;left:0pt;margin-left:235.55pt;margin-top:15.35pt;height:110.5pt;width:186.1pt;mso-wrap-distance-bottom:0pt;mso-wrap-distance-left:9pt;mso-wrap-distance-right:9pt;mso-wrap-distance-top:0pt;z-index:251661312;mso-width-relative:page;mso-height-relative:page;" fillcolor="#FFFFFF" filled="t" stroked="t" coordsize="21600,21600" arcsize="0.166666666666667" o:gfxdata="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Pn&#10;fv/XAAAACgEAAA8AAAAAAAAAAQAgAAAAIgAAAGRycy9kb3ducmV2LnhtbFBLAQIUABQAAAAIAIdO&#10;4kCiOl5OJAIAAFgEAAAOAAAAAAAAAAEAIAAAACYBAABkcnMvZTJvRG9jLnhtbFBLBQYAAAAABgAG&#10;AFkBAAC8BQAAAAA=&#10;">
                <v:fill on="t" focussize="0,0"/>
                <v:stroke color="#000000" joinstyle="round"/>
                <v:imagedata o:title=""/>
                <o:lock v:ext="edit" aspectratio="f"/>
                <v:textbox>
                  <w:txbxContent>
                    <w:p w14:paraId="55DB597E">
                      <w:pPr>
                        <w:jc w:val="center"/>
                        <w:rPr>
                          <w:rFonts w:hint="eastAsia" w:ascii="仿宋" w:hAnsi="仿宋" w:eastAsia="仿宋" w:cs="仿宋"/>
                          <w:sz w:val="24"/>
                          <w:szCs w:val="24"/>
                        </w:rPr>
                      </w:pPr>
                    </w:p>
                    <w:p w14:paraId="18FB7F80">
                      <w:pPr>
                        <w:jc w:val="center"/>
                        <w:rPr>
                          <w:rFonts w:hint="eastAsia" w:ascii="仿宋" w:hAnsi="仿宋" w:eastAsia="仿宋" w:cs="仿宋"/>
                          <w:sz w:val="24"/>
                          <w:szCs w:val="24"/>
                        </w:rPr>
                      </w:pPr>
                    </w:p>
                    <w:p w14:paraId="0868C9B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w:t>
                      </w:r>
                      <w:r>
                        <w:rPr>
                          <w:rFonts w:hint="eastAsia" w:ascii="仿宋" w:hAnsi="仿宋" w:eastAsia="仿宋" w:cs="仿宋"/>
                          <w:sz w:val="24"/>
                          <w:szCs w:val="24"/>
                          <w:lang w:val="en-US" w:eastAsia="zh-CN"/>
                        </w:rPr>
                        <w:t>反</w:t>
                      </w:r>
                      <w:r>
                        <w:rPr>
                          <w:rFonts w:hint="eastAsia" w:ascii="仿宋" w:hAnsi="仿宋" w:eastAsia="仿宋" w:cs="仿宋"/>
                          <w:sz w:val="24"/>
                          <w:szCs w:val="24"/>
                        </w:rPr>
                        <w:t>面</w:t>
                      </w:r>
                    </w:p>
                    <w:p w14:paraId="7B49D09C"/>
                  </w:txbxContent>
                </v:textbox>
                <w10:wrap type="square"/>
              </v:roundrect>
            </w:pict>
          </mc:Fallback>
        </mc:AlternateContent>
      </w:r>
    </w:p>
    <w:p w14:paraId="0AA98B22">
      <w:pPr>
        <w:pStyle w:val="9"/>
        <w:numPr>
          <w:ilvl w:val="0"/>
          <w:numId w:val="0"/>
        </w:numPr>
        <w:kinsoku w:val="0"/>
        <w:overflowPunct w:val="0"/>
        <w:spacing w:before="7"/>
        <w:rPr>
          <w:rFonts w:ascii="仿宋" w:hAnsi="仿宋" w:eastAsia="仿宋" w:cs="仿宋"/>
          <w:color w:val="auto"/>
          <w:sz w:val="25"/>
          <w:szCs w:val="25"/>
        </w:rPr>
      </w:pPr>
      <w:r>
        <w:rPr>
          <w:color w:val="auto"/>
          <w:sz w:val="25"/>
        </w:rPr>
        <mc:AlternateContent>
          <mc:Choice Requires="wps">
            <w:drawing>
              <wp:anchor distT="0" distB="0" distL="114300" distR="114300" simplePos="0" relativeHeight="251666432" behindDoc="1" locked="0" layoutInCell="1" allowOverlap="1">
                <wp:simplePos x="0" y="0"/>
                <wp:positionH relativeFrom="column">
                  <wp:posOffset>336550</wp:posOffset>
                </wp:positionH>
                <wp:positionV relativeFrom="paragraph">
                  <wp:posOffset>17145</wp:posOffset>
                </wp:positionV>
                <wp:extent cx="2371725" cy="1403350"/>
                <wp:effectExtent l="5080" t="5080" r="4445" b="20320"/>
                <wp:wrapTight wrapText="bothSides">
                  <wp:wrapPolygon>
                    <wp:start x="20682" y="-2"/>
                    <wp:lineTo x="909" y="0"/>
                    <wp:lineTo x="0" y="1611"/>
                    <wp:lineTo x="0" y="3600"/>
                    <wp:lineTo x="0" y="18000"/>
                    <wp:lineTo x="0" y="19988"/>
                    <wp:lineTo x="909" y="21600"/>
                    <wp:lineTo x="20682" y="21602"/>
                    <wp:lineTo x="917" y="21602"/>
                    <wp:lineTo x="20690" y="21600"/>
                    <wp:lineTo x="21599" y="19988"/>
                    <wp:lineTo x="21599" y="18000"/>
                    <wp:lineTo x="21599" y="3600"/>
                    <wp:lineTo x="21599" y="1611"/>
                    <wp:lineTo x="20690" y="0"/>
                    <wp:lineTo x="917" y="-2"/>
                    <wp:lineTo x="20682" y="-2"/>
                  </wp:wrapPolygon>
                </wp:wrapTight>
                <wp:docPr id="6" name="自选图形 91"/>
                <wp:cNvGraphicFramePr/>
                <a:graphic xmlns:a="http://schemas.openxmlformats.org/drawingml/2006/main">
                  <a:graphicData uri="http://schemas.microsoft.com/office/word/2010/wordprocessingShape">
                    <wps:wsp>
                      <wps:cNvSpPr/>
                      <wps:spPr>
                        <a:xfrm>
                          <a:off x="0" y="0"/>
                          <a:ext cx="2371725" cy="140335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5EA187A0">
                            <w:pPr>
                              <w:jc w:val="center"/>
                              <w:rPr>
                                <w:rFonts w:hint="eastAsia" w:ascii="仿宋" w:hAnsi="仿宋" w:eastAsia="仿宋" w:cs="仿宋"/>
                                <w:sz w:val="24"/>
                                <w:szCs w:val="24"/>
                              </w:rPr>
                            </w:pPr>
                          </w:p>
                          <w:p w14:paraId="35AC5C62">
                            <w:pPr>
                              <w:jc w:val="center"/>
                              <w:rPr>
                                <w:rFonts w:hint="eastAsia" w:ascii="仿宋" w:hAnsi="仿宋" w:eastAsia="仿宋" w:cs="仿宋"/>
                                <w:sz w:val="24"/>
                                <w:szCs w:val="24"/>
                              </w:rPr>
                            </w:pPr>
                          </w:p>
                          <w:p w14:paraId="3E34D51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74BBC718"/>
                        </w:txbxContent>
                      </wps:txbx>
                      <wps:bodyPr upright="1"/>
                    </wps:wsp>
                  </a:graphicData>
                </a:graphic>
              </wp:anchor>
            </w:drawing>
          </mc:Choice>
          <mc:Fallback>
            <w:pict>
              <v:roundrect id="自选图形 91" o:spid="_x0000_s1026" o:spt="2" style="position:absolute;left:0pt;margin-left:26.5pt;margin-top:1.35pt;height:110.5pt;width:186.75pt;mso-wrap-distance-left:9pt;mso-wrap-distance-right:9pt;z-index:-251650048;mso-width-relative:page;mso-height-relative:page;" fillcolor="#FFFFFF" filled="t" stroked="t" coordsize="21600,21600" wrapcoords="20682 -2 909 0 0 1611 0 3600 0 18000 0 19988 909 21600 20682 21602 917 21602 20690 21600 21599 19988 21599 18000 21599 3600 21599 1611 20690 0 917 -2 20682 -2" arcsize="0.166666666666667" o:gfxdata="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dq3CjV&#10;AAAACAEAAA8AAAAAAAAAAQAgAAAAIgAAAGRycy9kb3ducmV2LnhtbFBLAQIUABQAAAAIAIdO4kDN&#10;/O2WIwIAAFgEAAAOAAAAAAAAAAEAIAAAACQBAABkcnMvZTJvRG9jLnhtbFBLBQYAAAAABgAGAFkB&#10;AAC5BQAAAAA=&#10;">
                <v:fill on="t" focussize="0,0"/>
                <v:stroke color="#000000" joinstyle="round"/>
                <v:imagedata o:title=""/>
                <o:lock v:ext="edit" aspectratio="f"/>
                <v:textbox>
                  <w:txbxContent>
                    <w:p w14:paraId="5EA187A0">
                      <w:pPr>
                        <w:jc w:val="center"/>
                        <w:rPr>
                          <w:rFonts w:hint="eastAsia" w:ascii="仿宋" w:hAnsi="仿宋" w:eastAsia="仿宋" w:cs="仿宋"/>
                          <w:sz w:val="24"/>
                          <w:szCs w:val="24"/>
                        </w:rPr>
                      </w:pPr>
                    </w:p>
                    <w:p w14:paraId="35AC5C62">
                      <w:pPr>
                        <w:jc w:val="center"/>
                        <w:rPr>
                          <w:rFonts w:hint="eastAsia" w:ascii="仿宋" w:hAnsi="仿宋" w:eastAsia="仿宋" w:cs="仿宋"/>
                          <w:sz w:val="24"/>
                          <w:szCs w:val="24"/>
                        </w:rPr>
                      </w:pPr>
                    </w:p>
                    <w:p w14:paraId="3E34D51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74BBC718"/>
                  </w:txbxContent>
                </v:textbox>
                <w10:wrap type="tight"/>
              </v:roundrect>
            </w:pict>
          </mc:Fallback>
        </mc:AlternateContent>
      </w:r>
    </w:p>
    <w:p w14:paraId="6162A58F">
      <w:pPr>
        <w:pStyle w:val="9"/>
        <w:numPr>
          <w:ilvl w:val="0"/>
          <w:numId w:val="0"/>
        </w:numPr>
        <w:kinsoku w:val="0"/>
        <w:overflowPunct w:val="0"/>
        <w:spacing w:line="200" w:lineRule="atLeast"/>
        <w:rPr>
          <w:rFonts w:ascii="仿宋" w:hAnsi="仿宋" w:eastAsia="仿宋" w:cs="仿宋"/>
          <w:color w:val="auto"/>
          <w:sz w:val="20"/>
          <w:szCs w:val="20"/>
        </w:rPr>
      </w:pPr>
    </w:p>
    <w:p w14:paraId="26AEAB40">
      <w:pPr>
        <w:wordWrap w:val="0"/>
        <w:spacing w:line="420" w:lineRule="exact"/>
        <w:ind w:firstLine="486" w:firstLineChars="200"/>
        <w:jc w:val="right"/>
        <w:rPr>
          <w:rFonts w:ascii="仿宋" w:hAnsi="仿宋" w:eastAsia="仿宋" w:cs="仿宋"/>
          <w:color w:val="auto"/>
        </w:rPr>
      </w:pPr>
    </w:p>
    <w:p w14:paraId="021C51D6">
      <w:pPr>
        <w:pStyle w:val="9"/>
        <w:numPr>
          <w:ilvl w:val="0"/>
          <w:numId w:val="0"/>
        </w:numPr>
        <w:kinsoku w:val="0"/>
        <w:overflowPunct w:val="0"/>
        <w:spacing w:before="34" w:line="357" w:lineRule="auto"/>
        <w:ind w:right="126"/>
        <w:jc w:val="both"/>
        <w:rPr>
          <w:rFonts w:ascii="仿宋" w:hAnsi="仿宋" w:eastAsia="仿宋" w:cs="仿宋"/>
          <w:color w:val="auto"/>
          <w:lang w:eastAsia="zh-CN"/>
        </w:rPr>
      </w:pPr>
    </w:p>
    <w:p w14:paraId="1FDE20A6">
      <w:pPr>
        <w:pStyle w:val="9"/>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14:paraId="2DCE20E3">
      <w:pPr>
        <w:pStyle w:val="9"/>
        <w:numPr>
          <w:ilvl w:val="0"/>
          <w:numId w:val="0"/>
        </w:numPr>
        <w:kinsoku w:val="0"/>
        <w:overflowPunct w:val="0"/>
        <w:spacing w:before="34" w:line="357" w:lineRule="auto"/>
        <w:ind w:right="126"/>
        <w:jc w:val="both"/>
        <w:rPr>
          <w:rFonts w:hint="eastAsia" w:ascii="仿宋" w:hAnsi="仿宋" w:eastAsia="仿宋" w:cs="仿宋"/>
          <w:color w:val="auto"/>
          <w:sz w:val="24"/>
          <w:lang w:eastAsia="zh-CN"/>
        </w:rPr>
      </w:pPr>
    </w:p>
    <w:p w14:paraId="58E469E1">
      <w:pPr>
        <w:pStyle w:val="9"/>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投标单位名称：                       （公章）</w:t>
      </w:r>
    </w:p>
    <w:p w14:paraId="2561E72D">
      <w:pPr>
        <w:pStyle w:val="9"/>
        <w:numPr>
          <w:ilvl w:val="0"/>
          <w:numId w:val="0"/>
        </w:numPr>
        <w:kinsoku w:val="0"/>
        <w:overflowPunct w:val="0"/>
        <w:spacing w:before="34" w:line="357" w:lineRule="auto"/>
        <w:ind w:right="126"/>
        <w:jc w:val="both"/>
        <w:rPr>
          <w:rFonts w:ascii="仿宋" w:hAnsi="仿宋" w:eastAsia="仿宋" w:cs="仿宋"/>
          <w:color w:val="auto"/>
          <w:lang w:eastAsia="zh-CN"/>
        </w:rPr>
      </w:pPr>
      <w:r>
        <w:rPr>
          <w:rFonts w:hint="eastAsia" w:ascii="仿宋" w:hAnsi="仿宋" w:eastAsia="仿宋" w:cs="仿宋"/>
          <w:color w:val="auto"/>
          <w:sz w:val="24"/>
          <w:lang w:eastAsia="zh-CN"/>
        </w:rPr>
        <w:t xml:space="preserve">法定代表人（签字或盖章）：           </w:t>
      </w:r>
      <w:r>
        <w:rPr>
          <w:rFonts w:hint="eastAsia" w:ascii="仿宋" w:hAnsi="仿宋" w:eastAsia="仿宋" w:cs="仿宋"/>
          <w:color w:val="auto"/>
          <w:lang w:eastAsia="zh-CN"/>
        </w:rPr>
        <w:t xml:space="preserve">      </w:t>
      </w:r>
    </w:p>
    <w:p w14:paraId="6FF61713">
      <w:pPr>
        <w:pStyle w:val="9"/>
        <w:numPr>
          <w:ilvl w:val="0"/>
          <w:numId w:val="0"/>
        </w:numPr>
        <w:kinsoku w:val="0"/>
        <w:overflowPunct w:val="0"/>
        <w:spacing w:before="34" w:line="357" w:lineRule="auto"/>
        <w:ind w:right="126"/>
        <w:jc w:val="both"/>
        <w:rPr>
          <w:rFonts w:ascii="仿宋" w:hAnsi="仿宋" w:eastAsia="仿宋" w:cs="仿宋"/>
          <w:color w:val="auto"/>
          <w:lang w:eastAsia="zh-CN"/>
        </w:rPr>
      </w:pPr>
    </w:p>
    <w:p w14:paraId="7520C0A8">
      <w:pPr>
        <w:pStyle w:val="9"/>
        <w:numPr>
          <w:ilvl w:val="0"/>
          <w:numId w:val="0"/>
        </w:numPr>
        <w:kinsoku w:val="0"/>
        <w:overflowPunct w:val="0"/>
        <w:spacing w:before="34" w:line="357" w:lineRule="auto"/>
        <w:ind w:right="126"/>
        <w:jc w:val="both"/>
        <w:rPr>
          <w:rFonts w:ascii="仿宋" w:hAnsi="仿宋" w:eastAsia="仿宋" w:cs="仿宋"/>
          <w:color w:val="auto"/>
          <w:sz w:val="24"/>
          <w:lang w:eastAsia="zh-CN"/>
        </w:rPr>
      </w:pPr>
      <w:r>
        <w:rPr>
          <w:rFonts w:hint="eastAsia" w:ascii="仿宋" w:hAnsi="仿宋" w:eastAsia="仿宋" w:cs="仿宋"/>
          <w:color w:val="auto"/>
          <w:sz w:val="24"/>
          <w:lang w:eastAsia="zh-CN"/>
        </w:rPr>
        <w:t xml:space="preserve">    日  期：   年  月  日</w:t>
      </w:r>
    </w:p>
    <w:p w14:paraId="6D64EB6C">
      <w:pPr>
        <w:pStyle w:val="9"/>
        <w:numPr>
          <w:ilvl w:val="0"/>
          <w:numId w:val="0"/>
        </w:numPr>
        <w:kinsoku w:val="0"/>
        <w:overflowPunct w:val="0"/>
        <w:spacing w:before="34" w:line="357" w:lineRule="auto"/>
        <w:ind w:left="480" w:right="126"/>
        <w:jc w:val="center"/>
        <w:rPr>
          <w:rFonts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eastAsia="zh-CN"/>
        </w:rPr>
        <w:t>3、授权委托书</w:t>
      </w:r>
    </w:p>
    <w:p w14:paraId="69306963">
      <w:pPr>
        <w:spacing w:line="420" w:lineRule="exact"/>
        <w:rPr>
          <w:rFonts w:ascii="仿宋" w:hAnsi="仿宋" w:eastAsia="仿宋" w:cs="仿宋"/>
          <w:color w:val="auto"/>
          <w:lang w:eastAsia="zh-CN"/>
        </w:rPr>
      </w:pPr>
      <w:r>
        <w:rPr>
          <w:rFonts w:hint="eastAsia" w:ascii="仿宋" w:hAnsi="仿宋" w:eastAsia="仿宋" w:cs="仿宋"/>
          <w:color w:val="auto"/>
          <w:lang w:eastAsia="zh-CN"/>
        </w:rPr>
        <w:t xml:space="preserve">致：采购人名称 </w:t>
      </w:r>
    </w:p>
    <w:p w14:paraId="6B18A430">
      <w:pPr>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（供应商地址）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（供应商名称）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14:paraId="17D52A25">
      <w:pPr>
        <w:adjustRightInd w:val="0"/>
        <w:snapToGrid w:val="0"/>
        <w:spacing w:line="42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14:paraId="4B6B3B06">
      <w:pPr>
        <w:pStyle w:val="9"/>
        <w:tabs>
          <w:tab w:val="left" w:pos="780"/>
        </w:tabs>
        <w:kinsoku w:val="0"/>
        <w:overflowPunct w:val="0"/>
        <w:adjustRightInd w:val="0"/>
        <w:snapToGrid w:val="0"/>
        <w:spacing w:before="12"/>
        <w:rPr>
          <w:rFonts w:ascii="仿宋" w:hAnsi="仿宋" w:eastAsia="仿宋" w:cs="仿宋"/>
          <w:color w:val="auto"/>
          <w:sz w:val="4"/>
          <w:szCs w:val="4"/>
          <w:lang w:eastAsia="zh-CN"/>
        </w:rPr>
      </w:pPr>
    </w:p>
    <w:p w14:paraId="30DCA9FA">
      <w:pPr>
        <w:pStyle w:val="9"/>
        <w:numPr>
          <w:ilvl w:val="0"/>
          <w:numId w:val="0"/>
        </w:numPr>
        <w:kinsoku w:val="0"/>
        <w:overflowPunct w:val="0"/>
        <w:adjustRightInd w:val="0"/>
        <w:snapToGrid w:val="0"/>
        <w:spacing w:line="200" w:lineRule="atLeast"/>
        <w:ind w:right="1931" w:rightChars="795"/>
        <w:jc w:val="both"/>
        <w:rPr>
          <w:rFonts w:ascii="仿宋" w:hAnsi="仿宋" w:eastAsia="仿宋" w:cs="仿宋"/>
          <w:color w:val="auto"/>
          <w:sz w:val="18"/>
          <w:szCs w:val="20"/>
        </w:rPr>
      </w:pPr>
      <w:r>
        <w:rPr>
          <w:color w:val="auto"/>
          <w:sz w:val="18"/>
        </w:rPr>
        <mc:AlternateContent>
          <mc:Choice Requires="wps">
            <w:drawing>
              <wp:anchor distT="0" distB="0" distL="114300" distR="114300" simplePos="0" relativeHeight="251665408" behindDoc="0" locked="0" layoutInCell="1" allowOverlap="1">
                <wp:simplePos x="0" y="0"/>
                <wp:positionH relativeFrom="column">
                  <wp:posOffset>252730</wp:posOffset>
                </wp:positionH>
                <wp:positionV relativeFrom="paragraph">
                  <wp:posOffset>1524635</wp:posOffset>
                </wp:positionV>
                <wp:extent cx="2348230" cy="1367155"/>
                <wp:effectExtent l="4445" t="4445" r="9525" b="19050"/>
                <wp:wrapSquare wrapText="bothSides"/>
                <wp:docPr id="5" name="自选图形 62"/>
                <wp:cNvGraphicFramePr/>
                <a:graphic xmlns:a="http://schemas.openxmlformats.org/drawingml/2006/main">
                  <a:graphicData uri="http://schemas.microsoft.com/office/word/2010/wordprocessingShape">
                    <wps:wsp>
                      <wps:cNvSpPr/>
                      <wps:spPr>
                        <a:xfrm>
                          <a:off x="0" y="0"/>
                          <a:ext cx="2348230"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D22394E">
                            <w:pPr>
                              <w:jc w:val="center"/>
                              <w:rPr>
                                <w:rFonts w:hint="eastAsia" w:ascii="仿宋" w:hAnsi="仿宋" w:eastAsia="仿宋" w:cs="仿宋"/>
                                <w:sz w:val="24"/>
                                <w:szCs w:val="24"/>
                              </w:rPr>
                            </w:pPr>
                          </w:p>
                          <w:p w14:paraId="3F42DC97">
                            <w:pPr>
                              <w:jc w:val="center"/>
                              <w:rPr>
                                <w:rFonts w:hint="eastAsia" w:ascii="仿宋" w:hAnsi="仿宋" w:eastAsia="仿宋" w:cs="仿宋"/>
                                <w:sz w:val="24"/>
                                <w:szCs w:val="24"/>
                              </w:rPr>
                            </w:pPr>
                          </w:p>
                          <w:p w14:paraId="3B6F00F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7B47DFF"/>
                        </w:txbxContent>
                      </wps:txbx>
                      <wps:bodyPr upright="1"/>
                    </wps:wsp>
                  </a:graphicData>
                </a:graphic>
              </wp:anchor>
            </w:drawing>
          </mc:Choice>
          <mc:Fallback>
            <w:pict>
              <v:roundrect id="自选图形 62" o:spid="_x0000_s1026" o:spt="2" style="position:absolute;left:0pt;margin-left:19.9pt;margin-top:120.05pt;height:107.65pt;width:184.9pt;mso-wrap-distance-bottom:0pt;mso-wrap-distance-left:9pt;mso-wrap-distance-right:9pt;mso-wrap-distance-top:0pt;z-index:251665408;mso-width-relative:page;mso-height-relative:page;" fillcolor="#FFFFFF" filled="t" stroked="t" coordsize="21600,21600" arcsize="0.166666666666667" o:gfxdata="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qJ&#10;84rXAAAACgEAAA8AAAAAAAAAAQAgAAAAIgAAAGRycy9kb3ducmV2LnhtbFBLAQIUABQAAAAIAIdO&#10;4kBNlMjYJAIAAFgEAAAOAAAAAAAAAAEAIAAAACYBAABkcnMvZTJvRG9jLnhtbFBLBQYAAAAABgAG&#10;AFkBAAC8BQAAAAA=&#10;">
                <v:fill on="t" focussize="0,0"/>
                <v:stroke color="#000000" joinstyle="round"/>
                <v:imagedata o:title=""/>
                <o:lock v:ext="edit" aspectratio="f"/>
                <v:textbox>
                  <w:txbxContent>
                    <w:p w14:paraId="7D22394E">
                      <w:pPr>
                        <w:jc w:val="center"/>
                        <w:rPr>
                          <w:rFonts w:hint="eastAsia" w:ascii="仿宋" w:hAnsi="仿宋" w:eastAsia="仿宋" w:cs="仿宋"/>
                          <w:sz w:val="24"/>
                          <w:szCs w:val="24"/>
                        </w:rPr>
                      </w:pPr>
                    </w:p>
                    <w:p w14:paraId="3F42DC97">
                      <w:pPr>
                        <w:jc w:val="center"/>
                        <w:rPr>
                          <w:rFonts w:hint="eastAsia" w:ascii="仿宋" w:hAnsi="仿宋" w:eastAsia="仿宋" w:cs="仿宋"/>
                          <w:sz w:val="24"/>
                          <w:szCs w:val="24"/>
                        </w:rPr>
                      </w:pPr>
                    </w:p>
                    <w:p w14:paraId="3B6F00FD">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法定代表人身份证复印件正面</w:t>
                      </w:r>
                    </w:p>
                    <w:p w14:paraId="37B47DFF"/>
                  </w:txbxContent>
                </v:textbox>
                <w10:wrap type="square"/>
              </v:roundrect>
            </w:pict>
          </mc:Fallback>
        </mc:AlternateContent>
      </w:r>
      <w:r>
        <w:rPr>
          <w:rFonts w:hint="default"/>
          <w:color w:val="auto"/>
          <w:sz w:val="18"/>
          <w:lang w:val="en-US"/>
        </w:rPr>
        <mc:AlternateContent>
          <mc:Choice Requires="wps">
            <w:drawing>
              <wp:anchor distT="0" distB="0" distL="114300" distR="114300" simplePos="0" relativeHeight="251662336" behindDoc="1" locked="0" layoutInCell="1" allowOverlap="1">
                <wp:simplePos x="0" y="0"/>
                <wp:positionH relativeFrom="column">
                  <wp:posOffset>214630</wp:posOffset>
                </wp:positionH>
                <wp:positionV relativeFrom="paragraph">
                  <wp:posOffset>62865</wp:posOffset>
                </wp:positionV>
                <wp:extent cx="2378075" cy="1367155"/>
                <wp:effectExtent l="4445" t="4445" r="17780" b="19050"/>
                <wp:wrapTight wrapText="bothSides">
                  <wp:wrapPolygon>
                    <wp:start x="20605" y="-2"/>
                    <wp:lineTo x="986" y="0"/>
                    <wp:lineTo x="0" y="1611"/>
                    <wp:lineTo x="0" y="3600"/>
                    <wp:lineTo x="0" y="18000"/>
                    <wp:lineTo x="0" y="19988"/>
                    <wp:lineTo x="986" y="21600"/>
                    <wp:lineTo x="20605" y="21602"/>
                    <wp:lineTo x="994" y="21602"/>
                    <wp:lineTo x="20613" y="21600"/>
                    <wp:lineTo x="21599" y="19988"/>
                    <wp:lineTo x="21599" y="18000"/>
                    <wp:lineTo x="21599" y="3600"/>
                    <wp:lineTo x="21599" y="1611"/>
                    <wp:lineTo x="20613" y="0"/>
                    <wp:lineTo x="994" y="-2"/>
                    <wp:lineTo x="20605" y="-2"/>
                  </wp:wrapPolygon>
                </wp:wrapTight>
                <wp:docPr id="3" name="自选图形 60"/>
                <wp:cNvGraphicFramePr/>
                <a:graphic xmlns:a="http://schemas.openxmlformats.org/drawingml/2006/main">
                  <a:graphicData uri="http://schemas.microsoft.com/office/word/2010/wordprocessingShape">
                    <wps:wsp>
                      <wps:cNvSpPr/>
                      <wps:spPr>
                        <a:xfrm>
                          <a:off x="0" y="0"/>
                          <a:ext cx="23780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7F1A3271">
                            <w:pPr>
                              <w:jc w:val="center"/>
                              <w:rPr>
                                <w:rFonts w:hint="eastAsia" w:ascii="仿宋" w:hAnsi="仿宋" w:eastAsia="仿宋" w:cs="仿宋"/>
                                <w:sz w:val="24"/>
                                <w:szCs w:val="24"/>
                              </w:rPr>
                            </w:pPr>
                          </w:p>
                          <w:p w14:paraId="03E0F50B">
                            <w:pPr>
                              <w:jc w:val="center"/>
                              <w:rPr>
                                <w:rFonts w:hint="eastAsia" w:ascii="仿宋" w:hAnsi="仿宋" w:eastAsia="仿宋" w:cs="仿宋"/>
                                <w:sz w:val="24"/>
                                <w:szCs w:val="24"/>
                              </w:rPr>
                            </w:pPr>
                          </w:p>
                          <w:p w14:paraId="57DB81E4">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526A6D25">
                            <w:pPr>
                              <w:rPr>
                                <w:rFonts w:hint="eastAsia"/>
                                <w:lang w:val="en-US" w:eastAsia="zh-CN"/>
                              </w:rPr>
                            </w:pPr>
                          </w:p>
                        </w:txbxContent>
                      </wps:txbx>
                      <wps:bodyPr upright="1"/>
                    </wps:wsp>
                  </a:graphicData>
                </a:graphic>
              </wp:anchor>
            </w:drawing>
          </mc:Choice>
          <mc:Fallback>
            <w:pict>
              <v:roundrect id="自选图形 60" o:spid="_x0000_s1026" o:spt="2" style="position:absolute;left:0pt;margin-left:16.9pt;margin-top:4.95pt;height:107.65pt;width:187.25pt;mso-wrap-distance-left:9pt;mso-wrap-distance-right:9pt;z-index:-251654144;mso-width-relative:page;mso-height-relative:page;" fillcolor="#FFFFFF" filled="t" stroked="t" coordsize="21600,21600" wrapcoords="20605 -2 986 0 0 1611 0 3600 0 18000 0 19988 986 21600 20605 21602 994 21602 20613 21600 21599 19988 21599 18000 21599 3600 21599 1611 20613 0 994 -2 20605 -2" arcsize="0.166666666666667" o:gfxdata="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gUrBPV&#10;AAAACAEAAA8AAAAAAAAAAQAgAAAAIgAAAGRycy9kb3ducmV2LnhtbFBLAQIUABQAAAAIAIdO4kB/&#10;97bkIwIAAFgEAAAOAAAAAAAAAAEAIAAAACQBAABkcnMvZTJvRG9jLnhtbFBLBQYAAAAABgAGAFkB&#10;AAC5BQAAAAA=&#10;">
                <v:fill on="t" focussize="0,0"/>
                <v:stroke color="#000000" joinstyle="round"/>
                <v:imagedata o:title=""/>
                <o:lock v:ext="edit" aspectratio="f"/>
                <v:textbox>
                  <w:txbxContent>
                    <w:p w14:paraId="7F1A3271">
                      <w:pPr>
                        <w:jc w:val="center"/>
                        <w:rPr>
                          <w:rFonts w:hint="eastAsia" w:ascii="仿宋" w:hAnsi="仿宋" w:eastAsia="仿宋" w:cs="仿宋"/>
                          <w:sz w:val="24"/>
                          <w:szCs w:val="24"/>
                        </w:rPr>
                      </w:pPr>
                    </w:p>
                    <w:p w14:paraId="03E0F50B">
                      <w:pPr>
                        <w:jc w:val="center"/>
                        <w:rPr>
                          <w:rFonts w:hint="eastAsia" w:ascii="仿宋" w:hAnsi="仿宋" w:eastAsia="仿宋" w:cs="仿宋"/>
                          <w:sz w:val="24"/>
                          <w:szCs w:val="24"/>
                        </w:rPr>
                      </w:pPr>
                    </w:p>
                    <w:p w14:paraId="57DB81E4">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正面</w:t>
                      </w:r>
                    </w:p>
                    <w:p w14:paraId="526A6D25">
                      <w:pPr>
                        <w:rPr>
                          <w:rFonts w:hint="eastAsia"/>
                          <w:lang w:val="en-US" w:eastAsia="zh-CN"/>
                        </w:rPr>
                      </w:pPr>
                    </w:p>
                  </w:txbxContent>
                </v:textbox>
                <w10:wrap type="tight"/>
              </v:roundrect>
            </w:pict>
          </mc:Fallback>
        </mc:AlternateContent>
      </w:r>
      <w:r>
        <w:rPr>
          <w:color w:val="auto"/>
          <w:sz w:val="18"/>
        </w:rPr>
        <mc:AlternateContent>
          <mc:Choice Requires="wps">
            <w:drawing>
              <wp:anchor distT="0" distB="0" distL="114300" distR="114300" simplePos="0" relativeHeight="251666432" behindDoc="0" locked="0" layoutInCell="1" allowOverlap="1">
                <wp:simplePos x="0" y="0"/>
                <wp:positionH relativeFrom="column">
                  <wp:posOffset>2920365</wp:posOffset>
                </wp:positionH>
                <wp:positionV relativeFrom="paragraph">
                  <wp:posOffset>1524635</wp:posOffset>
                </wp:positionV>
                <wp:extent cx="2341245" cy="1367155"/>
                <wp:effectExtent l="4445" t="4445" r="16510" b="19050"/>
                <wp:wrapSquare wrapText="bothSides"/>
                <wp:docPr id="7" name="自选图形 63"/>
                <wp:cNvGraphicFramePr/>
                <a:graphic xmlns:a="http://schemas.openxmlformats.org/drawingml/2006/main">
                  <a:graphicData uri="http://schemas.microsoft.com/office/word/2010/wordprocessingShape">
                    <wps:wsp>
                      <wps:cNvSpPr/>
                      <wps:spPr>
                        <a:xfrm>
                          <a:off x="0" y="0"/>
                          <a:ext cx="234124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E7C0376">
                            <w:pPr>
                              <w:jc w:val="center"/>
                              <w:rPr>
                                <w:rFonts w:hint="eastAsia" w:ascii="仿宋" w:hAnsi="仿宋" w:eastAsia="仿宋" w:cs="仿宋"/>
                                <w:sz w:val="24"/>
                                <w:szCs w:val="24"/>
                              </w:rPr>
                            </w:pPr>
                          </w:p>
                          <w:p w14:paraId="6AAF405F">
                            <w:pPr>
                              <w:jc w:val="center"/>
                              <w:rPr>
                                <w:rFonts w:hint="eastAsia" w:ascii="仿宋" w:hAnsi="仿宋" w:eastAsia="仿宋" w:cs="仿宋"/>
                                <w:sz w:val="24"/>
                                <w:szCs w:val="24"/>
                              </w:rPr>
                            </w:pPr>
                          </w:p>
                          <w:p w14:paraId="74D9323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14:paraId="6965257E"/>
                        </w:txbxContent>
                      </wps:txbx>
                      <wps:bodyPr upright="1"/>
                    </wps:wsp>
                  </a:graphicData>
                </a:graphic>
              </wp:anchor>
            </w:drawing>
          </mc:Choice>
          <mc:Fallback>
            <w:pict>
              <v:roundrect id="自选图形 63" o:spid="_x0000_s1026" o:spt="2" style="position:absolute;left:0pt;margin-left:229.95pt;margin-top:120.05pt;height:107.65pt;width:184.35pt;mso-wrap-distance-bottom:0pt;mso-wrap-distance-left:9pt;mso-wrap-distance-right:9pt;mso-wrap-distance-top:0pt;z-index:251666432;mso-width-relative:page;mso-height-relative:page;" fillcolor="#FFFFFF" filled="t" stroked="t" coordsize="21600,21600" arcsize="0.166666666666667" o:gfxdata="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gxxbJ&#10;1gAAAAsBAAAPAAAAAAAAAAEAIAAAACIAAABkcnMvZG93bnJldi54bWxQSwECFAAUAAAACACHTuJA&#10;hloa5SMCAABYBAAADgAAAAAAAAABACAAAAAlAQAAZHJzL2Uyb0RvYy54bWxQSwUGAAAAAAYABgBZ&#10;AQAAugUAAAAA&#10;">
                <v:fill on="t" focussize="0,0"/>
                <v:stroke color="#000000" joinstyle="round"/>
                <v:imagedata o:title=""/>
                <o:lock v:ext="edit" aspectratio="f"/>
                <v:textbox>
                  <w:txbxContent>
                    <w:p w14:paraId="6E7C0376">
                      <w:pPr>
                        <w:jc w:val="center"/>
                        <w:rPr>
                          <w:rFonts w:hint="eastAsia" w:ascii="仿宋" w:hAnsi="仿宋" w:eastAsia="仿宋" w:cs="仿宋"/>
                          <w:sz w:val="24"/>
                          <w:szCs w:val="24"/>
                        </w:rPr>
                      </w:pPr>
                    </w:p>
                    <w:p w14:paraId="6AAF405F">
                      <w:pPr>
                        <w:jc w:val="center"/>
                        <w:rPr>
                          <w:rFonts w:hint="eastAsia" w:ascii="仿宋" w:hAnsi="仿宋" w:eastAsia="仿宋" w:cs="仿宋"/>
                          <w:sz w:val="24"/>
                          <w:szCs w:val="24"/>
                        </w:rPr>
                      </w:pPr>
                    </w:p>
                    <w:p w14:paraId="74D93234">
                      <w:pPr>
                        <w:jc w:val="center"/>
                        <w:rPr>
                          <w:rFonts w:hint="eastAsia" w:ascii="仿宋" w:hAnsi="仿宋" w:eastAsia="仿宋" w:cs="仿宋"/>
                          <w:sz w:val="24"/>
                          <w:szCs w:val="24"/>
                        </w:rPr>
                      </w:pPr>
                      <w:r>
                        <w:rPr>
                          <w:rFonts w:hint="eastAsia" w:ascii="仿宋" w:hAnsi="仿宋" w:eastAsia="仿宋" w:cs="仿宋"/>
                          <w:sz w:val="24"/>
                          <w:szCs w:val="24"/>
                        </w:rPr>
                        <w:t>法定代表人身份证复印件反面</w:t>
                      </w:r>
                    </w:p>
                    <w:p w14:paraId="6965257E"/>
                  </w:txbxContent>
                </v:textbox>
                <w10:wrap type="square"/>
              </v:roundrect>
            </w:pict>
          </mc:Fallback>
        </mc:AlternateContent>
      </w:r>
      <w:r>
        <w:rPr>
          <w:color w:val="auto"/>
          <w:sz w:val="18"/>
        </w:rPr>
        <mc:AlternateContent>
          <mc:Choice Requires="wps">
            <w:drawing>
              <wp:anchor distT="0" distB="0" distL="114300" distR="114300" simplePos="0" relativeHeight="251664384" behindDoc="0" locked="0" layoutInCell="1" allowOverlap="1">
                <wp:simplePos x="0" y="0"/>
                <wp:positionH relativeFrom="column">
                  <wp:posOffset>2902585</wp:posOffset>
                </wp:positionH>
                <wp:positionV relativeFrom="paragraph">
                  <wp:posOffset>41275</wp:posOffset>
                </wp:positionV>
                <wp:extent cx="2327275" cy="1367155"/>
                <wp:effectExtent l="4445" t="4445" r="11430" b="19050"/>
                <wp:wrapSquare wrapText="bothSides"/>
                <wp:docPr id="4" name="自选图形 61"/>
                <wp:cNvGraphicFramePr/>
                <a:graphic xmlns:a="http://schemas.openxmlformats.org/drawingml/2006/main">
                  <a:graphicData uri="http://schemas.microsoft.com/office/word/2010/wordprocessingShape">
                    <wps:wsp>
                      <wps:cNvSpPr/>
                      <wps:spPr>
                        <a:xfrm>
                          <a:off x="0" y="0"/>
                          <a:ext cx="2327275" cy="13671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14:paraId="67E449D3">
                            <w:pPr>
                              <w:jc w:val="center"/>
                              <w:rPr>
                                <w:rFonts w:hint="eastAsia" w:ascii="仿宋" w:hAnsi="仿宋" w:eastAsia="仿宋" w:cs="仿宋"/>
                                <w:sz w:val="24"/>
                                <w:szCs w:val="24"/>
                              </w:rPr>
                            </w:pPr>
                          </w:p>
                          <w:p w14:paraId="4E118520">
                            <w:pPr>
                              <w:jc w:val="center"/>
                              <w:rPr>
                                <w:rFonts w:hint="eastAsia" w:ascii="仿宋" w:hAnsi="仿宋" w:eastAsia="仿宋" w:cs="仿宋"/>
                                <w:sz w:val="24"/>
                                <w:szCs w:val="24"/>
                              </w:rPr>
                            </w:pPr>
                          </w:p>
                          <w:p w14:paraId="3ECD76CF">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10DD34C5"/>
                        </w:txbxContent>
                      </wps:txbx>
                      <wps:bodyPr upright="1"/>
                    </wps:wsp>
                  </a:graphicData>
                </a:graphic>
              </wp:anchor>
            </w:drawing>
          </mc:Choice>
          <mc:Fallback>
            <w:pict>
              <v:roundrect id="自选图形 61" o:spid="_x0000_s1026" o:spt="2" style="position:absolute;left:0pt;margin-left:228.55pt;margin-top:3.25pt;height:107.65pt;width:183.25pt;mso-wrap-distance-bottom:0pt;mso-wrap-distance-left:9pt;mso-wrap-distance-right:9pt;mso-wrap-distance-top:0pt;z-index:251664384;mso-width-relative:page;mso-height-relative:page;" fillcolor="#FFFFFF" filled="t" stroked="t" coordsize="21600,21600" arcsize="0.166666666666667" o:gfxdata="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vrYLV&#10;AAAACQEAAA8AAAAAAAAAAQAgAAAAIgAAAGRycy9kb3ducmV2LnhtbFBLAQIUABQAAAAIAIdO4kBX&#10;EgR5IwIAAFgEAAAOAAAAAAAAAAEAIAAAACQBAABkcnMvZTJvRG9jLnhtbFBLBQYAAAAABgAGAFkB&#10;AAC5BQAAAAA=&#10;">
                <v:fill on="t" focussize="0,0"/>
                <v:stroke color="#000000" joinstyle="round"/>
                <v:imagedata o:title=""/>
                <o:lock v:ext="edit" aspectratio="f"/>
                <v:textbox>
                  <w:txbxContent>
                    <w:p w14:paraId="67E449D3">
                      <w:pPr>
                        <w:jc w:val="center"/>
                        <w:rPr>
                          <w:rFonts w:hint="eastAsia" w:ascii="仿宋" w:hAnsi="仿宋" w:eastAsia="仿宋" w:cs="仿宋"/>
                          <w:sz w:val="24"/>
                          <w:szCs w:val="24"/>
                        </w:rPr>
                      </w:pPr>
                    </w:p>
                    <w:p w14:paraId="4E118520">
                      <w:pPr>
                        <w:jc w:val="center"/>
                        <w:rPr>
                          <w:rFonts w:hint="eastAsia" w:ascii="仿宋" w:hAnsi="仿宋" w:eastAsia="仿宋" w:cs="仿宋"/>
                          <w:sz w:val="24"/>
                          <w:szCs w:val="24"/>
                        </w:rPr>
                      </w:pPr>
                    </w:p>
                    <w:p w14:paraId="3ECD76CF">
                      <w:pPr>
                        <w:jc w:val="center"/>
                        <w:rPr>
                          <w:rFonts w:hint="eastAsia" w:ascii="仿宋" w:hAnsi="仿宋" w:eastAsia="仿宋" w:cs="仿宋"/>
                          <w:sz w:val="24"/>
                          <w:szCs w:val="24"/>
                          <w:lang w:eastAsia="zh-CN"/>
                        </w:rPr>
                      </w:pPr>
                      <w:r>
                        <w:rPr>
                          <w:rFonts w:hint="eastAsia" w:ascii="仿宋" w:hAnsi="仿宋" w:eastAsia="仿宋" w:cs="仿宋"/>
                          <w:sz w:val="24"/>
                          <w:szCs w:val="24"/>
                        </w:rPr>
                        <w:t>授权委托人身份证复印件</w:t>
                      </w:r>
                      <w:r>
                        <w:rPr>
                          <w:rFonts w:hint="eastAsia" w:ascii="仿宋" w:hAnsi="仿宋" w:eastAsia="仿宋" w:cs="仿宋"/>
                          <w:sz w:val="24"/>
                          <w:szCs w:val="24"/>
                          <w:lang w:eastAsia="zh-CN"/>
                        </w:rPr>
                        <w:t>反面</w:t>
                      </w:r>
                    </w:p>
                    <w:p w14:paraId="10DD34C5"/>
                  </w:txbxContent>
                </v:textbox>
                <w10:wrap type="square"/>
              </v:roundrect>
            </w:pict>
          </mc:Fallback>
        </mc:AlternateContent>
      </w:r>
    </w:p>
    <w:p w14:paraId="4F6DBB84">
      <w:pPr>
        <w:pStyle w:val="9"/>
        <w:numPr>
          <w:ilvl w:val="0"/>
          <w:numId w:val="0"/>
        </w:numPr>
        <w:kinsoku w:val="0"/>
        <w:overflowPunct w:val="0"/>
        <w:adjustRightInd w:val="0"/>
        <w:snapToGrid w:val="0"/>
        <w:spacing w:line="200" w:lineRule="atLeast"/>
        <w:rPr>
          <w:rFonts w:ascii="仿宋" w:hAnsi="仿宋" w:eastAsia="仿宋" w:cs="仿宋"/>
          <w:color w:val="auto"/>
          <w:sz w:val="18"/>
          <w:szCs w:val="20"/>
        </w:rPr>
      </w:pPr>
    </w:p>
    <w:p w14:paraId="472AF3B7">
      <w:pPr>
        <w:rPr>
          <w:rFonts w:ascii="仿宋" w:hAnsi="仿宋" w:eastAsia="仿宋" w:cs="仿宋"/>
          <w:color w:val="auto"/>
          <w:sz w:val="18"/>
          <w:szCs w:val="20"/>
        </w:rPr>
      </w:pPr>
    </w:p>
    <w:p w14:paraId="1259F7B7">
      <w:pPr>
        <w:pStyle w:val="32"/>
        <w:rPr>
          <w:rFonts w:ascii="仿宋" w:hAnsi="仿宋" w:eastAsia="仿宋" w:cs="仿宋"/>
          <w:color w:val="auto"/>
          <w:sz w:val="18"/>
          <w:szCs w:val="20"/>
        </w:rPr>
      </w:pPr>
    </w:p>
    <w:p w14:paraId="3549FD10">
      <w:pPr>
        <w:pStyle w:val="32"/>
        <w:rPr>
          <w:rFonts w:ascii="仿宋" w:hAnsi="仿宋" w:eastAsia="仿宋" w:cs="仿宋"/>
          <w:color w:val="auto"/>
          <w:sz w:val="18"/>
          <w:szCs w:val="20"/>
        </w:rPr>
      </w:pPr>
    </w:p>
    <w:p w14:paraId="5ECD9A4E">
      <w:pPr>
        <w:pStyle w:val="32"/>
        <w:rPr>
          <w:rFonts w:ascii="仿宋" w:hAnsi="仿宋" w:eastAsia="仿宋" w:cs="仿宋"/>
          <w:color w:val="auto"/>
          <w:sz w:val="18"/>
          <w:szCs w:val="20"/>
        </w:rPr>
      </w:pPr>
    </w:p>
    <w:p w14:paraId="4A5363BE">
      <w:pPr>
        <w:pStyle w:val="32"/>
        <w:rPr>
          <w:rFonts w:ascii="仿宋" w:hAnsi="仿宋" w:eastAsia="仿宋" w:cs="仿宋"/>
          <w:color w:val="auto"/>
          <w:sz w:val="18"/>
          <w:szCs w:val="20"/>
        </w:rPr>
      </w:pPr>
    </w:p>
    <w:p w14:paraId="5DD4205E">
      <w:pPr>
        <w:pStyle w:val="9"/>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p>
    <w:p w14:paraId="37DA0874">
      <w:pPr>
        <w:pStyle w:val="9"/>
        <w:numPr>
          <w:ilvl w:val="0"/>
          <w:numId w:val="0"/>
        </w:numPr>
        <w:tabs>
          <w:tab w:val="left" w:pos="5295"/>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被授权代表（签章）：          供应商法定代表人（签章）：</w:t>
      </w:r>
    </w:p>
    <w:p w14:paraId="1DACFD89">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14:paraId="286B0501">
      <w:pPr>
        <w:pStyle w:val="9"/>
        <w:numPr>
          <w:ilvl w:val="0"/>
          <w:numId w:val="0"/>
        </w:numPr>
        <w:tabs>
          <w:tab w:val="left" w:pos="1098"/>
          <w:tab w:val="left" w:pos="5298"/>
          <w:tab w:val="left" w:pos="5778"/>
        </w:tabs>
        <w:kinsoku w:val="0"/>
        <w:overflowPunct w:val="0"/>
        <w:adjustRightInd w:val="0"/>
        <w:snapToGrid w:val="0"/>
        <w:spacing w:line="360" w:lineRule="auto"/>
        <w:ind w:left="709"/>
        <w:rPr>
          <w:rFonts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14:paraId="66FAF059">
      <w:pPr>
        <w:pStyle w:val="9"/>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14:paraId="703196F1">
      <w:pPr>
        <w:pStyle w:val="9"/>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14:paraId="49776BB7">
      <w:pPr>
        <w:pStyle w:val="32"/>
        <w:rPr>
          <w:rFonts w:ascii="仿宋" w:hAnsi="仿宋" w:eastAsia="仿宋" w:cs="仿宋"/>
          <w:b/>
          <w:bCs/>
          <w:color w:val="auto"/>
          <w:sz w:val="36"/>
          <w:szCs w:val="36"/>
          <w:lang w:eastAsia="zh-CN"/>
        </w:rPr>
      </w:pPr>
      <w:r>
        <w:rPr>
          <w:rFonts w:hint="eastAsia" w:ascii="仿宋" w:hAnsi="仿宋" w:eastAsia="仿宋" w:cs="仿宋"/>
          <w:color w:val="auto"/>
          <w:lang w:eastAsia="zh-CN"/>
        </w:rPr>
        <w:br w:type="page"/>
      </w:r>
    </w:p>
    <w:p w14:paraId="0576756D">
      <w:pPr>
        <w:pStyle w:val="4"/>
        <w:spacing w:line="240" w:lineRule="atLeast"/>
        <w:rPr>
          <w:rFonts w:ascii="仿宋" w:hAnsi="仿宋" w:eastAsia="仿宋" w:cs="仿宋"/>
          <w:color w:val="auto"/>
          <w:sz w:val="24"/>
          <w:lang w:eastAsia="zh-CN"/>
        </w:rPr>
      </w:pPr>
      <w:r>
        <w:rPr>
          <w:rFonts w:hint="eastAsia" w:ascii="仿宋" w:hAnsi="仿宋" w:eastAsia="仿宋" w:cs="仿宋"/>
          <w:color w:val="auto"/>
          <w:sz w:val="24"/>
          <w:lang w:eastAsia="zh-CN"/>
        </w:rPr>
        <w:t>4、参加政府采购活动前3年内</w:t>
      </w:r>
      <w:bookmarkStart w:id="66" w:name="_Toc1137"/>
      <w:bookmarkStart w:id="67" w:name="_Toc6008"/>
      <w:bookmarkStart w:id="68" w:name="_Toc515647812"/>
      <w:r>
        <w:rPr>
          <w:rFonts w:hint="eastAsia" w:ascii="仿宋" w:hAnsi="仿宋" w:eastAsia="仿宋" w:cs="仿宋"/>
          <w:color w:val="auto"/>
          <w:sz w:val="24"/>
          <w:lang w:eastAsia="zh-CN"/>
        </w:rPr>
        <w:t>在经营活动中没有重大违法记录的书面声明</w:t>
      </w:r>
      <w:bookmarkEnd w:id="66"/>
      <w:bookmarkEnd w:id="67"/>
      <w:bookmarkEnd w:id="68"/>
    </w:p>
    <w:p w14:paraId="0F53CB50">
      <w:pPr>
        <w:pStyle w:val="13"/>
        <w:tabs>
          <w:tab w:val="left" w:pos="5580"/>
        </w:tabs>
        <w:spacing w:line="240" w:lineRule="atLeast"/>
        <w:ind w:left="1164" w:leftChars="257" w:hanging="540"/>
        <w:jc w:val="center"/>
        <w:rPr>
          <w:rFonts w:ascii="仿宋" w:hAnsi="仿宋" w:eastAsia="仿宋" w:cs="仿宋"/>
          <w:b/>
          <w:color w:val="auto"/>
          <w:lang w:eastAsia="zh-CN"/>
        </w:rPr>
      </w:pPr>
    </w:p>
    <w:p w14:paraId="24C8C45A">
      <w:pPr>
        <w:pStyle w:val="13"/>
        <w:tabs>
          <w:tab w:val="left" w:pos="5580"/>
        </w:tabs>
        <w:spacing w:line="240" w:lineRule="atLeast"/>
        <w:ind w:left="1164" w:leftChars="257" w:hanging="540"/>
        <w:rPr>
          <w:rFonts w:ascii="仿宋" w:hAnsi="仿宋" w:eastAsia="仿宋" w:cs="仿宋"/>
          <w:color w:val="auto"/>
          <w:lang w:eastAsia="zh-CN"/>
        </w:rPr>
      </w:pPr>
    </w:p>
    <w:p w14:paraId="65550C22">
      <w:pPr>
        <w:pStyle w:val="13"/>
        <w:tabs>
          <w:tab w:val="left" w:pos="5580"/>
        </w:tabs>
        <w:spacing w:line="240" w:lineRule="atLeast"/>
        <w:ind w:left="1164" w:leftChars="257" w:hanging="540"/>
        <w:rPr>
          <w:rFonts w:ascii="仿宋" w:hAnsi="仿宋" w:eastAsia="仿宋" w:cs="仿宋"/>
          <w:color w:val="auto"/>
          <w:lang w:eastAsia="zh-CN"/>
        </w:rPr>
      </w:pPr>
    </w:p>
    <w:p w14:paraId="0B2B5E0B">
      <w:pPr>
        <w:pStyle w:val="13"/>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说明：1.供应商应按照相关法规规定如实作出说明。</w:t>
      </w:r>
    </w:p>
    <w:p w14:paraId="7D0B0F30">
      <w:pPr>
        <w:pStyle w:val="13"/>
        <w:tabs>
          <w:tab w:val="left" w:pos="5580"/>
        </w:tabs>
        <w:spacing w:line="360" w:lineRule="auto"/>
        <w:ind w:left="746" w:leftChars="307" w:firstLine="607" w:firstLineChars="250"/>
        <w:rPr>
          <w:rFonts w:ascii="仿宋" w:hAnsi="仿宋" w:eastAsia="仿宋" w:cs="仿宋"/>
          <w:color w:val="auto"/>
          <w:lang w:eastAsia="zh-CN"/>
        </w:rPr>
      </w:pPr>
      <w:r>
        <w:rPr>
          <w:rFonts w:hint="eastAsia" w:ascii="仿宋" w:hAnsi="仿宋" w:eastAsia="仿宋" w:cs="仿宋"/>
          <w:color w:val="auto"/>
          <w:lang w:eastAsia="zh-CN"/>
        </w:rPr>
        <w:t>2．按照磋商文件的规定加盖单位章（自然人投标的无需盖章，需要签字）。</w:t>
      </w:r>
    </w:p>
    <w:p w14:paraId="080DE818">
      <w:pPr>
        <w:pStyle w:val="13"/>
        <w:tabs>
          <w:tab w:val="left" w:pos="5580"/>
        </w:tabs>
        <w:spacing w:line="360" w:lineRule="auto"/>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      </w:t>
      </w:r>
    </w:p>
    <w:p w14:paraId="7F4C9B38">
      <w:pPr>
        <w:pStyle w:val="5"/>
        <w:rPr>
          <w:rFonts w:ascii="仿宋" w:hAnsi="仿宋" w:eastAsia="仿宋" w:cs="仿宋"/>
          <w:color w:val="auto"/>
          <w:sz w:val="36"/>
          <w:szCs w:val="36"/>
          <w:lang w:eastAsia="zh-CN"/>
        </w:rPr>
      </w:pPr>
    </w:p>
    <w:p w14:paraId="12F94621">
      <w:pPr>
        <w:rPr>
          <w:rFonts w:ascii="仿宋" w:hAnsi="仿宋" w:eastAsia="仿宋" w:cs="仿宋"/>
          <w:b/>
          <w:bCs/>
          <w:color w:val="auto"/>
          <w:sz w:val="36"/>
          <w:szCs w:val="36"/>
          <w:lang w:eastAsia="zh-CN"/>
        </w:rPr>
      </w:pPr>
    </w:p>
    <w:p w14:paraId="417D9D54">
      <w:pPr>
        <w:pStyle w:val="5"/>
        <w:rPr>
          <w:rFonts w:ascii="仿宋" w:hAnsi="仿宋" w:eastAsia="仿宋" w:cs="仿宋"/>
          <w:color w:val="auto"/>
          <w:sz w:val="36"/>
          <w:szCs w:val="36"/>
          <w:lang w:eastAsia="zh-CN"/>
        </w:rPr>
      </w:pPr>
    </w:p>
    <w:p w14:paraId="3559E5F3">
      <w:pPr>
        <w:rPr>
          <w:rFonts w:ascii="仿宋" w:hAnsi="仿宋" w:eastAsia="仿宋" w:cs="仿宋"/>
          <w:b/>
          <w:bCs/>
          <w:color w:val="auto"/>
          <w:sz w:val="36"/>
          <w:szCs w:val="36"/>
          <w:lang w:eastAsia="zh-CN"/>
        </w:rPr>
      </w:pPr>
    </w:p>
    <w:p w14:paraId="51E2A591">
      <w:pPr>
        <w:pStyle w:val="5"/>
        <w:rPr>
          <w:rFonts w:ascii="仿宋" w:hAnsi="仿宋" w:eastAsia="仿宋" w:cs="仿宋"/>
          <w:color w:val="auto"/>
          <w:sz w:val="36"/>
          <w:szCs w:val="36"/>
          <w:lang w:eastAsia="zh-CN"/>
        </w:rPr>
      </w:pPr>
    </w:p>
    <w:p w14:paraId="57694698">
      <w:pPr>
        <w:rPr>
          <w:rFonts w:ascii="仿宋" w:hAnsi="仿宋" w:eastAsia="仿宋" w:cs="仿宋"/>
          <w:b/>
          <w:bCs/>
          <w:color w:val="auto"/>
          <w:sz w:val="36"/>
          <w:szCs w:val="36"/>
          <w:lang w:eastAsia="zh-CN"/>
        </w:rPr>
      </w:pPr>
    </w:p>
    <w:p w14:paraId="6A399E25">
      <w:pPr>
        <w:pStyle w:val="5"/>
        <w:rPr>
          <w:rFonts w:ascii="仿宋" w:hAnsi="仿宋" w:eastAsia="仿宋" w:cs="仿宋"/>
          <w:color w:val="auto"/>
          <w:sz w:val="36"/>
          <w:szCs w:val="36"/>
          <w:lang w:eastAsia="zh-CN"/>
        </w:rPr>
      </w:pPr>
    </w:p>
    <w:p w14:paraId="78ACDC37">
      <w:pPr>
        <w:rPr>
          <w:rFonts w:ascii="仿宋" w:hAnsi="仿宋" w:eastAsia="仿宋" w:cs="仿宋"/>
          <w:b/>
          <w:bCs/>
          <w:color w:val="auto"/>
          <w:sz w:val="36"/>
          <w:szCs w:val="36"/>
          <w:lang w:eastAsia="zh-CN"/>
        </w:rPr>
      </w:pPr>
    </w:p>
    <w:p w14:paraId="614BE2F5">
      <w:pPr>
        <w:pStyle w:val="5"/>
        <w:rPr>
          <w:rFonts w:ascii="仿宋" w:hAnsi="仿宋" w:eastAsia="仿宋" w:cs="仿宋"/>
          <w:color w:val="auto"/>
          <w:sz w:val="36"/>
          <w:szCs w:val="36"/>
          <w:lang w:eastAsia="zh-CN"/>
        </w:rPr>
      </w:pPr>
    </w:p>
    <w:p w14:paraId="5B76E040">
      <w:pPr>
        <w:rPr>
          <w:rFonts w:ascii="仿宋" w:hAnsi="仿宋" w:eastAsia="仿宋" w:cs="仿宋"/>
          <w:b/>
          <w:bCs/>
          <w:color w:val="auto"/>
          <w:sz w:val="36"/>
          <w:szCs w:val="36"/>
          <w:lang w:eastAsia="zh-CN"/>
        </w:rPr>
      </w:pPr>
    </w:p>
    <w:p w14:paraId="1645751C">
      <w:pPr>
        <w:pStyle w:val="5"/>
        <w:rPr>
          <w:rFonts w:ascii="仿宋" w:hAnsi="仿宋" w:eastAsia="仿宋" w:cs="仿宋"/>
          <w:color w:val="auto"/>
          <w:sz w:val="36"/>
          <w:szCs w:val="36"/>
          <w:lang w:eastAsia="zh-CN"/>
        </w:rPr>
      </w:pPr>
    </w:p>
    <w:p w14:paraId="100A612D">
      <w:pPr>
        <w:rPr>
          <w:rFonts w:ascii="仿宋" w:hAnsi="仿宋" w:eastAsia="仿宋" w:cs="仿宋"/>
          <w:b/>
          <w:bCs/>
          <w:color w:val="auto"/>
          <w:sz w:val="36"/>
          <w:szCs w:val="36"/>
          <w:lang w:eastAsia="zh-CN"/>
        </w:rPr>
      </w:pPr>
    </w:p>
    <w:p w14:paraId="645D6697">
      <w:pPr>
        <w:pStyle w:val="4"/>
        <w:spacing w:line="240" w:lineRule="atLeast"/>
        <w:rPr>
          <w:rFonts w:ascii="仿宋" w:hAnsi="仿宋" w:eastAsia="仿宋" w:cs="仿宋"/>
          <w:bCs/>
          <w:color w:val="auto"/>
          <w:sz w:val="36"/>
          <w:szCs w:val="36"/>
          <w:lang w:eastAsia="zh-CN"/>
        </w:rPr>
      </w:pPr>
    </w:p>
    <w:p w14:paraId="0DD7498F">
      <w:pPr>
        <w:pStyle w:val="4"/>
        <w:spacing w:line="240" w:lineRule="atLeast"/>
        <w:rPr>
          <w:rFonts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5、投标保证金缴纳凭证或投标担保函</w:t>
      </w:r>
    </w:p>
    <w:p w14:paraId="64FDF470">
      <w:pPr>
        <w:ind w:firstLine="486" w:firstLineChars="200"/>
        <w:rPr>
          <w:rFonts w:ascii="仿宋" w:hAnsi="仿宋" w:eastAsia="仿宋" w:cs="仿宋"/>
          <w:color w:val="auto"/>
          <w:lang w:eastAsia="zh-CN"/>
        </w:rPr>
      </w:pPr>
      <w:bookmarkStart w:id="69" w:name="_Toc494296665"/>
      <w:bookmarkStart w:id="70" w:name="_Toc494296991"/>
    </w:p>
    <w:bookmarkEnd w:id="69"/>
    <w:bookmarkEnd w:id="70"/>
    <w:p w14:paraId="0732FDF1">
      <w:pPr>
        <w:pStyle w:val="6"/>
        <w:rPr>
          <w:rFonts w:ascii="仿宋" w:hAnsi="仿宋" w:eastAsia="仿宋" w:cs="仿宋"/>
          <w:color w:val="auto"/>
          <w:lang w:eastAsia="zh-CN"/>
        </w:rPr>
      </w:pPr>
    </w:p>
    <w:p w14:paraId="1DD8AABE">
      <w:pPr>
        <w:pStyle w:val="6"/>
        <w:rPr>
          <w:rFonts w:ascii="仿宋" w:hAnsi="仿宋" w:eastAsia="仿宋" w:cs="仿宋"/>
          <w:color w:val="auto"/>
        </w:rPr>
      </w:pPr>
    </w:p>
    <w:p w14:paraId="6554A7AD">
      <w:pPr>
        <w:spacing w:line="240" w:lineRule="atLeast"/>
        <w:ind w:left="1164" w:leftChars="257" w:hanging="540"/>
        <w:jc w:val="center"/>
        <w:rPr>
          <w:rFonts w:ascii="仿宋" w:hAnsi="仿宋" w:eastAsia="仿宋" w:cs="仿宋"/>
          <w:color w:val="auto"/>
        </w:rPr>
      </w:pPr>
    </w:p>
    <w:p w14:paraId="14C4653E">
      <w:pPr>
        <w:rPr>
          <w:rFonts w:ascii="仿宋" w:hAnsi="仿宋" w:eastAsia="仿宋" w:cs="仿宋"/>
          <w:color w:val="auto"/>
          <w:sz w:val="28"/>
          <w:szCs w:val="28"/>
        </w:rPr>
      </w:pPr>
    </w:p>
    <w:tbl>
      <w:tblPr>
        <w:tblStyle w:val="25"/>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14:paraId="7986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14:paraId="57E15A87">
            <w:pPr>
              <w:rPr>
                <w:rFonts w:ascii="仿宋" w:hAnsi="仿宋" w:eastAsia="仿宋" w:cs="仿宋"/>
                <w:b/>
                <w:bCs/>
                <w:color w:val="auto"/>
                <w:sz w:val="30"/>
                <w:szCs w:val="30"/>
                <w:highlight w:val="none"/>
              </w:rPr>
            </w:pPr>
          </w:p>
          <w:p w14:paraId="5ADB3B1B">
            <w:pPr>
              <w:jc w:val="center"/>
              <w:rPr>
                <w:rFonts w:ascii="仿宋" w:hAnsi="仿宋" w:eastAsia="仿宋" w:cs="仿宋"/>
                <w:b/>
                <w:bCs/>
                <w:color w:val="auto"/>
                <w:sz w:val="30"/>
                <w:szCs w:val="30"/>
                <w:highlight w:val="none"/>
              </w:rPr>
            </w:pPr>
          </w:p>
          <w:p w14:paraId="5FCA5254">
            <w:pPr>
              <w:jc w:val="center"/>
              <w:rPr>
                <w:rFonts w:ascii="仿宋" w:hAnsi="仿宋" w:eastAsia="仿宋" w:cs="仿宋"/>
                <w:b/>
                <w:bCs/>
                <w:color w:val="auto"/>
                <w:sz w:val="30"/>
                <w:szCs w:val="30"/>
                <w:highlight w:val="none"/>
                <w:lang w:eastAsia="zh-CN"/>
              </w:rPr>
            </w:pPr>
            <w:r>
              <w:rPr>
                <w:rFonts w:hint="eastAsia" w:ascii="仿宋" w:hAnsi="仿宋" w:eastAsia="仿宋" w:cs="仿宋"/>
                <w:b/>
                <w:bCs/>
                <w:color w:val="auto"/>
                <w:sz w:val="30"/>
                <w:szCs w:val="30"/>
                <w:highlight w:val="none"/>
                <w:lang w:eastAsia="zh-CN"/>
              </w:rPr>
              <w:t>打款凭证</w:t>
            </w:r>
          </w:p>
        </w:tc>
      </w:tr>
    </w:tbl>
    <w:p w14:paraId="5ED5416B">
      <w:pPr>
        <w:pStyle w:val="6"/>
        <w:rPr>
          <w:rFonts w:ascii="仿宋" w:hAnsi="仿宋" w:eastAsia="仿宋" w:cs="仿宋"/>
          <w:color w:val="auto"/>
        </w:rPr>
      </w:pPr>
    </w:p>
    <w:p w14:paraId="57B82093">
      <w:pPr>
        <w:pStyle w:val="6"/>
        <w:rPr>
          <w:rFonts w:ascii="仿宋" w:hAnsi="仿宋" w:eastAsia="仿宋" w:cs="仿宋"/>
          <w:color w:val="auto"/>
        </w:rPr>
      </w:pPr>
    </w:p>
    <w:p w14:paraId="546EF4B2">
      <w:pPr>
        <w:pStyle w:val="6"/>
        <w:rPr>
          <w:rFonts w:ascii="仿宋" w:hAnsi="仿宋" w:eastAsia="仿宋" w:cs="仿宋"/>
          <w:color w:val="auto"/>
        </w:rPr>
      </w:pPr>
    </w:p>
    <w:p w14:paraId="42E3E899">
      <w:pPr>
        <w:pStyle w:val="6"/>
        <w:rPr>
          <w:rFonts w:ascii="仿宋" w:hAnsi="仿宋" w:eastAsia="仿宋" w:cs="仿宋"/>
          <w:color w:val="auto"/>
        </w:rPr>
      </w:pPr>
    </w:p>
    <w:p w14:paraId="7070C69D">
      <w:pPr>
        <w:pStyle w:val="6"/>
        <w:rPr>
          <w:rFonts w:ascii="仿宋" w:hAnsi="仿宋" w:eastAsia="仿宋" w:cs="仿宋"/>
          <w:color w:val="auto"/>
        </w:rPr>
      </w:pPr>
    </w:p>
    <w:p w14:paraId="2D6FCF23">
      <w:pPr>
        <w:pStyle w:val="6"/>
        <w:rPr>
          <w:rFonts w:ascii="仿宋" w:hAnsi="仿宋" w:eastAsia="仿宋" w:cs="仿宋"/>
          <w:color w:val="auto"/>
        </w:rPr>
      </w:pPr>
    </w:p>
    <w:p w14:paraId="67921A70">
      <w:pPr>
        <w:rPr>
          <w:rFonts w:ascii="仿宋" w:hAnsi="仿宋" w:eastAsia="仿宋" w:cs="仿宋"/>
          <w:color w:val="auto"/>
        </w:rPr>
      </w:pPr>
    </w:p>
    <w:p w14:paraId="7EA95931">
      <w:pPr>
        <w:pStyle w:val="5"/>
        <w:rPr>
          <w:rFonts w:ascii="仿宋" w:hAnsi="仿宋" w:eastAsia="仿宋" w:cs="仿宋"/>
          <w:color w:val="auto"/>
        </w:rPr>
      </w:pPr>
    </w:p>
    <w:p w14:paraId="34870047">
      <w:pPr>
        <w:rPr>
          <w:rFonts w:ascii="仿宋" w:hAnsi="仿宋" w:eastAsia="仿宋" w:cs="仿宋"/>
          <w:color w:val="auto"/>
        </w:rPr>
      </w:pPr>
    </w:p>
    <w:p w14:paraId="57DD8DDD">
      <w:pPr>
        <w:rPr>
          <w:rFonts w:ascii="仿宋" w:hAnsi="仿宋" w:eastAsia="仿宋" w:cs="仿宋"/>
          <w:color w:val="auto"/>
        </w:rPr>
      </w:pPr>
    </w:p>
    <w:p w14:paraId="41E7FFDA">
      <w:pPr>
        <w:rPr>
          <w:rFonts w:ascii="仿宋" w:hAnsi="仿宋" w:eastAsia="仿宋" w:cs="仿宋"/>
          <w:color w:val="auto"/>
        </w:rPr>
      </w:pPr>
    </w:p>
    <w:p w14:paraId="43E59C11">
      <w:pPr>
        <w:jc w:val="center"/>
        <w:rPr>
          <w:rFonts w:ascii="仿宋" w:hAnsi="仿宋" w:eastAsia="仿宋" w:cs="仿宋"/>
          <w:color w:val="auto"/>
          <w:sz w:val="28"/>
          <w:szCs w:val="28"/>
        </w:rPr>
      </w:pPr>
    </w:p>
    <w:p w14:paraId="780E7B9F">
      <w:pPr>
        <w:jc w:val="center"/>
        <w:rPr>
          <w:rFonts w:ascii="仿宋" w:hAnsi="仿宋" w:eastAsia="仿宋" w:cs="仿宋"/>
          <w:color w:val="auto"/>
          <w:sz w:val="28"/>
          <w:szCs w:val="28"/>
        </w:rPr>
      </w:pPr>
    </w:p>
    <w:p w14:paraId="30D2D984">
      <w:pPr>
        <w:jc w:val="center"/>
        <w:rPr>
          <w:rFonts w:ascii="仿宋" w:hAnsi="仿宋" w:eastAsia="仿宋" w:cs="仿宋"/>
          <w:color w:val="auto"/>
          <w:sz w:val="28"/>
          <w:szCs w:val="28"/>
        </w:rPr>
      </w:pPr>
    </w:p>
    <w:p w14:paraId="70239D61">
      <w:pPr>
        <w:jc w:val="center"/>
        <w:rPr>
          <w:rFonts w:ascii="仿宋" w:hAnsi="仿宋" w:eastAsia="仿宋" w:cs="仿宋"/>
          <w:color w:val="auto"/>
          <w:sz w:val="28"/>
          <w:szCs w:val="28"/>
        </w:rPr>
      </w:pPr>
    </w:p>
    <w:p w14:paraId="5A749D4C">
      <w:pPr>
        <w:jc w:val="center"/>
        <w:rPr>
          <w:rFonts w:ascii="仿宋" w:hAnsi="仿宋" w:eastAsia="仿宋" w:cs="仿宋"/>
          <w:color w:val="auto"/>
          <w:sz w:val="28"/>
          <w:szCs w:val="28"/>
        </w:rPr>
      </w:pPr>
    </w:p>
    <w:p w14:paraId="1C6B06A2">
      <w:pPr>
        <w:jc w:val="center"/>
        <w:rPr>
          <w:rFonts w:ascii="仿宋" w:hAnsi="仿宋" w:eastAsia="仿宋" w:cs="仿宋"/>
          <w:color w:val="auto"/>
          <w:sz w:val="28"/>
          <w:szCs w:val="28"/>
        </w:rPr>
      </w:pPr>
    </w:p>
    <w:p w14:paraId="653EB3C8">
      <w:pPr>
        <w:jc w:val="center"/>
        <w:rPr>
          <w:rFonts w:ascii="仿宋" w:hAnsi="仿宋" w:eastAsia="仿宋" w:cs="仿宋"/>
          <w:color w:val="auto"/>
          <w:sz w:val="28"/>
          <w:szCs w:val="28"/>
        </w:rPr>
      </w:pPr>
    </w:p>
    <w:p w14:paraId="00A4FF08">
      <w:pPr>
        <w:jc w:val="center"/>
        <w:rPr>
          <w:rFonts w:ascii="仿宋" w:hAnsi="仿宋" w:eastAsia="仿宋" w:cs="仿宋"/>
          <w:color w:val="auto"/>
          <w:sz w:val="28"/>
          <w:szCs w:val="28"/>
        </w:rPr>
      </w:pPr>
    </w:p>
    <w:p w14:paraId="3B25799C">
      <w:pPr>
        <w:spacing w:line="360" w:lineRule="auto"/>
        <w:jc w:val="both"/>
        <w:rPr>
          <w:rFonts w:ascii="仿宋" w:hAnsi="仿宋" w:eastAsia="仿宋" w:cs="仿宋"/>
          <w:b/>
          <w:bCs/>
          <w:color w:val="auto"/>
          <w:sz w:val="28"/>
          <w:szCs w:val="28"/>
          <w:lang w:eastAsia="zh-CN"/>
        </w:rPr>
      </w:pPr>
    </w:p>
    <w:p w14:paraId="3D6FF65B">
      <w:pPr>
        <w:spacing w:line="360" w:lineRule="auto"/>
        <w:jc w:val="center"/>
        <w:rPr>
          <w:rFonts w:hint="eastAsia" w:ascii="仿宋" w:hAnsi="仿宋" w:eastAsia="仿宋" w:cs="仿宋"/>
          <w:b/>
          <w:bCs/>
          <w:color w:val="auto"/>
          <w:sz w:val="28"/>
          <w:szCs w:val="28"/>
          <w:lang w:eastAsia="zh-CN"/>
        </w:rPr>
      </w:pPr>
    </w:p>
    <w:p w14:paraId="75EDB870">
      <w:pPr>
        <w:spacing w:line="360" w:lineRule="auto"/>
        <w:jc w:val="center"/>
        <w:rPr>
          <w:rFonts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14:paraId="0FDA74DB">
      <w:pPr>
        <w:spacing w:line="360" w:lineRule="auto"/>
        <w:rPr>
          <w:rFonts w:ascii="仿宋" w:hAnsi="仿宋" w:eastAsia="仿宋" w:cs="仿宋"/>
          <w:color w:val="auto"/>
          <w:lang w:eastAsia="zh-CN"/>
        </w:rPr>
      </w:pPr>
      <w:r>
        <w:rPr>
          <w:rFonts w:hint="eastAsia" w:ascii="仿宋" w:hAnsi="仿宋" w:eastAsia="仿宋" w:cs="仿宋"/>
          <w:color w:val="auto"/>
          <w:lang w:eastAsia="zh-CN"/>
        </w:rPr>
        <w:t>编号：</w:t>
      </w:r>
    </w:p>
    <w:p w14:paraId="1BEAF8CB">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14:paraId="6097B6BA">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（以下简称“供应商”）拟参加编号为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1D0A0378">
      <w:pPr>
        <w:spacing w:line="360" w:lineRule="auto"/>
        <w:rPr>
          <w:rFonts w:ascii="仿宋" w:hAnsi="仿宋" w:eastAsia="仿宋" w:cs="仿宋"/>
          <w:color w:val="auto"/>
          <w:lang w:eastAsia="zh-CN"/>
        </w:rPr>
      </w:pPr>
      <w:r>
        <w:rPr>
          <w:rFonts w:hint="eastAsia" w:ascii="仿宋" w:hAnsi="仿宋" w:eastAsia="仿宋" w:cs="仿宋"/>
          <w:color w:val="auto"/>
          <w:lang w:eastAsia="zh-CN"/>
        </w:rPr>
        <w:t>项目（以下简称“本项目”）投标，根据本项目询价通知书，供应商参加投标时应向你方缴纳投标保证金，且可以投标担保函的形式缴纳投标保证金。应供应商的申请，我方以保证的方式向你方提供如下投标保证金担保：</w:t>
      </w:r>
    </w:p>
    <w:p w14:paraId="7B428174">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一、保证责任的情形及保证金额</w:t>
      </w:r>
    </w:p>
    <w:p w14:paraId="5145BE64">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（一）在供应商出现下列情形之一时，我方承担保证责任：</w:t>
      </w:r>
    </w:p>
    <w:p w14:paraId="38A8249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1．中标后供应商无正当理由不与采购人或者采购代理机构签订《政府采购合同》；</w:t>
      </w:r>
    </w:p>
    <w:p w14:paraId="3466EEA0">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2．询价通知书规定的供应商应当缴纳保证金的其他情形。</w:t>
      </w:r>
    </w:p>
    <w:p w14:paraId="12DCCCF0">
      <w:pPr>
        <w:spacing w:line="360" w:lineRule="auto"/>
        <w:ind w:firstLine="243" w:firstLineChars="100"/>
        <w:rPr>
          <w:rFonts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14:paraId="31D9EF1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二、保证的方式及保证期间</w:t>
      </w:r>
    </w:p>
    <w:p w14:paraId="0A0F498C">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我方保证的方式为：连带责任保证。</w:t>
      </w:r>
    </w:p>
    <w:p w14:paraId="18B627B0">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14:paraId="630B5DB2">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三、承担保证责任的程序</w:t>
      </w:r>
    </w:p>
    <w:p w14:paraId="5D381752">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1．你方要求我方承担保证责任的，应在本保函保证期间内向我方发出书面索赔通知。索赔通知应写明要求索赔的金额，支付款项应到达的账号，并附有证明供应商发生我方应承担保证责任情形的事实材料。</w:t>
      </w:r>
    </w:p>
    <w:p w14:paraId="3707C9C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个工作日内进行审查，符合应承担保证责任情形的，我方应按照你方的要求代供应商向你方支付投标保证金。</w:t>
      </w:r>
    </w:p>
    <w:p w14:paraId="4A0FB55A">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四、保证责任的终止</w:t>
      </w:r>
    </w:p>
    <w:p w14:paraId="434FE366">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14:paraId="1884F94C">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14:paraId="28F10633">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14:paraId="0DE980D5">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五、免责条款</w:t>
      </w:r>
    </w:p>
    <w:p w14:paraId="66C3C6CA">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1．依照法律规定或你方与供应商的另行约定，全部或者部分免除供应商投标保证金义务时，我方亦免除相应的保证责任。</w:t>
      </w:r>
    </w:p>
    <w:p w14:paraId="54FB2B31">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2．因你方原因致使供应商发生本保函第一条第（一）款约定情形的，我方不承担保证责任。</w:t>
      </w:r>
    </w:p>
    <w:p w14:paraId="074AB935">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3．因不可抗力造成供应商发生本保函第一条约定情形的，我方不承担保证责任。</w:t>
      </w:r>
    </w:p>
    <w:p w14:paraId="03811308">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14:paraId="387EFE8F">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六、争议的解决</w:t>
      </w:r>
    </w:p>
    <w:p w14:paraId="4C5AFF39">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14:paraId="05DC20B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七、保函的生效</w:t>
      </w:r>
    </w:p>
    <w:p w14:paraId="2F17854E">
      <w:pPr>
        <w:spacing w:line="360" w:lineRule="auto"/>
        <w:ind w:firstLine="486" w:firstLineChars="200"/>
        <w:rPr>
          <w:rFonts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14:paraId="4660BA8E">
      <w:pPr>
        <w:spacing w:line="360" w:lineRule="auto"/>
        <w:ind w:firstLine="6439" w:firstLineChars="2650"/>
        <w:rPr>
          <w:rFonts w:ascii="仿宋" w:hAnsi="仿宋" w:eastAsia="仿宋" w:cs="仿宋"/>
          <w:color w:val="auto"/>
          <w:lang w:eastAsia="zh-CN"/>
        </w:rPr>
      </w:pPr>
    </w:p>
    <w:p w14:paraId="51CBE1FD">
      <w:pPr>
        <w:spacing w:line="360" w:lineRule="auto"/>
        <w:ind w:firstLine="6439" w:firstLineChars="2650"/>
        <w:rPr>
          <w:rFonts w:ascii="仿宋" w:hAnsi="仿宋" w:eastAsia="仿宋" w:cs="仿宋"/>
          <w:color w:val="auto"/>
          <w:lang w:eastAsia="zh-CN"/>
        </w:rPr>
      </w:pPr>
    </w:p>
    <w:p w14:paraId="0B67BBB6">
      <w:pPr>
        <w:spacing w:line="360" w:lineRule="auto"/>
        <w:ind w:firstLine="6439" w:firstLineChars="2650"/>
        <w:rPr>
          <w:rFonts w:ascii="仿宋" w:hAnsi="仿宋" w:eastAsia="仿宋" w:cs="仿宋"/>
          <w:color w:val="auto"/>
          <w:lang w:eastAsia="zh-CN"/>
        </w:rPr>
      </w:pPr>
      <w:r>
        <w:rPr>
          <w:rFonts w:hint="eastAsia" w:ascii="仿宋" w:hAnsi="仿宋" w:eastAsia="仿宋" w:cs="仿宋"/>
          <w:color w:val="auto"/>
          <w:lang w:eastAsia="zh-CN"/>
        </w:rPr>
        <w:t>保证人：（公章）</w:t>
      </w:r>
    </w:p>
    <w:p w14:paraId="65723989">
      <w:pPr>
        <w:spacing w:line="360" w:lineRule="auto"/>
        <w:rPr>
          <w:rFonts w:ascii="仿宋" w:hAnsi="仿宋" w:eastAsia="仿宋" w:cs="仿宋"/>
          <w:color w:val="auto"/>
          <w:lang w:eastAsia="zh-CN"/>
        </w:rPr>
      </w:pPr>
      <w:r>
        <w:rPr>
          <w:rFonts w:hint="eastAsia" w:ascii="仿宋" w:hAnsi="仿宋" w:eastAsia="仿宋" w:cs="仿宋"/>
          <w:color w:val="auto"/>
          <w:lang w:eastAsia="zh-CN"/>
        </w:rPr>
        <w:t xml:space="preserve">                               </w:t>
      </w:r>
    </w:p>
    <w:p w14:paraId="258A4B7C">
      <w:pPr>
        <w:spacing w:line="360" w:lineRule="auto"/>
        <w:ind w:firstLine="6318" w:firstLineChars="2600"/>
        <w:rPr>
          <w:rFonts w:ascii="仿宋" w:hAnsi="仿宋" w:eastAsia="仿宋" w:cs="仿宋"/>
          <w:color w:val="auto"/>
          <w:lang w:eastAsia="zh-CN"/>
        </w:rPr>
        <w:sectPr>
          <w:headerReference r:id="rId6" w:type="default"/>
          <w:footerReference r:id="rId7" w:type="default"/>
          <w:pgSz w:w="11905" w:h="16838"/>
          <w:pgMar w:top="1440" w:right="1417" w:bottom="1440" w:left="1417" w:header="850" w:footer="992" w:gutter="0"/>
          <w:pgNumType w:start="1"/>
          <w:cols w:space="0" w:num="1"/>
          <w:docGrid w:type="linesAndChars" w:linePitch="325" w:charSpace="635"/>
        </w:sectPr>
      </w:pPr>
      <w:r>
        <w:rPr>
          <w:rFonts w:hint="eastAsia" w:ascii="仿宋" w:hAnsi="仿宋" w:eastAsia="仿宋" w:cs="仿宋"/>
          <w:color w:val="auto"/>
          <w:lang w:eastAsia="zh-CN"/>
        </w:rPr>
        <w:t>年     月      日</w:t>
      </w:r>
    </w:p>
    <w:p w14:paraId="0F320075">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6、投标企业须提供投标人（被授权在职人员）近6个月内任意一个月有效的社保证明；</w:t>
      </w:r>
    </w:p>
    <w:p w14:paraId="15271521">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14:paraId="205B727C">
      <w:pPr>
        <w:pStyle w:val="32"/>
        <w:ind w:firstLine="0"/>
        <w:rPr>
          <w:rFonts w:ascii="仿宋" w:hAnsi="仿宋" w:eastAsia="仿宋" w:cs="仿宋"/>
          <w:color w:val="auto"/>
          <w:lang w:eastAsia="zh-CN"/>
        </w:rPr>
      </w:pPr>
    </w:p>
    <w:p w14:paraId="693CE948">
      <w:pPr>
        <w:pStyle w:val="32"/>
        <w:rPr>
          <w:rFonts w:ascii="仿宋" w:hAnsi="仿宋" w:eastAsia="仿宋" w:cs="仿宋"/>
          <w:color w:val="auto"/>
          <w:lang w:eastAsia="zh-CN"/>
        </w:rPr>
      </w:pPr>
    </w:p>
    <w:p w14:paraId="74566BF8">
      <w:pPr>
        <w:pStyle w:val="32"/>
        <w:rPr>
          <w:rFonts w:ascii="仿宋" w:hAnsi="仿宋" w:eastAsia="仿宋" w:cs="仿宋"/>
          <w:color w:val="auto"/>
          <w:lang w:eastAsia="zh-CN"/>
        </w:rPr>
      </w:pPr>
    </w:p>
    <w:p w14:paraId="04065F2F">
      <w:pPr>
        <w:spacing w:line="400" w:lineRule="exact"/>
        <w:ind w:firstLine="486" w:firstLineChars="200"/>
        <w:rPr>
          <w:rFonts w:ascii="仿宋" w:hAnsi="仿宋" w:eastAsia="仿宋" w:cs="仿宋"/>
          <w:b/>
          <w:bCs/>
          <w:color w:val="auto"/>
          <w:lang w:eastAsia="zh-CN"/>
        </w:rPr>
      </w:pPr>
      <w:r>
        <w:rPr>
          <w:rFonts w:hint="eastAsia" w:ascii="仿宋" w:hAnsi="仿宋" w:eastAsia="仿宋" w:cs="仿宋"/>
          <w:b/>
          <w:bCs/>
          <w:color w:val="auto"/>
          <w:lang w:val="en-US" w:eastAsia="zh-CN"/>
        </w:rPr>
        <w:t>7</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14:paraId="512624BE">
      <w:pPr>
        <w:pStyle w:val="32"/>
        <w:ind w:firstLine="0"/>
        <w:rPr>
          <w:rFonts w:ascii="仿宋" w:hAnsi="仿宋" w:eastAsia="仿宋" w:cs="仿宋"/>
          <w:b/>
          <w:bCs/>
          <w:color w:val="auto"/>
          <w:lang w:eastAsia="zh-CN"/>
        </w:rPr>
      </w:pPr>
    </w:p>
    <w:p w14:paraId="40447D78">
      <w:pPr>
        <w:pStyle w:val="32"/>
        <w:rPr>
          <w:rFonts w:ascii="仿宋" w:hAnsi="仿宋" w:eastAsia="仿宋" w:cs="仿宋"/>
          <w:b/>
          <w:bCs/>
          <w:color w:val="auto"/>
          <w:lang w:eastAsia="zh-CN"/>
        </w:rPr>
      </w:pPr>
    </w:p>
    <w:p w14:paraId="59C25411">
      <w:pPr>
        <w:rPr>
          <w:rFonts w:ascii="仿宋" w:hAnsi="仿宋" w:eastAsia="仿宋" w:cs="仿宋"/>
          <w:color w:val="auto"/>
          <w:lang w:eastAsia="zh-CN"/>
        </w:rPr>
      </w:pPr>
    </w:p>
    <w:p w14:paraId="4E35909F">
      <w:pPr>
        <w:spacing w:line="400" w:lineRule="exact"/>
        <w:ind w:firstLine="486" w:firstLineChars="200"/>
        <w:rPr>
          <w:rFonts w:ascii="仿宋" w:hAnsi="仿宋" w:eastAsia="仿宋" w:cs="仿宋"/>
          <w:b/>
          <w:bCs/>
          <w:color w:val="auto"/>
          <w:lang w:eastAsia="zh-CN"/>
        </w:rPr>
      </w:pPr>
    </w:p>
    <w:p w14:paraId="2E992EF4">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val="en-US" w:eastAsia="zh-CN"/>
        </w:rPr>
        <w:t>8</w:t>
      </w:r>
      <w:r>
        <w:rPr>
          <w:rFonts w:hint="eastAsia" w:ascii="仿宋" w:hAnsi="仿宋" w:eastAsia="仿宋" w:cs="仿宋"/>
          <w:b/>
          <w:bCs/>
          <w:color w:val="auto"/>
          <w:lang w:eastAsia="zh-CN"/>
        </w:rPr>
        <w:t>、供应商须知资料表要求的其他资格证明文件</w:t>
      </w:r>
    </w:p>
    <w:p w14:paraId="2D107F81">
      <w:pPr>
        <w:pStyle w:val="3"/>
        <w:spacing w:before="40" w:after="40" w:line="579" w:lineRule="auto"/>
        <w:jc w:val="both"/>
        <w:rPr>
          <w:rFonts w:hint="eastAsia" w:ascii="仿宋" w:hAnsi="仿宋" w:eastAsia="仿宋" w:cs="仿宋"/>
          <w:color w:val="auto"/>
          <w:sz w:val="32"/>
          <w:szCs w:val="32"/>
          <w:lang w:eastAsia="zh-CN"/>
        </w:rPr>
      </w:pPr>
      <w:bookmarkStart w:id="71" w:name="_Toc5695"/>
      <w:bookmarkStart w:id="72" w:name="_Toc22967"/>
      <w:bookmarkStart w:id="73" w:name="_Toc515647816"/>
      <w:bookmarkStart w:id="74" w:name="_Toc11180"/>
    </w:p>
    <w:p w14:paraId="56B50AB2">
      <w:pPr>
        <w:rPr>
          <w:rFonts w:hint="eastAsia" w:ascii="仿宋" w:hAnsi="仿宋" w:eastAsia="仿宋" w:cs="仿宋"/>
          <w:color w:val="auto"/>
          <w:sz w:val="32"/>
          <w:szCs w:val="32"/>
          <w:lang w:eastAsia="zh-CN"/>
        </w:rPr>
      </w:pPr>
    </w:p>
    <w:p w14:paraId="6B3593E3">
      <w:pPr>
        <w:pStyle w:val="5"/>
        <w:rPr>
          <w:rFonts w:hint="eastAsia" w:ascii="仿宋" w:hAnsi="仿宋" w:eastAsia="仿宋" w:cs="仿宋"/>
          <w:color w:val="auto"/>
          <w:sz w:val="32"/>
          <w:szCs w:val="32"/>
          <w:lang w:eastAsia="zh-CN"/>
        </w:rPr>
      </w:pPr>
    </w:p>
    <w:p w14:paraId="40252AC4">
      <w:pPr>
        <w:rPr>
          <w:rFonts w:hint="eastAsia"/>
          <w:color w:val="auto"/>
          <w:lang w:eastAsia="zh-CN"/>
        </w:rPr>
      </w:pPr>
    </w:p>
    <w:p w14:paraId="219E37CB">
      <w:pPr>
        <w:pStyle w:val="3"/>
        <w:spacing w:before="40" w:after="40" w:line="579" w:lineRule="auto"/>
        <w:jc w:val="center"/>
        <w:rPr>
          <w:rFonts w:hint="eastAsia" w:ascii="仿宋" w:hAnsi="仿宋" w:eastAsia="仿宋" w:cs="仿宋"/>
          <w:color w:val="auto"/>
          <w:sz w:val="32"/>
          <w:szCs w:val="32"/>
          <w:lang w:eastAsia="zh-CN"/>
        </w:rPr>
      </w:pPr>
    </w:p>
    <w:p w14:paraId="023AA539">
      <w:pPr>
        <w:rPr>
          <w:rFonts w:hint="eastAsia" w:ascii="仿宋" w:hAnsi="仿宋" w:eastAsia="仿宋" w:cs="仿宋"/>
          <w:color w:val="auto"/>
          <w:sz w:val="32"/>
          <w:szCs w:val="32"/>
          <w:lang w:eastAsia="zh-CN"/>
        </w:rPr>
      </w:pPr>
    </w:p>
    <w:p w14:paraId="17880D87">
      <w:pPr>
        <w:rPr>
          <w:rFonts w:hint="eastAsia" w:ascii="仿宋" w:hAnsi="仿宋" w:eastAsia="仿宋" w:cs="仿宋"/>
          <w:color w:val="auto"/>
          <w:sz w:val="32"/>
          <w:szCs w:val="32"/>
          <w:lang w:eastAsia="zh-CN"/>
        </w:rPr>
      </w:pPr>
    </w:p>
    <w:p w14:paraId="671340FA">
      <w:pPr>
        <w:pStyle w:val="3"/>
        <w:spacing w:line="240" w:lineRule="auto"/>
        <w:jc w:val="both"/>
        <w:rPr>
          <w:rFonts w:hint="eastAsia" w:ascii="仿宋" w:hAnsi="仿宋" w:eastAsia="仿宋" w:cs="仿宋"/>
          <w:color w:val="auto"/>
          <w:sz w:val="32"/>
          <w:szCs w:val="32"/>
          <w:lang w:eastAsia="zh-CN"/>
        </w:rPr>
      </w:pPr>
    </w:p>
    <w:p w14:paraId="79D266AB">
      <w:pPr>
        <w:rPr>
          <w:rFonts w:hint="eastAsia" w:ascii="仿宋" w:hAnsi="仿宋" w:eastAsia="仿宋" w:cs="仿宋"/>
          <w:color w:val="auto"/>
          <w:sz w:val="32"/>
          <w:szCs w:val="32"/>
          <w:lang w:eastAsia="zh-CN"/>
        </w:rPr>
      </w:pPr>
    </w:p>
    <w:p w14:paraId="28E9D2E2">
      <w:pPr>
        <w:pStyle w:val="2"/>
        <w:rPr>
          <w:rFonts w:hint="eastAsia" w:ascii="仿宋" w:hAnsi="仿宋" w:eastAsia="仿宋" w:cs="仿宋"/>
          <w:color w:val="auto"/>
          <w:sz w:val="32"/>
          <w:szCs w:val="32"/>
          <w:lang w:eastAsia="zh-CN"/>
        </w:rPr>
      </w:pPr>
    </w:p>
    <w:p w14:paraId="4D333F0C">
      <w:pPr>
        <w:pStyle w:val="2"/>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p>
    <w:p w14:paraId="0AC4CE3F">
      <w:pPr>
        <w:pStyle w:val="3"/>
        <w:spacing w:line="240" w:lineRule="auto"/>
        <w:ind w:firstLine="1615" w:firstLineChars="500"/>
        <w:jc w:val="both"/>
        <w:rPr>
          <w:rFonts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71"/>
      <w:bookmarkEnd w:id="72"/>
      <w:bookmarkEnd w:id="73"/>
      <w:bookmarkEnd w:id="74"/>
    </w:p>
    <w:p w14:paraId="7B5EFF3C">
      <w:pPr>
        <w:pStyle w:val="13"/>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1、投标函</w:t>
      </w:r>
    </w:p>
    <w:p w14:paraId="79665C6A">
      <w:pPr>
        <w:pStyle w:val="13"/>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2、开标一览表</w:t>
      </w:r>
    </w:p>
    <w:p w14:paraId="4AA45F51">
      <w:pPr>
        <w:pStyle w:val="13"/>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3、</w:t>
      </w:r>
      <w:r>
        <w:rPr>
          <w:rFonts w:hint="eastAsia" w:ascii="仿宋" w:hAnsi="仿宋" w:eastAsia="仿宋" w:cs="仿宋"/>
          <w:color w:val="auto"/>
          <w:lang w:val="en-US" w:eastAsia="zh-CN"/>
        </w:rPr>
        <w:t>服务</w:t>
      </w:r>
      <w:r>
        <w:rPr>
          <w:rFonts w:hint="eastAsia" w:ascii="仿宋" w:hAnsi="仿宋" w:eastAsia="仿宋" w:cs="仿宋"/>
          <w:color w:val="auto"/>
          <w:lang w:eastAsia="zh-CN"/>
        </w:rPr>
        <w:t>说明一览表（格式</w:t>
      </w:r>
      <w:r>
        <w:rPr>
          <w:rFonts w:hint="eastAsia" w:ascii="仿宋" w:hAnsi="仿宋" w:eastAsia="仿宋" w:cs="仿宋"/>
          <w:color w:val="auto"/>
          <w:lang w:val="en-US" w:eastAsia="zh-CN"/>
        </w:rPr>
        <w:t>可</w:t>
      </w:r>
      <w:r>
        <w:rPr>
          <w:rFonts w:hint="eastAsia" w:ascii="仿宋" w:hAnsi="仿宋" w:eastAsia="仿宋" w:cs="仿宋"/>
          <w:color w:val="auto"/>
          <w:lang w:eastAsia="zh-CN"/>
        </w:rPr>
        <w:t>自拟）</w:t>
      </w:r>
    </w:p>
    <w:p w14:paraId="6B0C7582">
      <w:pPr>
        <w:pStyle w:val="13"/>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4、投标分项报价表（格式</w:t>
      </w:r>
      <w:r>
        <w:rPr>
          <w:rFonts w:hint="eastAsia" w:ascii="仿宋" w:hAnsi="仿宋" w:eastAsia="仿宋" w:cs="仿宋"/>
          <w:color w:val="auto"/>
          <w:lang w:val="en-US" w:eastAsia="zh-CN"/>
        </w:rPr>
        <w:t>可</w:t>
      </w:r>
      <w:r>
        <w:rPr>
          <w:rFonts w:hint="eastAsia" w:ascii="仿宋" w:hAnsi="仿宋" w:eastAsia="仿宋" w:cs="仿宋"/>
          <w:color w:val="auto"/>
          <w:lang w:eastAsia="zh-CN"/>
        </w:rPr>
        <w:t>自拟）</w:t>
      </w:r>
    </w:p>
    <w:p w14:paraId="5DCCD739">
      <w:pPr>
        <w:pStyle w:val="13"/>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5、技术规格偏离表</w:t>
      </w:r>
    </w:p>
    <w:p w14:paraId="64385AFC">
      <w:pPr>
        <w:pStyle w:val="13"/>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6、商务条款偏离表</w:t>
      </w:r>
    </w:p>
    <w:p w14:paraId="60EEEBAF">
      <w:pPr>
        <w:pStyle w:val="13"/>
        <w:spacing w:line="400" w:lineRule="exact"/>
        <w:ind w:left="1164" w:leftChars="257" w:hanging="540"/>
        <w:rPr>
          <w:rFonts w:ascii="仿宋" w:hAnsi="仿宋" w:eastAsia="仿宋" w:cs="仿宋"/>
          <w:color w:val="auto"/>
          <w:lang w:eastAsia="zh-CN"/>
        </w:rPr>
      </w:pPr>
      <w:r>
        <w:rPr>
          <w:rFonts w:hint="eastAsia" w:ascii="仿宋" w:hAnsi="仿宋" w:eastAsia="仿宋" w:cs="仿宋"/>
          <w:color w:val="auto"/>
          <w:lang w:eastAsia="zh-CN"/>
        </w:rPr>
        <w:t>7、供应商基本情况表</w:t>
      </w:r>
    </w:p>
    <w:p w14:paraId="0ADE9396">
      <w:pPr>
        <w:pStyle w:val="13"/>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eastAsia="zh-CN"/>
        </w:rPr>
        <w:t>8、中小企业声明函(</w:t>
      </w:r>
      <w:r>
        <w:rPr>
          <w:rFonts w:hint="eastAsia" w:ascii="仿宋" w:hAnsi="仿宋" w:eastAsia="仿宋" w:cs="仿宋"/>
          <w:color w:val="auto"/>
          <w:lang w:val="en-US" w:eastAsia="zh-CN"/>
        </w:rPr>
        <w:t>服务</w:t>
      </w:r>
      <w:r>
        <w:rPr>
          <w:rFonts w:hint="eastAsia" w:ascii="仿宋" w:hAnsi="仿宋" w:eastAsia="仿宋" w:cs="仿宋"/>
          <w:color w:val="auto"/>
          <w:lang w:eastAsia="zh-CN"/>
        </w:rPr>
        <w:t>)</w:t>
      </w:r>
    </w:p>
    <w:p w14:paraId="6A5CA421">
      <w:pPr>
        <w:pStyle w:val="13"/>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9</w:t>
      </w:r>
      <w:r>
        <w:rPr>
          <w:rFonts w:hint="eastAsia" w:ascii="仿宋" w:hAnsi="仿宋" w:eastAsia="仿宋" w:cs="仿宋"/>
          <w:color w:val="auto"/>
          <w:lang w:eastAsia="zh-CN"/>
        </w:rPr>
        <w:t>、《残疾人福利性单位声明函》</w:t>
      </w:r>
    </w:p>
    <w:p w14:paraId="41D09A48">
      <w:pPr>
        <w:pStyle w:val="13"/>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10</w:t>
      </w:r>
      <w:r>
        <w:rPr>
          <w:rFonts w:hint="eastAsia" w:ascii="仿宋" w:hAnsi="仿宋" w:eastAsia="仿宋" w:cs="仿宋"/>
          <w:color w:val="auto"/>
          <w:lang w:eastAsia="zh-CN"/>
        </w:rPr>
        <w:t>、评分标准和细则中技术部分证明材料（格式自拟）</w:t>
      </w:r>
    </w:p>
    <w:p w14:paraId="24B52E6A">
      <w:pPr>
        <w:pStyle w:val="13"/>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11</w:t>
      </w:r>
      <w:r>
        <w:rPr>
          <w:rFonts w:hint="eastAsia" w:ascii="仿宋" w:hAnsi="仿宋" w:eastAsia="仿宋" w:cs="仿宋"/>
          <w:color w:val="auto"/>
          <w:lang w:eastAsia="zh-CN"/>
        </w:rPr>
        <w:t>、评分标准和细则中商务部分证明材料（格式自拟）</w:t>
      </w:r>
    </w:p>
    <w:p w14:paraId="29E16FEE">
      <w:pPr>
        <w:pStyle w:val="13"/>
        <w:spacing w:line="400" w:lineRule="exact"/>
        <w:ind w:left="359" w:leftChars="148" w:firstLine="228"/>
        <w:rPr>
          <w:rFonts w:ascii="仿宋" w:hAnsi="仿宋" w:eastAsia="仿宋" w:cs="仿宋"/>
          <w:color w:val="auto"/>
          <w:lang w:eastAsia="zh-CN"/>
        </w:rPr>
      </w:pPr>
      <w:r>
        <w:rPr>
          <w:rFonts w:hint="eastAsia" w:ascii="仿宋" w:hAnsi="仿宋" w:eastAsia="仿宋" w:cs="仿宋"/>
          <w:color w:val="auto"/>
          <w:lang w:val="en-US" w:eastAsia="zh-CN"/>
        </w:rPr>
        <w:t>12</w:t>
      </w:r>
      <w:r>
        <w:rPr>
          <w:rFonts w:hint="eastAsia" w:ascii="仿宋" w:hAnsi="仿宋" w:eastAsia="仿宋" w:cs="仿宋"/>
          <w:color w:val="auto"/>
          <w:lang w:eastAsia="zh-CN"/>
        </w:rPr>
        <w:t>、供应商认为有必要提供的其他证明材料（格式自拟）</w:t>
      </w:r>
    </w:p>
    <w:p w14:paraId="61165236">
      <w:pPr>
        <w:pStyle w:val="13"/>
        <w:tabs>
          <w:tab w:val="left" w:pos="5580"/>
        </w:tabs>
        <w:spacing w:line="400" w:lineRule="exact"/>
        <w:rPr>
          <w:rFonts w:hint="default" w:ascii="仿宋" w:hAnsi="仿宋" w:eastAsia="仿宋" w:cs="仿宋"/>
          <w:color w:val="auto"/>
          <w:sz w:val="21"/>
          <w:szCs w:val="21"/>
          <w:lang w:val="en-US" w:eastAsia="zh-CN"/>
        </w:rPr>
      </w:pPr>
      <w:r>
        <w:rPr>
          <w:rFonts w:hint="eastAsia" w:ascii="仿宋" w:hAnsi="仿宋" w:eastAsia="仿宋" w:cs="仿宋"/>
          <w:color w:val="auto"/>
          <w:lang w:eastAsia="zh-CN"/>
        </w:rPr>
        <w:br w:type="page"/>
      </w:r>
    </w:p>
    <w:p w14:paraId="3C387571">
      <w:pPr>
        <w:pStyle w:val="9"/>
        <w:numPr>
          <w:ilvl w:val="0"/>
          <w:numId w:val="0"/>
        </w:numPr>
        <w:kinsoku w:val="0"/>
        <w:overflowPunct w:val="0"/>
        <w:spacing w:before="130" w:line="355" w:lineRule="auto"/>
        <w:ind w:left="480" w:right="7"/>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14:paraId="3C7E5D44">
      <w:pPr>
        <w:spacing w:line="440" w:lineRule="exact"/>
        <w:rPr>
          <w:rFonts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14:paraId="35CBD16B">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项目的招标[项目编号为：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14:paraId="1ECBB6BE">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磋商文件的全部内容。</w:t>
      </w:r>
    </w:p>
    <w:p w14:paraId="7AAE35E0">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在参与投标前已详细研究了磋商文件的所有内容，包括澄清、修改文件（如果有）和所有已提供的参考资料以及有关附件，我方完全明白并认为此磋商文件没有倾向性，也不存在排斥潜在报价供应商的内容，我方同意磋商文件的相关条款，放弃对磋商文件提出误解和质疑的一切权力。</w:t>
      </w:r>
    </w:p>
    <w:p w14:paraId="56FCAD75">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(供应商名称)      </w:t>
      </w:r>
      <w:r>
        <w:rPr>
          <w:rFonts w:hint="eastAsia" w:ascii="仿宋" w:hAnsi="仿宋" w:eastAsia="仿宋" w:cs="仿宋"/>
          <w:color w:val="auto"/>
          <w:lang w:eastAsia="zh-CN"/>
        </w:rPr>
        <w:t>作为供应商正式授权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14:paraId="0EC12457">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我方已完全明白磋商文件的所有条款要求，并申明如下：</w:t>
      </w:r>
    </w:p>
    <w:p w14:paraId="26D60386">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（一）按磋商文件提供的全部货物与相关服务的投标总价详见《报价一览表》。</w:t>
      </w:r>
    </w:p>
    <w:p w14:paraId="704FDAD5">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（二）本投标文件的有效期为投标截止时间起</w:t>
      </w:r>
      <w:r>
        <w:rPr>
          <w:rFonts w:hint="eastAsia" w:ascii="仿宋" w:hAnsi="仿宋" w:eastAsia="仿宋" w:cs="仿宋"/>
          <w:color w:val="auto"/>
          <w:u w:val="single"/>
          <w:lang w:eastAsia="zh-CN"/>
        </w:rPr>
        <w:t>60</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1D77E3A2">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14:paraId="693E7FA9">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14:paraId="099DB81F">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（五）我方如果中标，将保证履行磋商文件及其澄清、修改文件（如果有）中的全部责任和义务，按质、按量、按期完成《招标内容》及《合同书》中的全部任务。</w:t>
      </w:r>
    </w:p>
    <w:p w14:paraId="1B74DBB6">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（六）如我方被授予合同，我方承诺支付就本次招标应支付或将支付的中标服务费（详见按磋商文件要求格式填写的《中标服务费支付承诺书》）。</w:t>
      </w:r>
    </w:p>
    <w:p w14:paraId="701B71C1">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（七）我方作为在法律、财务和运作上独立于采购人、招标代理机构的供应商，在此保证所提交的所有文件和全部说明是真实的和正确的。</w:t>
      </w:r>
    </w:p>
    <w:p w14:paraId="4B3EDCAA">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（八）我方投标报价已包含应向知识产权所有权人支付的所有相关税费，并保证采购人在中国使用我方提供的货物时，如有第三方提出侵犯其知识产权主张的，责任由我方承担。</w:t>
      </w:r>
    </w:p>
    <w:p w14:paraId="133C6C75">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（九）我方与其他供应商不存在单位负责人为同一人或者存在直接控股、管理关系。</w:t>
      </w:r>
    </w:p>
    <w:p w14:paraId="5CDA8E3E">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14:paraId="6B85990C">
      <w:pPr>
        <w:spacing w:line="48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14:paraId="1BEF11C8">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14:paraId="60C29106">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14:paraId="13D630DE">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（3）我方参加本项目政府采购活动前3年内在经营活动中没有重大违法记录。</w:t>
      </w:r>
    </w:p>
    <w:p w14:paraId="182A46CC">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14:paraId="644250B6">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14:paraId="0D34CB61">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14:paraId="1DF43C9C">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（十三）我方对在本函及投标文件中所作的所有承诺承担法律责任。</w:t>
      </w:r>
    </w:p>
    <w:p w14:paraId="5A48B95E">
      <w:pPr>
        <w:spacing w:line="440" w:lineRule="exact"/>
        <w:ind w:firstLine="486" w:firstLineChars="200"/>
        <w:rPr>
          <w:rFonts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14:paraId="03261416">
      <w:pPr>
        <w:spacing w:line="440" w:lineRule="exact"/>
        <w:rPr>
          <w:rFonts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63A64048">
      <w:pPr>
        <w:spacing w:line="440" w:lineRule="exact"/>
        <w:rPr>
          <w:rFonts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6E7A733E">
      <w:pPr>
        <w:spacing w:line="440" w:lineRule="exact"/>
        <w:rPr>
          <w:rFonts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24222542">
      <w:pPr>
        <w:spacing w:line="440" w:lineRule="exact"/>
        <w:rPr>
          <w:rFonts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14:paraId="585076A3">
      <w:pPr>
        <w:spacing w:line="440" w:lineRule="exact"/>
        <w:ind w:right="480"/>
        <w:jc w:val="right"/>
        <w:rPr>
          <w:rFonts w:ascii="仿宋" w:hAnsi="仿宋" w:eastAsia="仿宋" w:cs="仿宋"/>
          <w:color w:val="auto"/>
          <w:lang w:eastAsia="zh-CN"/>
        </w:rPr>
      </w:pPr>
      <w:r>
        <w:rPr>
          <w:rFonts w:hint="eastAsia" w:ascii="仿宋" w:hAnsi="仿宋" w:eastAsia="仿宋" w:cs="仿宋"/>
          <w:color w:val="auto"/>
          <w:lang w:eastAsia="zh-CN"/>
        </w:rPr>
        <w:t>供应商：</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14:paraId="082B6A4F">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（签章）  </w:t>
      </w:r>
    </w:p>
    <w:p w14:paraId="31C96ABF">
      <w:pPr>
        <w:wordWrap w:val="0"/>
        <w:spacing w:line="440" w:lineRule="exact"/>
        <w:ind w:firstLine="486" w:firstLineChars="200"/>
        <w:jc w:val="right"/>
        <w:rPr>
          <w:rFonts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14:paraId="5C2682D7">
      <w:pPr>
        <w:pStyle w:val="32"/>
        <w:rPr>
          <w:rFonts w:ascii="仿宋" w:hAnsi="仿宋" w:eastAsia="仿宋" w:cs="仿宋"/>
          <w:color w:val="auto"/>
          <w:lang w:eastAsia="zh-CN"/>
        </w:rPr>
      </w:pPr>
      <w:r>
        <w:rPr>
          <w:rFonts w:hint="eastAsia" w:ascii="仿宋" w:hAnsi="仿宋" w:eastAsia="仿宋" w:cs="仿宋"/>
          <w:color w:val="auto"/>
          <w:lang w:eastAsia="zh-CN"/>
        </w:rPr>
        <w:br w:type="page"/>
      </w:r>
    </w:p>
    <w:p w14:paraId="1FE24195">
      <w:pPr>
        <w:pStyle w:val="6"/>
        <w:tabs>
          <w:tab w:val="left" w:pos="5580"/>
        </w:tabs>
        <w:spacing w:line="240" w:lineRule="atLeast"/>
        <w:ind w:firstLine="3364" w:firstLineChars="927"/>
        <w:jc w:val="both"/>
        <w:rPr>
          <w:rFonts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14:paraId="171A224A">
      <w:pPr>
        <w:adjustRightInd w:val="0"/>
        <w:snapToGrid w:val="0"/>
        <w:spacing w:line="500" w:lineRule="exact"/>
        <w:rPr>
          <w:rFonts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14:paraId="37CD85EA">
      <w:pPr>
        <w:adjustRightInd w:val="0"/>
        <w:snapToGrid w:val="0"/>
        <w:spacing w:line="500" w:lineRule="exact"/>
        <w:rPr>
          <w:rFonts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14:paraId="5942C92B">
      <w:pPr>
        <w:spacing w:line="500" w:lineRule="exact"/>
        <w:rPr>
          <w:rFonts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5"/>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14:paraId="48A04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14:paraId="73C5A076">
            <w:pPr>
              <w:jc w:val="center"/>
              <w:rPr>
                <w:rFonts w:ascii="仿宋" w:hAnsi="仿宋" w:eastAsia="仿宋" w:cs="仿宋"/>
                <w:color w:val="auto"/>
                <w:szCs w:val="21"/>
              </w:rPr>
            </w:pPr>
            <w:r>
              <w:rPr>
                <w:rFonts w:hint="eastAsia" w:ascii="仿宋" w:hAnsi="仿宋" w:eastAsia="仿宋" w:cs="仿宋"/>
                <w:color w:val="auto"/>
                <w:szCs w:val="21"/>
              </w:rPr>
              <w:t>项目名称</w:t>
            </w:r>
          </w:p>
        </w:tc>
        <w:tc>
          <w:tcPr>
            <w:tcW w:w="6185" w:type="dxa"/>
            <w:vAlign w:val="center"/>
          </w:tcPr>
          <w:p w14:paraId="660D7368">
            <w:pPr>
              <w:rPr>
                <w:rFonts w:ascii="仿宋" w:hAnsi="仿宋" w:eastAsia="仿宋" w:cs="仿宋"/>
                <w:color w:val="auto"/>
                <w:szCs w:val="21"/>
              </w:rPr>
            </w:pPr>
          </w:p>
        </w:tc>
      </w:tr>
      <w:tr w14:paraId="5E26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14:paraId="00B72974">
            <w:pPr>
              <w:jc w:val="center"/>
              <w:rPr>
                <w:rFonts w:ascii="仿宋" w:hAnsi="仿宋" w:eastAsia="仿宋" w:cs="仿宋"/>
                <w:color w:val="auto"/>
                <w:szCs w:val="21"/>
                <w:lang w:eastAsia="zh-CN"/>
              </w:rPr>
            </w:pPr>
            <w:r>
              <w:rPr>
                <w:rFonts w:hint="eastAsia" w:ascii="仿宋" w:hAnsi="仿宋" w:eastAsia="仿宋" w:cs="仿宋"/>
                <w:color w:val="auto"/>
                <w:lang w:val="en-US" w:eastAsia="zh-CN"/>
              </w:rPr>
              <w:t>供货期/</w:t>
            </w:r>
            <w:r>
              <w:rPr>
                <w:rFonts w:hint="eastAsia" w:ascii="仿宋" w:hAnsi="仿宋" w:eastAsia="仿宋" w:cs="仿宋"/>
                <w:color w:val="auto"/>
                <w:lang w:eastAsia="zh-CN"/>
              </w:rPr>
              <w:t>服务期</w:t>
            </w:r>
          </w:p>
        </w:tc>
        <w:tc>
          <w:tcPr>
            <w:tcW w:w="6185" w:type="dxa"/>
            <w:vAlign w:val="center"/>
          </w:tcPr>
          <w:p w14:paraId="4E99DD4F">
            <w:pPr>
              <w:jc w:val="center"/>
              <w:rPr>
                <w:rFonts w:ascii="仿宋" w:hAnsi="仿宋" w:eastAsia="仿宋" w:cs="仿宋"/>
                <w:color w:val="auto"/>
                <w:szCs w:val="21"/>
                <w:lang w:eastAsia="zh-CN"/>
              </w:rPr>
            </w:pPr>
          </w:p>
        </w:tc>
      </w:tr>
      <w:tr w14:paraId="76E5B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14:paraId="28D2423F">
            <w:pPr>
              <w:jc w:val="center"/>
              <w:rPr>
                <w:rFonts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14:paraId="61201537">
            <w:pPr>
              <w:jc w:val="center"/>
              <w:rPr>
                <w:rFonts w:ascii="仿宋" w:hAnsi="仿宋" w:eastAsia="仿宋" w:cs="仿宋"/>
                <w:color w:val="auto"/>
                <w:szCs w:val="21"/>
                <w:lang w:eastAsia="zh-CN"/>
              </w:rPr>
            </w:pPr>
            <w:r>
              <w:rPr>
                <w:rFonts w:hint="eastAsia" w:ascii="仿宋" w:hAnsi="仿宋" w:eastAsia="仿宋" w:cs="仿宋"/>
                <w:color w:val="auto"/>
                <w:szCs w:val="21"/>
                <w:lang w:eastAsia="zh-CN"/>
              </w:rPr>
              <w:t>60天</w:t>
            </w:r>
          </w:p>
        </w:tc>
      </w:tr>
      <w:tr w14:paraId="585F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14:paraId="1245E9C7">
            <w:pPr>
              <w:jc w:val="center"/>
              <w:rPr>
                <w:rFonts w:ascii="仿宋" w:hAnsi="仿宋" w:eastAsia="仿宋" w:cs="仿宋"/>
                <w:color w:val="auto"/>
                <w:szCs w:val="21"/>
              </w:rPr>
            </w:pPr>
            <w:r>
              <w:rPr>
                <w:rFonts w:hint="eastAsia" w:ascii="仿宋" w:hAnsi="仿宋" w:eastAsia="仿宋" w:cs="仿宋"/>
                <w:color w:val="auto"/>
                <w:szCs w:val="21"/>
              </w:rPr>
              <w:t>投标报价</w:t>
            </w:r>
          </w:p>
          <w:p w14:paraId="0025ACFF">
            <w:pPr>
              <w:jc w:val="center"/>
              <w:rPr>
                <w:rFonts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14:paraId="09663371">
            <w:pPr>
              <w:widowControl/>
              <w:jc w:val="center"/>
              <w:rPr>
                <w:rFonts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14:paraId="33E0A7F8">
            <w:pPr>
              <w:jc w:val="center"/>
              <w:rPr>
                <w:rFonts w:ascii="仿宋" w:hAnsi="仿宋" w:eastAsia="仿宋" w:cs="仿宋"/>
                <w:color w:val="auto"/>
                <w:szCs w:val="21"/>
              </w:rPr>
            </w:pPr>
          </w:p>
        </w:tc>
      </w:tr>
      <w:tr w14:paraId="5867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14:paraId="52D005F0">
            <w:pPr>
              <w:jc w:val="center"/>
              <w:rPr>
                <w:rFonts w:ascii="仿宋" w:hAnsi="仿宋" w:eastAsia="仿宋" w:cs="仿宋"/>
                <w:color w:val="auto"/>
                <w:szCs w:val="21"/>
              </w:rPr>
            </w:pPr>
          </w:p>
        </w:tc>
        <w:tc>
          <w:tcPr>
            <w:tcW w:w="974" w:type="dxa"/>
            <w:tcBorders>
              <w:top w:val="single" w:color="auto" w:sz="4" w:space="0"/>
              <w:bottom w:val="single" w:color="auto" w:sz="4" w:space="0"/>
            </w:tcBorders>
            <w:vAlign w:val="center"/>
          </w:tcPr>
          <w:p w14:paraId="68682F56">
            <w:pPr>
              <w:widowControl/>
              <w:jc w:val="center"/>
              <w:rPr>
                <w:rFonts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14:paraId="5A7FFF6F">
            <w:pPr>
              <w:jc w:val="center"/>
              <w:rPr>
                <w:rFonts w:ascii="仿宋" w:hAnsi="仿宋" w:eastAsia="仿宋" w:cs="仿宋"/>
                <w:color w:val="auto"/>
                <w:szCs w:val="21"/>
              </w:rPr>
            </w:pPr>
          </w:p>
        </w:tc>
      </w:tr>
    </w:tbl>
    <w:p w14:paraId="18061B72">
      <w:pPr>
        <w:spacing w:line="500" w:lineRule="exact"/>
        <w:ind w:firstLine="475" w:firstLineChars="196"/>
        <w:rPr>
          <w:rFonts w:ascii="仿宋" w:hAnsi="仿宋" w:eastAsia="仿宋" w:cs="仿宋"/>
          <w:color w:val="auto"/>
          <w:szCs w:val="21"/>
        </w:rPr>
      </w:pPr>
      <w:r>
        <w:rPr>
          <w:rFonts w:hint="eastAsia" w:ascii="仿宋" w:hAnsi="仿宋" w:eastAsia="仿宋" w:cs="仿宋"/>
          <w:color w:val="auto"/>
          <w:szCs w:val="21"/>
        </w:rPr>
        <w:t>填写说明：</w:t>
      </w:r>
    </w:p>
    <w:p w14:paraId="2D967DF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1.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2AE2F8B0">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2</w:t>
      </w:r>
      <w:r>
        <w:rPr>
          <w:rFonts w:hint="eastAsia" w:ascii="仿宋" w:hAnsi="仿宋" w:eastAsia="仿宋" w:cs="仿宋"/>
          <w:color w:val="auto"/>
          <w:szCs w:val="21"/>
          <w:lang w:eastAsia="zh-CN"/>
        </w:rPr>
        <w:t>.投标总价为招标范围所列全部招标项目的报价总和，并应与投标报价明细表及分项价格表保持一致。</w:t>
      </w:r>
    </w:p>
    <w:p w14:paraId="380275C2">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3</w:t>
      </w:r>
      <w:r>
        <w:rPr>
          <w:rFonts w:hint="eastAsia" w:ascii="仿宋" w:hAnsi="仿宋" w:eastAsia="仿宋" w:cs="仿宋"/>
          <w:color w:val="auto"/>
          <w:szCs w:val="21"/>
          <w:lang w:eastAsia="zh-CN"/>
        </w:rPr>
        <w:t>.必须在投标文件中装订。</w:t>
      </w:r>
    </w:p>
    <w:p w14:paraId="186A4A98">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val="en-US" w:eastAsia="zh-CN"/>
        </w:rPr>
        <w:t>4</w:t>
      </w:r>
      <w:r>
        <w:rPr>
          <w:rFonts w:hint="eastAsia" w:ascii="仿宋" w:hAnsi="仿宋" w:eastAsia="仿宋" w:cs="仿宋"/>
          <w:color w:val="auto"/>
          <w:szCs w:val="21"/>
          <w:lang w:eastAsia="zh-CN"/>
        </w:rPr>
        <w:t>.投标报价不得填报选择性报价。</w:t>
      </w:r>
    </w:p>
    <w:p w14:paraId="614D1CC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供应商名称：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14:paraId="754B193F">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564BE83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14:paraId="7B0CF65B">
      <w:pPr>
        <w:spacing w:line="500" w:lineRule="exact"/>
        <w:ind w:firstLine="486" w:firstLineChars="200"/>
        <w:rPr>
          <w:rFonts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14:paraId="42AEEF8D">
      <w:pPr>
        <w:pStyle w:val="4"/>
        <w:spacing w:line="240" w:lineRule="atLeast"/>
        <w:rPr>
          <w:rFonts w:ascii="宋体" w:hAnsi="宋体" w:eastAsia="宋体" w:cs="宋体"/>
          <w:bCs/>
          <w:color w:val="auto"/>
          <w:sz w:val="24"/>
          <w:lang w:eastAsia="zh-CN"/>
        </w:rPr>
      </w:pPr>
    </w:p>
    <w:p w14:paraId="6D4837E5">
      <w:pPr>
        <w:pStyle w:val="4"/>
        <w:spacing w:line="240" w:lineRule="atLeast"/>
        <w:rPr>
          <w:rFonts w:ascii="宋体" w:hAnsi="宋体" w:eastAsia="宋体" w:cs="宋体"/>
          <w:bCs/>
          <w:color w:val="auto"/>
          <w:sz w:val="24"/>
          <w:lang w:eastAsia="zh-CN"/>
        </w:rPr>
      </w:pPr>
    </w:p>
    <w:p w14:paraId="6019C7C8">
      <w:pPr>
        <w:pStyle w:val="34"/>
        <w:keepNext/>
        <w:keepLines/>
        <w:spacing w:before="0" w:after="220"/>
        <w:rPr>
          <w:rFonts w:ascii="仿宋" w:hAnsi="仿宋" w:eastAsia="仿宋" w:cs="仿宋"/>
          <w:color w:val="auto"/>
          <w:lang w:val="en-US" w:eastAsia="zh-CN"/>
        </w:rPr>
      </w:pPr>
      <w:r>
        <w:rPr>
          <w:rFonts w:hint="eastAsia" w:ascii="仿宋" w:hAnsi="仿宋" w:eastAsia="仿宋" w:cs="仿宋"/>
          <w:color w:val="auto"/>
          <w:lang w:val="en-US" w:eastAsia="zh-CN"/>
        </w:rPr>
        <w:t>3、服务说明一览表</w:t>
      </w:r>
      <w:r>
        <w:rPr>
          <w:rFonts w:hint="eastAsia" w:ascii="仿宋" w:hAnsi="仿宋" w:eastAsia="仿宋" w:cs="仿宋"/>
          <w:color w:val="auto"/>
          <w:kern w:val="2"/>
          <w:sz w:val="24"/>
          <w:szCs w:val="20"/>
          <w:highlight w:val="none"/>
          <w:u w:color="000000"/>
          <w:lang w:val="en-US" w:eastAsia="zh-CN" w:bidi="ar-SA"/>
        </w:rPr>
        <w:t>（格式可自拟）</w:t>
      </w:r>
    </w:p>
    <w:p w14:paraId="0B2A05E5">
      <w:pPr>
        <w:pStyle w:val="13"/>
        <w:spacing w:line="240" w:lineRule="atLeast"/>
        <w:ind w:left="1164" w:leftChars="257" w:hanging="540"/>
        <w:rPr>
          <w:rFonts w:ascii="仿宋" w:hAnsi="仿宋" w:eastAsia="仿宋" w:cs="仿宋"/>
          <w:color w:val="auto"/>
          <w:lang w:eastAsia="zh-CN"/>
        </w:rPr>
      </w:pPr>
    </w:p>
    <w:p w14:paraId="52294100">
      <w:pPr>
        <w:pStyle w:val="13"/>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项目名称:                           </w:t>
      </w:r>
    </w:p>
    <w:p w14:paraId="2BA1D1DC">
      <w:pPr>
        <w:pStyle w:val="13"/>
        <w:spacing w:line="240" w:lineRule="atLeast"/>
        <w:ind w:left="1164" w:leftChars="257" w:hanging="540"/>
        <w:rPr>
          <w:rFonts w:ascii="仿宋" w:hAnsi="仿宋" w:eastAsia="仿宋" w:cs="仿宋"/>
          <w:color w:val="auto"/>
          <w:lang w:eastAsia="zh-CN"/>
        </w:rPr>
      </w:pPr>
      <w:r>
        <w:rPr>
          <w:rFonts w:hint="eastAsia" w:ascii="仿宋" w:hAnsi="仿宋" w:eastAsia="仿宋" w:cs="仿宋"/>
          <w:color w:val="auto"/>
          <w:lang w:eastAsia="zh-CN"/>
        </w:rPr>
        <w:t xml:space="preserve">招标编号:                       包号:                      </w:t>
      </w:r>
    </w:p>
    <w:p w14:paraId="6A911A90">
      <w:pPr>
        <w:pStyle w:val="13"/>
        <w:spacing w:line="240" w:lineRule="atLeast"/>
        <w:ind w:left="1164" w:leftChars="257" w:hanging="540"/>
        <w:rPr>
          <w:rFonts w:ascii="仿宋" w:hAnsi="仿宋" w:eastAsia="仿宋" w:cs="仿宋"/>
          <w:color w:val="auto"/>
          <w:lang w:eastAsia="zh-CN"/>
        </w:rPr>
      </w:pPr>
    </w:p>
    <w:tbl>
      <w:tblPr>
        <w:tblStyle w:val="25"/>
        <w:tblW w:w="7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1978"/>
        <w:gridCol w:w="2055"/>
        <w:gridCol w:w="1567"/>
        <w:gridCol w:w="1101"/>
      </w:tblGrid>
      <w:tr w14:paraId="45BBE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61" w:type="dxa"/>
            <w:vAlign w:val="center"/>
          </w:tcPr>
          <w:p w14:paraId="5F83BD5C">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序号</w:t>
            </w:r>
          </w:p>
        </w:tc>
        <w:tc>
          <w:tcPr>
            <w:tcW w:w="1978" w:type="dxa"/>
            <w:vAlign w:val="center"/>
          </w:tcPr>
          <w:p w14:paraId="479DE363">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val="en-US" w:eastAsia="zh-CN" w:bidi="ar-SA"/>
              </w:rPr>
              <w:t>服务内容</w:t>
            </w:r>
          </w:p>
        </w:tc>
        <w:tc>
          <w:tcPr>
            <w:tcW w:w="2055" w:type="dxa"/>
            <w:vAlign w:val="center"/>
          </w:tcPr>
          <w:p w14:paraId="194B7938">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val="en-US" w:eastAsia="zh-CN" w:bidi="ar-SA"/>
              </w:rPr>
              <w:t>供货期/</w:t>
            </w:r>
            <w:r>
              <w:rPr>
                <w:rFonts w:hint="eastAsia" w:ascii="仿宋" w:hAnsi="仿宋" w:eastAsia="仿宋" w:cs="仿宋"/>
                <w:color w:val="auto"/>
                <w:kern w:val="2"/>
                <w:szCs w:val="20"/>
                <w:highlight w:val="none"/>
                <w:u w:color="000000"/>
                <w:lang w:eastAsia="zh-CN" w:bidi="ar-SA"/>
              </w:rPr>
              <w:t>服务期</w:t>
            </w:r>
          </w:p>
        </w:tc>
        <w:tc>
          <w:tcPr>
            <w:tcW w:w="1567" w:type="dxa"/>
            <w:vAlign w:val="center"/>
          </w:tcPr>
          <w:p w14:paraId="3F091F6A">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val="en-US" w:eastAsia="zh-CN" w:bidi="ar-SA"/>
              </w:rPr>
              <w:t>服务</w:t>
            </w:r>
            <w:r>
              <w:rPr>
                <w:rFonts w:hint="eastAsia" w:ascii="仿宋" w:hAnsi="仿宋" w:eastAsia="仿宋" w:cs="仿宋"/>
                <w:color w:val="auto"/>
                <w:kern w:val="2"/>
                <w:szCs w:val="20"/>
                <w:highlight w:val="none"/>
                <w:u w:color="000000"/>
                <w:lang w:eastAsia="zh-CN" w:bidi="ar-SA"/>
              </w:rPr>
              <w:t>地点</w:t>
            </w:r>
          </w:p>
        </w:tc>
        <w:tc>
          <w:tcPr>
            <w:tcW w:w="1101" w:type="dxa"/>
            <w:vAlign w:val="center"/>
          </w:tcPr>
          <w:p w14:paraId="7149418E">
            <w:pPr>
              <w:jc w:val="center"/>
              <w:rPr>
                <w:rFonts w:ascii="仿宋" w:hAnsi="仿宋" w:eastAsia="仿宋" w:cs="仿宋"/>
                <w:color w:val="auto"/>
                <w:kern w:val="2"/>
                <w:szCs w:val="20"/>
                <w:highlight w:val="none"/>
                <w:u w:color="000000"/>
                <w:lang w:eastAsia="zh-CN" w:bidi="ar-SA"/>
              </w:rPr>
            </w:pPr>
            <w:r>
              <w:rPr>
                <w:rFonts w:hint="eastAsia" w:ascii="仿宋" w:hAnsi="仿宋" w:eastAsia="仿宋" w:cs="仿宋"/>
                <w:color w:val="auto"/>
                <w:kern w:val="2"/>
                <w:szCs w:val="20"/>
                <w:highlight w:val="none"/>
                <w:u w:color="000000"/>
                <w:lang w:eastAsia="zh-CN" w:bidi="ar-SA"/>
              </w:rPr>
              <w:t>其它</w:t>
            </w:r>
          </w:p>
        </w:tc>
      </w:tr>
      <w:tr w14:paraId="2E46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5916F8F8">
            <w:pPr>
              <w:pStyle w:val="13"/>
              <w:spacing w:line="240" w:lineRule="atLeast"/>
              <w:ind w:left="1164" w:leftChars="257" w:hanging="540"/>
              <w:rPr>
                <w:rFonts w:ascii="仿宋" w:hAnsi="仿宋" w:eastAsia="仿宋" w:cs="仿宋"/>
                <w:color w:val="auto"/>
                <w:highlight w:val="none"/>
                <w:lang w:eastAsia="zh-CN"/>
              </w:rPr>
            </w:pPr>
          </w:p>
        </w:tc>
        <w:tc>
          <w:tcPr>
            <w:tcW w:w="1978" w:type="dxa"/>
          </w:tcPr>
          <w:p w14:paraId="483A2829">
            <w:pPr>
              <w:jc w:val="center"/>
              <w:rPr>
                <w:rFonts w:hint="eastAsia" w:ascii="仿宋" w:hAnsi="仿宋" w:eastAsia="仿宋" w:cs="仿宋"/>
                <w:color w:val="auto"/>
                <w:kern w:val="2"/>
                <w:szCs w:val="20"/>
                <w:highlight w:val="none"/>
                <w:u w:color="000000"/>
                <w:lang w:val="en-US" w:eastAsia="zh-CN" w:bidi="ar-SA"/>
              </w:rPr>
            </w:pPr>
          </w:p>
        </w:tc>
        <w:tc>
          <w:tcPr>
            <w:tcW w:w="2055" w:type="dxa"/>
          </w:tcPr>
          <w:p w14:paraId="00BCA8FD">
            <w:pPr>
              <w:pStyle w:val="13"/>
              <w:spacing w:line="240" w:lineRule="atLeast"/>
              <w:ind w:left="1164" w:leftChars="257" w:hanging="540"/>
              <w:rPr>
                <w:rFonts w:ascii="仿宋" w:hAnsi="仿宋" w:eastAsia="仿宋" w:cs="仿宋"/>
                <w:color w:val="auto"/>
                <w:highlight w:val="none"/>
                <w:lang w:eastAsia="zh-CN"/>
              </w:rPr>
            </w:pPr>
          </w:p>
        </w:tc>
        <w:tc>
          <w:tcPr>
            <w:tcW w:w="1567" w:type="dxa"/>
          </w:tcPr>
          <w:p w14:paraId="10D7CB58">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4E204B23">
            <w:pPr>
              <w:pStyle w:val="13"/>
              <w:spacing w:line="240" w:lineRule="atLeast"/>
              <w:ind w:left="1164" w:leftChars="257" w:hanging="540"/>
              <w:rPr>
                <w:rFonts w:ascii="仿宋" w:hAnsi="仿宋" w:eastAsia="仿宋" w:cs="仿宋"/>
                <w:color w:val="auto"/>
                <w:highlight w:val="none"/>
                <w:lang w:eastAsia="zh-CN"/>
              </w:rPr>
            </w:pPr>
          </w:p>
        </w:tc>
      </w:tr>
      <w:tr w14:paraId="74BBC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3DF35464">
            <w:pPr>
              <w:pStyle w:val="13"/>
              <w:spacing w:line="240" w:lineRule="atLeast"/>
              <w:ind w:left="1164" w:leftChars="257" w:hanging="540"/>
              <w:rPr>
                <w:rFonts w:ascii="仿宋" w:hAnsi="仿宋" w:eastAsia="仿宋" w:cs="仿宋"/>
                <w:color w:val="auto"/>
                <w:highlight w:val="none"/>
                <w:lang w:eastAsia="zh-CN"/>
              </w:rPr>
            </w:pPr>
          </w:p>
        </w:tc>
        <w:tc>
          <w:tcPr>
            <w:tcW w:w="1978" w:type="dxa"/>
          </w:tcPr>
          <w:p w14:paraId="3EA4EBF6">
            <w:pPr>
              <w:pStyle w:val="13"/>
              <w:spacing w:line="240" w:lineRule="atLeast"/>
              <w:ind w:left="1164" w:leftChars="257" w:hanging="540"/>
              <w:rPr>
                <w:rFonts w:ascii="仿宋" w:hAnsi="仿宋" w:eastAsia="仿宋" w:cs="仿宋"/>
                <w:color w:val="auto"/>
                <w:highlight w:val="none"/>
                <w:lang w:eastAsia="zh-CN"/>
              </w:rPr>
            </w:pPr>
          </w:p>
        </w:tc>
        <w:tc>
          <w:tcPr>
            <w:tcW w:w="2055" w:type="dxa"/>
          </w:tcPr>
          <w:p w14:paraId="4B8F4B2D">
            <w:pPr>
              <w:pStyle w:val="13"/>
              <w:spacing w:line="240" w:lineRule="atLeast"/>
              <w:ind w:left="1164" w:leftChars="257" w:hanging="540"/>
              <w:rPr>
                <w:rFonts w:ascii="仿宋" w:hAnsi="仿宋" w:eastAsia="仿宋" w:cs="仿宋"/>
                <w:color w:val="auto"/>
                <w:highlight w:val="none"/>
                <w:lang w:eastAsia="zh-CN"/>
              </w:rPr>
            </w:pPr>
          </w:p>
        </w:tc>
        <w:tc>
          <w:tcPr>
            <w:tcW w:w="1567" w:type="dxa"/>
          </w:tcPr>
          <w:p w14:paraId="6044DB80">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17D826C0">
            <w:pPr>
              <w:pStyle w:val="13"/>
              <w:spacing w:line="240" w:lineRule="atLeast"/>
              <w:ind w:left="1164" w:leftChars="257" w:hanging="540"/>
              <w:rPr>
                <w:rFonts w:ascii="仿宋" w:hAnsi="仿宋" w:eastAsia="仿宋" w:cs="仿宋"/>
                <w:color w:val="auto"/>
                <w:highlight w:val="none"/>
                <w:lang w:eastAsia="zh-CN"/>
              </w:rPr>
            </w:pPr>
          </w:p>
        </w:tc>
      </w:tr>
      <w:tr w14:paraId="6148D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61" w:type="dxa"/>
          </w:tcPr>
          <w:p w14:paraId="2E78370E">
            <w:pPr>
              <w:pStyle w:val="13"/>
              <w:spacing w:line="240" w:lineRule="atLeast"/>
              <w:ind w:left="1164" w:leftChars="257" w:hanging="540"/>
              <w:rPr>
                <w:rFonts w:ascii="仿宋" w:hAnsi="仿宋" w:eastAsia="仿宋" w:cs="仿宋"/>
                <w:color w:val="auto"/>
                <w:highlight w:val="none"/>
                <w:lang w:eastAsia="zh-CN"/>
              </w:rPr>
            </w:pPr>
          </w:p>
        </w:tc>
        <w:tc>
          <w:tcPr>
            <w:tcW w:w="1978" w:type="dxa"/>
          </w:tcPr>
          <w:p w14:paraId="1E361ABE">
            <w:pPr>
              <w:pStyle w:val="13"/>
              <w:spacing w:line="240" w:lineRule="atLeast"/>
              <w:ind w:left="1164" w:leftChars="257" w:hanging="540"/>
              <w:rPr>
                <w:rFonts w:ascii="仿宋" w:hAnsi="仿宋" w:eastAsia="仿宋" w:cs="仿宋"/>
                <w:color w:val="auto"/>
                <w:highlight w:val="none"/>
                <w:lang w:eastAsia="zh-CN"/>
              </w:rPr>
            </w:pPr>
          </w:p>
        </w:tc>
        <w:tc>
          <w:tcPr>
            <w:tcW w:w="2055" w:type="dxa"/>
          </w:tcPr>
          <w:p w14:paraId="388DE362">
            <w:pPr>
              <w:pStyle w:val="13"/>
              <w:spacing w:line="240" w:lineRule="atLeast"/>
              <w:ind w:left="1164" w:leftChars="257" w:hanging="540"/>
              <w:rPr>
                <w:rFonts w:ascii="仿宋" w:hAnsi="仿宋" w:eastAsia="仿宋" w:cs="仿宋"/>
                <w:color w:val="auto"/>
                <w:highlight w:val="none"/>
                <w:lang w:eastAsia="zh-CN"/>
              </w:rPr>
            </w:pPr>
          </w:p>
        </w:tc>
        <w:tc>
          <w:tcPr>
            <w:tcW w:w="1567" w:type="dxa"/>
          </w:tcPr>
          <w:p w14:paraId="32B1574E">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302A0D73">
            <w:pPr>
              <w:pStyle w:val="13"/>
              <w:spacing w:line="240" w:lineRule="atLeast"/>
              <w:ind w:left="1164" w:leftChars="257" w:hanging="540"/>
              <w:rPr>
                <w:rFonts w:ascii="仿宋" w:hAnsi="仿宋" w:eastAsia="仿宋" w:cs="仿宋"/>
                <w:color w:val="auto"/>
                <w:highlight w:val="none"/>
                <w:lang w:eastAsia="zh-CN"/>
              </w:rPr>
            </w:pPr>
          </w:p>
        </w:tc>
      </w:tr>
      <w:tr w14:paraId="68093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61" w:type="dxa"/>
          </w:tcPr>
          <w:p w14:paraId="4AE83DAC">
            <w:pPr>
              <w:pStyle w:val="13"/>
              <w:spacing w:line="240" w:lineRule="atLeast"/>
              <w:ind w:left="1164" w:leftChars="257" w:hanging="540"/>
              <w:rPr>
                <w:rFonts w:ascii="仿宋" w:hAnsi="仿宋" w:eastAsia="仿宋" w:cs="仿宋"/>
                <w:color w:val="auto"/>
                <w:highlight w:val="none"/>
                <w:lang w:eastAsia="zh-CN"/>
              </w:rPr>
            </w:pPr>
          </w:p>
        </w:tc>
        <w:tc>
          <w:tcPr>
            <w:tcW w:w="1978" w:type="dxa"/>
          </w:tcPr>
          <w:p w14:paraId="63D26AF7">
            <w:pPr>
              <w:pStyle w:val="13"/>
              <w:spacing w:line="240" w:lineRule="atLeast"/>
              <w:ind w:left="1164" w:leftChars="257" w:hanging="540"/>
              <w:rPr>
                <w:rFonts w:ascii="仿宋" w:hAnsi="仿宋" w:eastAsia="仿宋" w:cs="仿宋"/>
                <w:color w:val="auto"/>
                <w:highlight w:val="none"/>
                <w:lang w:eastAsia="zh-CN"/>
              </w:rPr>
            </w:pPr>
          </w:p>
        </w:tc>
        <w:tc>
          <w:tcPr>
            <w:tcW w:w="2055" w:type="dxa"/>
          </w:tcPr>
          <w:p w14:paraId="20CCA86B">
            <w:pPr>
              <w:pStyle w:val="13"/>
              <w:spacing w:line="240" w:lineRule="atLeast"/>
              <w:ind w:left="1164" w:leftChars="257" w:hanging="540"/>
              <w:rPr>
                <w:rFonts w:ascii="仿宋" w:hAnsi="仿宋" w:eastAsia="仿宋" w:cs="仿宋"/>
                <w:color w:val="auto"/>
                <w:highlight w:val="none"/>
                <w:lang w:eastAsia="zh-CN"/>
              </w:rPr>
            </w:pPr>
          </w:p>
        </w:tc>
        <w:tc>
          <w:tcPr>
            <w:tcW w:w="1567" w:type="dxa"/>
          </w:tcPr>
          <w:p w14:paraId="51E1DD90">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5B7E4765">
            <w:pPr>
              <w:pStyle w:val="13"/>
              <w:spacing w:line="240" w:lineRule="atLeast"/>
              <w:ind w:left="1164" w:leftChars="257" w:hanging="540"/>
              <w:rPr>
                <w:rFonts w:ascii="仿宋" w:hAnsi="仿宋" w:eastAsia="仿宋" w:cs="仿宋"/>
                <w:color w:val="auto"/>
                <w:highlight w:val="none"/>
                <w:lang w:eastAsia="zh-CN"/>
              </w:rPr>
            </w:pPr>
          </w:p>
        </w:tc>
      </w:tr>
      <w:tr w14:paraId="0988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1" w:type="dxa"/>
          </w:tcPr>
          <w:p w14:paraId="1B71DEE5">
            <w:pPr>
              <w:pStyle w:val="13"/>
              <w:spacing w:line="240" w:lineRule="atLeast"/>
              <w:ind w:left="1164" w:leftChars="257" w:hanging="540"/>
              <w:rPr>
                <w:rFonts w:ascii="仿宋" w:hAnsi="仿宋" w:eastAsia="仿宋" w:cs="仿宋"/>
                <w:color w:val="auto"/>
                <w:highlight w:val="none"/>
                <w:lang w:eastAsia="zh-CN"/>
              </w:rPr>
            </w:pPr>
          </w:p>
        </w:tc>
        <w:tc>
          <w:tcPr>
            <w:tcW w:w="1978" w:type="dxa"/>
          </w:tcPr>
          <w:p w14:paraId="17FA57B2">
            <w:pPr>
              <w:pStyle w:val="13"/>
              <w:spacing w:line="240" w:lineRule="atLeast"/>
              <w:ind w:left="1164" w:leftChars="257" w:hanging="540"/>
              <w:rPr>
                <w:rFonts w:ascii="仿宋" w:hAnsi="仿宋" w:eastAsia="仿宋" w:cs="仿宋"/>
                <w:color w:val="auto"/>
                <w:highlight w:val="none"/>
                <w:lang w:eastAsia="zh-CN"/>
              </w:rPr>
            </w:pPr>
          </w:p>
        </w:tc>
        <w:tc>
          <w:tcPr>
            <w:tcW w:w="2055" w:type="dxa"/>
          </w:tcPr>
          <w:p w14:paraId="4645DA0C">
            <w:pPr>
              <w:pStyle w:val="13"/>
              <w:spacing w:line="240" w:lineRule="atLeast"/>
              <w:ind w:left="1164" w:leftChars="257" w:hanging="540"/>
              <w:rPr>
                <w:rFonts w:ascii="仿宋" w:hAnsi="仿宋" w:eastAsia="仿宋" w:cs="仿宋"/>
                <w:color w:val="auto"/>
                <w:highlight w:val="none"/>
                <w:lang w:eastAsia="zh-CN"/>
              </w:rPr>
            </w:pPr>
          </w:p>
        </w:tc>
        <w:tc>
          <w:tcPr>
            <w:tcW w:w="1567" w:type="dxa"/>
          </w:tcPr>
          <w:p w14:paraId="178D424B">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75A2C575">
            <w:pPr>
              <w:pStyle w:val="13"/>
              <w:spacing w:line="240" w:lineRule="atLeast"/>
              <w:ind w:left="1164" w:leftChars="257" w:hanging="540"/>
              <w:rPr>
                <w:rFonts w:ascii="仿宋" w:hAnsi="仿宋" w:eastAsia="仿宋" w:cs="仿宋"/>
                <w:color w:val="auto"/>
                <w:highlight w:val="none"/>
                <w:lang w:eastAsia="zh-CN"/>
              </w:rPr>
            </w:pPr>
          </w:p>
        </w:tc>
      </w:tr>
      <w:tr w14:paraId="71DE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1" w:type="dxa"/>
          </w:tcPr>
          <w:p w14:paraId="488F4ABC">
            <w:pPr>
              <w:pStyle w:val="13"/>
              <w:spacing w:line="240" w:lineRule="atLeast"/>
              <w:ind w:left="1164" w:leftChars="257" w:hanging="540"/>
              <w:rPr>
                <w:rFonts w:ascii="仿宋" w:hAnsi="仿宋" w:eastAsia="仿宋" w:cs="仿宋"/>
                <w:color w:val="auto"/>
                <w:highlight w:val="none"/>
                <w:lang w:eastAsia="zh-CN"/>
              </w:rPr>
            </w:pPr>
          </w:p>
        </w:tc>
        <w:tc>
          <w:tcPr>
            <w:tcW w:w="1978" w:type="dxa"/>
          </w:tcPr>
          <w:p w14:paraId="597AB5BF">
            <w:pPr>
              <w:pStyle w:val="13"/>
              <w:spacing w:line="240" w:lineRule="atLeast"/>
              <w:ind w:left="1164" w:leftChars="257" w:hanging="540"/>
              <w:rPr>
                <w:rFonts w:ascii="仿宋" w:hAnsi="仿宋" w:eastAsia="仿宋" w:cs="仿宋"/>
                <w:color w:val="auto"/>
                <w:highlight w:val="none"/>
                <w:lang w:eastAsia="zh-CN"/>
              </w:rPr>
            </w:pPr>
          </w:p>
        </w:tc>
        <w:tc>
          <w:tcPr>
            <w:tcW w:w="2055" w:type="dxa"/>
          </w:tcPr>
          <w:p w14:paraId="01ADA307">
            <w:pPr>
              <w:pStyle w:val="13"/>
              <w:spacing w:line="240" w:lineRule="atLeast"/>
              <w:ind w:left="1164" w:leftChars="257" w:hanging="540"/>
              <w:rPr>
                <w:rFonts w:ascii="仿宋" w:hAnsi="仿宋" w:eastAsia="仿宋" w:cs="仿宋"/>
                <w:color w:val="auto"/>
                <w:highlight w:val="none"/>
                <w:lang w:eastAsia="zh-CN"/>
              </w:rPr>
            </w:pPr>
          </w:p>
        </w:tc>
        <w:tc>
          <w:tcPr>
            <w:tcW w:w="1567" w:type="dxa"/>
          </w:tcPr>
          <w:p w14:paraId="36763D32">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1FB4E103">
            <w:pPr>
              <w:pStyle w:val="13"/>
              <w:spacing w:line="240" w:lineRule="atLeast"/>
              <w:ind w:left="1164" w:leftChars="257" w:hanging="540"/>
              <w:rPr>
                <w:rFonts w:ascii="仿宋" w:hAnsi="仿宋" w:eastAsia="仿宋" w:cs="仿宋"/>
                <w:color w:val="auto"/>
                <w:highlight w:val="none"/>
                <w:lang w:eastAsia="zh-CN"/>
              </w:rPr>
            </w:pPr>
          </w:p>
        </w:tc>
      </w:tr>
      <w:tr w14:paraId="14741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61" w:type="dxa"/>
          </w:tcPr>
          <w:p w14:paraId="6B139728">
            <w:pPr>
              <w:pStyle w:val="13"/>
              <w:spacing w:line="240" w:lineRule="atLeast"/>
              <w:ind w:left="1164" w:leftChars="257" w:hanging="540"/>
              <w:rPr>
                <w:rFonts w:ascii="仿宋" w:hAnsi="仿宋" w:eastAsia="仿宋" w:cs="仿宋"/>
                <w:color w:val="auto"/>
                <w:highlight w:val="none"/>
                <w:lang w:eastAsia="zh-CN"/>
              </w:rPr>
            </w:pPr>
          </w:p>
        </w:tc>
        <w:tc>
          <w:tcPr>
            <w:tcW w:w="1978" w:type="dxa"/>
          </w:tcPr>
          <w:p w14:paraId="4084F4EF">
            <w:pPr>
              <w:pStyle w:val="13"/>
              <w:spacing w:line="240" w:lineRule="atLeast"/>
              <w:ind w:left="1164" w:leftChars="257" w:hanging="540"/>
              <w:rPr>
                <w:rFonts w:ascii="仿宋" w:hAnsi="仿宋" w:eastAsia="仿宋" w:cs="仿宋"/>
                <w:color w:val="auto"/>
                <w:highlight w:val="none"/>
                <w:lang w:eastAsia="zh-CN"/>
              </w:rPr>
            </w:pPr>
          </w:p>
        </w:tc>
        <w:tc>
          <w:tcPr>
            <w:tcW w:w="2055" w:type="dxa"/>
          </w:tcPr>
          <w:p w14:paraId="361F2A96">
            <w:pPr>
              <w:pStyle w:val="13"/>
              <w:spacing w:line="240" w:lineRule="atLeast"/>
              <w:ind w:left="1164" w:leftChars="257" w:hanging="540"/>
              <w:rPr>
                <w:rFonts w:ascii="仿宋" w:hAnsi="仿宋" w:eastAsia="仿宋" w:cs="仿宋"/>
                <w:color w:val="auto"/>
                <w:highlight w:val="none"/>
                <w:lang w:eastAsia="zh-CN"/>
              </w:rPr>
            </w:pPr>
          </w:p>
        </w:tc>
        <w:tc>
          <w:tcPr>
            <w:tcW w:w="1567" w:type="dxa"/>
          </w:tcPr>
          <w:p w14:paraId="36F4564E">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3D28720F">
            <w:pPr>
              <w:pStyle w:val="13"/>
              <w:spacing w:line="240" w:lineRule="atLeast"/>
              <w:ind w:left="1164" w:leftChars="257" w:hanging="540"/>
              <w:rPr>
                <w:rFonts w:ascii="仿宋" w:hAnsi="仿宋" w:eastAsia="仿宋" w:cs="仿宋"/>
                <w:color w:val="auto"/>
                <w:highlight w:val="none"/>
                <w:lang w:eastAsia="zh-CN"/>
              </w:rPr>
            </w:pPr>
          </w:p>
        </w:tc>
      </w:tr>
      <w:tr w14:paraId="68A0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61" w:type="dxa"/>
          </w:tcPr>
          <w:p w14:paraId="6F4023BB">
            <w:pPr>
              <w:pStyle w:val="13"/>
              <w:spacing w:line="240" w:lineRule="atLeast"/>
              <w:ind w:left="1164" w:leftChars="257" w:hanging="540"/>
              <w:rPr>
                <w:rFonts w:ascii="仿宋" w:hAnsi="仿宋" w:eastAsia="仿宋" w:cs="仿宋"/>
                <w:color w:val="auto"/>
                <w:highlight w:val="none"/>
                <w:lang w:eastAsia="zh-CN"/>
              </w:rPr>
            </w:pPr>
          </w:p>
        </w:tc>
        <w:tc>
          <w:tcPr>
            <w:tcW w:w="1978" w:type="dxa"/>
          </w:tcPr>
          <w:p w14:paraId="7493988B">
            <w:pPr>
              <w:pStyle w:val="13"/>
              <w:spacing w:line="240" w:lineRule="atLeast"/>
              <w:ind w:left="1164" w:leftChars="257" w:hanging="540"/>
              <w:rPr>
                <w:rFonts w:ascii="仿宋" w:hAnsi="仿宋" w:eastAsia="仿宋" w:cs="仿宋"/>
                <w:color w:val="auto"/>
                <w:highlight w:val="none"/>
                <w:lang w:eastAsia="zh-CN"/>
              </w:rPr>
            </w:pPr>
          </w:p>
        </w:tc>
        <w:tc>
          <w:tcPr>
            <w:tcW w:w="2055" w:type="dxa"/>
          </w:tcPr>
          <w:p w14:paraId="5E86F570">
            <w:pPr>
              <w:pStyle w:val="13"/>
              <w:spacing w:line="240" w:lineRule="atLeast"/>
              <w:ind w:left="1164" w:leftChars="257" w:hanging="540"/>
              <w:rPr>
                <w:rFonts w:ascii="仿宋" w:hAnsi="仿宋" w:eastAsia="仿宋" w:cs="仿宋"/>
                <w:color w:val="auto"/>
                <w:highlight w:val="none"/>
                <w:lang w:eastAsia="zh-CN"/>
              </w:rPr>
            </w:pPr>
          </w:p>
        </w:tc>
        <w:tc>
          <w:tcPr>
            <w:tcW w:w="1567" w:type="dxa"/>
          </w:tcPr>
          <w:p w14:paraId="0F1F8C3B">
            <w:pPr>
              <w:pStyle w:val="13"/>
              <w:spacing w:line="240" w:lineRule="atLeast"/>
              <w:ind w:left="1164" w:leftChars="257" w:hanging="540"/>
              <w:rPr>
                <w:rFonts w:ascii="仿宋" w:hAnsi="仿宋" w:eastAsia="仿宋" w:cs="仿宋"/>
                <w:color w:val="auto"/>
                <w:highlight w:val="none"/>
                <w:lang w:eastAsia="zh-CN"/>
              </w:rPr>
            </w:pPr>
          </w:p>
        </w:tc>
        <w:tc>
          <w:tcPr>
            <w:tcW w:w="1101" w:type="dxa"/>
          </w:tcPr>
          <w:p w14:paraId="24F6A827">
            <w:pPr>
              <w:pStyle w:val="13"/>
              <w:spacing w:line="240" w:lineRule="atLeast"/>
              <w:ind w:left="1164" w:leftChars="257" w:hanging="540"/>
              <w:rPr>
                <w:rFonts w:ascii="仿宋" w:hAnsi="仿宋" w:eastAsia="仿宋" w:cs="仿宋"/>
                <w:color w:val="auto"/>
                <w:highlight w:val="none"/>
                <w:lang w:eastAsia="zh-CN"/>
              </w:rPr>
            </w:pPr>
          </w:p>
        </w:tc>
      </w:tr>
    </w:tbl>
    <w:p w14:paraId="78FD8EE6">
      <w:pPr>
        <w:pStyle w:val="13"/>
        <w:spacing w:line="240" w:lineRule="atLeast"/>
        <w:ind w:left="1164" w:leftChars="257" w:hanging="540"/>
        <w:rPr>
          <w:rFonts w:ascii="仿宋" w:hAnsi="仿宋" w:eastAsia="仿宋" w:cs="仿宋"/>
          <w:color w:val="auto"/>
        </w:rPr>
      </w:pPr>
    </w:p>
    <w:p w14:paraId="0995C33F">
      <w:pPr>
        <w:pStyle w:val="14"/>
        <w:rPr>
          <w:color w:val="auto"/>
        </w:rPr>
      </w:pPr>
    </w:p>
    <w:p w14:paraId="10195F3B">
      <w:pPr>
        <w:pStyle w:val="13"/>
        <w:spacing w:line="240" w:lineRule="atLeast"/>
        <w:ind w:left="1164" w:leftChars="257" w:hanging="540"/>
        <w:rPr>
          <w:rFonts w:hAnsi="宋体" w:eastAsia="宋体" w:cs="宋体"/>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hAnsi="宋体" w:eastAsia="宋体" w:cs="宋体"/>
          <w:color w:val="auto"/>
          <w:u w:val="single"/>
          <w:lang w:eastAsia="zh-CN"/>
        </w:rPr>
        <w:t xml:space="preserve">         </w:t>
      </w:r>
    </w:p>
    <w:p w14:paraId="1F3FD438">
      <w:pPr>
        <w:pStyle w:val="13"/>
        <w:tabs>
          <w:tab w:val="left" w:pos="5370"/>
        </w:tabs>
        <w:spacing w:line="240" w:lineRule="atLeast"/>
        <w:ind w:left="1164" w:leftChars="257" w:hanging="540"/>
        <w:rPr>
          <w:rFonts w:ascii="仿宋" w:hAnsi="仿宋" w:eastAsia="仿宋" w:cs="仿宋"/>
          <w:color w:val="auto"/>
          <w:lang w:eastAsia="zh-CN"/>
        </w:rPr>
      </w:pPr>
    </w:p>
    <w:p w14:paraId="5402063C">
      <w:pPr>
        <w:pStyle w:val="13"/>
        <w:tabs>
          <w:tab w:val="left" w:pos="5370"/>
        </w:tabs>
        <w:spacing w:line="240" w:lineRule="atLeast"/>
        <w:ind w:left="1164" w:leftChars="257" w:hanging="540"/>
        <w:rPr>
          <w:rFonts w:ascii="仿宋" w:hAnsi="仿宋" w:eastAsia="仿宋" w:cs="仿宋"/>
          <w:color w:val="auto"/>
          <w:u w:val="single"/>
          <w:lang w:eastAsia="zh-CN"/>
        </w:rPr>
      </w:pPr>
      <w:r>
        <w:rPr>
          <w:rFonts w:hint="eastAsia" w:ascii="仿宋" w:hAnsi="仿宋" w:eastAsia="仿宋" w:cs="仿宋"/>
          <w:color w:val="auto"/>
          <w:lang w:eastAsia="zh-CN"/>
        </w:rPr>
        <w:t>供应商(盖单位章):</w:t>
      </w:r>
      <w:r>
        <w:rPr>
          <w:rFonts w:hint="eastAsia" w:ascii="仿宋" w:hAnsi="仿宋" w:eastAsia="仿宋" w:cs="仿宋"/>
          <w:color w:val="auto"/>
          <w:u w:val="single"/>
          <w:lang w:eastAsia="zh-CN"/>
        </w:rPr>
        <w:tab/>
      </w:r>
    </w:p>
    <w:p w14:paraId="4921ED8C">
      <w:pPr>
        <w:pStyle w:val="13"/>
        <w:spacing w:line="240" w:lineRule="atLeast"/>
        <w:ind w:left="1164" w:leftChars="257" w:hanging="540"/>
        <w:rPr>
          <w:rFonts w:ascii="仿宋" w:hAnsi="仿宋" w:eastAsia="仿宋" w:cs="仿宋"/>
          <w:color w:val="auto"/>
          <w:lang w:eastAsia="zh-CN"/>
        </w:rPr>
      </w:pPr>
    </w:p>
    <w:p w14:paraId="478A8343">
      <w:pPr>
        <w:pStyle w:val="13"/>
        <w:spacing w:line="240" w:lineRule="atLeast"/>
        <w:ind w:left="1164" w:leftChars="257" w:hanging="540"/>
        <w:jc w:val="center"/>
        <w:rPr>
          <w:rFonts w:hAnsi="宋体" w:eastAsia="宋体" w:cs="宋体"/>
          <w:color w:val="auto"/>
          <w:lang w:eastAsia="zh-CN"/>
        </w:rPr>
      </w:pPr>
    </w:p>
    <w:p w14:paraId="2821BBD7">
      <w:pPr>
        <w:pStyle w:val="13"/>
        <w:spacing w:line="240" w:lineRule="atLeast"/>
        <w:ind w:left="1164" w:leftChars="257" w:hanging="540"/>
        <w:jc w:val="center"/>
        <w:rPr>
          <w:rFonts w:hAnsi="宋体" w:eastAsia="宋体" w:cs="宋体"/>
          <w:color w:val="auto"/>
          <w:lang w:eastAsia="zh-CN"/>
        </w:rPr>
        <w:sectPr>
          <w:footerReference r:id="rId8" w:type="default"/>
          <w:pgSz w:w="11905" w:h="16838"/>
          <w:pgMar w:top="1440" w:right="1797" w:bottom="1440" w:left="1797" w:header="850" w:footer="992" w:gutter="0"/>
          <w:cols w:space="720" w:num="1"/>
          <w:docGrid w:type="linesAndChars" w:linePitch="325" w:charSpace="635"/>
        </w:sectPr>
      </w:pPr>
    </w:p>
    <w:p w14:paraId="5775A267">
      <w:pPr>
        <w:pStyle w:val="34"/>
        <w:keepNext/>
        <w:keepLines/>
        <w:spacing w:before="0" w:after="220"/>
        <w:rPr>
          <w:rFonts w:ascii="仿宋" w:hAnsi="仿宋" w:eastAsia="仿宋" w:cs="仿宋"/>
          <w:b/>
          <w:bCs/>
          <w:color w:val="auto"/>
        </w:rPr>
      </w:pPr>
      <w:r>
        <w:rPr>
          <w:rFonts w:hint="eastAsia" w:ascii="仿宋" w:hAnsi="仿宋" w:eastAsia="仿宋" w:cs="仿宋"/>
          <w:b/>
          <w:bCs/>
          <w:color w:val="auto"/>
          <w:lang w:val="en-US" w:eastAsia="zh-CN"/>
        </w:rPr>
        <w:t>4</w:t>
      </w:r>
      <w:r>
        <w:rPr>
          <w:rFonts w:hint="eastAsia" w:ascii="仿宋" w:hAnsi="仿宋" w:eastAsia="仿宋" w:cs="仿宋"/>
          <w:b/>
          <w:bCs/>
          <w:color w:val="auto"/>
          <w:lang w:eastAsia="zh-CN"/>
        </w:rPr>
        <w:t>、</w:t>
      </w:r>
      <w:r>
        <w:rPr>
          <w:rFonts w:hint="eastAsia" w:ascii="仿宋" w:hAnsi="仿宋" w:eastAsia="仿宋" w:cs="仿宋"/>
          <w:b/>
          <w:bCs/>
          <w:color w:val="auto"/>
        </w:rPr>
        <w:t>投标报价明细表</w:t>
      </w:r>
      <w:r>
        <w:rPr>
          <w:rFonts w:hint="eastAsia" w:ascii="仿宋" w:hAnsi="仿宋" w:eastAsia="仿宋" w:cs="仿宋"/>
          <w:color w:val="auto"/>
          <w:kern w:val="2"/>
          <w:sz w:val="24"/>
          <w:szCs w:val="20"/>
          <w:highlight w:val="none"/>
          <w:u w:color="000000"/>
          <w:lang w:val="en-US" w:eastAsia="zh-CN" w:bidi="ar-SA"/>
        </w:rPr>
        <w:t>（格式可自拟）</w:t>
      </w:r>
    </w:p>
    <w:p w14:paraId="55BCF78B">
      <w:pPr>
        <w:pStyle w:val="34"/>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项目名称:                      </w:t>
      </w:r>
    </w:p>
    <w:p w14:paraId="1D34EF75">
      <w:pPr>
        <w:pStyle w:val="34"/>
        <w:keepNext/>
        <w:keepLines/>
        <w:spacing w:before="0" w:after="220"/>
        <w:jc w:val="both"/>
        <w:rPr>
          <w:rFonts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包号: 　 </w:t>
      </w:r>
    </w:p>
    <w:p w14:paraId="35797D31">
      <w:pPr>
        <w:pStyle w:val="13"/>
        <w:spacing w:line="240" w:lineRule="atLeast"/>
        <w:ind w:left="1157" w:leftChars="257" w:hanging="540"/>
        <w:jc w:val="center"/>
        <w:rPr>
          <w:rFonts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25"/>
        <w:tblW w:w="764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5"/>
        <w:gridCol w:w="1985"/>
        <w:gridCol w:w="1668"/>
        <w:gridCol w:w="1137"/>
        <w:gridCol w:w="945"/>
        <w:gridCol w:w="963"/>
      </w:tblGrid>
      <w:tr w14:paraId="364363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09CCB78">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648AA6AB">
            <w:pPr>
              <w:spacing w:line="50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服务内容</w:t>
            </w:r>
          </w:p>
        </w:tc>
        <w:tc>
          <w:tcPr>
            <w:tcW w:w="1668" w:type="dxa"/>
            <w:tcBorders>
              <w:top w:val="single" w:color="auto" w:sz="4" w:space="0"/>
              <w:left w:val="single" w:color="auto" w:sz="4" w:space="0"/>
              <w:bottom w:val="single" w:color="auto" w:sz="4" w:space="0"/>
              <w:right w:val="single" w:color="auto" w:sz="4" w:space="0"/>
            </w:tcBorders>
            <w:vAlign w:val="center"/>
          </w:tcPr>
          <w:p w14:paraId="362E3297">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数量</w:t>
            </w:r>
          </w:p>
        </w:tc>
        <w:tc>
          <w:tcPr>
            <w:tcW w:w="1137" w:type="dxa"/>
            <w:tcBorders>
              <w:top w:val="single" w:color="auto" w:sz="4" w:space="0"/>
              <w:left w:val="single" w:color="auto" w:sz="4" w:space="0"/>
              <w:bottom w:val="single" w:color="auto" w:sz="4" w:space="0"/>
              <w:right w:val="single" w:color="auto" w:sz="4" w:space="0"/>
            </w:tcBorders>
            <w:vAlign w:val="center"/>
          </w:tcPr>
          <w:p w14:paraId="6642AAA1">
            <w:pPr>
              <w:spacing w:line="50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eastAsia="zh-CN"/>
              </w:rPr>
              <w:t>单位</w:t>
            </w:r>
          </w:p>
        </w:tc>
        <w:tc>
          <w:tcPr>
            <w:tcW w:w="945" w:type="dxa"/>
            <w:tcBorders>
              <w:top w:val="single" w:color="auto" w:sz="4" w:space="0"/>
              <w:left w:val="single" w:color="auto" w:sz="4" w:space="0"/>
              <w:bottom w:val="single" w:color="auto" w:sz="4" w:space="0"/>
              <w:right w:val="single" w:color="auto" w:sz="4" w:space="0"/>
            </w:tcBorders>
            <w:vAlign w:val="center"/>
          </w:tcPr>
          <w:p w14:paraId="0551E9D3">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rPr>
              <w:t>总价</w:t>
            </w:r>
          </w:p>
        </w:tc>
        <w:tc>
          <w:tcPr>
            <w:tcW w:w="963" w:type="dxa"/>
            <w:tcBorders>
              <w:top w:val="single" w:color="auto" w:sz="4" w:space="0"/>
              <w:left w:val="single" w:color="auto" w:sz="4" w:space="0"/>
              <w:bottom w:val="single" w:color="auto" w:sz="4" w:space="0"/>
              <w:right w:val="single" w:color="auto" w:sz="4" w:space="0"/>
            </w:tcBorders>
            <w:vAlign w:val="center"/>
          </w:tcPr>
          <w:p w14:paraId="5E026228">
            <w:pPr>
              <w:spacing w:line="500" w:lineRule="exact"/>
              <w:jc w:val="center"/>
              <w:rPr>
                <w:rFonts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备注</w:t>
            </w:r>
          </w:p>
        </w:tc>
      </w:tr>
      <w:tr w14:paraId="3D1CE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F270D44">
            <w:pPr>
              <w:spacing w:line="500" w:lineRule="exact"/>
              <w:jc w:val="center"/>
              <w:rPr>
                <w:rFonts w:ascii="仿宋" w:hAnsi="仿宋" w:eastAsia="仿宋" w:cs="仿宋"/>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C380B96">
            <w:pPr>
              <w:spacing w:line="500" w:lineRule="exact"/>
              <w:jc w:val="center"/>
              <w:rPr>
                <w:rFonts w:ascii="仿宋" w:hAnsi="仿宋" w:eastAsia="仿宋" w:cs="仿宋"/>
                <w:color w:val="auto"/>
                <w:szCs w:val="21"/>
                <w:highlight w:val="none"/>
              </w:rPr>
            </w:pPr>
          </w:p>
        </w:tc>
        <w:tc>
          <w:tcPr>
            <w:tcW w:w="1668" w:type="dxa"/>
            <w:tcBorders>
              <w:top w:val="single" w:color="auto" w:sz="4" w:space="0"/>
              <w:left w:val="single" w:color="auto" w:sz="4" w:space="0"/>
              <w:bottom w:val="single" w:color="auto" w:sz="4" w:space="0"/>
              <w:right w:val="single" w:color="auto" w:sz="4" w:space="0"/>
            </w:tcBorders>
            <w:vAlign w:val="center"/>
          </w:tcPr>
          <w:p w14:paraId="1C67AC49">
            <w:pPr>
              <w:spacing w:line="500" w:lineRule="exact"/>
              <w:jc w:val="center"/>
              <w:rPr>
                <w:rFonts w:ascii="仿宋" w:hAnsi="仿宋" w:eastAsia="仿宋" w:cs="仿宋"/>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vAlign w:val="center"/>
          </w:tcPr>
          <w:p w14:paraId="206A8F25">
            <w:pPr>
              <w:spacing w:line="500" w:lineRule="exact"/>
              <w:jc w:val="center"/>
              <w:rPr>
                <w:rFonts w:ascii="仿宋" w:hAnsi="仿宋" w:eastAsia="仿宋" w:cs="仿宋"/>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42C2D781">
            <w:pPr>
              <w:spacing w:line="500" w:lineRule="exact"/>
              <w:jc w:val="center"/>
              <w:rPr>
                <w:rFonts w:ascii="仿宋" w:hAnsi="仿宋" w:eastAsia="仿宋" w:cs="仿宋"/>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2E8FEB77">
            <w:pPr>
              <w:spacing w:line="500" w:lineRule="exact"/>
              <w:jc w:val="center"/>
              <w:rPr>
                <w:rFonts w:ascii="仿宋" w:hAnsi="仿宋" w:eastAsia="仿宋" w:cs="仿宋"/>
                <w:color w:val="auto"/>
                <w:szCs w:val="21"/>
                <w:highlight w:val="none"/>
              </w:rPr>
            </w:pPr>
          </w:p>
        </w:tc>
      </w:tr>
      <w:tr w14:paraId="0EE94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120BF335">
            <w:pPr>
              <w:spacing w:line="500" w:lineRule="exact"/>
              <w:jc w:val="center"/>
              <w:rPr>
                <w:rFonts w:ascii="仿宋" w:hAnsi="仿宋" w:eastAsia="仿宋" w:cs="仿宋"/>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71399F64">
            <w:pPr>
              <w:spacing w:line="500" w:lineRule="exact"/>
              <w:jc w:val="center"/>
              <w:rPr>
                <w:rFonts w:ascii="仿宋" w:hAnsi="仿宋" w:eastAsia="仿宋" w:cs="仿宋"/>
                <w:color w:val="auto"/>
                <w:szCs w:val="21"/>
                <w:highlight w:val="none"/>
              </w:rPr>
            </w:pPr>
          </w:p>
        </w:tc>
        <w:tc>
          <w:tcPr>
            <w:tcW w:w="1668" w:type="dxa"/>
            <w:tcBorders>
              <w:top w:val="single" w:color="auto" w:sz="4" w:space="0"/>
              <w:left w:val="single" w:color="auto" w:sz="4" w:space="0"/>
              <w:bottom w:val="single" w:color="auto" w:sz="4" w:space="0"/>
              <w:right w:val="single" w:color="auto" w:sz="4" w:space="0"/>
            </w:tcBorders>
            <w:vAlign w:val="center"/>
          </w:tcPr>
          <w:p w14:paraId="3AC5FAAF">
            <w:pPr>
              <w:spacing w:line="500" w:lineRule="exact"/>
              <w:jc w:val="center"/>
              <w:rPr>
                <w:rFonts w:ascii="仿宋" w:hAnsi="仿宋" w:eastAsia="仿宋" w:cs="仿宋"/>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vAlign w:val="center"/>
          </w:tcPr>
          <w:p w14:paraId="6C76854A">
            <w:pPr>
              <w:spacing w:line="500" w:lineRule="exact"/>
              <w:jc w:val="center"/>
              <w:rPr>
                <w:rFonts w:ascii="仿宋" w:hAnsi="仿宋" w:eastAsia="仿宋" w:cs="仿宋"/>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7DC10A00">
            <w:pPr>
              <w:spacing w:line="500" w:lineRule="exact"/>
              <w:jc w:val="center"/>
              <w:rPr>
                <w:rFonts w:ascii="仿宋" w:hAnsi="仿宋" w:eastAsia="仿宋" w:cs="仿宋"/>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4756E939">
            <w:pPr>
              <w:spacing w:line="500" w:lineRule="exact"/>
              <w:jc w:val="center"/>
              <w:rPr>
                <w:rFonts w:ascii="仿宋" w:hAnsi="仿宋" w:eastAsia="仿宋" w:cs="仿宋"/>
                <w:color w:val="auto"/>
                <w:szCs w:val="21"/>
                <w:highlight w:val="none"/>
              </w:rPr>
            </w:pPr>
          </w:p>
        </w:tc>
      </w:tr>
      <w:tr w14:paraId="1DFDD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7E69E08">
            <w:pPr>
              <w:spacing w:line="500" w:lineRule="exact"/>
              <w:jc w:val="center"/>
              <w:rPr>
                <w:rFonts w:ascii="仿宋" w:hAnsi="仿宋" w:eastAsia="仿宋" w:cs="仿宋"/>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6005358">
            <w:pPr>
              <w:spacing w:line="500" w:lineRule="exact"/>
              <w:jc w:val="center"/>
              <w:rPr>
                <w:rFonts w:ascii="仿宋" w:hAnsi="仿宋" w:eastAsia="仿宋" w:cs="仿宋"/>
                <w:color w:val="auto"/>
                <w:szCs w:val="21"/>
                <w:highlight w:val="none"/>
              </w:rPr>
            </w:pPr>
          </w:p>
        </w:tc>
        <w:tc>
          <w:tcPr>
            <w:tcW w:w="1668" w:type="dxa"/>
            <w:tcBorders>
              <w:top w:val="single" w:color="auto" w:sz="4" w:space="0"/>
              <w:left w:val="single" w:color="auto" w:sz="4" w:space="0"/>
              <w:bottom w:val="single" w:color="auto" w:sz="4" w:space="0"/>
              <w:right w:val="single" w:color="auto" w:sz="4" w:space="0"/>
            </w:tcBorders>
            <w:vAlign w:val="center"/>
          </w:tcPr>
          <w:p w14:paraId="791CC9AB">
            <w:pPr>
              <w:spacing w:line="500" w:lineRule="exact"/>
              <w:jc w:val="center"/>
              <w:rPr>
                <w:rFonts w:ascii="仿宋" w:hAnsi="仿宋" w:eastAsia="仿宋" w:cs="仿宋"/>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vAlign w:val="center"/>
          </w:tcPr>
          <w:p w14:paraId="443BE756">
            <w:pPr>
              <w:spacing w:line="500" w:lineRule="exact"/>
              <w:jc w:val="center"/>
              <w:rPr>
                <w:rFonts w:ascii="仿宋" w:hAnsi="仿宋" w:eastAsia="仿宋" w:cs="仿宋"/>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7D299B27">
            <w:pPr>
              <w:spacing w:line="500" w:lineRule="exact"/>
              <w:jc w:val="center"/>
              <w:rPr>
                <w:rFonts w:ascii="仿宋" w:hAnsi="仿宋" w:eastAsia="仿宋" w:cs="仿宋"/>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248FB632">
            <w:pPr>
              <w:spacing w:line="500" w:lineRule="exact"/>
              <w:jc w:val="center"/>
              <w:rPr>
                <w:rFonts w:ascii="仿宋" w:hAnsi="仿宋" w:eastAsia="仿宋" w:cs="仿宋"/>
                <w:color w:val="auto"/>
                <w:szCs w:val="21"/>
                <w:highlight w:val="none"/>
              </w:rPr>
            </w:pPr>
          </w:p>
        </w:tc>
      </w:tr>
      <w:tr w14:paraId="576BCA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5A6275F9">
            <w:pPr>
              <w:spacing w:line="500" w:lineRule="exact"/>
              <w:jc w:val="center"/>
              <w:rPr>
                <w:rFonts w:ascii="仿宋" w:hAnsi="仿宋" w:eastAsia="仿宋" w:cs="仿宋"/>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15B534D">
            <w:pPr>
              <w:spacing w:line="500" w:lineRule="exact"/>
              <w:jc w:val="center"/>
              <w:rPr>
                <w:rFonts w:ascii="仿宋" w:hAnsi="仿宋" w:eastAsia="仿宋" w:cs="仿宋"/>
                <w:color w:val="auto"/>
                <w:szCs w:val="21"/>
                <w:highlight w:val="none"/>
              </w:rPr>
            </w:pPr>
          </w:p>
        </w:tc>
        <w:tc>
          <w:tcPr>
            <w:tcW w:w="1668" w:type="dxa"/>
            <w:tcBorders>
              <w:top w:val="single" w:color="auto" w:sz="4" w:space="0"/>
              <w:left w:val="single" w:color="auto" w:sz="4" w:space="0"/>
              <w:bottom w:val="single" w:color="auto" w:sz="4" w:space="0"/>
              <w:right w:val="single" w:color="auto" w:sz="4" w:space="0"/>
            </w:tcBorders>
            <w:vAlign w:val="center"/>
          </w:tcPr>
          <w:p w14:paraId="4F233071">
            <w:pPr>
              <w:spacing w:line="500" w:lineRule="exact"/>
              <w:jc w:val="center"/>
              <w:rPr>
                <w:rFonts w:ascii="仿宋" w:hAnsi="仿宋" w:eastAsia="仿宋" w:cs="仿宋"/>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vAlign w:val="center"/>
          </w:tcPr>
          <w:p w14:paraId="197F5466">
            <w:pPr>
              <w:spacing w:line="500" w:lineRule="exact"/>
              <w:jc w:val="center"/>
              <w:rPr>
                <w:rFonts w:ascii="仿宋" w:hAnsi="仿宋" w:eastAsia="仿宋" w:cs="仿宋"/>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0C288E9F">
            <w:pPr>
              <w:spacing w:line="500" w:lineRule="exact"/>
              <w:jc w:val="center"/>
              <w:rPr>
                <w:rFonts w:ascii="仿宋" w:hAnsi="仿宋" w:eastAsia="仿宋" w:cs="仿宋"/>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37D34BD9">
            <w:pPr>
              <w:spacing w:line="500" w:lineRule="exact"/>
              <w:jc w:val="center"/>
              <w:rPr>
                <w:rFonts w:ascii="仿宋" w:hAnsi="仿宋" w:eastAsia="仿宋" w:cs="仿宋"/>
                <w:color w:val="auto"/>
                <w:szCs w:val="21"/>
                <w:highlight w:val="none"/>
              </w:rPr>
            </w:pPr>
          </w:p>
        </w:tc>
      </w:tr>
      <w:tr w14:paraId="74A0B3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709069BB">
            <w:pPr>
              <w:spacing w:line="500" w:lineRule="exact"/>
              <w:jc w:val="center"/>
              <w:rPr>
                <w:rFonts w:ascii="仿宋" w:hAnsi="仿宋" w:eastAsia="仿宋" w:cs="仿宋"/>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50A4AC80">
            <w:pPr>
              <w:spacing w:line="500" w:lineRule="exact"/>
              <w:jc w:val="center"/>
              <w:rPr>
                <w:rFonts w:ascii="仿宋" w:hAnsi="仿宋" w:eastAsia="仿宋" w:cs="仿宋"/>
                <w:color w:val="auto"/>
                <w:szCs w:val="21"/>
                <w:highlight w:val="none"/>
              </w:rPr>
            </w:pPr>
          </w:p>
        </w:tc>
        <w:tc>
          <w:tcPr>
            <w:tcW w:w="1668" w:type="dxa"/>
            <w:tcBorders>
              <w:top w:val="single" w:color="auto" w:sz="4" w:space="0"/>
              <w:left w:val="single" w:color="auto" w:sz="4" w:space="0"/>
              <w:bottom w:val="single" w:color="auto" w:sz="4" w:space="0"/>
              <w:right w:val="single" w:color="auto" w:sz="4" w:space="0"/>
            </w:tcBorders>
            <w:vAlign w:val="center"/>
          </w:tcPr>
          <w:p w14:paraId="6D426018">
            <w:pPr>
              <w:spacing w:line="500" w:lineRule="exact"/>
              <w:jc w:val="center"/>
              <w:rPr>
                <w:rFonts w:ascii="仿宋" w:hAnsi="仿宋" w:eastAsia="仿宋" w:cs="仿宋"/>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vAlign w:val="center"/>
          </w:tcPr>
          <w:p w14:paraId="117B4B46">
            <w:pPr>
              <w:spacing w:line="500" w:lineRule="exact"/>
              <w:jc w:val="center"/>
              <w:rPr>
                <w:rFonts w:ascii="仿宋" w:hAnsi="仿宋" w:eastAsia="仿宋" w:cs="仿宋"/>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17EE71D6">
            <w:pPr>
              <w:spacing w:line="500" w:lineRule="exact"/>
              <w:jc w:val="center"/>
              <w:rPr>
                <w:rFonts w:ascii="仿宋" w:hAnsi="仿宋" w:eastAsia="仿宋" w:cs="仿宋"/>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5F293D25">
            <w:pPr>
              <w:spacing w:line="500" w:lineRule="exact"/>
              <w:jc w:val="center"/>
              <w:rPr>
                <w:rFonts w:ascii="仿宋" w:hAnsi="仿宋" w:eastAsia="仿宋" w:cs="仿宋"/>
                <w:color w:val="auto"/>
                <w:szCs w:val="21"/>
                <w:highlight w:val="none"/>
              </w:rPr>
            </w:pPr>
          </w:p>
        </w:tc>
      </w:tr>
      <w:tr w14:paraId="2D00F6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C5550F9">
            <w:pPr>
              <w:spacing w:line="500" w:lineRule="exact"/>
              <w:jc w:val="center"/>
              <w:rPr>
                <w:rFonts w:ascii="仿宋" w:hAnsi="仿宋" w:eastAsia="仿宋" w:cs="仿宋"/>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6AFC8549">
            <w:pPr>
              <w:spacing w:line="500" w:lineRule="exact"/>
              <w:jc w:val="center"/>
              <w:rPr>
                <w:rFonts w:ascii="仿宋" w:hAnsi="仿宋" w:eastAsia="仿宋" w:cs="仿宋"/>
                <w:color w:val="auto"/>
                <w:szCs w:val="21"/>
                <w:highlight w:val="none"/>
              </w:rPr>
            </w:pPr>
          </w:p>
        </w:tc>
        <w:tc>
          <w:tcPr>
            <w:tcW w:w="1668" w:type="dxa"/>
            <w:tcBorders>
              <w:top w:val="single" w:color="auto" w:sz="4" w:space="0"/>
              <w:left w:val="single" w:color="auto" w:sz="4" w:space="0"/>
              <w:bottom w:val="single" w:color="auto" w:sz="4" w:space="0"/>
              <w:right w:val="single" w:color="auto" w:sz="4" w:space="0"/>
            </w:tcBorders>
            <w:vAlign w:val="center"/>
          </w:tcPr>
          <w:p w14:paraId="59EE98C8">
            <w:pPr>
              <w:spacing w:line="500" w:lineRule="exact"/>
              <w:jc w:val="center"/>
              <w:rPr>
                <w:rFonts w:ascii="仿宋" w:hAnsi="仿宋" w:eastAsia="仿宋" w:cs="仿宋"/>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vAlign w:val="center"/>
          </w:tcPr>
          <w:p w14:paraId="3A0E0B8F">
            <w:pPr>
              <w:spacing w:line="500" w:lineRule="exact"/>
              <w:jc w:val="center"/>
              <w:rPr>
                <w:rFonts w:ascii="仿宋" w:hAnsi="仿宋" w:eastAsia="仿宋" w:cs="仿宋"/>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17AE06EB">
            <w:pPr>
              <w:spacing w:line="500" w:lineRule="exact"/>
              <w:jc w:val="center"/>
              <w:rPr>
                <w:rFonts w:ascii="仿宋" w:hAnsi="仿宋" w:eastAsia="仿宋" w:cs="仿宋"/>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21B2842D">
            <w:pPr>
              <w:spacing w:line="500" w:lineRule="exact"/>
              <w:jc w:val="center"/>
              <w:rPr>
                <w:rFonts w:ascii="仿宋" w:hAnsi="仿宋" w:eastAsia="仿宋" w:cs="仿宋"/>
                <w:color w:val="auto"/>
                <w:szCs w:val="21"/>
                <w:highlight w:val="none"/>
              </w:rPr>
            </w:pPr>
          </w:p>
        </w:tc>
      </w:tr>
      <w:tr w14:paraId="3F2D6A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36FCB47B">
            <w:pPr>
              <w:spacing w:line="500" w:lineRule="exact"/>
              <w:jc w:val="center"/>
              <w:rPr>
                <w:rFonts w:ascii="仿宋" w:hAnsi="仿宋" w:eastAsia="仿宋" w:cs="仿宋"/>
                <w:color w:val="auto"/>
                <w:szCs w:val="21"/>
                <w:highlight w:val="none"/>
              </w:rPr>
            </w:pPr>
          </w:p>
        </w:tc>
        <w:tc>
          <w:tcPr>
            <w:tcW w:w="1985" w:type="dxa"/>
            <w:tcBorders>
              <w:top w:val="single" w:color="auto" w:sz="4" w:space="0"/>
              <w:left w:val="single" w:color="auto" w:sz="4" w:space="0"/>
              <w:bottom w:val="single" w:color="auto" w:sz="4" w:space="0"/>
              <w:right w:val="single" w:color="auto" w:sz="4" w:space="0"/>
            </w:tcBorders>
            <w:vAlign w:val="center"/>
          </w:tcPr>
          <w:p w14:paraId="0EEAE844">
            <w:pPr>
              <w:spacing w:line="500" w:lineRule="exact"/>
              <w:jc w:val="center"/>
              <w:rPr>
                <w:rFonts w:ascii="仿宋" w:hAnsi="仿宋" w:eastAsia="仿宋" w:cs="仿宋"/>
                <w:color w:val="auto"/>
                <w:szCs w:val="21"/>
                <w:highlight w:val="none"/>
              </w:rPr>
            </w:pPr>
          </w:p>
        </w:tc>
        <w:tc>
          <w:tcPr>
            <w:tcW w:w="1668" w:type="dxa"/>
            <w:tcBorders>
              <w:top w:val="single" w:color="auto" w:sz="4" w:space="0"/>
              <w:left w:val="single" w:color="auto" w:sz="4" w:space="0"/>
              <w:bottom w:val="single" w:color="auto" w:sz="4" w:space="0"/>
              <w:right w:val="single" w:color="auto" w:sz="4" w:space="0"/>
            </w:tcBorders>
            <w:vAlign w:val="center"/>
          </w:tcPr>
          <w:p w14:paraId="0BD0DD5C">
            <w:pPr>
              <w:spacing w:line="500" w:lineRule="exact"/>
              <w:jc w:val="center"/>
              <w:rPr>
                <w:rFonts w:ascii="仿宋" w:hAnsi="仿宋" w:eastAsia="仿宋" w:cs="仿宋"/>
                <w:color w:val="auto"/>
                <w:szCs w:val="21"/>
                <w:highlight w:val="none"/>
              </w:rPr>
            </w:pPr>
          </w:p>
        </w:tc>
        <w:tc>
          <w:tcPr>
            <w:tcW w:w="1137" w:type="dxa"/>
            <w:tcBorders>
              <w:top w:val="single" w:color="auto" w:sz="4" w:space="0"/>
              <w:left w:val="single" w:color="auto" w:sz="4" w:space="0"/>
              <w:bottom w:val="single" w:color="auto" w:sz="4" w:space="0"/>
              <w:right w:val="single" w:color="auto" w:sz="4" w:space="0"/>
            </w:tcBorders>
            <w:vAlign w:val="center"/>
          </w:tcPr>
          <w:p w14:paraId="1B3268C4">
            <w:pPr>
              <w:spacing w:line="500" w:lineRule="exact"/>
              <w:jc w:val="center"/>
              <w:rPr>
                <w:rFonts w:ascii="仿宋" w:hAnsi="仿宋" w:eastAsia="仿宋" w:cs="仿宋"/>
                <w:color w:val="auto"/>
                <w:szCs w:val="21"/>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14:paraId="0FF7EB4A">
            <w:pPr>
              <w:spacing w:line="500" w:lineRule="exact"/>
              <w:jc w:val="center"/>
              <w:rPr>
                <w:rFonts w:ascii="仿宋" w:hAnsi="仿宋" w:eastAsia="仿宋" w:cs="仿宋"/>
                <w:color w:val="auto"/>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5AB7C8E9">
            <w:pPr>
              <w:spacing w:line="500" w:lineRule="exact"/>
              <w:jc w:val="center"/>
              <w:rPr>
                <w:rFonts w:ascii="仿宋" w:hAnsi="仿宋" w:eastAsia="仿宋" w:cs="仿宋"/>
                <w:color w:val="auto"/>
                <w:szCs w:val="21"/>
                <w:highlight w:val="none"/>
              </w:rPr>
            </w:pPr>
          </w:p>
        </w:tc>
      </w:tr>
    </w:tbl>
    <w:p w14:paraId="268407B1">
      <w:pPr>
        <w:pStyle w:val="38"/>
        <w:spacing w:line="317" w:lineRule="exact"/>
        <w:rPr>
          <w:rFonts w:hint="eastAsia" w:ascii="仿宋" w:hAnsi="仿宋" w:eastAsia="仿宋" w:cs="仿宋"/>
          <w:color w:val="auto"/>
          <w:sz w:val="24"/>
          <w:szCs w:val="24"/>
        </w:rPr>
      </w:pPr>
    </w:p>
    <w:p w14:paraId="33C99E4F">
      <w:pPr>
        <w:pStyle w:val="38"/>
        <w:spacing w:line="317" w:lineRule="exact"/>
        <w:rPr>
          <w:rFonts w:hint="eastAsia" w:ascii="仿宋" w:hAnsi="仿宋" w:eastAsia="仿宋" w:cs="仿宋"/>
          <w:color w:val="auto"/>
          <w:sz w:val="24"/>
          <w:szCs w:val="24"/>
        </w:rPr>
      </w:pPr>
    </w:p>
    <w:p w14:paraId="3DB1D75A">
      <w:pPr>
        <w:pStyle w:val="38"/>
        <w:spacing w:line="317" w:lineRule="exact"/>
        <w:rPr>
          <w:rFonts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14:paraId="1B3B987B">
      <w:pPr>
        <w:pStyle w:val="38"/>
        <w:tabs>
          <w:tab w:val="left" w:pos="378"/>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14:paraId="1418D0F0">
      <w:pPr>
        <w:pStyle w:val="38"/>
        <w:tabs>
          <w:tab w:val="left" w:pos="490"/>
        </w:tabs>
        <w:spacing w:line="317" w:lineRule="exact"/>
        <w:ind w:firstLine="720" w:firstLineChars="300"/>
        <w:rPr>
          <w:rFonts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14:paraId="2E7DDFE2">
      <w:pPr>
        <w:pStyle w:val="38"/>
        <w:tabs>
          <w:tab w:val="left" w:pos="493"/>
        </w:tabs>
        <w:spacing w:line="317" w:lineRule="exact"/>
        <w:ind w:left="176"/>
        <w:rPr>
          <w:rFonts w:ascii="仿宋" w:hAnsi="仿宋" w:eastAsia="仿宋" w:cs="仿宋"/>
          <w:color w:val="auto"/>
          <w:sz w:val="20"/>
          <w:szCs w:val="20"/>
        </w:rPr>
      </w:pPr>
    </w:p>
    <w:p w14:paraId="63E25F32">
      <w:pPr>
        <w:pStyle w:val="38"/>
        <w:tabs>
          <w:tab w:val="left" w:pos="493"/>
        </w:tabs>
        <w:spacing w:line="317" w:lineRule="exact"/>
        <w:ind w:left="176"/>
        <w:rPr>
          <w:rFonts w:ascii="仿宋" w:hAnsi="仿宋" w:eastAsia="仿宋" w:cs="仿宋"/>
          <w:color w:val="auto"/>
          <w:sz w:val="20"/>
          <w:szCs w:val="20"/>
        </w:rPr>
      </w:pPr>
    </w:p>
    <w:p w14:paraId="1BF9353B">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48D7AC55">
      <w:pPr>
        <w:pStyle w:val="9"/>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14:paraId="1FD48873">
      <w:pPr>
        <w:pStyle w:val="9"/>
        <w:numPr>
          <w:ilvl w:val="0"/>
          <w:numId w:val="0"/>
        </w:numPr>
        <w:tabs>
          <w:tab w:val="left" w:pos="5551"/>
          <w:tab w:val="left" w:pos="6511"/>
          <w:tab w:val="left" w:pos="7111"/>
          <w:tab w:val="left" w:pos="7711"/>
        </w:tabs>
        <w:kinsoku w:val="0"/>
        <w:overflowPunct w:val="0"/>
        <w:spacing w:before="46"/>
        <w:ind w:left="3928"/>
        <w:rPr>
          <w:rFonts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14:paraId="22944B16">
      <w:pPr>
        <w:pStyle w:val="9"/>
        <w:numPr>
          <w:ilvl w:val="0"/>
          <w:numId w:val="0"/>
        </w:numPr>
        <w:kinsoku w:val="0"/>
        <w:overflowPunct w:val="0"/>
        <w:spacing w:before="34" w:line="357" w:lineRule="auto"/>
        <w:ind w:left="480" w:right="126"/>
        <w:jc w:val="center"/>
        <w:rPr>
          <w:rFonts w:ascii="仿宋" w:hAnsi="仿宋" w:eastAsia="仿宋" w:cs="仿宋"/>
          <w:b/>
          <w:bCs/>
          <w:color w:val="auto"/>
          <w:sz w:val="36"/>
          <w:szCs w:val="36"/>
          <w:lang w:eastAsia="zh-CN"/>
        </w:rPr>
      </w:pPr>
    </w:p>
    <w:p w14:paraId="5BBF6DB4">
      <w:pPr>
        <w:spacing w:line="360" w:lineRule="auto"/>
        <w:jc w:val="center"/>
        <w:rPr>
          <w:rFonts w:ascii="仿宋" w:hAnsi="仿宋" w:eastAsia="仿宋" w:cs="仿宋"/>
          <w:b/>
          <w:color w:val="auto"/>
          <w:sz w:val="36"/>
          <w:szCs w:val="36"/>
          <w:lang w:eastAsia="zh-CN"/>
        </w:rPr>
      </w:pPr>
    </w:p>
    <w:p w14:paraId="2E9F3C3B">
      <w:pPr>
        <w:spacing w:line="360" w:lineRule="auto"/>
        <w:jc w:val="center"/>
        <w:rPr>
          <w:rFonts w:ascii="仿宋" w:hAnsi="仿宋" w:eastAsia="仿宋" w:cs="仿宋"/>
          <w:b/>
          <w:bCs/>
          <w:color w:val="auto"/>
          <w:sz w:val="32"/>
          <w:szCs w:val="32"/>
          <w:lang w:eastAsia="zh-CN"/>
        </w:rPr>
      </w:pPr>
      <w:r>
        <w:rPr>
          <w:rFonts w:hint="eastAsia" w:ascii="仿宋" w:hAnsi="仿宋" w:eastAsia="仿宋" w:cs="仿宋"/>
          <w:b/>
          <w:color w:val="auto"/>
          <w:sz w:val="36"/>
          <w:szCs w:val="36"/>
          <w:lang w:eastAsia="zh-CN"/>
        </w:rPr>
        <w:t>5、</w:t>
      </w:r>
      <w:r>
        <w:rPr>
          <w:rFonts w:hint="eastAsia" w:ascii="仿宋" w:hAnsi="仿宋" w:eastAsia="仿宋" w:cs="仿宋"/>
          <w:b/>
          <w:bCs/>
          <w:color w:val="auto"/>
          <w:sz w:val="32"/>
          <w:szCs w:val="32"/>
          <w:lang w:eastAsia="zh-CN"/>
        </w:rPr>
        <w:t>技术条款偏离表</w:t>
      </w:r>
    </w:p>
    <w:tbl>
      <w:tblPr>
        <w:tblStyle w:val="25"/>
        <w:tblW w:w="86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
        <w:gridCol w:w="1568"/>
        <w:gridCol w:w="2129"/>
        <w:gridCol w:w="1326"/>
        <w:gridCol w:w="1327"/>
        <w:gridCol w:w="1327"/>
      </w:tblGrid>
      <w:tr w14:paraId="4FA7F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vAlign w:val="center"/>
          </w:tcPr>
          <w:p w14:paraId="7162B508">
            <w:pPr>
              <w:jc w:val="center"/>
              <w:rPr>
                <w:rFonts w:ascii="仿宋" w:hAnsi="仿宋" w:eastAsia="仿宋" w:cs="仿宋"/>
                <w:bCs/>
                <w:color w:val="auto"/>
              </w:rPr>
            </w:pPr>
            <w:r>
              <w:rPr>
                <w:rFonts w:hint="eastAsia" w:ascii="仿宋" w:hAnsi="仿宋" w:eastAsia="仿宋" w:cs="仿宋"/>
                <w:bCs/>
                <w:color w:val="auto"/>
              </w:rPr>
              <w:t>序号</w:t>
            </w:r>
          </w:p>
        </w:tc>
        <w:tc>
          <w:tcPr>
            <w:tcW w:w="1568" w:type="dxa"/>
            <w:vAlign w:val="center"/>
          </w:tcPr>
          <w:p w14:paraId="1541C122">
            <w:pPr>
              <w:jc w:val="center"/>
              <w:rPr>
                <w:rFonts w:ascii="仿宋" w:hAnsi="仿宋" w:eastAsia="仿宋" w:cs="仿宋"/>
                <w:bCs/>
                <w:color w:val="auto"/>
              </w:rPr>
            </w:pPr>
            <w:r>
              <w:rPr>
                <w:rFonts w:hint="eastAsia" w:ascii="仿宋" w:hAnsi="仿宋" w:eastAsia="仿宋" w:cs="仿宋"/>
                <w:bCs/>
                <w:color w:val="auto"/>
                <w:lang w:val="en-US" w:eastAsia="zh-CN"/>
              </w:rPr>
              <w:t>服务</w:t>
            </w:r>
            <w:r>
              <w:rPr>
                <w:rFonts w:hint="eastAsia" w:ascii="仿宋" w:hAnsi="仿宋" w:eastAsia="仿宋" w:cs="仿宋"/>
                <w:bCs/>
                <w:color w:val="auto"/>
              </w:rPr>
              <w:t>名称</w:t>
            </w:r>
          </w:p>
        </w:tc>
        <w:tc>
          <w:tcPr>
            <w:tcW w:w="2129" w:type="dxa"/>
            <w:vAlign w:val="center"/>
          </w:tcPr>
          <w:p w14:paraId="626AF898">
            <w:pPr>
              <w:jc w:val="center"/>
              <w:rPr>
                <w:rFonts w:ascii="仿宋" w:hAnsi="仿宋" w:eastAsia="仿宋" w:cs="仿宋"/>
                <w:bCs/>
                <w:color w:val="auto"/>
              </w:rPr>
            </w:pPr>
            <w:r>
              <w:rPr>
                <w:rFonts w:hint="eastAsia" w:ascii="仿宋" w:hAnsi="仿宋" w:eastAsia="仿宋" w:cs="仿宋"/>
                <w:bCs/>
                <w:color w:val="auto"/>
                <w:lang w:eastAsia="zh-CN"/>
              </w:rPr>
              <w:t>磋商文件</w:t>
            </w:r>
            <w:r>
              <w:rPr>
                <w:rFonts w:hint="eastAsia" w:ascii="仿宋" w:hAnsi="仿宋" w:eastAsia="仿宋" w:cs="仿宋"/>
                <w:bCs/>
                <w:color w:val="auto"/>
              </w:rPr>
              <w:t>规格</w:t>
            </w:r>
          </w:p>
        </w:tc>
        <w:tc>
          <w:tcPr>
            <w:tcW w:w="1326" w:type="dxa"/>
            <w:vAlign w:val="center"/>
          </w:tcPr>
          <w:p w14:paraId="12B9EEAA">
            <w:pPr>
              <w:jc w:val="center"/>
              <w:rPr>
                <w:rFonts w:ascii="仿宋" w:hAnsi="仿宋" w:eastAsia="仿宋" w:cs="仿宋"/>
                <w:bCs/>
                <w:color w:val="auto"/>
              </w:rPr>
            </w:pPr>
            <w:r>
              <w:rPr>
                <w:rFonts w:hint="eastAsia" w:ascii="仿宋" w:hAnsi="仿宋" w:eastAsia="仿宋" w:cs="仿宋"/>
                <w:bCs/>
                <w:color w:val="auto"/>
              </w:rPr>
              <w:t>投标规格</w:t>
            </w:r>
          </w:p>
        </w:tc>
        <w:tc>
          <w:tcPr>
            <w:tcW w:w="1327" w:type="dxa"/>
            <w:vAlign w:val="center"/>
          </w:tcPr>
          <w:p w14:paraId="028AB581">
            <w:pPr>
              <w:jc w:val="center"/>
              <w:rPr>
                <w:rFonts w:ascii="仿宋" w:hAnsi="仿宋" w:eastAsia="仿宋" w:cs="仿宋"/>
                <w:bCs/>
                <w:color w:val="auto"/>
              </w:rPr>
            </w:pPr>
            <w:r>
              <w:rPr>
                <w:rFonts w:hint="eastAsia" w:ascii="仿宋" w:hAnsi="仿宋" w:eastAsia="仿宋" w:cs="仿宋"/>
                <w:bCs/>
                <w:color w:val="auto"/>
              </w:rPr>
              <w:t>偏离</w:t>
            </w:r>
          </w:p>
        </w:tc>
        <w:tc>
          <w:tcPr>
            <w:tcW w:w="1327" w:type="dxa"/>
            <w:vAlign w:val="center"/>
          </w:tcPr>
          <w:p w14:paraId="305AD9EC">
            <w:pPr>
              <w:jc w:val="center"/>
              <w:rPr>
                <w:rFonts w:ascii="仿宋" w:hAnsi="仿宋" w:eastAsia="仿宋" w:cs="仿宋"/>
                <w:bCs/>
                <w:color w:val="auto"/>
              </w:rPr>
            </w:pPr>
            <w:r>
              <w:rPr>
                <w:rFonts w:hint="eastAsia" w:ascii="仿宋" w:hAnsi="仿宋" w:eastAsia="仿宋" w:cs="仿宋"/>
                <w:bCs/>
                <w:color w:val="auto"/>
              </w:rPr>
              <w:t>说明</w:t>
            </w:r>
          </w:p>
        </w:tc>
      </w:tr>
      <w:tr w14:paraId="5AFCF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43D14C6F">
            <w:pPr>
              <w:jc w:val="center"/>
              <w:rPr>
                <w:rFonts w:ascii="仿宋" w:hAnsi="仿宋" w:eastAsia="仿宋" w:cs="仿宋"/>
                <w:b/>
                <w:bCs/>
                <w:color w:val="auto"/>
              </w:rPr>
            </w:pPr>
          </w:p>
        </w:tc>
        <w:tc>
          <w:tcPr>
            <w:tcW w:w="1568" w:type="dxa"/>
          </w:tcPr>
          <w:p w14:paraId="2F6F9BAF">
            <w:pPr>
              <w:jc w:val="center"/>
              <w:rPr>
                <w:rFonts w:ascii="仿宋" w:hAnsi="仿宋" w:eastAsia="仿宋" w:cs="仿宋"/>
                <w:b/>
                <w:bCs/>
                <w:color w:val="auto"/>
              </w:rPr>
            </w:pPr>
          </w:p>
        </w:tc>
        <w:tc>
          <w:tcPr>
            <w:tcW w:w="2129" w:type="dxa"/>
          </w:tcPr>
          <w:p w14:paraId="70FF04E2">
            <w:pPr>
              <w:jc w:val="center"/>
              <w:rPr>
                <w:rFonts w:ascii="仿宋" w:hAnsi="仿宋" w:eastAsia="仿宋" w:cs="仿宋"/>
                <w:b/>
                <w:bCs/>
                <w:color w:val="auto"/>
              </w:rPr>
            </w:pPr>
          </w:p>
        </w:tc>
        <w:tc>
          <w:tcPr>
            <w:tcW w:w="1326" w:type="dxa"/>
          </w:tcPr>
          <w:p w14:paraId="490063A6">
            <w:pPr>
              <w:jc w:val="center"/>
              <w:rPr>
                <w:rFonts w:ascii="仿宋" w:hAnsi="仿宋" w:eastAsia="仿宋" w:cs="仿宋"/>
                <w:b/>
                <w:bCs/>
                <w:color w:val="auto"/>
              </w:rPr>
            </w:pPr>
          </w:p>
        </w:tc>
        <w:tc>
          <w:tcPr>
            <w:tcW w:w="1327" w:type="dxa"/>
          </w:tcPr>
          <w:p w14:paraId="3D696F45">
            <w:pPr>
              <w:jc w:val="center"/>
              <w:rPr>
                <w:rFonts w:ascii="仿宋" w:hAnsi="仿宋" w:eastAsia="仿宋" w:cs="仿宋"/>
                <w:b/>
                <w:bCs/>
                <w:color w:val="auto"/>
                <w:lang w:eastAsia="zh-CN"/>
              </w:rPr>
            </w:pPr>
            <w:r>
              <w:rPr>
                <w:rFonts w:hint="eastAsia" w:ascii="仿宋" w:hAnsi="仿宋" w:eastAsia="仿宋" w:cs="仿宋"/>
                <w:bCs/>
                <w:color w:val="auto"/>
                <w:lang w:eastAsia="zh-CN"/>
              </w:rPr>
              <w:t>如有正偏离需提供证明材料，证明材料附后(并注明页码)</w:t>
            </w:r>
          </w:p>
        </w:tc>
        <w:tc>
          <w:tcPr>
            <w:tcW w:w="1327" w:type="dxa"/>
          </w:tcPr>
          <w:p w14:paraId="58A0DA55">
            <w:pPr>
              <w:jc w:val="center"/>
              <w:rPr>
                <w:rFonts w:ascii="仿宋" w:hAnsi="仿宋" w:eastAsia="仿宋" w:cs="仿宋"/>
                <w:b/>
                <w:bCs/>
                <w:color w:val="auto"/>
                <w:lang w:eastAsia="zh-CN"/>
              </w:rPr>
            </w:pPr>
          </w:p>
        </w:tc>
      </w:tr>
      <w:tr w14:paraId="27B7E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706F4BAE">
            <w:pPr>
              <w:jc w:val="center"/>
              <w:rPr>
                <w:rFonts w:ascii="仿宋" w:hAnsi="仿宋" w:eastAsia="仿宋" w:cs="仿宋"/>
                <w:b/>
                <w:bCs/>
                <w:color w:val="auto"/>
                <w:lang w:eastAsia="zh-CN"/>
              </w:rPr>
            </w:pPr>
          </w:p>
        </w:tc>
        <w:tc>
          <w:tcPr>
            <w:tcW w:w="1568" w:type="dxa"/>
          </w:tcPr>
          <w:p w14:paraId="299E34AE">
            <w:pPr>
              <w:jc w:val="center"/>
              <w:rPr>
                <w:rFonts w:ascii="仿宋" w:hAnsi="仿宋" w:eastAsia="仿宋" w:cs="仿宋"/>
                <w:b/>
                <w:bCs/>
                <w:color w:val="auto"/>
                <w:lang w:eastAsia="zh-CN"/>
              </w:rPr>
            </w:pPr>
          </w:p>
        </w:tc>
        <w:tc>
          <w:tcPr>
            <w:tcW w:w="2129" w:type="dxa"/>
          </w:tcPr>
          <w:p w14:paraId="45062F34">
            <w:pPr>
              <w:jc w:val="center"/>
              <w:rPr>
                <w:rFonts w:ascii="仿宋" w:hAnsi="仿宋" w:eastAsia="仿宋" w:cs="仿宋"/>
                <w:b/>
                <w:bCs/>
                <w:color w:val="auto"/>
                <w:lang w:eastAsia="zh-CN"/>
              </w:rPr>
            </w:pPr>
          </w:p>
        </w:tc>
        <w:tc>
          <w:tcPr>
            <w:tcW w:w="1326" w:type="dxa"/>
          </w:tcPr>
          <w:p w14:paraId="3986E0D6">
            <w:pPr>
              <w:jc w:val="center"/>
              <w:rPr>
                <w:rFonts w:ascii="仿宋" w:hAnsi="仿宋" w:eastAsia="仿宋" w:cs="仿宋"/>
                <w:b/>
                <w:bCs/>
                <w:color w:val="auto"/>
                <w:lang w:eastAsia="zh-CN"/>
              </w:rPr>
            </w:pPr>
          </w:p>
        </w:tc>
        <w:tc>
          <w:tcPr>
            <w:tcW w:w="1327" w:type="dxa"/>
          </w:tcPr>
          <w:p w14:paraId="1869E049">
            <w:pPr>
              <w:jc w:val="center"/>
              <w:rPr>
                <w:rFonts w:ascii="仿宋" w:hAnsi="仿宋" w:eastAsia="仿宋" w:cs="仿宋"/>
                <w:b/>
                <w:bCs/>
                <w:color w:val="auto"/>
                <w:lang w:eastAsia="zh-CN"/>
              </w:rPr>
            </w:pPr>
          </w:p>
        </w:tc>
        <w:tc>
          <w:tcPr>
            <w:tcW w:w="1327" w:type="dxa"/>
          </w:tcPr>
          <w:p w14:paraId="6A4EFB6F">
            <w:pPr>
              <w:jc w:val="center"/>
              <w:rPr>
                <w:rFonts w:ascii="仿宋" w:hAnsi="仿宋" w:eastAsia="仿宋" w:cs="仿宋"/>
                <w:b/>
                <w:bCs/>
                <w:color w:val="auto"/>
                <w:lang w:eastAsia="zh-CN"/>
              </w:rPr>
            </w:pPr>
          </w:p>
        </w:tc>
      </w:tr>
      <w:tr w14:paraId="7DDB9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3D64AA69">
            <w:pPr>
              <w:jc w:val="center"/>
              <w:rPr>
                <w:rFonts w:ascii="仿宋" w:hAnsi="仿宋" w:eastAsia="仿宋" w:cs="仿宋"/>
                <w:b/>
                <w:bCs/>
                <w:color w:val="auto"/>
                <w:lang w:eastAsia="zh-CN"/>
              </w:rPr>
            </w:pPr>
          </w:p>
        </w:tc>
        <w:tc>
          <w:tcPr>
            <w:tcW w:w="1568" w:type="dxa"/>
          </w:tcPr>
          <w:p w14:paraId="1D41E928">
            <w:pPr>
              <w:jc w:val="center"/>
              <w:rPr>
                <w:rFonts w:ascii="仿宋" w:hAnsi="仿宋" w:eastAsia="仿宋" w:cs="仿宋"/>
                <w:b/>
                <w:bCs/>
                <w:color w:val="auto"/>
                <w:lang w:eastAsia="zh-CN"/>
              </w:rPr>
            </w:pPr>
          </w:p>
        </w:tc>
        <w:tc>
          <w:tcPr>
            <w:tcW w:w="2129" w:type="dxa"/>
          </w:tcPr>
          <w:p w14:paraId="5010E3CD">
            <w:pPr>
              <w:jc w:val="center"/>
              <w:rPr>
                <w:rFonts w:ascii="仿宋" w:hAnsi="仿宋" w:eastAsia="仿宋" w:cs="仿宋"/>
                <w:b/>
                <w:bCs/>
                <w:color w:val="auto"/>
                <w:lang w:eastAsia="zh-CN"/>
              </w:rPr>
            </w:pPr>
          </w:p>
        </w:tc>
        <w:tc>
          <w:tcPr>
            <w:tcW w:w="1326" w:type="dxa"/>
          </w:tcPr>
          <w:p w14:paraId="7CDF68DF">
            <w:pPr>
              <w:jc w:val="center"/>
              <w:rPr>
                <w:rFonts w:ascii="仿宋" w:hAnsi="仿宋" w:eastAsia="仿宋" w:cs="仿宋"/>
                <w:b/>
                <w:bCs/>
                <w:color w:val="auto"/>
                <w:lang w:eastAsia="zh-CN"/>
              </w:rPr>
            </w:pPr>
          </w:p>
        </w:tc>
        <w:tc>
          <w:tcPr>
            <w:tcW w:w="1327" w:type="dxa"/>
          </w:tcPr>
          <w:p w14:paraId="2F1148D7">
            <w:pPr>
              <w:jc w:val="center"/>
              <w:rPr>
                <w:rFonts w:ascii="仿宋" w:hAnsi="仿宋" w:eastAsia="仿宋" w:cs="仿宋"/>
                <w:b/>
                <w:bCs/>
                <w:color w:val="auto"/>
                <w:lang w:eastAsia="zh-CN"/>
              </w:rPr>
            </w:pPr>
          </w:p>
        </w:tc>
        <w:tc>
          <w:tcPr>
            <w:tcW w:w="1327" w:type="dxa"/>
          </w:tcPr>
          <w:p w14:paraId="77275921">
            <w:pPr>
              <w:jc w:val="center"/>
              <w:rPr>
                <w:rFonts w:ascii="仿宋" w:hAnsi="仿宋" w:eastAsia="仿宋" w:cs="仿宋"/>
                <w:b/>
                <w:bCs/>
                <w:color w:val="auto"/>
                <w:lang w:eastAsia="zh-CN"/>
              </w:rPr>
            </w:pPr>
          </w:p>
        </w:tc>
      </w:tr>
      <w:tr w14:paraId="03AC7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13B17C4D">
            <w:pPr>
              <w:jc w:val="center"/>
              <w:rPr>
                <w:rFonts w:ascii="仿宋" w:hAnsi="仿宋" w:eastAsia="仿宋" w:cs="仿宋"/>
                <w:b/>
                <w:bCs/>
                <w:color w:val="auto"/>
                <w:lang w:eastAsia="zh-CN"/>
              </w:rPr>
            </w:pPr>
          </w:p>
        </w:tc>
        <w:tc>
          <w:tcPr>
            <w:tcW w:w="1568" w:type="dxa"/>
          </w:tcPr>
          <w:p w14:paraId="75115D00">
            <w:pPr>
              <w:jc w:val="center"/>
              <w:rPr>
                <w:rFonts w:ascii="仿宋" w:hAnsi="仿宋" w:eastAsia="仿宋" w:cs="仿宋"/>
                <w:b/>
                <w:bCs/>
                <w:color w:val="auto"/>
                <w:lang w:eastAsia="zh-CN"/>
              </w:rPr>
            </w:pPr>
          </w:p>
        </w:tc>
        <w:tc>
          <w:tcPr>
            <w:tcW w:w="2129" w:type="dxa"/>
          </w:tcPr>
          <w:p w14:paraId="5F1A9C9E">
            <w:pPr>
              <w:jc w:val="center"/>
              <w:rPr>
                <w:rFonts w:ascii="仿宋" w:hAnsi="仿宋" w:eastAsia="仿宋" w:cs="仿宋"/>
                <w:b/>
                <w:bCs/>
                <w:color w:val="auto"/>
                <w:lang w:eastAsia="zh-CN"/>
              </w:rPr>
            </w:pPr>
          </w:p>
        </w:tc>
        <w:tc>
          <w:tcPr>
            <w:tcW w:w="1326" w:type="dxa"/>
          </w:tcPr>
          <w:p w14:paraId="566EF4AA">
            <w:pPr>
              <w:jc w:val="center"/>
              <w:rPr>
                <w:rFonts w:ascii="仿宋" w:hAnsi="仿宋" w:eastAsia="仿宋" w:cs="仿宋"/>
                <w:b/>
                <w:bCs/>
                <w:color w:val="auto"/>
                <w:lang w:eastAsia="zh-CN"/>
              </w:rPr>
            </w:pPr>
          </w:p>
        </w:tc>
        <w:tc>
          <w:tcPr>
            <w:tcW w:w="1327" w:type="dxa"/>
          </w:tcPr>
          <w:p w14:paraId="6FF83D5B">
            <w:pPr>
              <w:jc w:val="center"/>
              <w:rPr>
                <w:rFonts w:ascii="仿宋" w:hAnsi="仿宋" w:eastAsia="仿宋" w:cs="仿宋"/>
                <w:b/>
                <w:bCs/>
                <w:color w:val="auto"/>
                <w:lang w:eastAsia="zh-CN"/>
              </w:rPr>
            </w:pPr>
          </w:p>
        </w:tc>
        <w:tc>
          <w:tcPr>
            <w:tcW w:w="1327" w:type="dxa"/>
          </w:tcPr>
          <w:p w14:paraId="151F2C73">
            <w:pPr>
              <w:jc w:val="center"/>
              <w:rPr>
                <w:rFonts w:ascii="仿宋" w:hAnsi="仿宋" w:eastAsia="仿宋" w:cs="仿宋"/>
                <w:b/>
                <w:bCs/>
                <w:color w:val="auto"/>
                <w:lang w:eastAsia="zh-CN"/>
              </w:rPr>
            </w:pPr>
          </w:p>
        </w:tc>
      </w:tr>
      <w:tr w14:paraId="02527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28" w:type="dxa"/>
          </w:tcPr>
          <w:p w14:paraId="7387DE02">
            <w:pPr>
              <w:jc w:val="center"/>
              <w:rPr>
                <w:rFonts w:ascii="仿宋" w:hAnsi="仿宋" w:eastAsia="仿宋" w:cs="仿宋"/>
                <w:b/>
                <w:bCs/>
                <w:color w:val="auto"/>
                <w:lang w:eastAsia="zh-CN"/>
              </w:rPr>
            </w:pPr>
          </w:p>
        </w:tc>
        <w:tc>
          <w:tcPr>
            <w:tcW w:w="1568" w:type="dxa"/>
          </w:tcPr>
          <w:p w14:paraId="268824AC">
            <w:pPr>
              <w:jc w:val="center"/>
              <w:rPr>
                <w:rFonts w:ascii="仿宋" w:hAnsi="仿宋" w:eastAsia="仿宋" w:cs="仿宋"/>
                <w:b/>
                <w:bCs/>
                <w:color w:val="auto"/>
                <w:lang w:eastAsia="zh-CN"/>
              </w:rPr>
            </w:pPr>
          </w:p>
        </w:tc>
        <w:tc>
          <w:tcPr>
            <w:tcW w:w="2129" w:type="dxa"/>
          </w:tcPr>
          <w:p w14:paraId="053730AF">
            <w:pPr>
              <w:jc w:val="center"/>
              <w:rPr>
                <w:rFonts w:ascii="仿宋" w:hAnsi="仿宋" w:eastAsia="仿宋" w:cs="仿宋"/>
                <w:b/>
                <w:bCs/>
                <w:color w:val="auto"/>
                <w:lang w:eastAsia="zh-CN"/>
              </w:rPr>
            </w:pPr>
          </w:p>
        </w:tc>
        <w:tc>
          <w:tcPr>
            <w:tcW w:w="1326" w:type="dxa"/>
          </w:tcPr>
          <w:p w14:paraId="0ACFCB78">
            <w:pPr>
              <w:jc w:val="center"/>
              <w:rPr>
                <w:rFonts w:ascii="仿宋" w:hAnsi="仿宋" w:eastAsia="仿宋" w:cs="仿宋"/>
                <w:b/>
                <w:bCs/>
                <w:color w:val="auto"/>
                <w:lang w:eastAsia="zh-CN"/>
              </w:rPr>
            </w:pPr>
          </w:p>
        </w:tc>
        <w:tc>
          <w:tcPr>
            <w:tcW w:w="1327" w:type="dxa"/>
          </w:tcPr>
          <w:p w14:paraId="5CEB2F96">
            <w:pPr>
              <w:jc w:val="center"/>
              <w:rPr>
                <w:rFonts w:ascii="仿宋" w:hAnsi="仿宋" w:eastAsia="仿宋" w:cs="仿宋"/>
                <w:b/>
                <w:bCs/>
                <w:color w:val="auto"/>
                <w:lang w:eastAsia="zh-CN"/>
              </w:rPr>
            </w:pPr>
          </w:p>
        </w:tc>
        <w:tc>
          <w:tcPr>
            <w:tcW w:w="1327" w:type="dxa"/>
          </w:tcPr>
          <w:p w14:paraId="15328FD6">
            <w:pPr>
              <w:jc w:val="center"/>
              <w:rPr>
                <w:rFonts w:ascii="仿宋" w:hAnsi="仿宋" w:eastAsia="仿宋" w:cs="仿宋"/>
                <w:b/>
                <w:bCs/>
                <w:color w:val="auto"/>
                <w:lang w:eastAsia="zh-CN"/>
              </w:rPr>
            </w:pPr>
          </w:p>
        </w:tc>
      </w:tr>
    </w:tbl>
    <w:p w14:paraId="208580F3">
      <w:pPr>
        <w:spacing w:line="360" w:lineRule="auto"/>
        <w:ind w:firstLine="475" w:firstLineChars="198"/>
        <w:rPr>
          <w:rFonts w:ascii="仿宋" w:hAnsi="仿宋" w:eastAsia="仿宋" w:cs="仿宋"/>
          <w:color w:val="auto"/>
          <w:lang w:eastAsia="zh-CN"/>
        </w:rPr>
      </w:pPr>
      <w:r>
        <w:rPr>
          <w:rFonts w:hint="eastAsia" w:ascii="仿宋" w:hAnsi="仿宋" w:eastAsia="仿宋" w:cs="仿宋"/>
          <w:color w:val="auto"/>
          <w:lang w:eastAsia="zh-CN"/>
        </w:rPr>
        <w:t>备注：供应商应根据其提供的</w:t>
      </w:r>
      <w:r>
        <w:rPr>
          <w:rFonts w:hint="eastAsia" w:ascii="仿宋" w:hAnsi="仿宋" w:eastAsia="仿宋" w:cs="仿宋"/>
          <w:color w:val="auto"/>
          <w:lang w:val="en-US" w:eastAsia="zh-CN"/>
        </w:rPr>
        <w:t>服务</w:t>
      </w:r>
      <w:r>
        <w:rPr>
          <w:rFonts w:hint="eastAsia" w:ascii="仿宋" w:hAnsi="仿宋" w:eastAsia="仿宋" w:cs="仿宋"/>
          <w:color w:val="auto"/>
          <w:lang w:eastAsia="zh-CN"/>
        </w:rPr>
        <w:t>，对照磋商文件第四章“技术标准和要求”中的要求，有差异的，则在此表中列明实际响应的内容提要并加以说明，以便查对。本表包括所有的技术响应及差异。无差异说明表示完全响应。</w:t>
      </w:r>
    </w:p>
    <w:p w14:paraId="11C05664">
      <w:pPr>
        <w:pStyle w:val="13"/>
        <w:tabs>
          <w:tab w:val="left" w:pos="5580"/>
        </w:tabs>
        <w:spacing w:line="360" w:lineRule="auto"/>
        <w:ind w:firstLine="3120" w:firstLineChars="1300"/>
        <w:rPr>
          <w:rFonts w:ascii="仿宋" w:hAnsi="仿宋" w:eastAsia="仿宋" w:cs="仿宋"/>
          <w:color w:val="auto"/>
          <w:lang w:eastAsia="zh-CN"/>
        </w:rPr>
      </w:pPr>
    </w:p>
    <w:p w14:paraId="2F3F7635">
      <w:pPr>
        <w:pStyle w:val="13"/>
        <w:tabs>
          <w:tab w:val="left" w:pos="5580"/>
        </w:tabs>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供应商（盖章）：</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14:paraId="414A4C29">
      <w:pPr>
        <w:pStyle w:val="13"/>
        <w:tabs>
          <w:tab w:val="left" w:pos="5580"/>
        </w:tabs>
        <w:spacing w:line="360" w:lineRule="auto"/>
        <w:ind w:firstLine="3120" w:firstLineChars="1300"/>
        <w:rPr>
          <w:rFonts w:ascii="仿宋" w:hAnsi="仿宋" w:eastAsia="仿宋" w:cs="仿宋"/>
          <w:color w:val="auto"/>
          <w:szCs w:val="24"/>
          <w:u w:val="single"/>
          <w:lang w:eastAsia="zh-CN"/>
        </w:rPr>
      </w:pPr>
      <w:r>
        <w:rPr>
          <w:rFonts w:hint="eastAsia" w:ascii="仿宋" w:hAnsi="仿宋" w:eastAsia="仿宋" w:cs="仿宋"/>
          <w:color w:val="auto"/>
          <w:lang w:eastAsia="zh-CN"/>
        </w:rPr>
        <w:t>法定代表人或</w:t>
      </w:r>
      <w:r>
        <w:rPr>
          <w:rFonts w:hint="eastAsia" w:ascii="仿宋" w:hAnsi="仿宋" w:eastAsia="仿宋" w:cs="仿宋"/>
          <w:color w:val="auto"/>
          <w:szCs w:val="24"/>
          <w:lang w:eastAsia="zh-CN"/>
        </w:rPr>
        <w:t>委托代理人</w:t>
      </w:r>
      <w:r>
        <w:rPr>
          <w:rFonts w:hint="eastAsia" w:ascii="仿宋" w:hAnsi="仿宋" w:eastAsia="仿宋" w:cs="仿宋"/>
          <w:color w:val="auto"/>
          <w:lang w:eastAsia="zh-CN"/>
        </w:rPr>
        <w:t>（签章）</w:t>
      </w:r>
      <w:r>
        <w:rPr>
          <w:rFonts w:hint="eastAsia" w:ascii="仿宋" w:hAnsi="仿宋" w:eastAsia="仿宋" w:cs="仿宋"/>
          <w:color w:val="auto"/>
          <w:szCs w:val="24"/>
          <w:lang w:eastAsia="zh-CN"/>
        </w:rPr>
        <w:t>：</w:t>
      </w:r>
      <w:r>
        <w:rPr>
          <w:rFonts w:hint="eastAsia" w:ascii="仿宋" w:hAnsi="仿宋" w:eastAsia="仿宋" w:cs="仿宋"/>
          <w:color w:val="auto"/>
          <w:szCs w:val="24"/>
          <w:u w:val="single"/>
          <w:lang w:eastAsia="zh-CN"/>
        </w:rPr>
        <w:t xml:space="preserve">             </w:t>
      </w:r>
    </w:p>
    <w:p w14:paraId="69114109">
      <w:pPr>
        <w:spacing w:line="360" w:lineRule="auto"/>
        <w:ind w:firstLine="3120" w:firstLineChars="1300"/>
        <w:rPr>
          <w:rFonts w:ascii="仿宋" w:hAnsi="仿宋" w:eastAsia="仿宋" w:cs="仿宋"/>
          <w:color w:val="auto"/>
          <w:lang w:eastAsia="zh-CN"/>
        </w:rPr>
      </w:pPr>
      <w:r>
        <w:rPr>
          <w:rFonts w:hint="eastAsia" w:ascii="仿宋" w:hAnsi="仿宋" w:eastAsia="仿宋" w:cs="仿宋"/>
          <w:color w:val="auto"/>
          <w:lang w:eastAsia="zh-CN"/>
        </w:rPr>
        <w:t>日期：       年   月   日</w:t>
      </w:r>
    </w:p>
    <w:p w14:paraId="162B75E1">
      <w:pPr>
        <w:pStyle w:val="5"/>
        <w:rPr>
          <w:rFonts w:ascii="仿宋" w:hAnsi="仿宋" w:eastAsia="仿宋" w:cs="仿宋"/>
          <w:color w:val="auto"/>
          <w:sz w:val="36"/>
          <w:szCs w:val="36"/>
          <w:lang w:eastAsia="zh-CN"/>
        </w:rPr>
      </w:pPr>
    </w:p>
    <w:p w14:paraId="5FF09004">
      <w:pPr>
        <w:rPr>
          <w:rFonts w:ascii="仿宋" w:hAnsi="仿宋" w:eastAsia="仿宋" w:cs="仿宋"/>
          <w:color w:val="auto"/>
          <w:lang w:eastAsia="zh-CN"/>
        </w:rPr>
      </w:pPr>
    </w:p>
    <w:p w14:paraId="11A1B72E">
      <w:pPr>
        <w:pStyle w:val="35"/>
        <w:spacing w:after="0"/>
        <w:ind w:firstLine="420"/>
        <w:jc w:val="center"/>
        <w:rPr>
          <w:rFonts w:ascii="仿宋" w:hAnsi="仿宋" w:eastAsia="仿宋" w:cs="仿宋"/>
          <w:color w:val="auto"/>
          <w:sz w:val="36"/>
          <w:szCs w:val="36"/>
          <w:lang w:eastAsia="zh-CN"/>
        </w:rPr>
      </w:pPr>
    </w:p>
    <w:p w14:paraId="7A62D5E0">
      <w:pPr>
        <w:pStyle w:val="35"/>
        <w:spacing w:after="0"/>
        <w:ind w:firstLine="420"/>
        <w:jc w:val="center"/>
        <w:rPr>
          <w:rFonts w:ascii="仿宋" w:hAnsi="仿宋" w:eastAsia="仿宋" w:cs="仿宋"/>
          <w:color w:val="auto"/>
          <w:sz w:val="36"/>
          <w:szCs w:val="36"/>
          <w:lang w:eastAsia="zh-CN"/>
        </w:rPr>
      </w:pPr>
    </w:p>
    <w:p w14:paraId="23FB5224">
      <w:pPr>
        <w:pStyle w:val="35"/>
        <w:spacing w:after="0"/>
        <w:ind w:firstLine="420"/>
        <w:jc w:val="center"/>
        <w:rPr>
          <w:rFonts w:ascii="仿宋" w:hAnsi="仿宋" w:eastAsia="仿宋" w:cs="仿宋"/>
          <w:color w:val="auto"/>
          <w:sz w:val="36"/>
          <w:szCs w:val="36"/>
          <w:lang w:eastAsia="zh-CN"/>
        </w:rPr>
      </w:pPr>
    </w:p>
    <w:p w14:paraId="1318AA05">
      <w:pPr>
        <w:pStyle w:val="35"/>
        <w:spacing w:after="0"/>
        <w:ind w:firstLine="420"/>
        <w:jc w:val="center"/>
        <w:rPr>
          <w:rFonts w:ascii="仿宋" w:hAnsi="仿宋" w:eastAsia="仿宋" w:cs="仿宋"/>
          <w:color w:val="auto"/>
          <w:sz w:val="36"/>
          <w:szCs w:val="36"/>
          <w:lang w:eastAsia="zh-CN"/>
        </w:rPr>
      </w:pPr>
    </w:p>
    <w:p w14:paraId="6DBCF8CF">
      <w:pPr>
        <w:pStyle w:val="35"/>
        <w:spacing w:after="0"/>
        <w:ind w:firstLine="420"/>
        <w:jc w:val="center"/>
        <w:rPr>
          <w:rFonts w:ascii="仿宋" w:hAnsi="仿宋" w:eastAsia="仿宋" w:cs="仿宋"/>
          <w:color w:val="auto"/>
          <w:sz w:val="36"/>
          <w:szCs w:val="36"/>
          <w:lang w:eastAsia="zh-CN"/>
        </w:rPr>
      </w:pPr>
    </w:p>
    <w:p w14:paraId="576A3B91">
      <w:pPr>
        <w:pStyle w:val="35"/>
        <w:spacing w:after="0"/>
        <w:ind w:firstLine="420"/>
        <w:jc w:val="center"/>
        <w:rPr>
          <w:rFonts w:ascii="仿宋" w:hAnsi="仿宋" w:eastAsia="仿宋" w:cs="仿宋"/>
          <w:color w:val="auto"/>
          <w:sz w:val="36"/>
          <w:szCs w:val="36"/>
          <w:lang w:eastAsia="zh-CN"/>
        </w:rPr>
      </w:pPr>
    </w:p>
    <w:p w14:paraId="2A9966A9">
      <w:pPr>
        <w:pStyle w:val="35"/>
        <w:spacing w:after="0"/>
        <w:ind w:firstLine="420"/>
        <w:jc w:val="center"/>
        <w:rPr>
          <w:rFonts w:ascii="仿宋" w:hAnsi="仿宋" w:eastAsia="仿宋" w:cs="仿宋"/>
          <w:color w:val="auto"/>
          <w:sz w:val="36"/>
          <w:szCs w:val="36"/>
          <w:lang w:eastAsia="zh-CN"/>
        </w:rPr>
      </w:pPr>
    </w:p>
    <w:p w14:paraId="0D2A71A7">
      <w:pPr>
        <w:jc w:val="center"/>
        <w:rPr>
          <w:rFonts w:hint="eastAsia" w:ascii="仿宋" w:hAnsi="仿宋" w:eastAsia="仿宋" w:cs="仿宋"/>
          <w:b/>
          <w:bCs/>
          <w:color w:val="auto"/>
          <w:sz w:val="30"/>
          <w:szCs w:val="30"/>
          <w:lang w:eastAsia="zh-CN"/>
        </w:rPr>
      </w:pPr>
    </w:p>
    <w:p w14:paraId="47D20FFB">
      <w:pPr>
        <w:jc w:val="center"/>
        <w:rPr>
          <w:rFonts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6、商务条款偏离表</w:t>
      </w:r>
    </w:p>
    <w:tbl>
      <w:tblPr>
        <w:tblStyle w:val="25"/>
        <w:tblW w:w="8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2944"/>
        <w:gridCol w:w="2916"/>
        <w:gridCol w:w="1342"/>
      </w:tblGrid>
      <w:tr w14:paraId="595D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319DB59F">
            <w:pPr>
              <w:rPr>
                <w:rFonts w:ascii="仿宋" w:hAnsi="仿宋" w:eastAsia="仿宋" w:cs="仿宋"/>
                <w:color w:val="auto"/>
                <w:spacing w:val="-1"/>
              </w:rPr>
            </w:pPr>
            <w:r>
              <w:rPr>
                <w:rFonts w:hint="eastAsia" w:ascii="仿宋" w:hAnsi="仿宋" w:eastAsia="仿宋" w:cs="仿宋"/>
                <w:color w:val="auto"/>
                <w:spacing w:val="-1"/>
              </w:rPr>
              <w:t>序号</w:t>
            </w:r>
          </w:p>
        </w:tc>
        <w:tc>
          <w:tcPr>
            <w:tcW w:w="2944" w:type="dxa"/>
          </w:tcPr>
          <w:p w14:paraId="5258A8A4">
            <w:pPr>
              <w:pStyle w:val="13"/>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磋商文件的商务条款</w:t>
            </w:r>
          </w:p>
        </w:tc>
        <w:tc>
          <w:tcPr>
            <w:tcW w:w="2916" w:type="dxa"/>
          </w:tcPr>
          <w:p w14:paraId="5DABBFEC">
            <w:pPr>
              <w:pStyle w:val="13"/>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投标文件的商务条款</w:t>
            </w:r>
          </w:p>
        </w:tc>
        <w:tc>
          <w:tcPr>
            <w:tcW w:w="1342" w:type="dxa"/>
          </w:tcPr>
          <w:p w14:paraId="438AADA2">
            <w:pPr>
              <w:pStyle w:val="13"/>
              <w:spacing w:line="240" w:lineRule="atLeast"/>
              <w:jc w:val="center"/>
              <w:rPr>
                <w:rFonts w:ascii="仿宋" w:hAnsi="仿宋" w:eastAsia="仿宋" w:cs="仿宋"/>
                <w:color w:val="auto"/>
                <w:spacing w:val="-1"/>
              </w:rPr>
            </w:pPr>
            <w:r>
              <w:rPr>
                <w:rFonts w:hint="eastAsia" w:ascii="仿宋" w:hAnsi="仿宋" w:eastAsia="仿宋" w:cs="仿宋"/>
                <w:color w:val="auto"/>
                <w:lang w:eastAsia="zh-CN"/>
              </w:rPr>
              <w:t>说明</w:t>
            </w:r>
          </w:p>
        </w:tc>
      </w:tr>
      <w:tr w14:paraId="4FD35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52AB4A4D">
            <w:pPr>
              <w:rPr>
                <w:rFonts w:ascii="仿宋" w:hAnsi="仿宋" w:eastAsia="仿宋" w:cs="仿宋"/>
                <w:color w:val="auto"/>
                <w:spacing w:val="-1"/>
              </w:rPr>
            </w:pPr>
            <w:r>
              <w:rPr>
                <w:rFonts w:hint="eastAsia" w:ascii="仿宋" w:hAnsi="仿宋" w:eastAsia="仿宋" w:cs="仿宋"/>
                <w:color w:val="auto"/>
                <w:spacing w:val="-1"/>
              </w:rPr>
              <w:t>1</w:t>
            </w:r>
          </w:p>
        </w:tc>
        <w:tc>
          <w:tcPr>
            <w:tcW w:w="2944" w:type="dxa"/>
            <w:vAlign w:val="center"/>
          </w:tcPr>
          <w:p w14:paraId="043745CF">
            <w:pPr>
              <w:rPr>
                <w:rFonts w:ascii="仿宋" w:hAnsi="仿宋" w:eastAsia="仿宋" w:cs="仿宋"/>
                <w:color w:val="auto"/>
                <w:spacing w:val="-1"/>
              </w:rPr>
            </w:pPr>
          </w:p>
        </w:tc>
        <w:tc>
          <w:tcPr>
            <w:tcW w:w="2916" w:type="dxa"/>
            <w:vAlign w:val="center"/>
          </w:tcPr>
          <w:p w14:paraId="3D43F3DF">
            <w:pPr>
              <w:rPr>
                <w:rFonts w:ascii="仿宋" w:hAnsi="仿宋" w:eastAsia="仿宋" w:cs="仿宋"/>
                <w:color w:val="auto"/>
                <w:spacing w:val="-1"/>
              </w:rPr>
            </w:pPr>
          </w:p>
        </w:tc>
        <w:tc>
          <w:tcPr>
            <w:tcW w:w="1342" w:type="dxa"/>
            <w:vAlign w:val="center"/>
          </w:tcPr>
          <w:p w14:paraId="4C1B0310">
            <w:pPr>
              <w:rPr>
                <w:rFonts w:ascii="仿宋" w:hAnsi="仿宋" w:eastAsia="仿宋" w:cs="仿宋"/>
                <w:color w:val="auto"/>
                <w:spacing w:val="-1"/>
              </w:rPr>
            </w:pPr>
          </w:p>
        </w:tc>
      </w:tr>
      <w:tr w14:paraId="114D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4E78E13C">
            <w:pPr>
              <w:rPr>
                <w:rFonts w:ascii="仿宋" w:hAnsi="仿宋" w:eastAsia="仿宋" w:cs="仿宋"/>
                <w:color w:val="auto"/>
                <w:spacing w:val="-1"/>
              </w:rPr>
            </w:pPr>
            <w:r>
              <w:rPr>
                <w:rFonts w:hint="eastAsia" w:ascii="仿宋" w:hAnsi="仿宋" w:eastAsia="仿宋" w:cs="仿宋"/>
                <w:color w:val="auto"/>
                <w:spacing w:val="-1"/>
              </w:rPr>
              <w:t>2</w:t>
            </w:r>
          </w:p>
        </w:tc>
        <w:tc>
          <w:tcPr>
            <w:tcW w:w="2944" w:type="dxa"/>
            <w:vAlign w:val="center"/>
          </w:tcPr>
          <w:p w14:paraId="7D399AB8">
            <w:pPr>
              <w:rPr>
                <w:rFonts w:ascii="仿宋" w:hAnsi="仿宋" w:eastAsia="仿宋" w:cs="仿宋"/>
                <w:color w:val="auto"/>
                <w:spacing w:val="-1"/>
              </w:rPr>
            </w:pPr>
          </w:p>
        </w:tc>
        <w:tc>
          <w:tcPr>
            <w:tcW w:w="2916" w:type="dxa"/>
            <w:vAlign w:val="center"/>
          </w:tcPr>
          <w:p w14:paraId="3B7070E6">
            <w:pPr>
              <w:rPr>
                <w:rFonts w:ascii="仿宋" w:hAnsi="仿宋" w:eastAsia="仿宋" w:cs="仿宋"/>
                <w:color w:val="auto"/>
                <w:spacing w:val="-1"/>
              </w:rPr>
            </w:pPr>
          </w:p>
        </w:tc>
        <w:tc>
          <w:tcPr>
            <w:tcW w:w="1342" w:type="dxa"/>
            <w:vAlign w:val="center"/>
          </w:tcPr>
          <w:p w14:paraId="292F70A0">
            <w:pPr>
              <w:rPr>
                <w:rFonts w:ascii="仿宋" w:hAnsi="仿宋" w:eastAsia="仿宋" w:cs="仿宋"/>
                <w:color w:val="auto"/>
                <w:spacing w:val="-1"/>
              </w:rPr>
            </w:pPr>
          </w:p>
        </w:tc>
      </w:tr>
      <w:tr w14:paraId="2D16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22593CDF">
            <w:pPr>
              <w:rPr>
                <w:rFonts w:ascii="仿宋" w:hAnsi="仿宋" w:eastAsia="仿宋" w:cs="仿宋"/>
                <w:color w:val="auto"/>
                <w:spacing w:val="-1"/>
              </w:rPr>
            </w:pPr>
            <w:r>
              <w:rPr>
                <w:rFonts w:hint="eastAsia" w:ascii="仿宋" w:hAnsi="仿宋" w:eastAsia="仿宋" w:cs="仿宋"/>
                <w:color w:val="auto"/>
                <w:spacing w:val="-1"/>
              </w:rPr>
              <w:t>3</w:t>
            </w:r>
          </w:p>
        </w:tc>
        <w:tc>
          <w:tcPr>
            <w:tcW w:w="2944" w:type="dxa"/>
            <w:vAlign w:val="center"/>
          </w:tcPr>
          <w:p w14:paraId="51786A5D">
            <w:pPr>
              <w:rPr>
                <w:rFonts w:ascii="仿宋" w:hAnsi="仿宋" w:eastAsia="仿宋" w:cs="仿宋"/>
                <w:color w:val="auto"/>
                <w:spacing w:val="-1"/>
              </w:rPr>
            </w:pPr>
          </w:p>
        </w:tc>
        <w:tc>
          <w:tcPr>
            <w:tcW w:w="2916" w:type="dxa"/>
            <w:vAlign w:val="center"/>
          </w:tcPr>
          <w:p w14:paraId="5F9B72E5">
            <w:pPr>
              <w:rPr>
                <w:rFonts w:ascii="仿宋" w:hAnsi="仿宋" w:eastAsia="仿宋" w:cs="仿宋"/>
                <w:color w:val="auto"/>
                <w:spacing w:val="-1"/>
              </w:rPr>
            </w:pPr>
          </w:p>
        </w:tc>
        <w:tc>
          <w:tcPr>
            <w:tcW w:w="1342" w:type="dxa"/>
            <w:vAlign w:val="center"/>
          </w:tcPr>
          <w:p w14:paraId="71A887A0">
            <w:pPr>
              <w:rPr>
                <w:rFonts w:ascii="仿宋" w:hAnsi="仿宋" w:eastAsia="仿宋" w:cs="仿宋"/>
                <w:color w:val="auto"/>
                <w:spacing w:val="-1"/>
              </w:rPr>
            </w:pPr>
          </w:p>
        </w:tc>
      </w:tr>
      <w:tr w14:paraId="1F498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7F2B47FD">
            <w:pPr>
              <w:rPr>
                <w:rFonts w:ascii="仿宋" w:hAnsi="仿宋" w:eastAsia="仿宋" w:cs="仿宋"/>
                <w:color w:val="auto"/>
                <w:spacing w:val="-1"/>
              </w:rPr>
            </w:pPr>
            <w:r>
              <w:rPr>
                <w:rFonts w:hint="eastAsia" w:ascii="仿宋" w:hAnsi="仿宋" w:eastAsia="仿宋" w:cs="仿宋"/>
                <w:color w:val="auto"/>
                <w:spacing w:val="-1"/>
              </w:rPr>
              <w:t>4</w:t>
            </w:r>
          </w:p>
        </w:tc>
        <w:tc>
          <w:tcPr>
            <w:tcW w:w="2944" w:type="dxa"/>
            <w:vAlign w:val="center"/>
          </w:tcPr>
          <w:p w14:paraId="7F1AA1D0">
            <w:pPr>
              <w:rPr>
                <w:rFonts w:ascii="仿宋" w:hAnsi="仿宋" w:eastAsia="仿宋" w:cs="仿宋"/>
                <w:color w:val="auto"/>
                <w:spacing w:val="-1"/>
              </w:rPr>
            </w:pPr>
          </w:p>
        </w:tc>
        <w:tc>
          <w:tcPr>
            <w:tcW w:w="2916" w:type="dxa"/>
            <w:vAlign w:val="center"/>
          </w:tcPr>
          <w:p w14:paraId="4164E872">
            <w:pPr>
              <w:rPr>
                <w:rFonts w:ascii="仿宋" w:hAnsi="仿宋" w:eastAsia="仿宋" w:cs="仿宋"/>
                <w:color w:val="auto"/>
                <w:spacing w:val="-1"/>
              </w:rPr>
            </w:pPr>
          </w:p>
        </w:tc>
        <w:tc>
          <w:tcPr>
            <w:tcW w:w="1342" w:type="dxa"/>
            <w:vAlign w:val="center"/>
          </w:tcPr>
          <w:p w14:paraId="6DDFBD0B">
            <w:pPr>
              <w:rPr>
                <w:rFonts w:ascii="仿宋" w:hAnsi="仿宋" w:eastAsia="仿宋" w:cs="仿宋"/>
                <w:color w:val="auto"/>
                <w:spacing w:val="-1"/>
              </w:rPr>
            </w:pPr>
          </w:p>
        </w:tc>
      </w:tr>
      <w:tr w14:paraId="69F6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7DB29A39">
            <w:pPr>
              <w:rPr>
                <w:rFonts w:ascii="仿宋" w:hAnsi="仿宋" w:eastAsia="仿宋" w:cs="仿宋"/>
                <w:color w:val="auto"/>
                <w:spacing w:val="-1"/>
              </w:rPr>
            </w:pPr>
            <w:r>
              <w:rPr>
                <w:rFonts w:hint="eastAsia" w:ascii="仿宋" w:hAnsi="仿宋" w:eastAsia="仿宋" w:cs="仿宋"/>
                <w:color w:val="auto"/>
                <w:spacing w:val="-1"/>
              </w:rPr>
              <w:t>5</w:t>
            </w:r>
          </w:p>
        </w:tc>
        <w:tc>
          <w:tcPr>
            <w:tcW w:w="2944" w:type="dxa"/>
            <w:vAlign w:val="center"/>
          </w:tcPr>
          <w:p w14:paraId="6356B83C">
            <w:pPr>
              <w:rPr>
                <w:rFonts w:ascii="仿宋" w:hAnsi="仿宋" w:eastAsia="仿宋" w:cs="仿宋"/>
                <w:color w:val="auto"/>
                <w:spacing w:val="-1"/>
              </w:rPr>
            </w:pPr>
          </w:p>
        </w:tc>
        <w:tc>
          <w:tcPr>
            <w:tcW w:w="2916" w:type="dxa"/>
            <w:vAlign w:val="center"/>
          </w:tcPr>
          <w:p w14:paraId="7E3725ED">
            <w:pPr>
              <w:rPr>
                <w:rFonts w:ascii="仿宋" w:hAnsi="仿宋" w:eastAsia="仿宋" w:cs="仿宋"/>
                <w:color w:val="auto"/>
                <w:spacing w:val="-1"/>
              </w:rPr>
            </w:pPr>
          </w:p>
        </w:tc>
        <w:tc>
          <w:tcPr>
            <w:tcW w:w="1342" w:type="dxa"/>
            <w:vAlign w:val="center"/>
          </w:tcPr>
          <w:p w14:paraId="536A03F7">
            <w:pPr>
              <w:rPr>
                <w:rFonts w:ascii="仿宋" w:hAnsi="仿宋" w:eastAsia="仿宋" w:cs="仿宋"/>
                <w:color w:val="auto"/>
                <w:spacing w:val="-1"/>
              </w:rPr>
            </w:pPr>
          </w:p>
        </w:tc>
      </w:tr>
      <w:tr w14:paraId="7D70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22CA89DB">
            <w:pPr>
              <w:rPr>
                <w:rFonts w:ascii="仿宋" w:hAnsi="仿宋" w:eastAsia="仿宋" w:cs="仿宋"/>
                <w:color w:val="auto"/>
                <w:spacing w:val="-1"/>
              </w:rPr>
            </w:pPr>
            <w:r>
              <w:rPr>
                <w:rFonts w:hint="eastAsia" w:ascii="仿宋" w:hAnsi="仿宋" w:eastAsia="仿宋" w:cs="仿宋"/>
                <w:color w:val="auto"/>
                <w:spacing w:val="-1"/>
              </w:rPr>
              <w:t>6</w:t>
            </w:r>
          </w:p>
        </w:tc>
        <w:tc>
          <w:tcPr>
            <w:tcW w:w="2944" w:type="dxa"/>
            <w:vAlign w:val="center"/>
          </w:tcPr>
          <w:p w14:paraId="0BA265F2">
            <w:pPr>
              <w:rPr>
                <w:rFonts w:ascii="仿宋" w:hAnsi="仿宋" w:eastAsia="仿宋" w:cs="仿宋"/>
                <w:color w:val="auto"/>
                <w:spacing w:val="-1"/>
              </w:rPr>
            </w:pPr>
          </w:p>
        </w:tc>
        <w:tc>
          <w:tcPr>
            <w:tcW w:w="2916" w:type="dxa"/>
            <w:vAlign w:val="center"/>
          </w:tcPr>
          <w:p w14:paraId="57261F48">
            <w:pPr>
              <w:rPr>
                <w:rFonts w:ascii="仿宋" w:hAnsi="仿宋" w:eastAsia="仿宋" w:cs="仿宋"/>
                <w:color w:val="auto"/>
                <w:spacing w:val="-1"/>
              </w:rPr>
            </w:pPr>
          </w:p>
        </w:tc>
        <w:tc>
          <w:tcPr>
            <w:tcW w:w="1342" w:type="dxa"/>
            <w:vAlign w:val="center"/>
          </w:tcPr>
          <w:p w14:paraId="23822EAE">
            <w:pPr>
              <w:rPr>
                <w:rFonts w:ascii="仿宋" w:hAnsi="仿宋" w:eastAsia="仿宋" w:cs="仿宋"/>
                <w:color w:val="auto"/>
                <w:spacing w:val="-1"/>
              </w:rPr>
            </w:pPr>
          </w:p>
        </w:tc>
      </w:tr>
      <w:tr w14:paraId="3B6B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5F0CC131">
            <w:pPr>
              <w:rPr>
                <w:rFonts w:ascii="仿宋" w:hAnsi="仿宋" w:eastAsia="仿宋" w:cs="仿宋"/>
                <w:color w:val="auto"/>
                <w:spacing w:val="-1"/>
              </w:rPr>
            </w:pPr>
            <w:r>
              <w:rPr>
                <w:rFonts w:hint="eastAsia" w:ascii="仿宋" w:hAnsi="仿宋" w:eastAsia="仿宋" w:cs="仿宋"/>
                <w:color w:val="auto"/>
                <w:spacing w:val="-1"/>
              </w:rPr>
              <w:t>7</w:t>
            </w:r>
          </w:p>
        </w:tc>
        <w:tc>
          <w:tcPr>
            <w:tcW w:w="2944" w:type="dxa"/>
            <w:vAlign w:val="center"/>
          </w:tcPr>
          <w:p w14:paraId="3F37F1C5">
            <w:pPr>
              <w:rPr>
                <w:rFonts w:ascii="仿宋" w:hAnsi="仿宋" w:eastAsia="仿宋" w:cs="仿宋"/>
                <w:color w:val="auto"/>
                <w:spacing w:val="-1"/>
              </w:rPr>
            </w:pPr>
          </w:p>
        </w:tc>
        <w:tc>
          <w:tcPr>
            <w:tcW w:w="2916" w:type="dxa"/>
            <w:vAlign w:val="center"/>
          </w:tcPr>
          <w:p w14:paraId="34A4AD33">
            <w:pPr>
              <w:rPr>
                <w:rFonts w:ascii="仿宋" w:hAnsi="仿宋" w:eastAsia="仿宋" w:cs="仿宋"/>
                <w:color w:val="auto"/>
                <w:spacing w:val="-1"/>
              </w:rPr>
            </w:pPr>
          </w:p>
        </w:tc>
        <w:tc>
          <w:tcPr>
            <w:tcW w:w="1342" w:type="dxa"/>
            <w:vAlign w:val="center"/>
          </w:tcPr>
          <w:p w14:paraId="24A85708">
            <w:pPr>
              <w:rPr>
                <w:rFonts w:ascii="仿宋" w:hAnsi="仿宋" w:eastAsia="仿宋" w:cs="仿宋"/>
                <w:color w:val="auto"/>
                <w:spacing w:val="-1"/>
              </w:rPr>
            </w:pPr>
          </w:p>
        </w:tc>
      </w:tr>
      <w:tr w14:paraId="0B01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1E29A6DA">
            <w:pPr>
              <w:rPr>
                <w:rFonts w:ascii="仿宋" w:hAnsi="仿宋" w:eastAsia="仿宋" w:cs="仿宋"/>
                <w:color w:val="auto"/>
                <w:spacing w:val="-1"/>
              </w:rPr>
            </w:pPr>
            <w:r>
              <w:rPr>
                <w:rFonts w:hint="eastAsia" w:ascii="仿宋" w:hAnsi="仿宋" w:eastAsia="仿宋" w:cs="仿宋"/>
                <w:color w:val="auto"/>
                <w:spacing w:val="-1"/>
              </w:rPr>
              <w:t>8</w:t>
            </w:r>
          </w:p>
        </w:tc>
        <w:tc>
          <w:tcPr>
            <w:tcW w:w="2944" w:type="dxa"/>
            <w:vAlign w:val="center"/>
          </w:tcPr>
          <w:p w14:paraId="2550F4D9">
            <w:pPr>
              <w:rPr>
                <w:rFonts w:ascii="仿宋" w:hAnsi="仿宋" w:eastAsia="仿宋" w:cs="仿宋"/>
                <w:color w:val="auto"/>
                <w:spacing w:val="-1"/>
              </w:rPr>
            </w:pPr>
          </w:p>
        </w:tc>
        <w:tc>
          <w:tcPr>
            <w:tcW w:w="2916" w:type="dxa"/>
            <w:vAlign w:val="center"/>
          </w:tcPr>
          <w:p w14:paraId="16499018">
            <w:pPr>
              <w:rPr>
                <w:rFonts w:ascii="仿宋" w:hAnsi="仿宋" w:eastAsia="仿宋" w:cs="仿宋"/>
                <w:color w:val="auto"/>
                <w:spacing w:val="-1"/>
              </w:rPr>
            </w:pPr>
          </w:p>
        </w:tc>
        <w:tc>
          <w:tcPr>
            <w:tcW w:w="1342" w:type="dxa"/>
            <w:vAlign w:val="center"/>
          </w:tcPr>
          <w:p w14:paraId="70C2941C">
            <w:pPr>
              <w:rPr>
                <w:rFonts w:ascii="仿宋" w:hAnsi="仿宋" w:eastAsia="仿宋" w:cs="仿宋"/>
                <w:color w:val="auto"/>
                <w:spacing w:val="-1"/>
              </w:rPr>
            </w:pPr>
          </w:p>
        </w:tc>
      </w:tr>
      <w:tr w14:paraId="5419A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0BC307C4">
            <w:pPr>
              <w:rPr>
                <w:rFonts w:ascii="仿宋" w:hAnsi="仿宋" w:eastAsia="仿宋" w:cs="仿宋"/>
                <w:color w:val="auto"/>
                <w:spacing w:val="-1"/>
              </w:rPr>
            </w:pPr>
            <w:r>
              <w:rPr>
                <w:rFonts w:hint="eastAsia" w:ascii="仿宋" w:hAnsi="仿宋" w:eastAsia="仿宋" w:cs="仿宋"/>
                <w:color w:val="auto"/>
                <w:spacing w:val="-1"/>
              </w:rPr>
              <w:t>9</w:t>
            </w:r>
          </w:p>
        </w:tc>
        <w:tc>
          <w:tcPr>
            <w:tcW w:w="2944" w:type="dxa"/>
            <w:vAlign w:val="center"/>
          </w:tcPr>
          <w:p w14:paraId="40F609FD">
            <w:pPr>
              <w:rPr>
                <w:rFonts w:ascii="仿宋" w:hAnsi="仿宋" w:eastAsia="仿宋" w:cs="仿宋"/>
                <w:color w:val="auto"/>
                <w:spacing w:val="-1"/>
              </w:rPr>
            </w:pPr>
          </w:p>
        </w:tc>
        <w:tc>
          <w:tcPr>
            <w:tcW w:w="2916" w:type="dxa"/>
            <w:vAlign w:val="center"/>
          </w:tcPr>
          <w:p w14:paraId="1C84C663">
            <w:pPr>
              <w:rPr>
                <w:rFonts w:ascii="仿宋" w:hAnsi="仿宋" w:eastAsia="仿宋" w:cs="仿宋"/>
                <w:color w:val="auto"/>
                <w:spacing w:val="-1"/>
              </w:rPr>
            </w:pPr>
          </w:p>
        </w:tc>
        <w:tc>
          <w:tcPr>
            <w:tcW w:w="1342" w:type="dxa"/>
            <w:vAlign w:val="center"/>
          </w:tcPr>
          <w:p w14:paraId="4B02AB2D">
            <w:pPr>
              <w:rPr>
                <w:rFonts w:ascii="仿宋" w:hAnsi="仿宋" w:eastAsia="仿宋" w:cs="仿宋"/>
                <w:color w:val="auto"/>
                <w:spacing w:val="-1"/>
              </w:rPr>
            </w:pPr>
          </w:p>
        </w:tc>
      </w:tr>
      <w:tr w14:paraId="325D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66BA69C7">
            <w:pPr>
              <w:rPr>
                <w:rFonts w:ascii="仿宋" w:hAnsi="仿宋" w:eastAsia="仿宋" w:cs="仿宋"/>
                <w:color w:val="auto"/>
                <w:spacing w:val="-1"/>
              </w:rPr>
            </w:pPr>
            <w:r>
              <w:rPr>
                <w:rFonts w:hint="eastAsia" w:ascii="仿宋" w:hAnsi="仿宋" w:eastAsia="仿宋" w:cs="仿宋"/>
                <w:color w:val="auto"/>
                <w:spacing w:val="-1"/>
              </w:rPr>
              <w:t>10</w:t>
            </w:r>
          </w:p>
        </w:tc>
        <w:tc>
          <w:tcPr>
            <w:tcW w:w="2944" w:type="dxa"/>
            <w:vAlign w:val="center"/>
          </w:tcPr>
          <w:p w14:paraId="4E1E9F2A">
            <w:pPr>
              <w:rPr>
                <w:rFonts w:ascii="仿宋" w:hAnsi="仿宋" w:eastAsia="仿宋" w:cs="仿宋"/>
                <w:color w:val="auto"/>
                <w:spacing w:val="-1"/>
              </w:rPr>
            </w:pPr>
          </w:p>
        </w:tc>
        <w:tc>
          <w:tcPr>
            <w:tcW w:w="2916" w:type="dxa"/>
            <w:vAlign w:val="center"/>
          </w:tcPr>
          <w:p w14:paraId="23139754">
            <w:pPr>
              <w:rPr>
                <w:rFonts w:ascii="仿宋" w:hAnsi="仿宋" w:eastAsia="仿宋" w:cs="仿宋"/>
                <w:color w:val="auto"/>
                <w:spacing w:val="-1"/>
              </w:rPr>
            </w:pPr>
          </w:p>
        </w:tc>
        <w:tc>
          <w:tcPr>
            <w:tcW w:w="1342" w:type="dxa"/>
            <w:vAlign w:val="center"/>
          </w:tcPr>
          <w:p w14:paraId="74914AC1">
            <w:pPr>
              <w:rPr>
                <w:rFonts w:ascii="仿宋" w:hAnsi="仿宋" w:eastAsia="仿宋" w:cs="仿宋"/>
                <w:color w:val="auto"/>
                <w:spacing w:val="-1"/>
              </w:rPr>
            </w:pPr>
          </w:p>
        </w:tc>
      </w:tr>
      <w:tr w14:paraId="0D94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7EAE3E30">
            <w:pPr>
              <w:rPr>
                <w:rFonts w:ascii="仿宋" w:hAnsi="仿宋" w:eastAsia="仿宋" w:cs="仿宋"/>
                <w:color w:val="auto"/>
                <w:spacing w:val="-1"/>
              </w:rPr>
            </w:pPr>
            <w:r>
              <w:rPr>
                <w:rFonts w:hint="eastAsia" w:ascii="仿宋" w:hAnsi="仿宋" w:eastAsia="仿宋" w:cs="仿宋"/>
                <w:color w:val="auto"/>
                <w:spacing w:val="-1"/>
              </w:rPr>
              <w:t>11</w:t>
            </w:r>
          </w:p>
        </w:tc>
        <w:tc>
          <w:tcPr>
            <w:tcW w:w="2944" w:type="dxa"/>
            <w:vAlign w:val="center"/>
          </w:tcPr>
          <w:p w14:paraId="6EDB4EA8">
            <w:pPr>
              <w:rPr>
                <w:rFonts w:ascii="仿宋" w:hAnsi="仿宋" w:eastAsia="仿宋" w:cs="仿宋"/>
                <w:color w:val="auto"/>
                <w:spacing w:val="-1"/>
              </w:rPr>
            </w:pPr>
          </w:p>
        </w:tc>
        <w:tc>
          <w:tcPr>
            <w:tcW w:w="2916" w:type="dxa"/>
            <w:vAlign w:val="center"/>
          </w:tcPr>
          <w:p w14:paraId="7F7C0AEE">
            <w:pPr>
              <w:rPr>
                <w:rFonts w:ascii="仿宋" w:hAnsi="仿宋" w:eastAsia="仿宋" w:cs="仿宋"/>
                <w:color w:val="auto"/>
                <w:spacing w:val="-1"/>
              </w:rPr>
            </w:pPr>
          </w:p>
        </w:tc>
        <w:tc>
          <w:tcPr>
            <w:tcW w:w="1342" w:type="dxa"/>
            <w:vAlign w:val="center"/>
          </w:tcPr>
          <w:p w14:paraId="00830FB7">
            <w:pPr>
              <w:rPr>
                <w:rFonts w:ascii="仿宋" w:hAnsi="仿宋" w:eastAsia="仿宋" w:cs="仿宋"/>
                <w:color w:val="auto"/>
                <w:spacing w:val="-1"/>
              </w:rPr>
            </w:pPr>
          </w:p>
        </w:tc>
      </w:tr>
      <w:tr w14:paraId="408EF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1C9684B7">
            <w:pPr>
              <w:rPr>
                <w:rFonts w:ascii="仿宋" w:hAnsi="仿宋" w:eastAsia="仿宋" w:cs="仿宋"/>
                <w:color w:val="auto"/>
                <w:spacing w:val="-1"/>
              </w:rPr>
            </w:pPr>
            <w:r>
              <w:rPr>
                <w:rFonts w:hint="eastAsia" w:ascii="仿宋" w:hAnsi="仿宋" w:eastAsia="仿宋" w:cs="仿宋"/>
                <w:color w:val="auto"/>
                <w:spacing w:val="-1"/>
              </w:rPr>
              <w:t>12</w:t>
            </w:r>
          </w:p>
        </w:tc>
        <w:tc>
          <w:tcPr>
            <w:tcW w:w="2944" w:type="dxa"/>
            <w:vAlign w:val="center"/>
          </w:tcPr>
          <w:p w14:paraId="656C9928">
            <w:pPr>
              <w:rPr>
                <w:rFonts w:ascii="仿宋" w:hAnsi="仿宋" w:eastAsia="仿宋" w:cs="仿宋"/>
                <w:color w:val="auto"/>
                <w:spacing w:val="-1"/>
              </w:rPr>
            </w:pPr>
          </w:p>
        </w:tc>
        <w:tc>
          <w:tcPr>
            <w:tcW w:w="2916" w:type="dxa"/>
            <w:vAlign w:val="center"/>
          </w:tcPr>
          <w:p w14:paraId="3E816FE4">
            <w:pPr>
              <w:rPr>
                <w:rFonts w:ascii="仿宋" w:hAnsi="仿宋" w:eastAsia="仿宋" w:cs="仿宋"/>
                <w:color w:val="auto"/>
                <w:spacing w:val="-1"/>
              </w:rPr>
            </w:pPr>
          </w:p>
        </w:tc>
        <w:tc>
          <w:tcPr>
            <w:tcW w:w="1342" w:type="dxa"/>
            <w:vAlign w:val="center"/>
          </w:tcPr>
          <w:p w14:paraId="1CD86993">
            <w:pPr>
              <w:rPr>
                <w:rFonts w:ascii="仿宋" w:hAnsi="仿宋" w:eastAsia="仿宋" w:cs="仿宋"/>
                <w:color w:val="auto"/>
                <w:spacing w:val="-1"/>
              </w:rPr>
            </w:pPr>
          </w:p>
        </w:tc>
      </w:tr>
      <w:tr w14:paraId="17201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484A3E6D">
            <w:pPr>
              <w:rPr>
                <w:rFonts w:ascii="仿宋" w:hAnsi="仿宋" w:eastAsia="仿宋" w:cs="仿宋"/>
                <w:color w:val="auto"/>
                <w:spacing w:val="-1"/>
              </w:rPr>
            </w:pPr>
            <w:r>
              <w:rPr>
                <w:rFonts w:hint="eastAsia" w:ascii="仿宋" w:hAnsi="仿宋" w:eastAsia="仿宋" w:cs="仿宋"/>
                <w:color w:val="auto"/>
                <w:spacing w:val="-1"/>
              </w:rPr>
              <w:t>13</w:t>
            </w:r>
          </w:p>
        </w:tc>
        <w:tc>
          <w:tcPr>
            <w:tcW w:w="2944" w:type="dxa"/>
            <w:vAlign w:val="center"/>
          </w:tcPr>
          <w:p w14:paraId="3CD6FEAC">
            <w:pPr>
              <w:rPr>
                <w:rFonts w:ascii="仿宋" w:hAnsi="仿宋" w:eastAsia="仿宋" w:cs="仿宋"/>
                <w:color w:val="auto"/>
                <w:spacing w:val="-1"/>
              </w:rPr>
            </w:pPr>
          </w:p>
        </w:tc>
        <w:tc>
          <w:tcPr>
            <w:tcW w:w="2916" w:type="dxa"/>
            <w:vAlign w:val="center"/>
          </w:tcPr>
          <w:p w14:paraId="499C4B58">
            <w:pPr>
              <w:rPr>
                <w:rFonts w:ascii="仿宋" w:hAnsi="仿宋" w:eastAsia="仿宋" w:cs="仿宋"/>
                <w:color w:val="auto"/>
                <w:spacing w:val="-1"/>
              </w:rPr>
            </w:pPr>
          </w:p>
        </w:tc>
        <w:tc>
          <w:tcPr>
            <w:tcW w:w="1342" w:type="dxa"/>
            <w:vAlign w:val="center"/>
          </w:tcPr>
          <w:p w14:paraId="6BEBF7A0">
            <w:pPr>
              <w:rPr>
                <w:rFonts w:ascii="仿宋" w:hAnsi="仿宋" w:eastAsia="仿宋" w:cs="仿宋"/>
                <w:color w:val="auto"/>
                <w:spacing w:val="-1"/>
              </w:rPr>
            </w:pPr>
          </w:p>
        </w:tc>
      </w:tr>
      <w:tr w14:paraId="5810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35" w:type="dxa"/>
            <w:vAlign w:val="center"/>
          </w:tcPr>
          <w:p w14:paraId="66E7C06A">
            <w:pPr>
              <w:rPr>
                <w:rFonts w:ascii="仿宋" w:hAnsi="仿宋" w:eastAsia="仿宋" w:cs="仿宋"/>
                <w:color w:val="auto"/>
                <w:spacing w:val="-1"/>
              </w:rPr>
            </w:pPr>
            <w:r>
              <w:rPr>
                <w:rFonts w:hint="eastAsia" w:ascii="仿宋" w:hAnsi="仿宋" w:eastAsia="仿宋" w:cs="仿宋"/>
                <w:color w:val="auto"/>
                <w:spacing w:val="-1"/>
              </w:rPr>
              <w:t>14</w:t>
            </w:r>
          </w:p>
        </w:tc>
        <w:tc>
          <w:tcPr>
            <w:tcW w:w="2944" w:type="dxa"/>
            <w:vAlign w:val="center"/>
          </w:tcPr>
          <w:p w14:paraId="09E89085">
            <w:pPr>
              <w:rPr>
                <w:rFonts w:ascii="仿宋" w:hAnsi="仿宋" w:eastAsia="仿宋" w:cs="仿宋"/>
                <w:color w:val="auto"/>
                <w:spacing w:val="-1"/>
              </w:rPr>
            </w:pPr>
          </w:p>
        </w:tc>
        <w:tc>
          <w:tcPr>
            <w:tcW w:w="2916" w:type="dxa"/>
            <w:vAlign w:val="center"/>
          </w:tcPr>
          <w:p w14:paraId="047D812D">
            <w:pPr>
              <w:rPr>
                <w:rFonts w:ascii="仿宋" w:hAnsi="仿宋" w:eastAsia="仿宋" w:cs="仿宋"/>
                <w:color w:val="auto"/>
                <w:spacing w:val="-1"/>
              </w:rPr>
            </w:pPr>
          </w:p>
        </w:tc>
        <w:tc>
          <w:tcPr>
            <w:tcW w:w="1342" w:type="dxa"/>
            <w:vAlign w:val="center"/>
          </w:tcPr>
          <w:p w14:paraId="03FDE5D2">
            <w:pPr>
              <w:rPr>
                <w:rFonts w:ascii="仿宋" w:hAnsi="仿宋" w:eastAsia="仿宋" w:cs="仿宋"/>
                <w:color w:val="auto"/>
                <w:spacing w:val="-1"/>
              </w:rPr>
            </w:pPr>
          </w:p>
        </w:tc>
      </w:tr>
      <w:tr w14:paraId="7DD0C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35" w:type="dxa"/>
            <w:vAlign w:val="center"/>
          </w:tcPr>
          <w:p w14:paraId="7728C33C">
            <w:pPr>
              <w:rPr>
                <w:rFonts w:ascii="仿宋" w:hAnsi="仿宋" w:eastAsia="仿宋" w:cs="仿宋"/>
                <w:color w:val="auto"/>
                <w:spacing w:val="-1"/>
              </w:rPr>
            </w:pPr>
            <w:r>
              <w:rPr>
                <w:rFonts w:hint="eastAsia" w:ascii="仿宋" w:hAnsi="仿宋" w:eastAsia="仿宋" w:cs="仿宋"/>
                <w:color w:val="auto"/>
                <w:spacing w:val="-1"/>
              </w:rPr>
              <w:t>15</w:t>
            </w:r>
          </w:p>
        </w:tc>
        <w:tc>
          <w:tcPr>
            <w:tcW w:w="2944" w:type="dxa"/>
            <w:vAlign w:val="center"/>
          </w:tcPr>
          <w:p w14:paraId="16FB3EC1">
            <w:pPr>
              <w:rPr>
                <w:rFonts w:ascii="仿宋" w:hAnsi="仿宋" w:eastAsia="仿宋" w:cs="仿宋"/>
                <w:color w:val="auto"/>
                <w:spacing w:val="-1"/>
              </w:rPr>
            </w:pPr>
          </w:p>
        </w:tc>
        <w:tc>
          <w:tcPr>
            <w:tcW w:w="2916" w:type="dxa"/>
            <w:vAlign w:val="center"/>
          </w:tcPr>
          <w:p w14:paraId="528C1331">
            <w:pPr>
              <w:rPr>
                <w:rFonts w:ascii="仿宋" w:hAnsi="仿宋" w:eastAsia="仿宋" w:cs="仿宋"/>
                <w:color w:val="auto"/>
                <w:spacing w:val="-1"/>
              </w:rPr>
            </w:pPr>
          </w:p>
        </w:tc>
        <w:tc>
          <w:tcPr>
            <w:tcW w:w="1342" w:type="dxa"/>
            <w:vAlign w:val="center"/>
          </w:tcPr>
          <w:p w14:paraId="299AD153">
            <w:pPr>
              <w:rPr>
                <w:rFonts w:ascii="仿宋" w:hAnsi="仿宋" w:eastAsia="仿宋" w:cs="仿宋"/>
                <w:color w:val="auto"/>
                <w:spacing w:val="-1"/>
              </w:rPr>
            </w:pPr>
          </w:p>
        </w:tc>
      </w:tr>
    </w:tbl>
    <w:p w14:paraId="1A95F42D">
      <w:pPr>
        <w:rPr>
          <w:rFonts w:ascii="仿宋" w:hAnsi="仿宋" w:eastAsia="仿宋" w:cs="仿宋"/>
          <w:color w:val="auto"/>
          <w:spacing w:val="-1"/>
          <w:lang w:eastAsia="zh-CN"/>
        </w:rPr>
      </w:pPr>
      <w:r>
        <w:rPr>
          <w:rFonts w:hint="eastAsia" w:ascii="仿宋" w:hAnsi="仿宋" w:eastAsia="仿宋" w:cs="仿宋"/>
          <w:color w:val="auto"/>
          <w:spacing w:val="-1"/>
          <w:lang w:eastAsia="zh-CN"/>
        </w:rPr>
        <w:t>注：凡投标文件中商务条款(包括服务期、付款方式、质保期、投标保证金以及其它所有商务内容）与招标文件存在正偏差的，均应在此表列出（不允许存在负偏离），未在此表中列出的视同完全满足招标文件要求。</w:t>
      </w:r>
    </w:p>
    <w:p w14:paraId="05FDE748">
      <w:pPr>
        <w:pStyle w:val="9"/>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14:paraId="632EDE16">
      <w:pPr>
        <w:pStyle w:val="9"/>
        <w:numPr>
          <w:ilvl w:val="0"/>
          <w:numId w:val="0"/>
        </w:numPr>
        <w:tabs>
          <w:tab w:val="left" w:pos="8227"/>
        </w:tabs>
        <w:kinsoku w:val="0"/>
        <w:overflowPunct w:val="0"/>
        <w:spacing w:line="381" w:lineRule="auto"/>
        <w:ind w:left="1680" w:right="118"/>
        <w:rPr>
          <w:rFonts w:ascii="仿宋" w:hAnsi="仿宋" w:eastAsia="仿宋" w:cs="仿宋"/>
          <w:color w:val="auto"/>
          <w:lang w:eastAsia="zh-CN"/>
        </w:rPr>
      </w:pPr>
    </w:p>
    <w:p w14:paraId="277B10C6">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p>
    <w:p w14:paraId="17710F9D">
      <w:pPr>
        <w:pStyle w:val="9"/>
        <w:numPr>
          <w:ilvl w:val="0"/>
          <w:numId w:val="0"/>
        </w:numPr>
        <w:tabs>
          <w:tab w:val="left" w:pos="8227"/>
        </w:tabs>
        <w:kinsoku w:val="0"/>
        <w:overflowPunct w:val="0"/>
        <w:spacing w:line="381" w:lineRule="auto"/>
        <w:ind w:left="1680" w:right="118"/>
        <w:rPr>
          <w:rFonts w:ascii="仿宋" w:hAnsi="仿宋" w:eastAsia="仿宋" w:cs="仿宋"/>
          <w:color w:val="auto"/>
          <w:sz w:val="24"/>
          <w:lang w:eastAsia="zh-CN"/>
        </w:rPr>
      </w:pPr>
      <w:r>
        <w:rPr>
          <w:rFonts w:hint="eastAsia" w:ascii="仿宋" w:hAnsi="仿宋" w:eastAsia="仿宋" w:cs="仿宋"/>
          <w:color w:val="auto"/>
          <w:sz w:val="24"/>
          <w:lang w:eastAsia="zh-CN"/>
        </w:rPr>
        <w:t>供应商：</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14:paraId="15B18DAB">
      <w:pPr>
        <w:pStyle w:val="9"/>
        <w:numPr>
          <w:ilvl w:val="0"/>
          <w:numId w:val="0"/>
        </w:numPr>
        <w:tabs>
          <w:tab w:val="left" w:pos="8227"/>
        </w:tabs>
        <w:kinsoku w:val="0"/>
        <w:overflowPunct w:val="0"/>
        <w:spacing w:line="381" w:lineRule="auto"/>
        <w:ind w:left="1680" w:right="118"/>
        <w:rPr>
          <w:rFonts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14:paraId="743CE3DE">
      <w:pPr>
        <w:pStyle w:val="35"/>
        <w:spacing w:after="0"/>
        <w:ind w:firstLine="420"/>
        <w:jc w:val="center"/>
        <w:rPr>
          <w:rFonts w:ascii="仿宋" w:hAnsi="仿宋" w:eastAsia="仿宋" w:cs="仿宋"/>
          <w:color w:val="auto"/>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14:paraId="3393DDED">
      <w:pPr>
        <w:pStyle w:val="35"/>
        <w:spacing w:after="0"/>
        <w:ind w:firstLine="420"/>
        <w:jc w:val="center"/>
        <w:rPr>
          <w:rFonts w:ascii="仿宋" w:hAnsi="仿宋" w:eastAsia="仿宋" w:cs="仿宋"/>
          <w:color w:val="auto"/>
          <w:sz w:val="36"/>
          <w:szCs w:val="36"/>
        </w:rPr>
      </w:pPr>
    </w:p>
    <w:p w14:paraId="2628A6FE">
      <w:pPr>
        <w:pStyle w:val="36"/>
        <w:tabs>
          <w:tab w:val="left" w:pos="826"/>
        </w:tabs>
        <w:spacing w:line="470" w:lineRule="exact"/>
        <w:ind w:firstLine="0"/>
        <w:jc w:val="center"/>
        <w:rPr>
          <w:rFonts w:ascii="仿宋" w:hAnsi="仿宋" w:eastAsia="仿宋" w:cs="仿宋"/>
          <w:color w:val="auto"/>
          <w:sz w:val="21"/>
          <w:szCs w:val="21"/>
        </w:rPr>
      </w:pPr>
    </w:p>
    <w:p w14:paraId="4E0C3F61">
      <w:pPr>
        <w:pStyle w:val="36"/>
        <w:tabs>
          <w:tab w:val="left" w:pos="826"/>
        </w:tabs>
        <w:spacing w:line="470" w:lineRule="exact"/>
        <w:ind w:firstLine="0"/>
        <w:jc w:val="center"/>
        <w:rPr>
          <w:rFonts w:ascii="仿宋" w:hAnsi="仿宋" w:eastAsia="仿宋" w:cs="仿宋"/>
          <w:color w:val="auto"/>
          <w:sz w:val="21"/>
          <w:szCs w:val="21"/>
        </w:rPr>
      </w:pPr>
    </w:p>
    <w:p w14:paraId="05F548DE">
      <w:pPr>
        <w:pStyle w:val="36"/>
        <w:tabs>
          <w:tab w:val="left" w:pos="826"/>
        </w:tabs>
        <w:spacing w:line="470" w:lineRule="exact"/>
        <w:ind w:firstLine="0"/>
        <w:jc w:val="center"/>
        <w:rPr>
          <w:rFonts w:ascii="仿宋" w:hAnsi="仿宋" w:eastAsia="仿宋" w:cs="仿宋"/>
          <w:color w:val="auto"/>
          <w:sz w:val="21"/>
          <w:szCs w:val="21"/>
        </w:rPr>
      </w:pPr>
    </w:p>
    <w:p w14:paraId="2D825606">
      <w:pPr>
        <w:pStyle w:val="36"/>
        <w:tabs>
          <w:tab w:val="left" w:pos="826"/>
        </w:tabs>
        <w:spacing w:line="470" w:lineRule="exact"/>
        <w:ind w:firstLine="0"/>
        <w:jc w:val="both"/>
        <w:rPr>
          <w:rFonts w:ascii="仿宋" w:hAnsi="仿宋" w:eastAsia="仿宋" w:cs="仿宋"/>
          <w:color w:val="auto"/>
          <w:sz w:val="21"/>
          <w:szCs w:val="21"/>
        </w:rPr>
      </w:pPr>
    </w:p>
    <w:p w14:paraId="5C73CE00">
      <w:pPr>
        <w:jc w:val="center"/>
        <w:rPr>
          <w:rFonts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7、供应商基本情况表</w:t>
      </w:r>
    </w:p>
    <w:p w14:paraId="2F57699C">
      <w:pPr>
        <w:pStyle w:val="9"/>
        <w:numPr>
          <w:ilvl w:val="0"/>
          <w:numId w:val="0"/>
        </w:numPr>
        <w:kinsoku w:val="0"/>
        <w:overflowPunct w:val="0"/>
        <w:spacing w:before="5"/>
        <w:rPr>
          <w:rFonts w:ascii="仿宋" w:hAnsi="仿宋" w:eastAsia="仿宋" w:cs="仿宋"/>
          <w:b/>
          <w:bCs/>
          <w:color w:val="auto"/>
          <w:sz w:val="6"/>
          <w:szCs w:val="6"/>
          <w:lang w:eastAsia="zh-CN"/>
        </w:rPr>
      </w:pPr>
    </w:p>
    <w:tbl>
      <w:tblPr>
        <w:tblStyle w:val="25"/>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14:paraId="4A2EC8AC">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C27A79D">
            <w:pPr>
              <w:pStyle w:val="39"/>
              <w:kinsoku w:val="0"/>
              <w:overflowPunct w:val="0"/>
              <w:spacing w:before="145"/>
              <w:ind w:left="137"/>
              <w:rPr>
                <w:rFonts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14:paraId="04E352B1">
            <w:pPr>
              <w:rPr>
                <w:rFonts w:ascii="仿宋" w:hAnsi="仿宋" w:eastAsia="仿宋" w:cs="仿宋"/>
                <w:color w:val="auto"/>
              </w:rPr>
            </w:pPr>
          </w:p>
        </w:tc>
      </w:tr>
      <w:tr w14:paraId="411895F3">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D83E540">
            <w:pPr>
              <w:pStyle w:val="39"/>
              <w:kinsoku w:val="0"/>
              <w:overflowPunct w:val="0"/>
              <w:spacing w:before="145"/>
              <w:ind w:left="137"/>
              <w:rPr>
                <w:rFonts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14:paraId="3067C483">
            <w:pPr>
              <w:rPr>
                <w:rFonts w:ascii="仿宋" w:hAnsi="仿宋" w:eastAsia="仿宋" w:cs="仿宋"/>
                <w:color w:val="auto"/>
              </w:rPr>
            </w:pPr>
          </w:p>
        </w:tc>
      </w:tr>
      <w:tr w14:paraId="13318822">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4E02ECA2">
            <w:pPr>
              <w:pStyle w:val="39"/>
              <w:kinsoku w:val="0"/>
              <w:overflowPunct w:val="0"/>
              <w:spacing w:before="145"/>
              <w:ind w:left="137"/>
              <w:rPr>
                <w:rFonts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14:paraId="1A91B770">
            <w:pPr>
              <w:rPr>
                <w:rFonts w:ascii="仿宋" w:hAnsi="仿宋" w:eastAsia="仿宋" w:cs="仿宋"/>
                <w:color w:val="auto"/>
              </w:rPr>
            </w:pPr>
          </w:p>
        </w:tc>
      </w:tr>
      <w:tr w14:paraId="385DBE58">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6F314E23">
            <w:pPr>
              <w:pStyle w:val="39"/>
              <w:kinsoku w:val="0"/>
              <w:overflowPunct w:val="0"/>
              <w:spacing w:before="145"/>
              <w:ind w:left="137"/>
              <w:rPr>
                <w:rFonts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14:paraId="771FBC8F">
            <w:pPr>
              <w:rPr>
                <w:rFonts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14:paraId="349C70AF">
            <w:pPr>
              <w:pStyle w:val="39"/>
              <w:kinsoku w:val="0"/>
              <w:overflowPunct w:val="0"/>
              <w:spacing w:before="145"/>
              <w:ind w:left="181"/>
              <w:rPr>
                <w:rFonts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14:paraId="79A81C89">
            <w:pPr>
              <w:rPr>
                <w:rFonts w:ascii="仿宋" w:hAnsi="仿宋" w:eastAsia="仿宋" w:cs="仿宋"/>
                <w:color w:val="auto"/>
              </w:rPr>
            </w:pPr>
          </w:p>
        </w:tc>
      </w:tr>
      <w:tr w14:paraId="21A82536">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14:paraId="37C9682E">
            <w:pPr>
              <w:pStyle w:val="39"/>
              <w:kinsoku w:val="0"/>
              <w:overflowPunct w:val="0"/>
              <w:spacing w:before="146"/>
              <w:ind w:left="137"/>
              <w:rPr>
                <w:rFonts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14:paraId="5F233495">
            <w:pPr>
              <w:rPr>
                <w:rFonts w:ascii="仿宋" w:hAnsi="仿宋" w:eastAsia="仿宋" w:cs="仿宋"/>
                <w:color w:val="auto"/>
              </w:rPr>
            </w:pPr>
          </w:p>
        </w:tc>
      </w:tr>
      <w:tr w14:paraId="1C16D151">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14:paraId="2915E2DF">
            <w:pPr>
              <w:pStyle w:val="39"/>
              <w:kinsoku w:val="0"/>
              <w:overflowPunct w:val="0"/>
              <w:spacing w:before="141" w:line="312" w:lineRule="exact"/>
              <w:ind w:left="257" w:right="133" w:hanging="120"/>
              <w:rPr>
                <w:rFonts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14:paraId="07AD1F73">
            <w:pPr>
              <w:rPr>
                <w:rFonts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14:paraId="0CFCE1A3">
            <w:pPr>
              <w:pStyle w:val="39"/>
              <w:kinsoku w:val="0"/>
              <w:overflowPunct w:val="0"/>
              <w:spacing w:before="4"/>
              <w:rPr>
                <w:rFonts w:ascii="仿宋" w:hAnsi="仿宋" w:eastAsia="仿宋" w:cs="仿宋"/>
                <w:b/>
                <w:bCs/>
                <w:color w:val="auto"/>
                <w:sz w:val="20"/>
                <w:szCs w:val="20"/>
              </w:rPr>
            </w:pPr>
          </w:p>
          <w:p w14:paraId="53EA8517">
            <w:pPr>
              <w:pStyle w:val="39"/>
              <w:kinsoku w:val="0"/>
              <w:overflowPunct w:val="0"/>
              <w:ind w:left="366"/>
              <w:rPr>
                <w:rFonts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14:paraId="0FF3F20B">
            <w:pPr>
              <w:rPr>
                <w:rFonts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14:paraId="2F4BF516">
            <w:pPr>
              <w:pStyle w:val="39"/>
              <w:kinsoku w:val="0"/>
              <w:overflowPunct w:val="0"/>
              <w:spacing w:before="4"/>
              <w:rPr>
                <w:rFonts w:ascii="仿宋" w:hAnsi="仿宋" w:eastAsia="仿宋" w:cs="仿宋"/>
                <w:b/>
                <w:bCs/>
                <w:color w:val="auto"/>
                <w:sz w:val="20"/>
                <w:szCs w:val="20"/>
              </w:rPr>
            </w:pPr>
          </w:p>
          <w:p w14:paraId="59A71BCE">
            <w:pPr>
              <w:pStyle w:val="39"/>
              <w:kinsoku w:val="0"/>
              <w:overflowPunct w:val="0"/>
              <w:ind w:left="383"/>
              <w:rPr>
                <w:rFonts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14:paraId="33041076">
            <w:pPr>
              <w:rPr>
                <w:rFonts w:ascii="仿宋" w:hAnsi="仿宋" w:eastAsia="仿宋" w:cs="仿宋"/>
                <w:color w:val="auto"/>
              </w:rPr>
            </w:pPr>
          </w:p>
        </w:tc>
      </w:tr>
      <w:tr w14:paraId="1D5FB049">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14:paraId="617799E3">
            <w:pPr>
              <w:pStyle w:val="39"/>
              <w:kinsoku w:val="0"/>
              <w:overflowPunct w:val="0"/>
              <w:rPr>
                <w:rFonts w:ascii="仿宋" w:hAnsi="仿宋" w:eastAsia="仿宋" w:cs="仿宋"/>
                <w:b/>
                <w:bCs/>
                <w:color w:val="auto"/>
              </w:rPr>
            </w:pPr>
          </w:p>
          <w:p w14:paraId="3AAC5CBB">
            <w:pPr>
              <w:pStyle w:val="39"/>
              <w:kinsoku w:val="0"/>
              <w:overflowPunct w:val="0"/>
              <w:rPr>
                <w:rFonts w:ascii="仿宋" w:hAnsi="仿宋" w:eastAsia="仿宋" w:cs="仿宋"/>
                <w:b/>
                <w:bCs/>
                <w:color w:val="auto"/>
              </w:rPr>
            </w:pPr>
          </w:p>
          <w:p w14:paraId="734ED796">
            <w:pPr>
              <w:pStyle w:val="39"/>
              <w:kinsoku w:val="0"/>
              <w:overflowPunct w:val="0"/>
              <w:rPr>
                <w:rFonts w:ascii="仿宋" w:hAnsi="仿宋" w:eastAsia="仿宋" w:cs="仿宋"/>
                <w:b/>
                <w:bCs/>
                <w:color w:val="auto"/>
              </w:rPr>
            </w:pPr>
          </w:p>
          <w:p w14:paraId="02329871">
            <w:pPr>
              <w:pStyle w:val="39"/>
              <w:kinsoku w:val="0"/>
              <w:overflowPunct w:val="0"/>
              <w:spacing w:line="475" w:lineRule="auto"/>
              <w:ind w:left="497" w:right="493"/>
              <w:jc w:val="both"/>
              <w:rPr>
                <w:rFonts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14:paraId="7C45548A">
            <w:pPr>
              <w:pStyle w:val="39"/>
              <w:kinsoku w:val="0"/>
              <w:overflowPunct w:val="0"/>
              <w:spacing w:before="144"/>
              <w:ind w:left="236"/>
              <w:rPr>
                <w:rFonts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14:paraId="0EF32E68">
            <w:pPr>
              <w:rPr>
                <w:rFonts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14:paraId="73E7E238">
            <w:pPr>
              <w:pStyle w:val="39"/>
              <w:kinsoku w:val="0"/>
              <w:overflowPunct w:val="0"/>
              <w:spacing w:before="144"/>
              <w:ind w:left="118"/>
              <w:rPr>
                <w:rFonts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14:paraId="40A63410">
            <w:pPr>
              <w:rPr>
                <w:rFonts w:ascii="仿宋" w:hAnsi="仿宋" w:eastAsia="仿宋" w:cs="仿宋"/>
                <w:color w:val="auto"/>
              </w:rPr>
            </w:pPr>
          </w:p>
        </w:tc>
      </w:tr>
      <w:tr w14:paraId="4F682C45">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DF29F8F">
            <w:pPr>
              <w:rPr>
                <w:rFonts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14:paraId="6B582BD7">
            <w:pPr>
              <w:pStyle w:val="39"/>
              <w:kinsoku w:val="0"/>
              <w:overflowPunct w:val="0"/>
              <w:spacing w:before="145"/>
              <w:jc w:val="center"/>
              <w:rPr>
                <w:rFonts w:ascii="仿宋" w:hAnsi="仿宋" w:eastAsia="仿宋" w:cs="仿宋"/>
                <w:color w:val="auto"/>
                <w:lang w:eastAsia="zh-CN"/>
              </w:rPr>
            </w:pPr>
            <w:r>
              <w:rPr>
                <w:rFonts w:hint="eastAsia" w:ascii="仿宋" w:hAnsi="仿宋" w:eastAsia="仿宋" w:cs="仿宋"/>
                <w:color w:val="auto"/>
                <w:lang w:eastAsia="zh-CN"/>
              </w:rPr>
              <w:t>单位行政和技术负责人</w:t>
            </w:r>
          </w:p>
        </w:tc>
      </w:tr>
      <w:tr w14:paraId="7854517D">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71CEE459">
            <w:pPr>
              <w:pStyle w:val="39"/>
              <w:kinsoku w:val="0"/>
              <w:overflowPunct w:val="0"/>
              <w:spacing w:before="145"/>
              <w:jc w:val="center"/>
              <w:rPr>
                <w:rFonts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14:paraId="749CC935">
            <w:pPr>
              <w:pStyle w:val="39"/>
              <w:kinsoku w:val="0"/>
              <w:overflowPunct w:val="0"/>
              <w:spacing w:before="145"/>
              <w:ind w:left="416"/>
              <w:rPr>
                <w:rFonts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14:paraId="1C869A31">
            <w:pPr>
              <w:pStyle w:val="39"/>
              <w:kinsoku w:val="0"/>
              <w:overflowPunct w:val="0"/>
              <w:spacing w:before="145"/>
              <w:ind w:left="452"/>
              <w:rPr>
                <w:rFonts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14:paraId="2DE3F133">
            <w:pPr>
              <w:pStyle w:val="39"/>
              <w:kinsoku w:val="0"/>
              <w:overflowPunct w:val="0"/>
              <w:spacing w:before="145"/>
              <w:ind w:left="450"/>
              <w:rPr>
                <w:rFonts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14:paraId="659E4721">
            <w:pPr>
              <w:pStyle w:val="39"/>
              <w:tabs>
                <w:tab w:val="left" w:pos="479"/>
              </w:tabs>
              <w:kinsoku w:val="0"/>
              <w:overflowPunct w:val="0"/>
              <w:spacing w:before="145"/>
              <w:ind w:right="1"/>
              <w:jc w:val="center"/>
              <w:rPr>
                <w:rFonts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14:paraId="2FDDDC04">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2150C422">
            <w:pPr>
              <w:pStyle w:val="39"/>
              <w:tabs>
                <w:tab w:val="left" w:pos="479"/>
              </w:tabs>
              <w:kinsoku w:val="0"/>
              <w:overflowPunct w:val="0"/>
              <w:spacing w:before="145"/>
              <w:ind w:right="1"/>
              <w:jc w:val="cente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734ADE80">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39B0C609">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10898CB1">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7F0C4AFB">
            <w:pPr>
              <w:rPr>
                <w:rFonts w:ascii="仿宋" w:hAnsi="仿宋" w:eastAsia="仿宋" w:cs="仿宋"/>
                <w:color w:val="auto"/>
              </w:rPr>
            </w:pPr>
          </w:p>
        </w:tc>
      </w:tr>
      <w:tr w14:paraId="074FF83F">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41CC5F3">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7647FA04">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A14EE5B">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26D16F57">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358B73F5">
            <w:pPr>
              <w:rPr>
                <w:rFonts w:ascii="仿宋" w:hAnsi="仿宋" w:eastAsia="仿宋" w:cs="仿宋"/>
                <w:color w:val="auto"/>
              </w:rPr>
            </w:pPr>
          </w:p>
        </w:tc>
      </w:tr>
      <w:tr w14:paraId="2ADE9AD1">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14:paraId="64A95700">
            <w:pPr>
              <w:rPr>
                <w:rFonts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14:paraId="3D6A716D">
            <w:pPr>
              <w:rPr>
                <w:rFonts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14:paraId="1B745897">
            <w:pPr>
              <w:rPr>
                <w:rFonts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14:paraId="492699ED">
            <w:pPr>
              <w:rPr>
                <w:rFonts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14:paraId="537A8DBA">
            <w:pPr>
              <w:rPr>
                <w:rFonts w:ascii="仿宋" w:hAnsi="仿宋" w:eastAsia="仿宋" w:cs="仿宋"/>
                <w:color w:val="auto"/>
              </w:rPr>
            </w:pPr>
          </w:p>
        </w:tc>
      </w:tr>
      <w:tr w14:paraId="194304F2">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14:paraId="751DC3C8">
            <w:pPr>
              <w:pStyle w:val="39"/>
              <w:kinsoku w:val="0"/>
              <w:overflowPunct w:val="0"/>
              <w:spacing w:before="1"/>
              <w:rPr>
                <w:rFonts w:ascii="仿宋" w:hAnsi="仿宋" w:eastAsia="仿宋" w:cs="仿宋"/>
                <w:b/>
                <w:bCs/>
                <w:color w:val="auto"/>
                <w:sz w:val="23"/>
                <w:szCs w:val="23"/>
              </w:rPr>
            </w:pPr>
          </w:p>
          <w:p w14:paraId="71EF2692">
            <w:pPr>
              <w:pStyle w:val="39"/>
              <w:kinsoku w:val="0"/>
              <w:overflowPunct w:val="0"/>
              <w:spacing w:line="237" w:lineRule="auto"/>
              <w:ind w:left="497" w:right="493"/>
              <w:jc w:val="both"/>
              <w:rPr>
                <w:rFonts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14:paraId="0FBFA139">
            <w:pPr>
              <w:rPr>
                <w:rFonts w:ascii="仿宋" w:hAnsi="仿宋" w:eastAsia="仿宋" w:cs="仿宋"/>
                <w:color w:val="auto"/>
              </w:rPr>
            </w:pPr>
          </w:p>
        </w:tc>
      </w:tr>
    </w:tbl>
    <w:p w14:paraId="71181764">
      <w:pPr>
        <w:pStyle w:val="36"/>
        <w:spacing w:line="440" w:lineRule="exact"/>
        <w:ind w:firstLine="0"/>
        <w:jc w:val="both"/>
        <w:rPr>
          <w:rFonts w:ascii="仿宋" w:hAnsi="仿宋" w:eastAsia="仿宋" w:cs="仿宋"/>
          <w:b/>
          <w:color w:val="auto"/>
          <w:sz w:val="30"/>
          <w:szCs w:val="30"/>
        </w:rPr>
      </w:pPr>
    </w:p>
    <w:p w14:paraId="76504034">
      <w:pPr>
        <w:pStyle w:val="36"/>
        <w:spacing w:line="440" w:lineRule="exact"/>
        <w:ind w:firstLine="0"/>
        <w:jc w:val="both"/>
        <w:rPr>
          <w:rFonts w:ascii="仿宋" w:hAnsi="仿宋" w:eastAsia="仿宋" w:cs="仿宋"/>
          <w:b/>
          <w:color w:val="auto"/>
          <w:sz w:val="30"/>
          <w:szCs w:val="30"/>
        </w:rPr>
      </w:pPr>
    </w:p>
    <w:p w14:paraId="19B723E4">
      <w:pPr>
        <w:pStyle w:val="36"/>
        <w:spacing w:line="440" w:lineRule="exact"/>
        <w:ind w:firstLine="0"/>
        <w:jc w:val="both"/>
        <w:rPr>
          <w:rFonts w:ascii="仿宋" w:hAnsi="仿宋" w:eastAsia="仿宋" w:cs="仿宋"/>
          <w:b/>
          <w:color w:val="auto"/>
          <w:sz w:val="30"/>
          <w:szCs w:val="30"/>
        </w:rPr>
      </w:pPr>
    </w:p>
    <w:p w14:paraId="702DBBFA">
      <w:pPr>
        <w:pStyle w:val="36"/>
        <w:spacing w:line="440" w:lineRule="exact"/>
        <w:ind w:firstLine="0"/>
        <w:jc w:val="both"/>
        <w:rPr>
          <w:rFonts w:ascii="仿宋" w:hAnsi="仿宋" w:eastAsia="仿宋" w:cs="仿宋"/>
          <w:b/>
          <w:color w:val="auto"/>
          <w:sz w:val="30"/>
          <w:szCs w:val="30"/>
        </w:rPr>
      </w:pPr>
    </w:p>
    <w:p w14:paraId="084712B9">
      <w:pPr>
        <w:pStyle w:val="36"/>
        <w:spacing w:line="440" w:lineRule="exact"/>
        <w:ind w:firstLine="0"/>
        <w:jc w:val="both"/>
        <w:rPr>
          <w:rFonts w:ascii="仿宋" w:hAnsi="仿宋" w:eastAsia="仿宋" w:cs="仿宋"/>
          <w:b/>
          <w:color w:val="auto"/>
          <w:sz w:val="30"/>
          <w:szCs w:val="30"/>
        </w:rPr>
      </w:pPr>
    </w:p>
    <w:p w14:paraId="5A89E1B5">
      <w:pPr>
        <w:pStyle w:val="36"/>
        <w:spacing w:line="440" w:lineRule="exact"/>
        <w:ind w:firstLine="0"/>
        <w:jc w:val="both"/>
        <w:rPr>
          <w:rFonts w:ascii="仿宋" w:hAnsi="仿宋" w:eastAsia="仿宋" w:cs="仿宋"/>
          <w:b/>
          <w:color w:val="auto"/>
          <w:sz w:val="30"/>
          <w:szCs w:val="30"/>
        </w:rPr>
      </w:pPr>
    </w:p>
    <w:p w14:paraId="4A2807A2">
      <w:pPr>
        <w:pStyle w:val="9"/>
        <w:numPr>
          <w:ilvl w:val="0"/>
          <w:numId w:val="0"/>
        </w:numPr>
        <w:kinsoku w:val="0"/>
        <w:overflowPunct w:val="0"/>
        <w:spacing w:before="34" w:line="357" w:lineRule="auto"/>
        <w:ind w:left="480" w:right="126"/>
        <w:jc w:val="center"/>
        <w:rPr>
          <w:rFonts w:ascii="仿宋" w:hAnsi="仿宋" w:eastAsia="仿宋" w:cs="仿宋"/>
          <w:bCs/>
          <w:color w:val="auto"/>
          <w:sz w:val="36"/>
          <w:szCs w:val="36"/>
          <w:lang w:eastAsia="zh-CN"/>
        </w:rPr>
      </w:pPr>
    </w:p>
    <w:p w14:paraId="4AD2D636">
      <w:pPr>
        <w:spacing w:line="360" w:lineRule="auto"/>
        <w:jc w:val="center"/>
        <w:rPr>
          <w:rFonts w:ascii="仿宋" w:hAnsi="仿宋" w:eastAsia="仿宋" w:cs="仿宋"/>
          <w:b/>
          <w:color w:val="auto"/>
          <w:sz w:val="32"/>
          <w:szCs w:val="32"/>
          <w:lang w:eastAsia="zh-CN"/>
        </w:rPr>
      </w:pPr>
      <w:r>
        <w:rPr>
          <w:rFonts w:hint="eastAsia" w:ascii="仿宋" w:hAnsi="仿宋" w:eastAsia="仿宋" w:cs="仿宋"/>
          <w:bCs/>
          <w:color w:val="auto"/>
          <w:sz w:val="32"/>
          <w:szCs w:val="32"/>
          <w:lang w:eastAsia="zh-CN"/>
        </w:rPr>
        <w:t>8、</w:t>
      </w:r>
      <w:r>
        <w:rPr>
          <w:rFonts w:hint="eastAsia" w:ascii="仿宋" w:hAnsi="仿宋" w:eastAsia="仿宋" w:cs="仿宋"/>
          <w:b/>
          <w:color w:val="auto"/>
          <w:sz w:val="36"/>
          <w:szCs w:val="36"/>
          <w:lang w:eastAsia="zh-CN"/>
        </w:rPr>
        <w:t>中小企业声明函</w:t>
      </w:r>
      <w:r>
        <w:rPr>
          <w:rFonts w:hint="eastAsia" w:ascii="仿宋" w:hAnsi="仿宋" w:eastAsia="仿宋" w:cs="仿宋"/>
          <w:b/>
          <w:color w:val="auto"/>
          <w:sz w:val="36"/>
          <w:szCs w:val="36"/>
          <w:lang w:val="en-US" w:eastAsia="zh-CN"/>
        </w:rPr>
        <w:t xml:space="preserve"> </w:t>
      </w:r>
      <w:r>
        <w:rPr>
          <w:rFonts w:hint="eastAsia" w:ascii="仿宋" w:hAnsi="仿宋" w:eastAsia="仿宋" w:cs="仿宋"/>
          <w:b/>
          <w:color w:val="auto"/>
          <w:sz w:val="36"/>
          <w:szCs w:val="36"/>
          <w:lang w:eastAsia="zh-CN"/>
        </w:rPr>
        <w:t>(</w:t>
      </w:r>
      <w:r>
        <w:rPr>
          <w:rFonts w:hint="eastAsia" w:ascii="仿宋" w:hAnsi="仿宋" w:eastAsia="仿宋" w:cs="仿宋"/>
          <w:b/>
          <w:color w:val="auto"/>
          <w:sz w:val="36"/>
          <w:szCs w:val="36"/>
          <w:lang w:val="en-US" w:eastAsia="zh-CN"/>
        </w:rPr>
        <w:t>服务</w:t>
      </w:r>
      <w:r>
        <w:rPr>
          <w:rFonts w:hint="eastAsia" w:ascii="仿宋" w:hAnsi="仿宋" w:eastAsia="仿宋" w:cs="仿宋"/>
          <w:b/>
          <w:color w:val="auto"/>
          <w:sz w:val="36"/>
          <w:szCs w:val="36"/>
          <w:lang w:eastAsia="zh-CN"/>
        </w:rPr>
        <w:t>)</w:t>
      </w:r>
    </w:p>
    <w:p w14:paraId="30969378">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w:t>
      </w:r>
      <w:r>
        <w:rPr>
          <w:rFonts w:hint="eastAsia" w:ascii="仿宋" w:hAnsi="仿宋" w:eastAsia="仿宋" w:cs="仿宋"/>
          <w:color w:val="auto"/>
          <w:u w:val="single"/>
          <w:lang w:val="en-US" w:eastAsia="zh-CN"/>
        </w:rPr>
        <w:t xml:space="preserve">    （单位名称）            </w:t>
      </w:r>
      <w:r>
        <w:rPr>
          <w:rFonts w:hint="eastAsia" w:ascii="仿宋" w:hAnsi="仿宋" w:eastAsia="仿宋" w:cs="仿宋"/>
          <w:color w:val="auto"/>
          <w:lang w:eastAsia="zh-CN"/>
        </w:rPr>
        <w:t>的</w:t>
      </w:r>
      <w:r>
        <w:rPr>
          <w:rFonts w:hint="eastAsia" w:ascii="仿宋" w:hAnsi="仿宋" w:eastAsia="仿宋" w:cs="仿宋"/>
          <w:color w:val="auto"/>
          <w:u w:val="single"/>
          <w:lang w:val="en-US" w:eastAsia="zh-CN"/>
        </w:rPr>
        <w:t xml:space="preserve">     （项目名称）           </w:t>
      </w:r>
      <w:r>
        <w:rPr>
          <w:rFonts w:hint="eastAsia" w:ascii="仿宋" w:hAnsi="仿宋" w:eastAsia="仿宋" w:cs="仿宋"/>
          <w:color w:val="auto"/>
          <w:lang w:eastAsia="zh-CN"/>
        </w:rPr>
        <w:t>采购活动，提供的货物全部由符合政策要求的中小企业制造。相关企业（含联合体中的中小企业、签订分包意向协议的中小企业）的具体情况如下：</w:t>
      </w:r>
    </w:p>
    <w:p w14:paraId="5CED420F">
      <w:pPr>
        <w:numPr>
          <w:ilvl w:val="0"/>
          <w:numId w:val="7"/>
        </w:num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eastAsia="zh-CN"/>
        </w:rPr>
        <w:t>；</w:t>
      </w:r>
      <w:r>
        <w:rPr>
          <w:rFonts w:hint="eastAsia" w:ascii="仿宋" w:hAnsi="仿宋" w:eastAsia="仿宋" w:cs="仿宋"/>
          <w:color w:val="auto"/>
          <w:lang w:val="en-US" w:eastAsia="zh-CN"/>
        </w:rPr>
        <w:t>承接</w:t>
      </w:r>
      <w:r>
        <w:rPr>
          <w:rFonts w:hint="eastAsia" w:ascii="仿宋" w:hAnsi="仿宋" w:eastAsia="仿宋" w:cs="仿宋"/>
          <w:color w:val="auto"/>
          <w:lang w:eastAsia="zh-CN"/>
        </w:rPr>
        <w:t>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660C620D">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val="en-US" w:eastAsia="zh-CN"/>
        </w:rPr>
        <w:t xml:space="preserve"> </w:t>
      </w:r>
      <w:r>
        <w:rPr>
          <w:rFonts w:hint="eastAsia" w:ascii="仿宋" w:hAnsi="仿宋" w:eastAsia="仿宋" w:cs="仿宋"/>
          <w:color w:val="auto"/>
          <w:highlight w:val="none"/>
          <w:u w:val="single"/>
          <w:lang w:eastAsia="zh-CN"/>
        </w:rPr>
        <w:t>（采购文件中明确的所属行业）</w:t>
      </w:r>
      <w:r>
        <w:rPr>
          <w:rFonts w:hint="eastAsia" w:ascii="仿宋" w:hAnsi="仿宋" w:eastAsia="仿宋" w:cs="仿宋"/>
          <w:color w:val="auto"/>
          <w:u w:val="single"/>
          <w:lang w:val="en-US" w:eastAsia="zh-CN"/>
        </w:rPr>
        <w:t xml:space="preserve"> </w:t>
      </w:r>
      <w:r>
        <w:rPr>
          <w:rFonts w:hint="eastAsia" w:ascii="仿宋" w:hAnsi="仿宋" w:eastAsia="仿宋" w:cs="仿宋"/>
          <w:color w:val="auto"/>
          <w:lang w:eastAsia="zh-CN"/>
        </w:rPr>
        <w:t>；</w:t>
      </w:r>
      <w:r>
        <w:rPr>
          <w:rFonts w:hint="eastAsia" w:ascii="仿宋" w:hAnsi="仿宋" w:eastAsia="仿宋" w:cs="仿宋"/>
          <w:color w:val="auto"/>
          <w:lang w:val="en-US" w:eastAsia="zh-CN"/>
        </w:rPr>
        <w:t>承接商</w:t>
      </w:r>
      <w:r>
        <w:rPr>
          <w:rFonts w:hint="eastAsia" w:ascii="仿宋" w:hAnsi="仿宋" w:eastAsia="仿宋" w:cs="仿宋"/>
          <w:color w:val="auto"/>
          <w:lang w:eastAsia="zh-CN"/>
        </w:rPr>
        <w:t>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14:paraId="661F3E69">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w:t>
      </w:r>
    </w:p>
    <w:p w14:paraId="0E180F55">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14:paraId="32DCAF0B">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w:t>
      </w:r>
    </w:p>
    <w:p w14:paraId="40365D22">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14:paraId="078688A3">
      <w:pPr>
        <w:spacing w:line="360" w:lineRule="auto"/>
        <w:ind w:firstLine="480" w:firstLineChars="200"/>
        <w:rPr>
          <w:rFonts w:ascii="仿宋" w:hAnsi="仿宋" w:eastAsia="仿宋" w:cs="仿宋"/>
          <w:color w:val="auto"/>
          <w:lang w:eastAsia="zh-CN"/>
        </w:rPr>
      </w:pPr>
    </w:p>
    <w:p w14:paraId="6503041E">
      <w:pPr>
        <w:spacing w:line="360" w:lineRule="auto"/>
        <w:ind w:firstLine="4560" w:firstLineChars="1900"/>
        <w:rPr>
          <w:rFonts w:hint="eastAsia" w:ascii="仿宋" w:hAnsi="仿宋" w:eastAsia="仿宋" w:cs="仿宋"/>
          <w:color w:val="auto"/>
          <w:lang w:eastAsia="zh-CN"/>
        </w:rPr>
      </w:pPr>
    </w:p>
    <w:p w14:paraId="7283A7F2">
      <w:pPr>
        <w:spacing w:line="360" w:lineRule="auto"/>
        <w:ind w:firstLine="4560" w:firstLineChars="1900"/>
        <w:rPr>
          <w:rFonts w:ascii="仿宋" w:hAnsi="仿宋" w:eastAsia="仿宋" w:cs="仿宋"/>
          <w:color w:val="auto"/>
          <w:lang w:eastAsia="zh-CN"/>
        </w:rPr>
      </w:pPr>
      <w:r>
        <w:rPr>
          <w:rFonts w:hint="eastAsia" w:ascii="仿宋" w:hAnsi="仿宋" w:eastAsia="仿宋" w:cs="仿宋"/>
          <w:color w:val="auto"/>
          <w:lang w:eastAsia="zh-CN"/>
        </w:rPr>
        <w:t xml:space="preserve"> 企业名称（盖章）：</w:t>
      </w:r>
    </w:p>
    <w:p w14:paraId="3C0F5DF5">
      <w:pPr>
        <w:spacing w:line="360" w:lineRule="auto"/>
        <w:ind w:firstLine="480" w:firstLineChars="200"/>
        <w:rPr>
          <w:rFonts w:ascii="仿宋" w:hAnsi="仿宋" w:eastAsia="仿宋" w:cs="仿宋"/>
          <w:color w:val="auto"/>
          <w:lang w:eastAsia="zh-CN"/>
        </w:rPr>
      </w:pPr>
      <w:r>
        <w:rPr>
          <w:rFonts w:hint="eastAsia" w:ascii="仿宋" w:hAnsi="仿宋" w:eastAsia="仿宋" w:cs="仿宋"/>
          <w:color w:val="auto"/>
          <w:lang w:eastAsia="zh-CN"/>
        </w:rPr>
        <w:t xml:space="preserve">                                               日期：</w:t>
      </w:r>
    </w:p>
    <w:p w14:paraId="7E82E0FD">
      <w:pPr>
        <w:pStyle w:val="19"/>
        <w:rPr>
          <w:rFonts w:ascii="仿宋" w:hAnsi="仿宋" w:eastAsia="仿宋" w:cs="仿宋"/>
          <w:color w:val="auto"/>
          <w:lang w:eastAsia="zh-CN"/>
        </w:rPr>
      </w:pPr>
    </w:p>
    <w:p w14:paraId="70FDFA1B">
      <w:pPr>
        <w:pStyle w:val="19"/>
        <w:rPr>
          <w:rFonts w:ascii="仿宋" w:hAnsi="仿宋" w:eastAsia="仿宋" w:cs="仿宋"/>
          <w:color w:val="auto"/>
          <w:lang w:eastAsia="zh-CN"/>
        </w:rPr>
      </w:pPr>
    </w:p>
    <w:p w14:paraId="29C5E95D">
      <w:pPr>
        <w:spacing w:line="360" w:lineRule="auto"/>
        <w:rPr>
          <w:rFonts w:hint="eastAsia" w:ascii="仿宋" w:hAnsi="仿宋" w:eastAsia="仿宋" w:cs="仿宋"/>
          <w:color w:val="auto"/>
          <w:lang w:eastAsia="zh-CN"/>
        </w:rPr>
      </w:pPr>
    </w:p>
    <w:p w14:paraId="73AFB451">
      <w:pPr>
        <w:pStyle w:val="19"/>
        <w:rPr>
          <w:rFonts w:ascii="仿宋" w:hAnsi="仿宋" w:eastAsia="仿宋" w:cs="仿宋"/>
          <w:color w:val="auto"/>
          <w:lang w:eastAsia="zh-CN"/>
        </w:rPr>
      </w:pPr>
    </w:p>
    <w:p w14:paraId="2D5CBA95">
      <w:pPr>
        <w:pStyle w:val="19"/>
        <w:rPr>
          <w:rFonts w:ascii="仿宋" w:hAnsi="仿宋" w:eastAsia="仿宋" w:cs="仿宋"/>
          <w:color w:val="auto"/>
          <w:lang w:eastAsia="zh-CN"/>
        </w:rPr>
      </w:pPr>
    </w:p>
    <w:p w14:paraId="067B8474">
      <w:pPr>
        <w:pStyle w:val="19"/>
        <w:rPr>
          <w:rFonts w:ascii="仿宋" w:hAnsi="仿宋" w:eastAsia="仿宋" w:cs="仿宋"/>
          <w:color w:val="auto"/>
          <w:lang w:eastAsia="zh-CN"/>
        </w:rPr>
      </w:pPr>
    </w:p>
    <w:p w14:paraId="5F255AFD">
      <w:pPr>
        <w:pStyle w:val="19"/>
        <w:rPr>
          <w:rFonts w:ascii="仿宋" w:hAnsi="仿宋" w:eastAsia="仿宋" w:cs="仿宋"/>
          <w:color w:val="auto"/>
          <w:lang w:eastAsia="zh-CN"/>
        </w:rPr>
      </w:pPr>
    </w:p>
    <w:p w14:paraId="7927D542">
      <w:pPr>
        <w:pStyle w:val="19"/>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 xml:space="preserve">从业人员、营业收入、资产总额填报上一年度数据，无上一年度数据的新成立企业可不填报    </w:t>
      </w:r>
    </w:p>
    <w:p w14:paraId="1264BDE0">
      <w:pPr>
        <w:pStyle w:val="19"/>
        <w:rPr>
          <w:rFonts w:hint="eastAsia" w:ascii="仿宋" w:hAnsi="仿宋" w:eastAsia="仿宋" w:cs="仿宋"/>
          <w:color w:val="auto"/>
          <w:sz w:val="24"/>
          <w:szCs w:val="24"/>
          <w:lang w:val="en-US" w:eastAsia="zh-CN" w:bidi="en-US"/>
        </w:rPr>
      </w:pPr>
    </w:p>
    <w:p w14:paraId="37DC491A">
      <w:pPr>
        <w:pStyle w:val="32"/>
        <w:ind w:left="0" w:leftChars="0" w:firstLine="0" w:firstLineChars="0"/>
        <w:rPr>
          <w:color w:val="auto"/>
          <w:lang w:eastAsia="zh-CN"/>
        </w:rPr>
      </w:pPr>
    </w:p>
    <w:p w14:paraId="406D980D">
      <w:pPr>
        <w:tabs>
          <w:tab w:val="left" w:pos="3600"/>
        </w:tabs>
        <w:adjustRightInd w:val="0"/>
        <w:snapToGrid w:val="0"/>
        <w:spacing w:line="440" w:lineRule="exact"/>
        <w:jc w:val="center"/>
        <w:rPr>
          <w:rFonts w:ascii="仿宋" w:hAnsi="仿宋" w:eastAsia="仿宋" w:cs="仿宋"/>
          <w:color w:val="auto"/>
          <w:sz w:val="36"/>
          <w:szCs w:val="36"/>
          <w:lang w:eastAsia="zh-CN"/>
        </w:rPr>
      </w:pPr>
    </w:p>
    <w:p w14:paraId="524D60BA">
      <w:pPr>
        <w:tabs>
          <w:tab w:val="left" w:pos="3600"/>
        </w:tabs>
        <w:adjustRightInd w:val="0"/>
        <w:snapToGrid w:val="0"/>
        <w:spacing w:line="440" w:lineRule="exact"/>
        <w:jc w:val="center"/>
        <w:rPr>
          <w:rFonts w:ascii="仿宋" w:hAnsi="仿宋" w:eastAsia="仿宋" w:cs="仿宋"/>
          <w:b/>
          <w:bCs/>
          <w:color w:val="auto"/>
          <w:spacing w:val="6"/>
          <w:sz w:val="36"/>
          <w:szCs w:val="36"/>
          <w:lang w:eastAsia="zh-CN"/>
        </w:rPr>
      </w:pPr>
      <w:r>
        <w:rPr>
          <w:rFonts w:hint="eastAsia" w:ascii="仿宋" w:hAnsi="仿宋" w:eastAsia="仿宋" w:cs="仿宋"/>
          <w:color w:val="auto"/>
          <w:sz w:val="36"/>
          <w:szCs w:val="36"/>
          <w:lang w:val="en-US" w:eastAsia="zh-CN"/>
        </w:rPr>
        <w:t>9</w:t>
      </w:r>
      <w:r>
        <w:rPr>
          <w:rFonts w:hint="eastAsia" w:ascii="仿宋" w:hAnsi="仿宋" w:eastAsia="仿宋" w:cs="仿宋"/>
          <w:color w:val="auto"/>
          <w:sz w:val="36"/>
          <w:szCs w:val="36"/>
          <w:lang w:eastAsia="zh-CN"/>
        </w:rPr>
        <w:t>、</w:t>
      </w:r>
      <w:r>
        <w:rPr>
          <w:rFonts w:hint="eastAsia" w:ascii="仿宋" w:hAnsi="仿宋" w:eastAsia="仿宋" w:cs="仿宋"/>
          <w:b/>
          <w:bCs/>
          <w:color w:val="auto"/>
          <w:spacing w:val="6"/>
          <w:sz w:val="36"/>
          <w:szCs w:val="36"/>
          <w:lang w:eastAsia="zh-CN"/>
        </w:rPr>
        <w:t>残疾人福利性单位声明函</w:t>
      </w:r>
    </w:p>
    <w:p w14:paraId="454776F7">
      <w:pPr>
        <w:widowControl/>
        <w:adjustRightInd w:val="0"/>
        <w:snapToGrid w:val="0"/>
        <w:spacing w:line="440" w:lineRule="exact"/>
        <w:ind w:firstLine="504" w:firstLineChars="200"/>
        <w:rPr>
          <w:rFonts w:ascii="仿宋" w:hAnsi="仿宋" w:eastAsia="仿宋" w:cs="仿宋"/>
          <w:color w:val="auto"/>
          <w:spacing w:val="6"/>
          <w:lang w:eastAsia="zh-CN"/>
        </w:rPr>
      </w:pPr>
    </w:p>
    <w:p w14:paraId="0F8A12E5">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单位的</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项目采购活动提供本单位制造的货物（由本单位承担工程/提供服务），或者提供其他残疾人福利性单位制造的货物（不包括使用非残疾人福利性单位注册商标的货物）。</w:t>
      </w:r>
    </w:p>
    <w:p w14:paraId="5456F0F1">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本单位对上述声明的真实性负责。如有虚假，将依法承担相应责任。</w:t>
      </w:r>
    </w:p>
    <w:p w14:paraId="5254C927">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w:t>
      </w:r>
    </w:p>
    <w:p w14:paraId="23508E5A">
      <w:pPr>
        <w:widowControl/>
        <w:adjustRightInd w:val="0"/>
        <w:snapToGrid w:val="0"/>
        <w:spacing w:line="440" w:lineRule="exact"/>
        <w:ind w:firstLine="5544" w:firstLineChars="2200"/>
        <w:rPr>
          <w:rFonts w:ascii="仿宋" w:hAnsi="仿宋" w:eastAsia="仿宋" w:cs="仿宋"/>
          <w:color w:val="auto"/>
          <w:spacing w:val="6"/>
          <w:lang w:eastAsia="zh-CN"/>
        </w:rPr>
      </w:pPr>
      <w:r>
        <w:rPr>
          <w:rFonts w:hint="eastAsia" w:ascii="仿宋" w:hAnsi="仿宋" w:eastAsia="仿宋" w:cs="仿宋"/>
          <w:color w:val="auto"/>
          <w:spacing w:val="6"/>
          <w:lang w:eastAsia="zh-CN"/>
        </w:rPr>
        <w:t>单位名称（盖章）：</w:t>
      </w:r>
    </w:p>
    <w:p w14:paraId="375BE72F">
      <w:pPr>
        <w:widowControl/>
        <w:adjustRightInd w:val="0"/>
        <w:snapToGrid w:val="0"/>
        <w:spacing w:line="440" w:lineRule="exact"/>
        <w:ind w:firstLine="504" w:firstLineChars="200"/>
        <w:rPr>
          <w:rFonts w:ascii="仿宋" w:hAnsi="仿宋" w:eastAsia="仿宋" w:cs="仿宋"/>
          <w:color w:val="auto"/>
          <w:spacing w:val="6"/>
          <w:lang w:eastAsia="zh-CN"/>
        </w:rPr>
      </w:pPr>
      <w:r>
        <w:rPr>
          <w:rFonts w:hint="eastAsia" w:ascii="仿宋" w:hAnsi="仿宋" w:eastAsia="仿宋" w:cs="仿宋"/>
          <w:color w:val="auto"/>
          <w:spacing w:val="6"/>
          <w:lang w:eastAsia="zh-CN"/>
        </w:rPr>
        <w:t xml:space="preserve">                                      日  期：</w:t>
      </w:r>
    </w:p>
    <w:p w14:paraId="5433B856">
      <w:pPr>
        <w:pStyle w:val="4"/>
        <w:numPr>
          <w:ilvl w:val="1"/>
          <w:numId w:val="0"/>
        </w:numPr>
        <w:spacing w:line="240" w:lineRule="atLeast"/>
        <w:jc w:val="left"/>
        <w:rPr>
          <w:rFonts w:ascii="仿宋" w:hAnsi="仿宋" w:eastAsia="仿宋" w:cs="仿宋"/>
          <w:bCs/>
          <w:color w:val="auto"/>
          <w:sz w:val="24"/>
          <w:lang w:eastAsia="zh-CN"/>
        </w:rPr>
      </w:pPr>
    </w:p>
    <w:p w14:paraId="4047E129">
      <w:pPr>
        <w:pStyle w:val="4"/>
        <w:numPr>
          <w:ilvl w:val="1"/>
          <w:numId w:val="0"/>
        </w:numPr>
        <w:spacing w:line="240" w:lineRule="atLeast"/>
        <w:jc w:val="left"/>
        <w:rPr>
          <w:rFonts w:ascii="仿宋" w:hAnsi="仿宋" w:eastAsia="仿宋" w:cs="仿宋"/>
          <w:bCs/>
          <w:color w:val="auto"/>
          <w:sz w:val="24"/>
          <w:lang w:eastAsia="zh-CN"/>
        </w:rPr>
      </w:pPr>
    </w:p>
    <w:p w14:paraId="48F50C20">
      <w:pPr>
        <w:pStyle w:val="4"/>
        <w:numPr>
          <w:ilvl w:val="1"/>
          <w:numId w:val="0"/>
        </w:numPr>
        <w:spacing w:line="240" w:lineRule="atLeast"/>
        <w:jc w:val="left"/>
        <w:rPr>
          <w:rFonts w:ascii="仿宋" w:hAnsi="仿宋" w:eastAsia="仿宋" w:cs="仿宋"/>
          <w:bCs/>
          <w:color w:val="auto"/>
          <w:sz w:val="24"/>
          <w:lang w:eastAsia="zh-CN"/>
        </w:rPr>
      </w:pPr>
    </w:p>
    <w:p w14:paraId="5A34F34C">
      <w:pPr>
        <w:rPr>
          <w:rFonts w:ascii="仿宋" w:hAnsi="仿宋" w:eastAsia="仿宋" w:cs="仿宋"/>
          <w:b/>
          <w:bCs/>
          <w:color w:val="auto"/>
          <w:lang w:eastAsia="zh-CN"/>
        </w:rPr>
      </w:pPr>
    </w:p>
    <w:p w14:paraId="407D258C">
      <w:pPr>
        <w:pStyle w:val="32"/>
        <w:rPr>
          <w:rFonts w:ascii="仿宋" w:hAnsi="仿宋" w:eastAsia="仿宋" w:cs="仿宋"/>
          <w:b/>
          <w:bCs/>
          <w:color w:val="auto"/>
          <w:lang w:eastAsia="zh-CN"/>
        </w:rPr>
      </w:pPr>
    </w:p>
    <w:p w14:paraId="50FF22C7">
      <w:pPr>
        <w:pStyle w:val="32"/>
        <w:rPr>
          <w:rFonts w:ascii="仿宋" w:hAnsi="仿宋" w:eastAsia="仿宋" w:cs="仿宋"/>
          <w:b/>
          <w:bCs/>
          <w:color w:val="auto"/>
          <w:lang w:eastAsia="zh-CN"/>
        </w:rPr>
      </w:pPr>
    </w:p>
    <w:p w14:paraId="3B68710E">
      <w:pPr>
        <w:pStyle w:val="32"/>
        <w:rPr>
          <w:rFonts w:ascii="仿宋" w:hAnsi="仿宋" w:eastAsia="仿宋" w:cs="仿宋"/>
          <w:b/>
          <w:bCs/>
          <w:color w:val="auto"/>
          <w:lang w:eastAsia="zh-CN"/>
        </w:rPr>
      </w:pPr>
    </w:p>
    <w:p w14:paraId="52A9E5AF">
      <w:pPr>
        <w:pStyle w:val="32"/>
        <w:rPr>
          <w:rFonts w:ascii="仿宋" w:hAnsi="仿宋" w:eastAsia="仿宋" w:cs="仿宋"/>
          <w:b/>
          <w:bCs/>
          <w:color w:val="auto"/>
          <w:lang w:eastAsia="zh-CN"/>
        </w:rPr>
      </w:pPr>
    </w:p>
    <w:p w14:paraId="73918E7D">
      <w:pPr>
        <w:pStyle w:val="32"/>
        <w:rPr>
          <w:rFonts w:ascii="仿宋" w:hAnsi="仿宋" w:eastAsia="仿宋" w:cs="仿宋"/>
          <w:b/>
          <w:bCs/>
          <w:color w:val="auto"/>
          <w:lang w:eastAsia="zh-CN"/>
        </w:rPr>
      </w:pPr>
    </w:p>
    <w:p w14:paraId="0FC5EB5B">
      <w:pPr>
        <w:pStyle w:val="32"/>
        <w:rPr>
          <w:rFonts w:ascii="仿宋" w:hAnsi="仿宋" w:eastAsia="仿宋" w:cs="仿宋"/>
          <w:b/>
          <w:bCs/>
          <w:color w:val="auto"/>
          <w:lang w:eastAsia="zh-CN"/>
        </w:rPr>
      </w:pPr>
    </w:p>
    <w:p w14:paraId="0EED0418">
      <w:pPr>
        <w:pStyle w:val="32"/>
        <w:rPr>
          <w:rFonts w:ascii="仿宋" w:hAnsi="仿宋" w:eastAsia="仿宋" w:cs="仿宋"/>
          <w:b/>
          <w:bCs/>
          <w:color w:val="auto"/>
          <w:lang w:eastAsia="zh-CN"/>
        </w:rPr>
      </w:pPr>
    </w:p>
    <w:p w14:paraId="07B2B4E7">
      <w:pPr>
        <w:pStyle w:val="32"/>
        <w:rPr>
          <w:rFonts w:ascii="仿宋" w:hAnsi="仿宋" w:eastAsia="仿宋" w:cs="仿宋"/>
          <w:b/>
          <w:bCs/>
          <w:color w:val="auto"/>
          <w:lang w:eastAsia="zh-CN"/>
        </w:rPr>
      </w:pPr>
    </w:p>
    <w:p w14:paraId="6540CFE6">
      <w:pPr>
        <w:pStyle w:val="32"/>
        <w:rPr>
          <w:rFonts w:ascii="仿宋" w:hAnsi="仿宋" w:eastAsia="仿宋" w:cs="仿宋"/>
          <w:b/>
          <w:bCs/>
          <w:color w:val="auto"/>
          <w:lang w:eastAsia="zh-CN"/>
        </w:rPr>
      </w:pPr>
    </w:p>
    <w:p w14:paraId="5BB61597">
      <w:pPr>
        <w:pStyle w:val="32"/>
        <w:rPr>
          <w:rFonts w:ascii="仿宋" w:hAnsi="仿宋" w:eastAsia="仿宋" w:cs="仿宋"/>
          <w:b/>
          <w:bCs/>
          <w:color w:val="auto"/>
          <w:lang w:eastAsia="zh-CN"/>
        </w:rPr>
      </w:pPr>
    </w:p>
    <w:p w14:paraId="3A4E7782">
      <w:pPr>
        <w:pStyle w:val="32"/>
        <w:rPr>
          <w:rFonts w:ascii="仿宋" w:hAnsi="仿宋" w:eastAsia="仿宋" w:cs="仿宋"/>
          <w:b/>
          <w:bCs/>
          <w:color w:val="auto"/>
          <w:lang w:eastAsia="zh-CN"/>
        </w:rPr>
      </w:pPr>
    </w:p>
    <w:p w14:paraId="4178A10F">
      <w:pPr>
        <w:pStyle w:val="32"/>
        <w:rPr>
          <w:rFonts w:ascii="仿宋" w:hAnsi="仿宋" w:eastAsia="仿宋" w:cs="仿宋"/>
          <w:b/>
          <w:bCs/>
          <w:color w:val="auto"/>
          <w:lang w:eastAsia="zh-CN"/>
        </w:rPr>
      </w:pPr>
    </w:p>
    <w:p w14:paraId="476DB691">
      <w:pPr>
        <w:pStyle w:val="32"/>
        <w:rPr>
          <w:rFonts w:ascii="仿宋" w:hAnsi="仿宋" w:eastAsia="仿宋" w:cs="仿宋"/>
          <w:b/>
          <w:bCs/>
          <w:color w:val="auto"/>
          <w:lang w:eastAsia="zh-CN"/>
        </w:rPr>
      </w:pPr>
    </w:p>
    <w:p w14:paraId="03CEB9A8">
      <w:pPr>
        <w:pStyle w:val="32"/>
        <w:rPr>
          <w:rFonts w:ascii="仿宋" w:hAnsi="仿宋" w:eastAsia="仿宋" w:cs="仿宋"/>
          <w:b/>
          <w:bCs/>
          <w:color w:val="auto"/>
          <w:lang w:eastAsia="zh-CN"/>
        </w:rPr>
      </w:pPr>
    </w:p>
    <w:p w14:paraId="05442E0E">
      <w:pPr>
        <w:pStyle w:val="32"/>
        <w:rPr>
          <w:rFonts w:ascii="仿宋" w:hAnsi="仿宋" w:eastAsia="仿宋" w:cs="仿宋"/>
          <w:b/>
          <w:bCs/>
          <w:color w:val="auto"/>
          <w:lang w:eastAsia="zh-CN"/>
        </w:rPr>
      </w:pPr>
    </w:p>
    <w:p w14:paraId="274EF841">
      <w:pPr>
        <w:pStyle w:val="32"/>
        <w:rPr>
          <w:rFonts w:ascii="仿宋" w:hAnsi="仿宋" w:eastAsia="仿宋" w:cs="仿宋"/>
          <w:b/>
          <w:bCs/>
          <w:color w:val="auto"/>
          <w:lang w:eastAsia="zh-CN"/>
        </w:rPr>
      </w:pPr>
    </w:p>
    <w:p w14:paraId="66D57DF5">
      <w:pPr>
        <w:pStyle w:val="32"/>
        <w:rPr>
          <w:rFonts w:ascii="仿宋" w:hAnsi="仿宋" w:eastAsia="仿宋" w:cs="仿宋"/>
          <w:b/>
          <w:bCs/>
          <w:color w:val="auto"/>
          <w:lang w:eastAsia="zh-CN"/>
        </w:rPr>
      </w:pPr>
    </w:p>
    <w:p w14:paraId="592EF8FE">
      <w:pPr>
        <w:pStyle w:val="4"/>
        <w:numPr>
          <w:ilvl w:val="1"/>
          <w:numId w:val="0"/>
        </w:numPr>
        <w:spacing w:line="240" w:lineRule="atLeast"/>
        <w:jc w:val="left"/>
        <w:rPr>
          <w:rFonts w:ascii="仿宋" w:hAnsi="仿宋" w:eastAsia="仿宋" w:cs="仿宋"/>
          <w:bCs/>
          <w:color w:val="auto"/>
          <w:sz w:val="24"/>
          <w:lang w:eastAsia="zh-CN"/>
        </w:rPr>
      </w:pPr>
    </w:p>
    <w:p w14:paraId="7E5C7577">
      <w:pPr>
        <w:tabs>
          <w:tab w:val="left" w:pos="3600"/>
        </w:tabs>
        <w:adjustRightInd w:val="0"/>
        <w:snapToGrid w:val="0"/>
        <w:spacing w:line="440" w:lineRule="exact"/>
        <w:jc w:val="center"/>
        <w:rPr>
          <w:rFonts w:ascii="仿宋" w:hAnsi="仿宋" w:eastAsia="仿宋" w:cs="仿宋"/>
          <w:color w:val="auto"/>
          <w:sz w:val="36"/>
          <w:szCs w:val="36"/>
          <w:lang w:eastAsia="zh-CN"/>
        </w:rPr>
      </w:pPr>
      <w:r>
        <w:rPr>
          <w:rFonts w:hint="eastAsia" w:ascii="仿宋" w:hAnsi="仿宋" w:eastAsia="仿宋" w:cs="仿宋"/>
          <w:b/>
          <w:bCs/>
          <w:color w:val="auto"/>
          <w:sz w:val="36"/>
          <w:szCs w:val="36"/>
          <w:lang w:val="en-US" w:eastAsia="zh-CN"/>
        </w:rPr>
        <w:t>10</w:t>
      </w:r>
      <w:r>
        <w:rPr>
          <w:rFonts w:hint="eastAsia" w:ascii="仿宋" w:hAnsi="仿宋" w:eastAsia="仿宋" w:cs="仿宋"/>
          <w:b/>
          <w:bCs/>
          <w:color w:val="auto"/>
          <w:sz w:val="36"/>
          <w:szCs w:val="36"/>
          <w:lang w:eastAsia="zh-CN"/>
        </w:rPr>
        <w:t>、评分标准和细则中技术部分证明材料（格式自拟</w:t>
      </w:r>
      <w:r>
        <w:rPr>
          <w:rFonts w:hint="eastAsia" w:ascii="仿宋" w:hAnsi="仿宋" w:eastAsia="仿宋" w:cs="仿宋"/>
          <w:color w:val="auto"/>
          <w:sz w:val="36"/>
          <w:szCs w:val="36"/>
          <w:lang w:eastAsia="zh-CN"/>
        </w:rPr>
        <w:t>）</w:t>
      </w:r>
    </w:p>
    <w:p w14:paraId="1E7CF01A">
      <w:pPr>
        <w:pStyle w:val="4"/>
        <w:numPr>
          <w:ilvl w:val="1"/>
          <w:numId w:val="0"/>
        </w:numPr>
        <w:spacing w:line="240" w:lineRule="atLeast"/>
        <w:ind w:left="617" w:leftChars="257"/>
        <w:rPr>
          <w:rFonts w:ascii="仿宋" w:hAnsi="仿宋" w:eastAsia="仿宋" w:cs="仿宋"/>
          <w:color w:val="auto"/>
          <w:sz w:val="24"/>
          <w:lang w:eastAsia="zh-CN"/>
        </w:rPr>
      </w:pPr>
    </w:p>
    <w:p w14:paraId="05A26B2E">
      <w:pPr>
        <w:spacing w:line="440" w:lineRule="exact"/>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评分标准和细则中技术部分</w:t>
      </w:r>
      <w:r>
        <w:rPr>
          <w:rFonts w:hint="eastAsia" w:ascii="仿宋" w:hAnsi="仿宋" w:eastAsia="仿宋" w:cs="仿宋"/>
          <w:color w:val="auto"/>
          <w:highlight w:val="none"/>
          <w:lang w:eastAsia="zh-CN"/>
        </w:rPr>
        <w:t>要求的其他资格证明文件。</w:t>
      </w:r>
    </w:p>
    <w:p w14:paraId="2A8E30D8">
      <w:pPr>
        <w:pStyle w:val="13"/>
        <w:tabs>
          <w:tab w:val="left" w:pos="5580"/>
        </w:tabs>
        <w:spacing w:line="240" w:lineRule="atLeast"/>
        <w:ind w:firstLine="720" w:firstLineChars="3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228F8574">
      <w:pPr>
        <w:pStyle w:val="5"/>
        <w:rPr>
          <w:rFonts w:ascii="仿宋" w:hAnsi="仿宋" w:eastAsia="仿宋" w:cs="仿宋"/>
          <w:color w:val="auto"/>
          <w:sz w:val="24"/>
          <w:lang w:eastAsia="zh-CN"/>
        </w:rPr>
      </w:pPr>
      <w:r>
        <w:rPr>
          <w:rFonts w:hint="eastAsia" w:ascii="仿宋" w:hAnsi="仿宋" w:eastAsia="仿宋" w:cs="仿宋"/>
          <w:color w:val="auto"/>
          <w:sz w:val="24"/>
          <w:lang w:eastAsia="zh-CN"/>
        </w:rPr>
        <w:t xml:space="preserve">   </w:t>
      </w:r>
    </w:p>
    <w:p w14:paraId="7605983B">
      <w:pPr>
        <w:rPr>
          <w:rFonts w:ascii="仿宋" w:hAnsi="仿宋" w:eastAsia="仿宋" w:cs="仿宋"/>
          <w:color w:val="auto"/>
          <w:lang w:eastAsia="zh-CN"/>
        </w:rPr>
      </w:pPr>
    </w:p>
    <w:p w14:paraId="7EC2979A">
      <w:pPr>
        <w:pStyle w:val="4"/>
        <w:numPr>
          <w:ilvl w:val="1"/>
          <w:numId w:val="0"/>
        </w:numPr>
        <w:spacing w:line="240" w:lineRule="atLeast"/>
        <w:ind w:left="617" w:leftChars="257"/>
        <w:rPr>
          <w:rFonts w:ascii="仿宋" w:hAnsi="仿宋" w:eastAsia="仿宋" w:cs="仿宋"/>
          <w:color w:val="auto"/>
          <w:sz w:val="24"/>
          <w:lang w:eastAsia="zh-CN"/>
        </w:rPr>
      </w:pPr>
    </w:p>
    <w:p w14:paraId="7E52231D">
      <w:pPr>
        <w:tabs>
          <w:tab w:val="left" w:pos="3600"/>
        </w:tabs>
        <w:adjustRightInd w:val="0"/>
        <w:snapToGrid w:val="0"/>
        <w:spacing w:line="440" w:lineRule="exact"/>
        <w:jc w:val="center"/>
        <w:rPr>
          <w:rFonts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lang w:eastAsia="zh-CN"/>
        </w:rPr>
        <w:t>、评分标准和细则中商务部分证明材料（格式自拟）</w:t>
      </w:r>
    </w:p>
    <w:p w14:paraId="59E2ED4E">
      <w:pPr>
        <w:pStyle w:val="13"/>
        <w:tabs>
          <w:tab w:val="left" w:pos="5580"/>
        </w:tabs>
        <w:spacing w:line="240" w:lineRule="atLeast"/>
        <w:rPr>
          <w:rFonts w:ascii="仿宋" w:hAnsi="仿宋" w:eastAsia="仿宋" w:cs="仿宋"/>
          <w:color w:val="auto"/>
          <w:lang w:eastAsia="zh-CN"/>
        </w:rPr>
      </w:pPr>
    </w:p>
    <w:p w14:paraId="0E5988CD">
      <w:pPr>
        <w:spacing w:line="440" w:lineRule="exact"/>
        <w:jc w:val="center"/>
        <w:rPr>
          <w:rFonts w:ascii="仿宋" w:hAnsi="仿宋" w:eastAsia="仿宋" w:cs="仿宋"/>
          <w:color w:val="auto"/>
          <w:highlight w:val="none"/>
          <w:lang w:eastAsia="zh-CN"/>
        </w:rPr>
      </w:pPr>
      <w:r>
        <w:rPr>
          <w:rFonts w:hint="eastAsia" w:ascii="仿宋" w:hAnsi="仿宋" w:eastAsia="仿宋" w:cs="仿宋"/>
          <w:color w:val="auto"/>
          <w:highlight w:val="none"/>
          <w:lang w:eastAsia="zh-CN"/>
        </w:rPr>
        <w:t>说明：1.应提供</w:t>
      </w:r>
      <w:r>
        <w:rPr>
          <w:rFonts w:hint="eastAsia" w:ascii="仿宋" w:hAnsi="仿宋" w:eastAsia="仿宋" w:cs="仿宋"/>
          <w:color w:val="auto"/>
          <w:highlight w:val="none"/>
          <w:u w:val="single"/>
          <w:lang w:eastAsia="zh-CN"/>
        </w:rPr>
        <w:t>评分标准和细则中商务部分</w:t>
      </w:r>
      <w:r>
        <w:rPr>
          <w:rFonts w:hint="eastAsia" w:ascii="仿宋" w:hAnsi="仿宋" w:eastAsia="仿宋" w:cs="仿宋"/>
          <w:color w:val="auto"/>
          <w:highlight w:val="none"/>
          <w:lang w:eastAsia="zh-CN"/>
        </w:rPr>
        <w:t>要求的其他资格证明文件。</w:t>
      </w:r>
    </w:p>
    <w:p w14:paraId="1639DEDE">
      <w:pPr>
        <w:pStyle w:val="13"/>
        <w:tabs>
          <w:tab w:val="left" w:pos="5580"/>
        </w:tabs>
        <w:spacing w:line="240" w:lineRule="atLeast"/>
        <w:ind w:firstLine="1200" w:firstLineChars="500"/>
        <w:rPr>
          <w:rFonts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14:paraId="6EE538EF">
      <w:pPr>
        <w:pStyle w:val="4"/>
        <w:numPr>
          <w:ilvl w:val="1"/>
          <w:numId w:val="0"/>
        </w:numPr>
        <w:spacing w:line="240" w:lineRule="atLeast"/>
        <w:jc w:val="left"/>
        <w:rPr>
          <w:rFonts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14:paraId="293BAE10">
      <w:pPr>
        <w:pStyle w:val="4"/>
        <w:numPr>
          <w:ilvl w:val="1"/>
          <w:numId w:val="0"/>
        </w:numPr>
        <w:spacing w:line="240" w:lineRule="atLeast"/>
        <w:jc w:val="left"/>
        <w:rPr>
          <w:rFonts w:ascii="仿宋" w:hAnsi="仿宋" w:eastAsia="仿宋" w:cs="仿宋"/>
          <w:bCs/>
          <w:color w:val="auto"/>
          <w:sz w:val="24"/>
          <w:lang w:eastAsia="zh-CN"/>
        </w:rPr>
      </w:pPr>
    </w:p>
    <w:p w14:paraId="16DAD6FC">
      <w:pPr>
        <w:pStyle w:val="4"/>
        <w:numPr>
          <w:ilvl w:val="1"/>
          <w:numId w:val="0"/>
        </w:numPr>
        <w:spacing w:line="240" w:lineRule="atLeast"/>
        <w:jc w:val="left"/>
        <w:rPr>
          <w:rFonts w:ascii="仿宋" w:hAnsi="仿宋" w:eastAsia="仿宋" w:cs="仿宋"/>
          <w:bCs/>
          <w:color w:val="auto"/>
          <w:sz w:val="24"/>
          <w:lang w:eastAsia="zh-CN"/>
        </w:rPr>
      </w:pPr>
    </w:p>
    <w:p w14:paraId="43A36DED">
      <w:pPr>
        <w:rPr>
          <w:rFonts w:ascii="仿宋" w:hAnsi="仿宋" w:eastAsia="仿宋" w:cs="仿宋"/>
          <w:color w:val="auto"/>
          <w:lang w:eastAsia="zh-CN"/>
        </w:rPr>
      </w:pPr>
    </w:p>
    <w:p w14:paraId="55177BAB">
      <w:pPr>
        <w:pStyle w:val="4"/>
        <w:numPr>
          <w:ilvl w:val="1"/>
          <w:numId w:val="0"/>
        </w:numPr>
        <w:spacing w:line="240" w:lineRule="atLeast"/>
        <w:jc w:val="left"/>
        <w:rPr>
          <w:rFonts w:ascii="仿宋" w:hAnsi="仿宋" w:eastAsia="仿宋" w:cs="仿宋"/>
          <w:bCs/>
          <w:color w:val="auto"/>
          <w:sz w:val="24"/>
          <w:lang w:eastAsia="zh-CN"/>
        </w:rPr>
      </w:pPr>
    </w:p>
    <w:p w14:paraId="337A5893">
      <w:pPr>
        <w:pStyle w:val="4"/>
        <w:numPr>
          <w:ilvl w:val="1"/>
          <w:numId w:val="0"/>
        </w:numPr>
        <w:spacing w:line="240" w:lineRule="atLeast"/>
        <w:jc w:val="left"/>
        <w:rPr>
          <w:rFonts w:ascii="仿宋" w:hAnsi="仿宋" w:eastAsia="仿宋" w:cs="仿宋"/>
          <w:bCs/>
          <w:color w:val="auto"/>
          <w:sz w:val="24"/>
          <w:lang w:eastAsia="zh-CN"/>
        </w:rPr>
      </w:pPr>
    </w:p>
    <w:p w14:paraId="2909BB3E">
      <w:pPr>
        <w:tabs>
          <w:tab w:val="left" w:pos="3600"/>
        </w:tabs>
        <w:adjustRightInd w:val="0"/>
        <w:snapToGrid w:val="0"/>
        <w:spacing w:line="440" w:lineRule="exact"/>
        <w:jc w:val="center"/>
        <w:rPr>
          <w:rFonts w:ascii="仿宋" w:hAnsi="仿宋" w:eastAsia="仿宋" w:cs="仿宋"/>
          <w:b/>
          <w:bCs/>
          <w:color w:val="auto"/>
          <w:w w:val="90"/>
          <w:sz w:val="36"/>
          <w:szCs w:val="36"/>
          <w:lang w:eastAsia="zh-CN"/>
        </w:rPr>
      </w:pPr>
      <w:r>
        <w:rPr>
          <w:rFonts w:hint="eastAsia" w:ascii="仿宋" w:hAnsi="仿宋" w:eastAsia="仿宋" w:cs="仿宋"/>
          <w:b/>
          <w:bCs/>
          <w:color w:val="auto"/>
          <w:sz w:val="36"/>
          <w:szCs w:val="36"/>
          <w:lang w:val="en-US" w:eastAsia="zh-CN"/>
        </w:rPr>
        <w:t>12</w:t>
      </w:r>
      <w:r>
        <w:rPr>
          <w:rFonts w:hint="eastAsia" w:ascii="仿宋" w:hAnsi="仿宋" w:eastAsia="仿宋" w:cs="仿宋"/>
          <w:b/>
          <w:bCs/>
          <w:color w:val="auto"/>
          <w:sz w:val="36"/>
          <w:szCs w:val="36"/>
          <w:lang w:eastAsia="zh-CN"/>
        </w:rPr>
        <w:t>、</w:t>
      </w:r>
      <w:r>
        <w:rPr>
          <w:rFonts w:hint="eastAsia" w:ascii="仿宋" w:hAnsi="仿宋" w:eastAsia="仿宋" w:cs="仿宋"/>
          <w:b/>
          <w:bCs/>
          <w:color w:val="auto"/>
          <w:w w:val="90"/>
          <w:sz w:val="36"/>
          <w:szCs w:val="36"/>
          <w:lang w:eastAsia="zh-CN"/>
        </w:rPr>
        <w:t>供应商认为有必要提供的其他证明材料（格式自拟）</w:t>
      </w:r>
    </w:p>
    <w:p w14:paraId="07ED7D3B">
      <w:pPr>
        <w:pStyle w:val="13"/>
        <w:tabs>
          <w:tab w:val="left" w:pos="5580"/>
        </w:tabs>
        <w:spacing w:line="240" w:lineRule="atLeast"/>
        <w:ind w:firstLine="480" w:firstLineChars="200"/>
        <w:rPr>
          <w:rFonts w:ascii="仿宋" w:hAnsi="仿宋" w:eastAsia="仿宋" w:cs="仿宋"/>
          <w:color w:val="auto"/>
          <w:lang w:eastAsia="zh-CN"/>
        </w:rPr>
      </w:pPr>
    </w:p>
    <w:p w14:paraId="3B944D67">
      <w:pPr>
        <w:pStyle w:val="13"/>
        <w:tabs>
          <w:tab w:val="left" w:pos="5580"/>
        </w:tabs>
        <w:spacing w:line="240" w:lineRule="atLeast"/>
        <w:ind w:firstLine="480" w:firstLineChars="200"/>
        <w:rPr>
          <w:rFonts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14:paraId="1FFDE4BC">
      <w:pPr>
        <w:pStyle w:val="14"/>
        <w:ind w:left="2880"/>
        <w:rPr>
          <w:color w:val="auto"/>
          <w:lang w:eastAsia="zh-CN"/>
        </w:rPr>
      </w:pPr>
    </w:p>
    <w:sectPr>
      <w:headerReference r:id="rId9" w:type="default"/>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x000B__x000C_">
    <w:altName w:val="Courier New"/>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FE29">
    <w:pPr>
      <w:pStyle w:val="17"/>
      <w:ind w:right="360"/>
      <w:jc w:val="both"/>
    </w:pPr>
    <w:r>
      <w:rPr>
        <w:sz w:val="16"/>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3950BE"/>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OUHjVccBAACdAwAADgAAAAAAAAABACAAAAAeAQAAZHJzL2Uyb0RvYy54&#10;bWxQSwUGAAAAAAYABgBZAQAAVwUAAAAA&#10;">
              <v:fill on="f" focussize="0,0"/>
              <v:stroke on="f"/>
              <v:imagedata o:title=""/>
              <o:lock v:ext="edit" aspectratio="f"/>
              <v:textbox inset="0mm,0mm,0mm,0mm" style="mso-fit-shape-to-text:t;">
                <w:txbxContent>
                  <w:p w14:paraId="5C3950BE"/>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2EC21">
    <w:pPr>
      <w:pStyle w:val="17"/>
      <w:ind w:right="360"/>
      <w:jc w:val="both"/>
    </w:pP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84DABA">
                          <w:pPr>
                            <w:pStyle w:val="17"/>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sE3McgBAACdAwAADgAAAGRycy9lMm9Eb2MueG1srVPNjtMwEL6vxDtY&#10;vtNkK4G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m5ss3nDlh6cXPP3+cfz2eH74z&#10;ipFAvceK6u48VcbhPQy0NnMcKZh4D22w6UuMGOVJ3tNFXjVEJtOl1XK1KiklKTc7hF88XfcB4wcF&#10;liWj5oHeL8sqjp8wjqVzSerm4FYbk9/QuL8ChDlGVF6C6XZiMk6crDjshoneDpoTsetpEWruaO85&#10;Mx8d6Zx2ZjbCbOwmI3VE/+4QaYw8XUIdoYhVcujVMr9pw9Ja/Onnqqe/avM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bBNzHIAQAAnQMAAA4AAAAAAAAAAQAgAAAAHgEAAGRycy9lMm9Eb2Mu&#10;eG1sUEsFBgAAAAAGAAYAWQEAAFgFAAAAAA==&#10;">
              <v:fill on="f" focussize="0,0"/>
              <v:stroke on="f"/>
              <v:imagedata o:title=""/>
              <o:lock v:ext="edit" aspectratio="f"/>
              <v:textbox inset="0mm,0mm,0mm,0mm" style="mso-fit-shape-to-text:t;">
                <w:txbxContent>
                  <w:p w14:paraId="7A84DABA">
                    <w:pPr>
                      <w:pStyle w:val="17"/>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3D2B1">
    <w:pPr>
      <w:pStyle w:val="17"/>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5DB56A">
                          <w:pPr>
                            <w:pStyle w:val="1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FNE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J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lxTREMQIAAGMEAAAOAAAAAAAAAAEAIAAAAB8BAABkcnMvZTJvRG9jLnhtbFBLBQYA&#10;AAAABgAGAFkBAADCBQAAAAA=&#10;">
              <v:fill on="f" focussize="0,0"/>
              <v:stroke on="f" weight="0.5pt"/>
              <v:imagedata o:title=""/>
              <o:lock v:ext="edit" aspectratio="f"/>
              <v:textbox inset="0mm,0mm,0mm,0mm" style="mso-fit-shape-to-text:t;">
                <w:txbxContent>
                  <w:p w14:paraId="7E5DB56A">
                    <w:pPr>
                      <w:pStyle w:val="17"/>
                    </w:pPr>
                    <w:r>
                      <w:fldChar w:fldCharType="begin"/>
                    </w:r>
                    <w:r>
                      <w:instrText xml:space="preserve"> PAGE  \* MERGEFORMAT </w:instrText>
                    </w:r>
                    <w:r>
                      <w:fldChar w:fldCharType="separate"/>
                    </w:r>
                    <w:r>
                      <w:t>52</w:t>
                    </w:r>
                    <w:r>
                      <w:fldChar w:fldCharType="end"/>
                    </w:r>
                  </w:p>
                </w:txbxContent>
              </v:textbox>
            </v:shape>
          </w:pict>
        </mc:Fallback>
      </mc:AlternateContent>
    </w:r>
    <w:r>
      <w:rPr>
        <w:rFonts w:hint="eastAsia"/>
        <w:sz w:val="13"/>
        <w:szCs w:val="13"/>
      </w:rPr>
      <w:t xml:space="preserve"> </w:t>
    </w:r>
    <w:r>
      <w:rPr>
        <w:rFonts w:hint="eastAsia"/>
      </w:rPr>
      <w:t xml:space="preserve">  </w:t>
    </w:r>
  </w:p>
  <w:p w14:paraId="3635BCAC">
    <w:pPr>
      <w:pStyle w:val="17"/>
      <w:tabs>
        <w:tab w:val="center" w:pos="4320"/>
        <w:tab w:val="right" w:pos="8640"/>
        <w:tab w:val="clear" w:pos="4153"/>
        <w:tab w:val="clear" w:pos="8306"/>
      </w:tabs>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11210">
    <w:pPr>
      <w:pStyle w:val="17"/>
      <w:ind w:right="360"/>
      <w:jc w:val="both"/>
    </w:pPr>
    <w:r>
      <w:rPr>
        <w:sz w:val="24"/>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549CE85">
                          <w:pPr>
                            <w:pStyle w:val="17"/>
                          </w:pPr>
                          <w:r>
                            <w:fldChar w:fldCharType="begin"/>
                          </w:r>
                          <w:r>
                            <w:instrText xml:space="preserve"> PAGE  \* MERGEFORMAT </w:instrText>
                          </w:r>
                          <w:r>
                            <w:fldChar w:fldCharType="separate"/>
                          </w:r>
                          <w:r>
                            <w:t>74</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aG58cBAACdAwAADgAAAGRycy9lMm9Eb2MueG1srVPNjtMwEL4j8Q6W&#10;7zRpk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6yVnVhh68cv3b5cfvy4/vzKK&#10;kUC9x4rqHjxVxuHODbQ2cxwpmHgPbTDpS4wY5Une81VeGCKT6dJ6tV6XlJKUmx3CLx6v+4DxLTjD&#10;klHzQO+XZRWn9xjH0rkkdbPuXmmd31DbvwKEOUYgL8F0OzEZJ05WHPbDRG/vmjOx62kRam5p7znT&#10;7yzpnHZmNsJs7CcjdUR/e4w0Rp4uoY5QxCo59GqZ37RhaS3+9HPV41+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5aG58cBAACdAwAADgAAAAAAAAABACAAAAAeAQAAZHJzL2Uyb0RvYy54&#10;bWxQSwUGAAAAAAYABgBZAQAAVwUAAAAA&#10;">
              <v:fill on="f" focussize="0,0"/>
              <v:stroke on="f"/>
              <v:imagedata o:title=""/>
              <o:lock v:ext="edit" aspectratio="f"/>
              <v:textbox inset="0mm,0mm,0mm,0mm" style="mso-fit-shape-to-text:t;">
                <w:txbxContent>
                  <w:p w14:paraId="2549CE85">
                    <w:pPr>
                      <w:pStyle w:val="17"/>
                    </w:pPr>
                    <w:r>
                      <w:fldChar w:fldCharType="begin"/>
                    </w:r>
                    <w:r>
                      <w:instrText xml:space="preserve"> PAGE  \* MERGEFORMAT </w:instrText>
                    </w:r>
                    <w:r>
                      <w:fldChar w:fldCharType="separate"/>
                    </w:r>
                    <w:r>
                      <w:t>74</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14:paraId="7630F314">
    <w:pPr>
      <w:pStyle w:val="17"/>
      <w:autoSpaceDE w:val="0"/>
      <w:autoSpaceDN w:val="0"/>
      <w:adjustRightInd w:val="0"/>
      <w:ind w:left="7200" w:hanging="7200" w:hangingChars="4000"/>
      <w:jc w:val="both"/>
    </w:pPr>
  </w:p>
  <w:p w14:paraId="706A2A5E">
    <w:pPr>
      <w:pStyle w:val="17"/>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F41EB">
    <w:pPr>
      <w:pStyle w:val="17"/>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80566D3">
                          <w:pPr>
                            <w:pStyle w:val="1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14:paraId="180566D3">
                    <w:pPr>
                      <w:pStyle w:val="1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5DC25">
    <w:pPr>
      <w:pStyle w:val="18"/>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4426C">
    <w:pPr>
      <w:pStyle w:val="18"/>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14C4D">
    <w:pPr>
      <w:pStyle w:val="18"/>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E316743E"/>
    <w:multiLevelType w:val="singleLevel"/>
    <w:tmpl w:val="E316743E"/>
    <w:lvl w:ilvl="0" w:tentative="0">
      <w:start w:val="1"/>
      <w:numFmt w:val="decimal"/>
      <w:suff w:val="nothing"/>
      <w:lvlText w:val="%1、"/>
      <w:lvlJc w:val="left"/>
    </w:lvl>
  </w:abstractNum>
  <w:abstractNum w:abstractNumId="2">
    <w:nsid w:val="0000000D"/>
    <w:multiLevelType w:val="multilevel"/>
    <w:tmpl w:val="0000000D"/>
    <w:lvl w:ilvl="0" w:tentative="0">
      <w:start w:val="1"/>
      <w:numFmt w:val="decimal"/>
      <w:pStyle w:val="9"/>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5">
    <w:nsid w:val="55CD4C99"/>
    <w:multiLevelType w:val="singleLevel"/>
    <w:tmpl w:val="55CD4C99"/>
    <w:lvl w:ilvl="0" w:tentative="0">
      <w:start w:val="1"/>
      <w:numFmt w:val="chineseCounting"/>
      <w:suff w:val="nothing"/>
      <w:lvlText w:val="%1、"/>
      <w:lvlJc w:val="left"/>
    </w:lvl>
  </w:abstractNum>
  <w:abstractNum w:abstractNumId="6">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36274"/>
    <w:rsid w:val="000E7277"/>
    <w:rsid w:val="00153D08"/>
    <w:rsid w:val="001909B2"/>
    <w:rsid w:val="00232484"/>
    <w:rsid w:val="00245764"/>
    <w:rsid w:val="004259D8"/>
    <w:rsid w:val="00461E17"/>
    <w:rsid w:val="00471CA4"/>
    <w:rsid w:val="00562077"/>
    <w:rsid w:val="00597163"/>
    <w:rsid w:val="005D4E0B"/>
    <w:rsid w:val="00643BE3"/>
    <w:rsid w:val="006761BB"/>
    <w:rsid w:val="006D00E3"/>
    <w:rsid w:val="0076445C"/>
    <w:rsid w:val="008276FA"/>
    <w:rsid w:val="008849F7"/>
    <w:rsid w:val="008D1783"/>
    <w:rsid w:val="009143D6"/>
    <w:rsid w:val="00A329DF"/>
    <w:rsid w:val="00A75CA8"/>
    <w:rsid w:val="00AA277B"/>
    <w:rsid w:val="00AB0B74"/>
    <w:rsid w:val="00AF420A"/>
    <w:rsid w:val="00BA4013"/>
    <w:rsid w:val="00C26A7F"/>
    <w:rsid w:val="00C377E4"/>
    <w:rsid w:val="00C57AF5"/>
    <w:rsid w:val="00C74FD6"/>
    <w:rsid w:val="00D00791"/>
    <w:rsid w:val="00D00D67"/>
    <w:rsid w:val="00D03DFD"/>
    <w:rsid w:val="00D84377"/>
    <w:rsid w:val="00DE0124"/>
    <w:rsid w:val="00E56748"/>
    <w:rsid w:val="00EB29FB"/>
    <w:rsid w:val="00ED05CA"/>
    <w:rsid w:val="00F050C2"/>
    <w:rsid w:val="00F70359"/>
    <w:rsid w:val="00FB6C7A"/>
    <w:rsid w:val="011A7771"/>
    <w:rsid w:val="0123584C"/>
    <w:rsid w:val="014631E4"/>
    <w:rsid w:val="014A06FC"/>
    <w:rsid w:val="014F6266"/>
    <w:rsid w:val="019F1EA7"/>
    <w:rsid w:val="01E44B68"/>
    <w:rsid w:val="020F7B83"/>
    <w:rsid w:val="02614ACA"/>
    <w:rsid w:val="02E7054D"/>
    <w:rsid w:val="02F37843"/>
    <w:rsid w:val="03120DC1"/>
    <w:rsid w:val="03152839"/>
    <w:rsid w:val="03531E23"/>
    <w:rsid w:val="035508BA"/>
    <w:rsid w:val="039F2474"/>
    <w:rsid w:val="03B1713F"/>
    <w:rsid w:val="042A106A"/>
    <w:rsid w:val="050F221F"/>
    <w:rsid w:val="051E7B81"/>
    <w:rsid w:val="05353CCD"/>
    <w:rsid w:val="0540137B"/>
    <w:rsid w:val="0591547A"/>
    <w:rsid w:val="05CE725F"/>
    <w:rsid w:val="05D26519"/>
    <w:rsid w:val="05E43238"/>
    <w:rsid w:val="06141E47"/>
    <w:rsid w:val="062E44A1"/>
    <w:rsid w:val="06385AA9"/>
    <w:rsid w:val="063B7194"/>
    <w:rsid w:val="068F23C3"/>
    <w:rsid w:val="06A20D46"/>
    <w:rsid w:val="072C60C0"/>
    <w:rsid w:val="073826E5"/>
    <w:rsid w:val="074F6B51"/>
    <w:rsid w:val="07535B37"/>
    <w:rsid w:val="08253C96"/>
    <w:rsid w:val="08323FEC"/>
    <w:rsid w:val="085D5AE7"/>
    <w:rsid w:val="086504F8"/>
    <w:rsid w:val="08863C2F"/>
    <w:rsid w:val="08BA69F7"/>
    <w:rsid w:val="08E8360B"/>
    <w:rsid w:val="09181A0E"/>
    <w:rsid w:val="091D420B"/>
    <w:rsid w:val="09231976"/>
    <w:rsid w:val="093F2ABC"/>
    <w:rsid w:val="095073FA"/>
    <w:rsid w:val="095A2027"/>
    <w:rsid w:val="098852F2"/>
    <w:rsid w:val="09B17236"/>
    <w:rsid w:val="09E92566"/>
    <w:rsid w:val="09F94836"/>
    <w:rsid w:val="0A007485"/>
    <w:rsid w:val="0A226110"/>
    <w:rsid w:val="0A271261"/>
    <w:rsid w:val="0A51727D"/>
    <w:rsid w:val="0A622E54"/>
    <w:rsid w:val="0A982D0F"/>
    <w:rsid w:val="0AEC1713"/>
    <w:rsid w:val="0AFE7394"/>
    <w:rsid w:val="0B213EE8"/>
    <w:rsid w:val="0B2F3756"/>
    <w:rsid w:val="0B472137"/>
    <w:rsid w:val="0B5E1C97"/>
    <w:rsid w:val="0B641CFB"/>
    <w:rsid w:val="0B7B6FA1"/>
    <w:rsid w:val="0B941400"/>
    <w:rsid w:val="0B9E39F1"/>
    <w:rsid w:val="0BA66282"/>
    <w:rsid w:val="0BB54396"/>
    <w:rsid w:val="0BF26C44"/>
    <w:rsid w:val="0C1429D4"/>
    <w:rsid w:val="0C5719E5"/>
    <w:rsid w:val="0C8573BB"/>
    <w:rsid w:val="0CB56FAB"/>
    <w:rsid w:val="0CBA0D8E"/>
    <w:rsid w:val="0D533015"/>
    <w:rsid w:val="0D593F1E"/>
    <w:rsid w:val="0D9030DE"/>
    <w:rsid w:val="0D9378B6"/>
    <w:rsid w:val="0E3E1813"/>
    <w:rsid w:val="0E7C2FA3"/>
    <w:rsid w:val="0EE42D7B"/>
    <w:rsid w:val="0F631EBA"/>
    <w:rsid w:val="0FA22205"/>
    <w:rsid w:val="0FD47796"/>
    <w:rsid w:val="10015291"/>
    <w:rsid w:val="10685029"/>
    <w:rsid w:val="10D96120"/>
    <w:rsid w:val="11390DA8"/>
    <w:rsid w:val="114227C7"/>
    <w:rsid w:val="116457F1"/>
    <w:rsid w:val="11A007F3"/>
    <w:rsid w:val="12326DC2"/>
    <w:rsid w:val="12373F9F"/>
    <w:rsid w:val="12392131"/>
    <w:rsid w:val="12891287"/>
    <w:rsid w:val="12E3308D"/>
    <w:rsid w:val="130308CA"/>
    <w:rsid w:val="1312560D"/>
    <w:rsid w:val="132C218A"/>
    <w:rsid w:val="13486102"/>
    <w:rsid w:val="13D55805"/>
    <w:rsid w:val="13F500CA"/>
    <w:rsid w:val="13F84D28"/>
    <w:rsid w:val="142B46CE"/>
    <w:rsid w:val="14513B82"/>
    <w:rsid w:val="14602089"/>
    <w:rsid w:val="14785B68"/>
    <w:rsid w:val="147D272B"/>
    <w:rsid w:val="14841E5F"/>
    <w:rsid w:val="14953EB8"/>
    <w:rsid w:val="14A32AD4"/>
    <w:rsid w:val="14AD4D52"/>
    <w:rsid w:val="14CD6092"/>
    <w:rsid w:val="1525173B"/>
    <w:rsid w:val="153C6A85"/>
    <w:rsid w:val="15447E34"/>
    <w:rsid w:val="155301B3"/>
    <w:rsid w:val="156D1711"/>
    <w:rsid w:val="159F732A"/>
    <w:rsid w:val="15C31338"/>
    <w:rsid w:val="15DC0BC8"/>
    <w:rsid w:val="15E839EB"/>
    <w:rsid w:val="16010E59"/>
    <w:rsid w:val="167B61DA"/>
    <w:rsid w:val="171F0B4E"/>
    <w:rsid w:val="172577D0"/>
    <w:rsid w:val="173761B3"/>
    <w:rsid w:val="178644DD"/>
    <w:rsid w:val="17881C02"/>
    <w:rsid w:val="17D13E0C"/>
    <w:rsid w:val="17EB3771"/>
    <w:rsid w:val="182757CA"/>
    <w:rsid w:val="18FE29CF"/>
    <w:rsid w:val="1910625E"/>
    <w:rsid w:val="19445F08"/>
    <w:rsid w:val="19791440"/>
    <w:rsid w:val="19896869"/>
    <w:rsid w:val="198D3D53"/>
    <w:rsid w:val="199F3A59"/>
    <w:rsid w:val="19D24BCD"/>
    <w:rsid w:val="1A463753"/>
    <w:rsid w:val="1A6A7BF0"/>
    <w:rsid w:val="1A6C043C"/>
    <w:rsid w:val="1A967660"/>
    <w:rsid w:val="1A9A08B1"/>
    <w:rsid w:val="1AA14F3E"/>
    <w:rsid w:val="1AB8732E"/>
    <w:rsid w:val="1ABC669E"/>
    <w:rsid w:val="1ACD57BB"/>
    <w:rsid w:val="1B2938B4"/>
    <w:rsid w:val="1B3867B7"/>
    <w:rsid w:val="1B3917D2"/>
    <w:rsid w:val="1B47207C"/>
    <w:rsid w:val="1B526E30"/>
    <w:rsid w:val="1B5A42F2"/>
    <w:rsid w:val="1B666231"/>
    <w:rsid w:val="1B671EFB"/>
    <w:rsid w:val="1B6E1AFC"/>
    <w:rsid w:val="1BA46EB4"/>
    <w:rsid w:val="1BCA4DEA"/>
    <w:rsid w:val="1BE44D0B"/>
    <w:rsid w:val="1BE65325"/>
    <w:rsid w:val="1BEA5C68"/>
    <w:rsid w:val="1BF54431"/>
    <w:rsid w:val="1C154FA2"/>
    <w:rsid w:val="1C493567"/>
    <w:rsid w:val="1C6731C0"/>
    <w:rsid w:val="1C752C38"/>
    <w:rsid w:val="1C770BAC"/>
    <w:rsid w:val="1C8812E8"/>
    <w:rsid w:val="1CBF4223"/>
    <w:rsid w:val="1CC048D1"/>
    <w:rsid w:val="1CFF3DC8"/>
    <w:rsid w:val="1D004366"/>
    <w:rsid w:val="1D28001A"/>
    <w:rsid w:val="1D6F5759"/>
    <w:rsid w:val="1D88621E"/>
    <w:rsid w:val="1DA35988"/>
    <w:rsid w:val="1DDE4B7D"/>
    <w:rsid w:val="1DE066E3"/>
    <w:rsid w:val="1DF020E2"/>
    <w:rsid w:val="1E435DE1"/>
    <w:rsid w:val="1E6813A9"/>
    <w:rsid w:val="1E6D1634"/>
    <w:rsid w:val="1E95493A"/>
    <w:rsid w:val="1E9C398E"/>
    <w:rsid w:val="1EB458DE"/>
    <w:rsid w:val="1ECE4F82"/>
    <w:rsid w:val="1EE5064C"/>
    <w:rsid w:val="1F5903F9"/>
    <w:rsid w:val="1F5B26D6"/>
    <w:rsid w:val="1F6007D8"/>
    <w:rsid w:val="1F6D08CF"/>
    <w:rsid w:val="1FB748C5"/>
    <w:rsid w:val="203828DD"/>
    <w:rsid w:val="20746CEC"/>
    <w:rsid w:val="209D4381"/>
    <w:rsid w:val="20F3403C"/>
    <w:rsid w:val="218454A5"/>
    <w:rsid w:val="21F7470F"/>
    <w:rsid w:val="2250591D"/>
    <w:rsid w:val="22561186"/>
    <w:rsid w:val="22965E6B"/>
    <w:rsid w:val="22AE28BF"/>
    <w:rsid w:val="22C2713E"/>
    <w:rsid w:val="22D700DE"/>
    <w:rsid w:val="22F917C9"/>
    <w:rsid w:val="23226B91"/>
    <w:rsid w:val="23455B9F"/>
    <w:rsid w:val="23463622"/>
    <w:rsid w:val="235B1AD6"/>
    <w:rsid w:val="236A59AD"/>
    <w:rsid w:val="23874BA3"/>
    <w:rsid w:val="23CE1A7B"/>
    <w:rsid w:val="245B2E54"/>
    <w:rsid w:val="24AC7CFE"/>
    <w:rsid w:val="24B931D1"/>
    <w:rsid w:val="24CC35FF"/>
    <w:rsid w:val="24FD761E"/>
    <w:rsid w:val="25002F8D"/>
    <w:rsid w:val="2506545C"/>
    <w:rsid w:val="25546BA5"/>
    <w:rsid w:val="25550156"/>
    <w:rsid w:val="256D43FD"/>
    <w:rsid w:val="25FB512C"/>
    <w:rsid w:val="26204460"/>
    <w:rsid w:val="262B2929"/>
    <w:rsid w:val="267D2FA7"/>
    <w:rsid w:val="26D37563"/>
    <w:rsid w:val="27054D57"/>
    <w:rsid w:val="273677D8"/>
    <w:rsid w:val="274B4345"/>
    <w:rsid w:val="2759752E"/>
    <w:rsid w:val="27641FEC"/>
    <w:rsid w:val="283D072F"/>
    <w:rsid w:val="286B44D3"/>
    <w:rsid w:val="289C366A"/>
    <w:rsid w:val="28E55011"/>
    <w:rsid w:val="28F05E4B"/>
    <w:rsid w:val="29040935"/>
    <w:rsid w:val="290D2D52"/>
    <w:rsid w:val="290F6532"/>
    <w:rsid w:val="291C049E"/>
    <w:rsid w:val="291F0973"/>
    <w:rsid w:val="29384AB9"/>
    <w:rsid w:val="294E1863"/>
    <w:rsid w:val="29AE745C"/>
    <w:rsid w:val="29EC3DAC"/>
    <w:rsid w:val="29F20F87"/>
    <w:rsid w:val="2A015314"/>
    <w:rsid w:val="2A2953D2"/>
    <w:rsid w:val="2A426494"/>
    <w:rsid w:val="2A6F2C28"/>
    <w:rsid w:val="2AB303AA"/>
    <w:rsid w:val="2ADC5AFD"/>
    <w:rsid w:val="2AE40947"/>
    <w:rsid w:val="2AE56C24"/>
    <w:rsid w:val="2AF23A16"/>
    <w:rsid w:val="2AF552B4"/>
    <w:rsid w:val="2AF9470D"/>
    <w:rsid w:val="2B2A724C"/>
    <w:rsid w:val="2B6D6F0D"/>
    <w:rsid w:val="2B762634"/>
    <w:rsid w:val="2B97636B"/>
    <w:rsid w:val="2C302A48"/>
    <w:rsid w:val="2D1B0C53"/>
    <w:rsid w:val="2D261D28"/>
    <w:rsid w:val="2D380A40"/>
    <w:rsid w:val="2D475908"/>
    <w:rsid w:val="2D7E66F1"/>
    <w:rsid w:val="2D95546D"/>
    <w:rsid w:val="2DB43A1E"/>
    <w:rsid w:val="2DF1140A"/>
    <w:rsid w:val="2DF233D7"/>
    <w:rsid w:val="2E1B0C2F"/>
    <w:rsid w:val="2E2D19AE"/>
    <w:rsid w:val="2E3662A3"/>
    <w:rsid w:val="2E5F51AF"/>
    <w:rsid w:val="2E764B34"/>
    <w:rsid w:val="2F265E4E"/>
    <w:rsid w:val="2F926888"/>
    <w:rsid w:val="2FA50B1C"/>
    <w:rsid w:val="2FAD33C2"/>
    <w:rsid w:val="309F3022"/>
    <w:rsid w:val="30AE4ECA"/>
    <w:rsid w:val="30CE72A7"/>
    <w:rsid w:val="31C54436"/>
    <w:rsid w:val="31DE4CF4"/>
    <w:rsid w:val="32387E25"/>
    <w:rsid w:val="32560D2E"/>
    <w:rsid w:val="328F5FEE"/>
    <w:rsid w:val="32C7154E"/>
    <w:rsid w:val="335B1D88"/>
    <w:rsid w:val="335C76C1"/>
    <w:rsid w:val="339A61A5"/>
    <w:rsid w:val="34364798"/>
    <w:rsid w:val="3464452F"/>
    <w:rsid w:val="34AC63E7"/>
    <w:rsid w:val="34D66156"/>
    <w:rsid w:val="34E95C27"/>
    <w:rsid w:val="34F903B8"/>
    <w:rsid w:val="351A6043"/>
    <w:rsid w:val="35427B0F"/>
    <w:rsid w:val="356B5D1D"/>
    <w:rsid w:val="357F49FA"/>
    <w:rsid w:val="36007566"/>
    <w:rsid w:val="36A4475E"/>
    <w:rsid w:val="36AA5E0A"/>
    <w:rsid w:val="36C721FA"/>
    <w:rsid w:val="36CA0C5E"/>
    <w:rsid w:val="36DF5796"/>
    <w:rsid w:val="371C74DF"/>
    <w:rsid w:val="372E04CB"/>
    <w:rsid w:val="374E6478"/>
    <w:rsid w:val="37520F41"/>
    <w:rsid w:val="3762161D"/>
    <w:rsid w:val="378679C0"/>
    <w:rsid w:val="378F65A8"/>
    <w:rsid w:val="37A12630"/>
    <w:rsid w:val="37AC319E"/>
    <w:rsid w:val="37D44BCF"/>
    <w:rsid w:val="38083993"/>
    <w:rsid w:val="380F260F"/>
    <w:rsid w:val="386D368C"/>
    <w:rsid w:val="38895400"/>
    <w:rsid w:val="38BD4DB8"/>
    <w:rsid w:val="38C56C0D"/>
    <w:rsid w:val="38DB5751"/>
    <w:rsid w:val="38DE52AC"/>
    <w:rsid w:val="38E075A3"/>
    <w:rsid w:val="391A24A3"/>
    <w:rsid w:val="394A14BD"/>
    <w:rsid w:val="399227EF"/>
    <w:rsid w:val="39A77BA6"/>
    <w:rsid w:val="39C07B4A"/>
    <w:rsid w:val="3A1273C6"/>
    <w:rsid w:val="3A1E65D5"/>
    <w:rsid w:val="3A5E2E76"/>
    <w:rsid w:val="3A6D6A80"/>
    <w:rsid w:val="3AE06945"/>
    <w:rsid w:val="3B015EE0"/>
    <w:rsid w:val="3B1339F6"/>
    <w:rsid w:val="3B6026D9"/>
    <w:rsid w:val="3B7F7C46"/>
    <w:rsid w:val="3BDE19D1"/>
    <w:rsid w:val="3C340114"/>
    <w:rsid w:val="3C3A0A68"/>
    <w:rsid w:val="3C850B8E"/>
    <w:rsid w:val="3C893FAF"/>
    <w:rsid w:val="3CA827C1"/>
    <w:rsid w:val="3CAD59EE"/>
    <w:rsid w:val="3CDA4418"/>
    <w:rsid w:val="3D38095E"/>
    <w:rsid w:val="3D720102"/>
    <w:rsid w:val="3D723DD3"/>
    <w:rsid w:val="3D751F42"/>
    <w:rsid w:val="3D9B7F3D"/>
    <w:rsid w:val="3DA87F4F"/>
    <w:rsid w:val="3DC10F1A"/>
    <w:rsid w:val="3E6246F2"/>
    <w:rsid w:val="3F224345"/>
    <w:rsid w:val="3F6A3151"/>
    <w:rsid w:val="3F874C1D"/>
    <w:rsid w:val="403F2E01"/>
    <w:rsid w:val="40585637"/>
    <w:rsid w:val="40814B23"/>
    <w:rsid w:val="408E72C3"/>
    <w:rsid w:val="408E7BCF"/>
    <w:rsid w:val="40AB15B8"/>
    <w:rsid w:val="40B26236"/>
    <w:rsid w:val="40C14C05"/>
    <w:rsid w:val="416359C8"/>
    <w:rsid w:val="41681350"/>
    <w:rsid w:val="416F668A"/>
    <w:rsid w:val="417B255F"/>
    <w:rsid w:val="419378A9"/>
    <w:rsid w:val="41967399"/>
    <w:rsid w:val="419F6662"/>
    <w:rsid w:val="41A72D03"/>
    <w:rsid w:val="41BC55E0"/>
    <w:rsid w:val="41BF069E"/>
    <w:rsid w:val="420B7389"/>
    <w:rsid w:val="423563C7"/>
    <w:rsid w:val="42C57370"/>
    <w:rsid w:val="42D71A17"/>
    <w:rsid w:val="430832B2"/>
    <w:rsid w:val="43144276"/>
    <w:rsid w:val="43264088"/>
    <w:rsid w:val="43333AFF"/>
    <w:rsid w:val="434966C0"/>
    <w:rsid w:val="43603D96"/>
    <w:rsid w:val="43672D9B"/>
    <w:rsid w:val="437C4518"/>
    <w:rsid w:val="43900453"/>
    <w:rsid w:val="43997819"/>
    <w:rsid w:val="43B2708B"/>
    <w:rsid w:val="43CA332A"/>
    <w:rsid w:val="43CB7C06"/>
    <w:rsid w:val="43CE514A"/>
    <w:rsid w:val="43F26816"/>
    <w:rsid w:val="445769C9"/>
    <w:rsid w:val="44637696"/>
    <w:rsid w:val="44740DA7"/>
    <w:rsid w:val="44C7578F"/>
    <w:rsid w:val="44D31AB8"/>
    <w:rsid w:val="44F00B6E"/>
    <w:rsid w:val="45111167"/>
    <w:rsid w:val="4517597F"/>
    <w:rsid w:val="45442C68"/>
    <w:rsid w:val="454815E5"/>
    <w:rsid w:val="457C2033"/>
    <w:rsid w:val="45ED51BC"/>
    <w:rsid w:val="45FA370C"/>
    <w:rsid w:val="46671304"/>
    <w:rsid w:val="466A125B"/>
    <w:rsid w:val="46994235"/>
    <w:rsid w:val="46A2549B"/>
    <w:rsid w:val="46A95479"/>
    <w:rsid w:val="46AF5962"/>
    <w:rsid w:val="46B856BC"/>
    <w:rsid w:val="46F77B89"/>
    <w:rsid w:val="470628CB"/>
    <w:rsid w:val="4743767B"/>
    <w:rsid w:val="4757256C"/>
    <w:rsid w:val="47590C4D"/>
    <w:rsid w:val="476944E1"/>
    <w:rsid w:val="47F15329"/>
    <w:rsid w:val="487B3318"/>
    <w:rsid w:val="48867AEE"/>
    <w:rsid w:val="489A183F"/>
    <w:rsid w:val="48B93029"/>
    <w:rsid w:val="49726A4B"/>
    <w:rsid w:val="4A076C56"/>
    <w:rsid w:val="4A431F7F"/>
    <w:rsid w:val="4A711501"/>
    <w:rsid w:val="4AAD01EC"/>
    <w:rsid w:val="4AAF0341"/>
    <w:rsid w:val="4ADE5F63"/>
    <w:rsid w:val="4AE253FD"/>
    <w:rsid w:val="4B097E96"/>
    <w:rsid w:val="4B105AC6"/>
    <w:rsid w:val="4B4B6AFE"/>
    <w:rsid w:val="4B7B64DF"/>
    <w:rsid w:val="4BA10E14"/>
    <w:rsid w:val="4BB73B85"/>
    <w:rsid w:val="4BF478AD"/>
    <w:rsid w:val="4C17384D"/>
    <w:rsid w:val="4C257A37"/>
    <w:rsid w:val="4C64712B"/>
    <w:rsid w:val="4C700EF1"/>
    <w:rsid w:val="4C760354"/>
    <w:rsid w:val="4C934C01"/>
    <w:rsid w:val="4CC36B68"/>
    <w:rsid w:val="4D0305B0"/>
    <w:rsid w:val="4D7F6F33"/>
    <w:rsid w:val="4DAA2F7A"/>
    <w:rsid w:val="4DF50B78"/>
    <w:rsid w:val="4DF570E6"/>
    <w:rsid w:val="4E15367F"/>
    <w:rsid w:val="4E6938E7"/>
    <w:rsid w:val="4E6A5759"/>
    <w:rsid w:val="4E701DC0"/>
    <w:rsid w:val="4E93713A"/>
    <w:rsid w:val="4EBB21ED"/>
    <w:rsid w:val="4ECA741E"/>
    <w:rsid w:val="4EF851EF"/>
    <w:rsid w:val="4F006719"/>
    <w:rsid w:val="4F2E489B"/>
    <w:rsid w:val="4F4C72E9"/>
    <w:rsid w:val="4F5166AD"/>
    <w:rsid w:val="4F5D25FD"/>
    <w:rsid w:val="4F643265"/>
    <w:rsid w:val="4F741231"/>
    <w:rsid w:val="4F8052EF"/>
    <w:rsid w:val="4FB05ACA"/>
    <w:rsid w:val="4FB41D44"/>
    <w:rsid w:val="4FB93303"/>
    <w:rsid w:val="4FBC32D6"/>
    <w:rsid w:val="50105D76"/>
    <w:rsid w:val="50397007"/>
    <w:rsid w:val="50BF6E81"/>
    <w:rsid w:val="50FF0870"/>
    <w:rsid w:val="513D513B"/>
    <w:rsid w:val="513F080C"/>
    <w:rsid w:val="515E08F1"/>
    <w:rsid w:val="517B177C"/>
    <w:rsid w:val="518E2B89"/>
    <w:rsid w:val="52654DCD"/>
    <w:rsid w:val="52734B8D"/>
    <w:rsid w:val="52DA541F"/>
    <w:rsid w:val="52E44F60"/>
    <w:rsid w:val="5306542C"/>
    <w:rsid w:val="5336489E"/>
    <w:rsid w:val="533662E6"/>
    <w:rsid w:val="53390376"/>
    <w:rsid w:val="533C1C56"/>
    <w:rsid w:val="536203AC"/>
    <w:rsid w:val="53842532"/>
    <w:rsid w:val="538F0970"/>
    <w:rsid w:val="53FF4927"/>
    <w:rsid w:val="540A24A6"/>
    <w:rsid w:val="541D6439"/>
    <w:rsid w:val="5421450D"/>
    <w:rsid w:val="542D593B"/>
    <w:rsid w:val="546A09A4"/>
    <w:rsid w:val="546E0331"/>
    <w:rsid w:val="54846008"/>
    <w:rsid w:val="549E4143"/>
    <w:rsid w:val="552029CE"/>
    <w:rsid w:val="552535BC"/>
    <w:rsid w:val="553813F1"/>
    <w:rsid w:val="55676C2B"/>
    <w:rsid w:val="557E3F74"/>
    <w:rsid w:val="55821076"/>
    <w:rsid w:val="55B004C0"/>
    <w:rsid w:val="55D525EC"/>
    <w:rsid w:val="56493792"/>
    <w:rsid w:val="56777341"/>
    <w:rsid w:val="56D402F0"/>
    <w:rsid w:val="572F4B71"/>
    <w:rsid w:val="573B4D31"/>
    <w:rsid w:val="575329D5"/>
    <w:rsid w:val="57706630"/>
    <w:rsid w:val="579E0408"/>
    <w:rsid w:val="57C2639A"/>
    <w:rsid w:val="57D8796C"/>
    <w:rsid w:val="58C370A9"/>
    <w:rsid w:val="58F20481"/>
    <w:rsid w:val="5933291A"/>
    <w:rsid w:val="594015B1"/>
    <w:rsid w:val="59554FEC"/>
    <w:rsid w:val="595A0DC1"/>
    <w:rsid w:val="596D4A2C"/>
    <w:rsid w:val="597C4427"/>
    <w:rsid w:val="599B0EFC"/>
    <w:rsid w:val="59BD150F"/>
    <w:rsid w:val="59E97291"/>
    <w:rsid w:val="5A130C2C"/>
    <w:rsid w:val="5A39563D"/>
    <w:rsid w:val="5AE0581C"/>
    <w:rsid w:val="5AE7369A"/>
    <w:rsid w:val="5AE96334"/>
    <w:rsid w:val="5B31213F"/>
    <w:rsid w:val="5B5F738D"/>
    <w:rsid w:val="5B7D2DDF"/>
    <w:rsid w:val="5BA54009"/>
    <w:rsid w:val="5BE43388"/>
    <w:rsid w:val="5C0768C4"/>
    <w:rsid w:val="5C1D6295"/>
    <w:rsid w:val="5C643EC4"/>
    <w:rsid w:val="5CCF1148"/>
    <w:rsid w:val="5CD53D28"/>
    <w:rsid w:val="5CF718B7"/>
    <w:rsid w:val="5D0460DC"/>
    <w:rsid w:val="5D2366CB"/>
    <w:rsid w:val="5D243653"/>
    <w:rsid w:val="5D3331A6"/>
    <w:rsid w:val="5D765574"/>
    <w:rsid w:val="5D8A153C"/>
    <w:rsid w:val="5D99194B"/>
    <w:rsid w:val="5DE1497B"/>
    <w:rsid w:val="5DE1630B"/>
    <w:rsid w:val="5E135BA1"/>
    <w:rsid w:val="5E1D1079"/>
    <w:rsid w:val="5E211941"/>
    <w:rsid w:val="5E6D59C3"/>
    <w:rsid w:val="5E9341CF"/>
    <w:rsid w:val="5E9C0CBE"/>
    <w:rsid w:val="5EDA6373"/>
    <w:rsid w:val="5EF46D8B"/>
    <w:rsid w:val="5F5A15AE"/>
    <w:rsid w:val="5F9C1BC7"/>
    <w:rsid w:val="5FB661FF"/>
    <w:rsid w:val="5FBF0B9E"/>
    <w:rsid w:val="5FFB68ED"/>
    <w:rsid w:val="601F4136"/>
    <w:rsid w:val="60200102"/>
    <w:rsid w:val="6022031E"/>
    <w:rsid w:val="602A68DF"/>
    <w:rsid w:val="6075117A"/>
    <w:rsid w:val="60AA3EE7"/>
    <w:rsid w:val="60AA69DE"/>
    <w:rsid w:val="61183C2B"/>
    <w:rsid w:val="611C2181"/>
    <w:rsid w:val="617D1400"/>
    <w:rsid w:val="61903A3C"/>
    <w:rsid w:val="61C24BFD"/>
    <w:rsid w:val="62AF1C11"/>
    <w:rsid w:val="634A483E"/>
    <w:rsid w:val="637A3FCD"/>
    <w:rsid w:val="63C51B85"/>
    <w:rsid w:val="642B45E0"/>
    <w:rsid w:val="645E34C9"/>
    <w:rsid w:val="64604EAC"/>
    <w:rsid w:val="64740A1C"/>
    <w:rsid w:val="64805FF8"/>
    <w:rsid w:val="64D7429C"/>
    <w:rsid w:val="651B6CBC"/>
    <w:rsid w:val="65224A49"/>
    <w:rsid w:val="65434447"/>
    <w:rsid w:val="657F3B1C"/>
    <w:rsid w:val="65D200F0"/>
    <w:rsid w:val="65F04443"/>
    <w:rsid w:val="65F73581"/>
    <w:rsid w:val="66457796"/>
    <w:rsid w:val="66A5387A"/>
    <w:rsid w:val="66AD6611"/>
    <w:rsid w:val="66C2621A"/>
    <w:rsid w:val="66CD6B5E"/>
    <w:rsid w:val="66D82907"/>
    <w:rsid w:val="67466057"/>
    <w:rsid w:val="67470482"/>
    <w:rsid w:val="67656B1B"/>
    <w:rsid w:val="679542C8"/>
    <w:rsid w:val="67AE419D"/>
    <w:rsid w:val="67B22635"/>
    <w:rsid w:val="67BE74C9"/>
    <w:rsid w:val="683769EB"/>
    <w:rsid w:val="68495D7C"/>
    <w:rsid w:val="684F37DE"/>
    <w:rsid w:val="68617509"/>
    <w:rsid w:val="68B2669E"/>
    <w:rsid w:val="68D31B4E"/>
    <w:rsid w:val="68E22B52"/>
    <w:rsid w:val="68EB131E"/>
    <w:rsid w:val="69182A19"/>
    <w:rsid w:val="69274DD3"/>
    <w:rsid w:val="69764EE6"/>
    <w:rsid w:val="698C50B9"/>
    <w:rsid w:val="698E1753"/>
    <w:rsid w:val="69D47128"/>
    <w:rsid w:val="69EC2D98"/>
    <w:rsid w:val="69EE62B3"/>
    <w:rsid w:val="69F07ED0"/>
    <w:rsid w:val="69FE3890"/>
    <w:rsid w:val="69FE414B"/>
    <w:rsid w:val="6A10379F"/>
    <w:rsid w:val="6A36539E"/>
    <w:rsid w:val="6A7A0A2B"/>
    <w:rsid w:val="6A7F636D"/>
    <w:rsid w:val="6A9F255F"/>
    <w:rsid w:val="6ADE7537"/>
    <w:rsid w:val="6B133F99"/>
    <w:rsid w:val="6B221B0E"/>
    <w:rsid w:val="6B426B13"/>
    <w:rsid w:val="6B9419A4"/>
    <w:rsid w:val="6BC4672D"/>
    <w:rsid w:val="6C0009AD"/>
    <w:rsid w:val="6C0C37DA"/>
    <w:rsid w:val="6C3222CB"/>
    <w:rsid w:val="6C364F34"/>
    <w:rsid w:val="6C3A4520"/>
    <w:rsid w:val="6C6204DD"/>
    <w:rsid w:val="6C7543E1"/>
    <w:rsid w:val="6C7D42B4"/>
    <w:rsid w:val="6C8A3E98"/>
    <w:rsid w:val="6C963B87"/>
    <w:rsid w:val="6CA96079"/>
    <w:rsid w:val="6CAC1F8A"/>
    <w:rsid w:val="6CAD0F6F"/>
    <w:rsid w:val="6CC81EA4"/>
    <w:rsid w:val="6D0B633D"/>
    <w:rsid w:val="6D37776E"/>
    <w:rsid w:val="6D4D393B"/>
    <w:rsid w:val="6D69517B"/>
    <w:rsid w:val="6DD644F6"/>
    <w:rsid w:val="6DE2733E"/>
    <w:rsid w:val="6DF901E4"/>
    <w:rsid w:val="6EC8214A"/>
    <w:rsid w:val="6F176B74"/>
    <w:rsid w:val="6F1976C8"/>
    <w:rsid w:val="6F344690"/>
    <w:rsid w:val="6F382A27"/>
    <w:rsid w:val="6F404482"/>
    <w:rsid w:val="6F9208F0"/>
    <w:rsid w:val="6FC2117B"/>
    <w:rsid w:val="6FFC5967"/>
    <w:rsid w:val="70021CEB"/>
    <w:rsid w:val="702A28D7"/>
    <w:rsid w:val="703412AA"/>
    <w:rsid w:val="704838FD"/>
    <w:rsid w:val="707F6878"/>
    <w:rsid w:val="709119F6"/>
    <w:rsid w:val="70AF7F0C"/>
    <w:rsid w:val="70D16063"/>
    <w:rsid w:val="70F562D7"/>
    <w:rsid w:val="713D64DC"/>
    <w:rsid w:val="71941D4C"/>
    <w:rsid w:val="71F7318A"/>
    <w:rsid w:val="721A3870"/>
    <w:rsid w:val="72873F22"/>
    <w:rsid w:val="728E35F1"/>
    <w:rsid w:val="72DB435C"/>
    <w:rsid w:val="72EC194C"/>
    <w:rsid w:val="72F24901"/>
    <w:rsid w:val="72FF622E"/>
    <w:rsid w:val="731750C1"/>
    <w:rsid w:val="73263829"/>
    <w:rsid w:val="737C6513"/>
    <w:rsid w:val="73947A6D"/>
    <w:rsid w:val="739641CD"/>
    <w:rsid w:val="73F76C73"/>
    <w:rsid w:val="73F950CC"/>
    <w:rsid w:val="746135D3"/>
    <w:rsid w:val="74B017A6"/>
    <w:rsid w:val="74C9106A"/>
    <w:rsid w:val="753541F8"/>
    <w:rsid w:val="75477675"/>
    <w:rsid w:val="75781DD0"/>
    <w:rsid w:val="75824D9D"/>
    <w:rsid w:val="759C397F"/>
    <w:rsid w:val="75AB1C93"/>
    <w:rsid w:val="761B163F"/>
    <w:rsid w:val="761F3505"/>
    <w:rsid w:val="76486327"/>
    <w:rsid w:val="76810114"/>
    <w:rsid w:val="76E41762"/>
    <w:rsid w:val="76E46ECE"/>
    <w:rsid w:val="77051815"/>
    <w:rsid w:val="7712634F"/>
    <w:rsid w:val="7717316E"/>
    <w:rsid w:val="77603777"/>
    <w:rsid w:val="77901BB9"/>
    <w:rsid w:val="779B3C6B"/>
    <w:rsid w:val="77AB5706"/>
    <w:rsid w:val="77C7479C"/>
    <w:rsid w:val="78211D8C"/>
    <w:rsid w:val="787B3EF7"/>
    <w:rsid w:val="787D26D8"/>
    <w:rsid w:val="788E3223"/>
    <w:rsid w:val="78E06AB0"/>
    <w:rsid w:val="792C5912"/>
    <w:rsid w:val="794669D3"/>
    <w:rsid w:val="798E0318"/>
    <w:rsid w:val="79AF62F8"/>
    <w:rsid w:val="79E2046D"/>
    <w:rsid w:val="7A1E525A"/>
    <w:rsid w:val="7A1F0FD2"/>
    <w:rsid w:val="7A326EC1"/>
    <w:rsid w:val="7A831952"/>
    <w:rsid w:val="7AC415A1"/>
    <w:rsid w:val="7AD93877"/>
    <w:rsid w:val="7BB57C80"/>
    <w:rsid w:val="7BF53DED"/>
    <w:rsid w:val="7BFC0690"/>
    <w:rsid w:val="7C1D50F5"/>
    <w:rsid w:val="7C6106D5"/>
    <w:rsid w:val="7C6151AF"/>
    <w:rsid w:val="7CBE043E"/>
    <w:rsid w:val="7CC540BD"/>
    <w:rsid w:val="7D363C2B"/>
    <w:rsid w:val="7D3B4375"/>
    <w:rsid w:val="7D423759"/>
    <w:rsid w:val="7D605B8A"/>
    <w:rsid w:val="7D695F1A"/>
    <w:rsid w:val="7D7B29C4"/>
    <w:rsid w:val="7D7D15ED"/>
    <w:rsid w:val="7DD956AA"/>
    <w:rsid w:val="7DF33F09"/>
    <w:rsid w:val="7E04103C"/>
    <w:rsid w:val="7E2D5B39"/>
    <w:rsid w:val="7E42351F"/>
    <w:rsid w:val="7E5106EB"/>
    <w:rsid w:val="7E9E06D8"/>
    <w:rsid w:val="7EBA4E3C"/>
    <w:rsid w:val="7ED160D1"/>
    <w:rsid w:val="7EDB5E10"/>
    <w:rsid w:val="7F0F44D4"/>
    <w:rsid w:val="7F132979"/>
    <w:rsid w:val="7F2B4D67"/>
    <w:rsid w:val="7F9F5AC1"/>
    <w:rsid w:val="7FD0465C"/>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3">
    <w:name w:val="heading 1"/>
    <w:basedOn w:val="1"/>
    <w:next w:val="1"/>
    <w:qFormat/>
    <w:uiPriority w:val="0"/>
    <w:pPr>
      <w:keepNext/>
      <w:keepLines/>
      <w:spacing w:line="360" w:lineRule="auto"/>
      <w:jc w:val="center"/>
      <w:outlineLvl w:val="0"/>
    </w:pPr>
    <w:rPr>
      <w:b/>
      <w:bCs/>
      <w:kern w:val="44"/>
      <w:sz w:val="44"/>
      <w:szCs w:val="44"/>
    </w:rPr>
  </w:style>
  <w:style w:type="paragraph" w:styleId="4">
    <w:name w:val="heading 2"/>
    <w:basedOn w:val="1"/>
    <w:next w:val="1"/>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szCs w:val="20"/>
    </w:rPr>
  </w:style>
  <w:style w:type="paragraph" w:styleId="6">
    <w:name w:val="Normal Indent"/>
    <w:basedOn w:val="1"/>
    <w:next w:val="7"/>
    <w:qFormat/>
    <w:uiPriority w:val="0"/>
    <w:pPr>
      <w:autoSpaceDE w:val="0"/>
      <w:autoSpaceDN w:val="0"/>
      <w:adjustRightInd w:val="0"/>
      <w:ind w:firstLine="420"/>
    </w:pPr>
    <w:rPr>
      <w:rFonts w:ascii="宋体"/>
      <w:szCs w:val="20"/>
    </w:rPr>
  </w:style>
  <w:style w:type="paragraph" w:styleId="7">
    <w:name w:val="toa heading"/>
    <w:basedOn w:val="1"/>
    <w:next w:val="1"/>
    <w:qFormat/>
    <w:uiPriority w:val="0"/>
    <w:pPr>
      <w:spacing w:before="120"/>
    </w:pPr>
    <w:rPr>
      <w:rFonts w:ascii="Cambria" w:hAnsi="Cambria"/>
      <w:szCs w:val="20"/>
    </w:rPr>
  </w:style>
  <w:style w:type="paragraph" w:styleId="8">
    <w:name w:val="annotation text"/>
    <w:basedOn w:val="1"/>
    <w:qFormat/>
    <w:uiPriority w:val="0"/>
    <w:pPr>
      <w:jc w:val="left"/>
    </w:pPr>
  </w:style>
  <w:style w:type="paragraph" w:styleId="9">
    <w:name w:val="Body Text"/>
    <w:basedOn w:val="1"/>
    <w:next w:val="10"/>
    <w:qFormat/>
    <w:uiPriority w:val="99"/>
    <w:pPr>
      <w:numPr>
        <w:ilvl w:val="0"/>
        <w:numId w:val="1"/>
      </w:numPr>
      <w:tabs>
        <w:tab w:val="clear" w:pos="780"/>
      </w:tabs>
      <w:ind w:left="0" w:firstLine="0"/>
    </w:pPr>
    <w:rPr>
      <w:rFonts w:ascii="黑体" w:eastAsia="黑体"/>
      <w:sz w:val="22"/>
    </w:rPr>
  </w:style>
  <w:style w:type="paragraph" w:customStyle="1" w:styleId="10">
    <w:name w:val="_Style 2"/>
    <w:basedOn w:val="3"/>
    <w:next w:val="1"/>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styleId="11">
    <w:name w:val="Body Text Indent"/>
    <w:basedOn w:val="1"/>
    <w:next w:val="12"/>
    <w:qFormat/>
    <w:uiPriority w:val="0"/>
    <w:pPr>
      <w:spacing w:after="120"/>
      <w:ind w:left="200" w:leftChars="200"/>
    </w:pPr>
  </w:style>
  <w:style w:type="paragraph" w:styleId="12">
    <w:name w:val="envelope return"/>
    <w:basedOn w:val="1"/>
    <w:qFormat/>
    <w:uiPriority w:val="0"/>
    <w:pPr>
      <w:snapToGrid w:val="0"/>
    </w:pPr>
    <w:rPr>
      <w:rFonts w:ascii="Arial" w:hAnsi="Arial"/>
    </w:rPr>
  </w:style>
  <w:style w:type="paragraph" w:styleId="13">
    <w:name w:val="Plain Text"/>
    <w:basedOn w:val="1"/>
    <w:next w:val="14"/>
    <w:qFormat/>
    <w:uiPriority w:val="0"/>
    <w:rPr>
      <w:rFonts w:ascii="宋体"/>
      <w:szCs w:val="20"/>
      <w:u w:color="000000"/>
    </w:rPr>
  </w:style>
  <w:style w:type="paragraph" w:styleId="14">
    <w:name w:val="index 7"/>
    <w:basedOn w:val="1"/>
    <w:next w:val="1"/>
    <w:qFormat/>
    <w:uiPriority w:val="0"/>
    <w:pPr>
      <w:ind w:left="1200" w:leftChars="1200"/>
    </w:pPr>
    <w:rPr>
      <w:color w:val="auto"/>
      <w:kern w:val="2"/>
    </w:rPr>
  </w:style>
  <w:style w:type="paragraph" w:styleId="15">
    <w:name w:val="Date"/>
    <w:basedOn w:val="1"/>
    <w:next w:val="1"/>
    <w:qFormat/>
    <w:uiPriority w:val="0"/>
    <w:rPr>
      <w:rFonts w:ascii="Arial" w:hAnsi="Arial" w:eastAsia="仿宋_GB2312"/>
      <w:sz w:val="32"/>
      <w:szCs w:val="20"/>
      <w:u w:color="000000"/>
    </w:rPr>
  </w:style>
  <w:style w:type="paragraph" w:styleId="16">
    <w:name w:val="Balloon Text"/>
    <w:basedOn w:val="1"/>
    <w:qFormat/>
    <w:uiPriority w:val="0"/>
    <w:rPr>
      <w:sz w:val="18"/>
      <w:szCs w:val="18"/>
    </w:rPr>
  </w:style>
  <w:style w:type="paragraph" w:styleId="17">
    <w:name w:val="footer"/>
    <w:basedOn w:val="1"/>
    <w:qFormat/>
    <w:uiPriority w:val="0"/>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footnote text"/>
    <w:basedOn w:val="1"/>
    <w:next w:val="9"/>
    <w:semiHidden/>
    <w:unhideWhenUsed/>
    <w:qFormat/>
    <w:uiPriority w:val="99"/>
    <w:pPr>
      <w:snapToGrid w:val="0"/>
    </w:pPr>
    <w:rPr>
      <w:sz w:val="18"/>
      <w:szCs w:val="18"/>
    </w:rPr>
  </w:style>
  <w:style w:type="paragraph" w:styleId="20">
    <w:name w:val="Body Text 2"/>
    <w:basedOn w:val="1"/>
    <w:qFormat/>
    <w:uiPriority w:val="0"/>
    <w:pPr>
      <w:tabs>
        <w:tab w:val="left" w:pos="0"/>
      </w:tabs>
      <w:spacing w:line="400" w:lineRule="atLeast"/>
    </w:pPr>
    <w:rPr>
      <w:rFonts w:ascii="Arial" w:hAnsi="Arial"/>
    </w:rPr>
  </w:style>
  <w:style w:type="paragraph" w:styleId="21">
    <w:name w:val="Normal (Web)"/>
    <w:basedOn w:val="1"/>
    <w:qFormat/>
    <w:uiPriority w:val="99"/>
    <w:pPr>
      <w:widowControl/>
    </w:pPr>
    <w:rPr>
      <w:rFonts w:ascii="宋体" w:hAnsi="宋体" w:eastAsia="宋体" w:cs="宋体"/>
    </w:rPr>
  </w:style>
  <w:style w:type="paragraph" w:styleId="22">
    <w:name w:val="Title"/>
    <w:basedOn w:val="1"/>
    <w:next w:val="1"/>
    <w:qFormat/>
    <w:uiPriority w:val="0"/>
    <w:pPr>
      <w:spacing w:before="240" w:after="60"/>
      <w:jc w:val="center"/>
      <w:outlineLvl w:val="0"/>
    </w:pPr>
    <w:rPr>
      <w:rFonts w:ascii="Cambria" w:hAnsi="Cambria"/>
      <w:b/>
      <w:bCs/>
      <w:sz w:val="32"/>
      <w:szCs w:val="32"/>
    </w:rPr>
  </w:style>
  <w:style w:type="paragraph" w:styleId="23">
    <w:name w:val="Body Text First Indent"/>
    <w:basedOn w:val="9"/>
    <w:next w:val="24"/>
    <w:unhideWhenUsed/>
    <w:qFormat/>
    <w:uiPriority w:val="99"/>
    <w:pPr>
      <w:tabs>
        <w:tab w:val="left" w:pos="567"/>
        <w:tab w:val="left" w:pos="780"/>
      </w:tabs>
      <w:ind w:firstLine="420" w:firstLineChars="100"/>
    </w:pPr>
  </w:style>
  <w:style w:type="paragraph" w:styleId="24">
    <w:name w:val="Body Text First Indent 2"/>
    <w:basedOn w:val="11"/>
    <w:next w:val="1"/>
    <w:qFormat/>
    <w:uiPriority w:val="0"/>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bCs/>
    </w:rPr>
  </w:style>
  <w:style w:type="character" w:styleId="29">
    <w:name w:val="Hyperlink"/>
    <w:qFormat/>
    <w:uiPriority w:val="99"/>
    <w:rPr>
      <w:color w:val="0000FF"/>
      <w:u w:val="single"/>
    </w:rPr>
  </w:style>
  <w:style w:type="character" w:styleId="30">
    <w:name w:val="footnote reference"/>
    <w:basedOn w:val="27"/>
    <w:semiHidden/>
    <w:unhideWhenUsed/>
    <w:qFormat/>
    <w:uiPriority w:val="99"/>
    <w:rPr>
      <w:vertAlign w:val="superscript"/>
    </w:rPr>
  </w:style>
  <w:style w:type="paragraph" w:customStyle="1" w:styleId="31">
    <w:name w:val="Default"/>
    <w:basedOn w:val="2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正文格式"/>
    <w:basedOn w:val="1"/>
    <w:qFormat/>
    <w:uiPriority w:val="99"/>
    <w:pPr>
      <w:widowControl/>
      <w:adjustRightInd w:val="0"/>
      <w:snapToGrid w:val="0"/>
      <w:spacing w:line="400" w:lineRule="atLeast"/>
      <w:ind w:firstLine="482"/>
      <w:textAlignment w:val="baseline"/>
    </w:pPr>
  </w:style>
  <w:style w:type="paragraph" w:customStyle="1" w:styleId="33">
    <w:name w:val="文档正文"/>
    <w:basedOn w:val="6"/>
    <w:qFormat/>
    <w:uiPriority w:val="0"/>
    <w:pPr>
      <w:spacing w:line="360" w:lineRule="auto"/>
    </w:pPr>
    <w:rPr>
      <w:rFonts w:hAnsi="宋体"/>
      <w:b/>
      <w:bCs/>
    </w:rPr>
  </w:style>
  <w:style w:type="paragraph" w:customStyle="1" w:styleId="34">
    <w:name w:val="Heading #2|1"/>
    <w:basedOn w:val="1"/>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5">
    <w:name w:val="Body text|2"/>
    <w:basedOn w:val="1"/>
    <w:qFormat/>
    <w:uiPriority w:val="0"/>
    <w:pPr>
      <w:spacing w:after="260"/>
      <w:ind w:firstLine="140"/>
    </w:pPr>
    <w:rPr>
      <w:rFonts w:ascii="宋体" w:hAnsi="宋体" w:eastAsia="宋体" w:cs="宋体"/>
      <w:sz w:val="30"/>
      <w:szCs w:val="30"/>
      <w:lang w:val="zh-TW" w:eastAsia="zh-TW" w:bidi="zh-TW"/>
    </w:rPr>
  </w:style>
  <w:style w:type="paragraph" w:customStyle="1" w:styleId="36">
    <w:name w:val="Body text|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7">
    <w:name w:val="Other|1"/>
    <w:basedOn w:val="1"/>
    <w:qFormat/>
    <w:uiPriority w:val="0"/>
    <w:pPr>
      <w:spacing w:line="454" w:lineRule="auto"/>
      <w:ind w:firstLine="140"/>
    </w:pPr>
    <w:rPr>
      <w:rFonts w:ascii="宋体" w:hAnsi="宋体" w:eastAsia="宋体" w:cs="宋体"/>
      <w:sz w:val="22"/>
      <w:szCs w:val="22"/>
      <w:lang w:val="zh-TW" w:eastAsia="zh-TW" w:bidi="zh-TW"/>
    </w:rPr>
  </w:style>
  <w:style w:type="paragraph" w:customStyle="1" w:styleId="38">
    <w:name w:val="Table caption|1"/>
    <w:basedOn w:val="1"/>
    <w:qFormat/>
    <w:uiPriority w:val="0"/>
    <w:rPr>
      <w:rFonts w:ascii="宋体" w:hAnsi="宋体" w:eastAsia="宋体" w:cs="宋体"/>
      <w:sz w:val="22"/>
      <w:szCs w:val="22"/>
      <w:lang w:val="zh-TW" w:eastAsia="zh-TW" w:bidi="zh-TW"/>
    </w:rPr>
  </w:style>
  <w:style w:type="paragraph" w:customStyle="1" w:styleId="39">
    <w:name w:val="Table Paragraph"/>
    <w:basedOn w:val="1"/>
    <w:qFormat/>
    <w:uiPriority w:val="1"/>
    <w:pPr>
      <w:autoSpaceDE w:val="0"/>
      <w:autoSpaceDN w:val="0"/>
      <w:adjustRightInd w:val="0"/>
    </w:pPr>
    <w:rPr>
      <w:rFonts w:eastAsia="宋体"/>
    </w:rPr>
  </w:style>
  <w:style w:type="paragraph" w:customStyle="1" w:styleId="40">
    <w:name w:val="black1"/>
    <w:basedOn w:val="1"/>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41">
    <w:name w:val="图例"/>
    <w:basedOn w:val="1"/>
    <w:qFormat/>
    <w:uiPriority w:val="0"/>
    <w:pPr>
      <w:spacing w:before="120" w:after="120" w:line="360" w:lineRule="auto"/>
      <w:jc w:val="center"/>
    </w:pPr>
    <w:rPr>
      <w:rFonts w:eastAsia="仿宋_GB2312"/>
      <w:b/>
    </w:rPr>
  </w:style>
  <w:style w:type="paragraph" w:customStyle="1" w:styleId="42">
    <w:name w:val="WPS Plain"/>
    <w:qFormat/>
    <w:uiPriority w:val="0"/>
    <w:rPr>
      <w:rFonts w:ascii="Times New Roman" w:hAnsi="Times New Roman" w:eastAsia="宋体" w:cs="Times New Roman"/>
      <w:lang w:val="en-US" w:eastAsia="zh-CN" w:bidi="ar-SA"/>
    </w:rPr>
  </w:style>
  <w:style w:type="paragraph" w:customStyle="1" w:styleId="43">
    <w:name w:val="样式 左侧:  0 厘米 悬挂缩进: 2.5 字符"/>
    <w:basedOn w:val="1"/>
    <w:qFormat/>
    <w:uiPriority w:val="0"/>
    <w:pPr>
      <w:ind w:left="525" w:hanging="525" w:hangingChars="250"/>
    </w:pPr>
    <w:rPr>
      <w:szCs w:val="20"/>
    </w:rPr>
  </w:style>
  <w:style w:type="character" w:customStyle="1" w:styleId="44">
    <w:name w:val="font11"/>
    <w:basedOn w:val="27"/>
    <w:qFormat/>
    <w:uiPriority w:val="0"/>
    <w:rPr>
      <w:rFonts w:ascii="Calibri" w:hAnsi="Calibri" w:cs="Calibri"/>
      <w:color w:val="000000"/>
      <w:sz w:val="20"/>
      <w:szCs w:val="20"/>
      <w:u w:val="none"/>
    </w:rPr>
  </w:style>
  <w:style w:type="paragraph" w:styleId="45">
    <w:name w:val="List Paragraph"/>
    <w:basedOn w:val="1"/>
    <w:qFormat/>
    <w:uiPriority w:val="0"/>
    <w:pPr>
      <w:widowControl/>
      <w:ind w:firstLine="420" w:firstLineChars="200"/>
    </w:pPr>
  </w:style>
  <w:style w:type="paragraph" w:customStyle="1" w:styleId="46">
    <w:name w:val="列出段落1"/>
    <w:basedOn w:val="1"/>
    <w:qFormat/>
    <w:uiPriority w:val="34"/>
    <w:pPr>
      <w:ind w:firstLine="420" w:firstLineChars="200"/>
    </w:p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p15"/>
    <w:basedOn w:val="1"/>
    <w:qFormat/>
    <w:uiPriority w:val="0"/>
    <w:pPr>
      <w:snapToGrid/>
      <w:spacing w:after="0"/>
    </w:pPr>
    <w:rPr>
      <w:rFonts w:ascii="Arial Unicode MS" w:hAnsi="Arial Unicode MS" w:eastAsia="宋体" w:cs="宋体"/>
      <w:color w:val="000000"/>
      <w:sz w:val="24"/>
      <w:szCs w:val="24"/>
    </w:rPr>
  </w:style>
  <w:style w:type="paragraph" w:customStyle="1" w:styleId="49">
    <w:name w:val="Body text|4"/>
    <w:basedOn w:val="1"/>
    <w:qFormat/>
    <w:uiPriority w:val="0"/>
    <w:pPr>
      <w:spacing w:after="580"/>
    </w:pPr>
    <w:rPr>
      <w:rFonts w:ascii="MingLiU" w:hAnsi="MingLiU" w:eastAsia="MingLiU" w:cs="MingLiU"/>
      <w:color w:val="00005D"/>
      <w:sz w:val="56"/>
      <w:szCs w:val="56"/>
      <w:lang w:val="zh-TW" w:eastAsia="zh-TW" w:bidi="zh-TW"/>
    </w:rPr>
  </w:style>
  <w:style w:type="character" w:customStyle="1" w:styleId="50">
    <w:name w:val="font91"/>
    <w:basedOn w:val="27"/>
    <w:qFormat/>
    <w:uiPriority w:val="0"/>
    <w:rPr>
      <w:rFonts w:hint="eastAsia" w:ascii="宋体" w:hAnsi="宋体" w:eastAsia="宋体" w:cs="宋体"/>
      <w:color w:val="000000"/>
      <w:sz w:val="22"/>
      <w:szCs w:val="22"/>
      <w:u w:val="none"/>
      <w:vertAlign w:val="superscript"/>
    </w:rPr>
  </w:style>
  <w:style w:type="paragraph" w:customStyle="1" w:styleId="51">
    <w:name w:val="首行缩进"/>
    <w:basedOn w:val="1"/>
    <w:qFormat/>
    <w:uiPriority w:val="0"/>
    <w:pPr>
      <w:spacing w:line="360" w:lineRule="auto"/>
      <w:ind w:firstLine="480" w:firstLineChars="200"/>
    </w:pPr>
    <w:rPr>
      <w:rFonts w:ascii="Calibri" w:hAnsi="Calibri" w:cs="Times New Roman"/>
      <w:sz w:val="24"/>
      <w:szCs w:val="22"/>
      <w:lang w:val="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78</Pages>
  <Words>1874</Words>
  <Characters>2190</Characters>
  <Lines>389</Lines>
  <Paragraphs>109</Paragraphs>
  <TotalTime>51</TotalTime>
  <ScaleCrop>false</ScaleCrop>
  <LinksUpToDate>false</LinksUpToDate>
  <CharactersWithSpaces>2367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顺其自然</cp:lastModifiedBy>
  <cp:lastPrinted>2025-04-27T04:10:00Z</cp:lastPrinted>
  <dcterms:modified xsi:type="dcterms:W3CDTF">2025-04-28T09:30:48Z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422BAB109E5F4C7FAF053AC847C50C37_13</vt:lpwstr>
  </property>
  <property fmtid="{D5CDD505-2E9C-101B-9397-08002B2CF9AE}" pid="4" name="KSOTemplateDocerSaveRecord">
    <vt:lpwstr>eyJoZGlkIjoiZTJjMjUxMGNhODBjMWJhNGE5NzdiZWUyMzM4ZjljZGEiLCJ1c2VySWQiOiIzMDYxNDU1NjAifQ==</vt:lpwstr>
  </property>
</Properties>
</file>