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仿宋" w:hAnsi="仿宋" w:eastAsia="仿宋" w:cs="仿宋"/>
          <w:b/>
          <w:bCs/>
          <w:color w:val="auto"/>
          <w:w w:val="90"/>
          <w:sz w:val="52"/>
          <w:szCs w:val="52"/>
          <w:lang w:eastAsia="zh-CN"/>
        </w:rPr>
      </w:pPr>
    </w:p>
    <w:p>
      <w:pPr>
        <w:jc w:val="center"/>
        <w:rPr>
          <w:rFonts w:ascii="仿宋" w:hAnsi="仿宋" w:eastAsia="仿宋" w:cs="仿宋"/>
          <w:b/>
          <w:bCs/>
          <w:color w:val="auto"/>
          <w:w w:val="90"/>
          <w:sz w:val="52"/>
          <w:szCs w:val="52"/>
          <w:lang w:eastAsia="zh-CN"/>
        </w:rPr>
      </w:pPr>
      <w:r>
        <w:rPr>
          <w:rFonts w:hint="eastAsia" w:ascii="仿宋" w:hAnsi="仿宋" w:eastAsia="仿宋" w:cs="仿宋"/>
          <w:b/>
          <w:bCs/>
          <w:color w:val="auto"/>
          <w:w w:val="90"/>
          <w:sz w:val="48"/>
          <w:szCs w:val="48"/>
          <w:lang w:eastAsia="zh-CN"/>
        </w:rPr>
        <w:t>阿图什市技工教育提升项目（三次）</w:t>
      </w:r>
    </w:p>
    <w:p>
      <w:pPr>
        <w:pStyle w:val="21"/>
        <w:spacing w:line="760" w:lineRule="exact"/>
        <w:jc w:val="center"/>
        <w:rPr>
          <w:rFonts w:hint="default" w:ascii="仿宋" w:hAnsi="仿宋" w:eastAsia="仿宋" w:cs="仿宋"/>
          <w:b/>
          <w:color w:val="auto"/>
          <w:sz w:val="36"/>
          <w:szCs w:val="36"/>
          <w:lang w:val="en-US"/>
        </w:rPr>
      </w:pPr>
      <w:r>
        <w:rPr>
          <w:rFonts w:hint="eastAsia" w:ascii="仿宋" w:hAnsi="仿宋" w:eastAsia="仿宋" w:cs="仿宋"/>
          <w:b/>
          <w:bCs/>
          <w:color w:val="auto"/>
          <w:sz w:val="36"/>
          <w:szCs w:val="36"/>
        </w:rPr>
        <w:t>项目编号：</w:t>
      </w:r>
      <w:r>
        <w:rPr>
          <w:rFonts w:hint="eastAsia" w:ascii="仿宋" w:hAnsi="仿宋" w:eastAsia="仿宋" w:cs="仿宋"/>
          <w:b/>
          <w:bCs/>
          <w:color w:val="auto"/>
          <w:sz w:val="36"/>
          <w:szCs w:val="36"/>
          <w:lang w:eastAsia="zh-CN"/>
        </w:rPr>
        <w:t>ATSSJYZX-2022097-1</w:t>
      </w:r>
      <w:r>
        <w:rPr>
          <w:rFonts w:hint="eastAsia" w:ascii="仿宋" w:hAnsi="仿宋" w:eastAsia="仿宋" w:cs="仿宋"/>
          <w:b/>
          <w:bCs/>
          <w:color w:val="auto"/>
          <w:sz w:val="36"/>
          <w:szCs w:val="36"/>
          <w:lang w:val="en-US" w:eastAsia="zh-CN"/>
        </w:rPr>
        <w:t>-1</w:t>
      </w:r>
    </w:p>
    <w:p>
      <w:pPr>
        <w:pStyle w:val="21"/>
        <w:spacing w:line="760" w:lineRule="exact"/>
        <w:rPr>
          <w:rFonts w:ascii="仿宋" w:hAnsi="仿宋" w:eastAsia="仿宋" w:cs="仿宋"/>
          <w:color w:val="auto"/>
        </w:rPr>
      </w:pPr>
    </w:p>
    <w:p>
      <w:pPr>
        <w:pStyle w:val="21"/>
        <w:rPr>
          <w:rFonts w:ascii="仿宋" w:hAnsi="仿宋" w:eastAsia="仿宋" w:cs="仿宋"/>
          <w:color w:val="auto"/>
        </w:rPr>
      </w:pPr>
    </w:p>
    <w:p>
      <w:pPr>
        <w:pStyle w:val="21"/>
        <w:jc w:val="center"/>
        <w:rPr>
          <w:rFonts w:hint="eastAsia" w:ascii="仿宋" w:hAnsi="仿宋" w:eastAsia="仿宋" w:cs="仿宋"/>
          <w:b/>
          <w:bCs/>
          <w:color w:val="auto"/>
          <w:sz w:val="96"/>
          <w:szCs w:val="96"/>
          <w:lang w:eastAsia="zh-CN"/>
        </w:rPr>
      </w:pPr>
      <w:r>
        <w:rPr>
          <w:rFonts w:ascii="仿宋" w:hAnsi="仿宋" w:eastAsia="仿宋" w:cs="仿宋"/>
          <w:b/>
          <w:color w:val="auto"/>
          <w:sz w:val="96"/>
          <w:szCs w:val="96"/>
        </w:rPr>
        <w:drawing>
          <wp:anchor distT="0" distB="0" distL="114300" distR="114300" simplePos="0" relativeHeight="251660288" behindDoc="1" locked="0" layoutInCell="1" allowOverlap="1">
            <wp:simplePos x="0" y="0"/>
            <wp:positionH relativeFrom="column">
              <wp:posOffset>1682115</wp:posOffset>
            </wp:positionH>
            <wp:positionV relativeFrom="page">
              <wp:posOffset>3465195</wp:posOffset>
            </wp:positionV>
            <wp:extent cx="2419350" cy="23622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2419350" cy="2362200"/>
                    </a:xfrm>
                    <a:prstGeom prst="rect">
                      <a:avLst/>
                    </a:prstGeom>
                    <a:noFill/>
                    <a:ln>
                      <a:noFill/>
                    </a:ln>
                  </pic:spPr>
                </pic:pic>
              </a:graphicData>
            </a:graphic>
          </wp:anchor>
        </w:drawing>
      </w:r>
      <w:r>
        <w:rPr>
          <w:rFonts w:hint="eastAsia" w:ascii="仿宋" w:hAnsi="仿宋" w:eastAsia="仿宋" w:cs="仿宋"/>
          <w:b/>
          <w:color w:val="auto"/>
          <w:sz w:val="96"/>
          <w:szCs w:val="96"/>
          <w:lang w:eastAsia="zh-CN"/>
        </w:rPr>
        <w:t>谈</w:t>
      </w:r>
    </w:p>
    <w:p>
      <w:pPr>
        <w:pStyle w:val="21"/>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判</w:t>
      </w:r>
    </w:p>
    <w:p>
      <w:pPr>
        <w:pStyle w:val="21"/>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pPr>
        <w:pStyle w:val="21"/>
        <w:jc w:val="center"/>
        <w:rPr>
          <w:rFonts w:ascii="仿宋" w:hAnsi="仿宋" w:eastAsia="仿宋" w:cs="仿宋"/>
          <w:color w:val="auto"/>
          <w:sz w:val="84"/>
          <w:szCs w:val="84"/>
        </w:rPr>
      </w:pPr>
      <w:r>
        <w:rPr>
          <w:rFonts w:hint="eastAsia" w:ascii="仿宋" w:hAnsi="仿宋" w:eastAsia="仿宋" w:cs="仿宋"/>
          <w:b/>
          <w:bCs/>
          <w:color w:val="auto"/>
          <w:sz w:val="96"/>
          <w:szCs w:val="96"/>
        </w:rPr>
        <w:t>件</w:t>
      </w:r>
    </w:p>
    <w:p>
      <w:pPr>
        <w:pStyle w:val="21"/>
        <w:rPr>
          <w:rFonts w:ascii="仿宋" w:hAnsi="仿宋" w:eastAsia="仿宋" w:cs="仿宋"/>
          <w:color w:val="auto"/>
        </w:rPr>
      </w:pPr>
    </w:p>
    <w:p>
      <w:pPr>
        <w:pStyle w:val="21"/>
        <w:rPr>
          <w:rFonts w:ascii="仿宋" w:hAnsi="仿宋" w:eastAsia="仿宋" w:cs="仿宋"/>
          <w:color w:val="auto"/>
        </w:rPr>
      </w:pPr>
    </w:p>
    <w:p>
      <w:pPr>
        <w:spacing w:line="700" w:lineRule="exact"/>
        <w:ind w:firstLine="726" w:firstLineChars="200"/>
        <w:rPr>
          <w:rFonts w:ascii="仿宋" w:hAnsi="仿宋" w:eastAsia="仿宋" w:cs="仿宋"/>
          <w:color w:val="auto"/>
          <w:sz w:val="36"/>
          <w:szCs w:val="36"/>
          <w:lang w:eastAsia="zh-CN"/>
        </w:rPr>
      </w:pPr>
      <w:r>
        <w:rPr>
          <w:rFonts w:hint="eastAsia" w:ascii="仿宋" w:hAnsi="仿宋" w:eastAsia="仿宋" w:cs="仿宋"/>
          <w:color w:val="auto"/>
          <w:sz w:val="36"/>
          <w:szCs w:val="36"/>
        </w:rPr>
        <w:t>采购单位：</w:t>
      </w:r>
      <w:r>
        <w:rPr>
          <w:rFonts w:hint="eastAsia" w:ascii="仿宋" w:hAnsi="仿宋" w:eastAsia="仿宋" w:cs="仿宋"/>
          <w:color w:val="auto"/>
          <w:sz w:val="36"/>
          <w:szCs w:val="36"/>
          <w:lang w:eastAsia="zh-CN"/>
        </w:rPr>
        <w:t>阿图什市技工学校</w:t>
      </w:r>
    </w:p>
    <w:p>
      <w:pPr>
        <w:spacing w:line="700" w:lineRule="exact"/>
        <w:ind w:firstLine="726" w:firstLineChars="200"/>
        <w:rPr>
          <w:rFonts w:ascii="仿宋" w:hAnsi="仿宋" w:eastAsia="仿宋" w:cs="仿宋"/>
          <w:color w:val="auto"/>
          <w:sz w:val="36"/>
          <w:szCs w:val="36"/>
          <w:lang w:eastAsia="zh-CN"/>
        </w:rPr>
      </w:pPr>
      <w:r>
        <w:rPr>
          <w:rFonts w:hint="eastAsia" w:ascii="仿宋" w:hAnsi="仿宋" w:eastAsia="仿宋" w:cs="仿宋"/>
          <w:color w:val="auto"/>
          <w:sz w:val="36"/>
          <w:szCs w:val="36"/>
          <w:lang w:eastAsia="zh-CN"/>
        </w:rPr>
        <w:t xml:space="preserve">联 系 人：赵先生  </w:t>
      </w:r>
    </w:p>
    <w:p>
      <w:pPr>
        <w:spacing w:line="700" w:lineRule="exact"/>
        <w:ind w:firstLine="726" w:firstLineChars="200"/>
        <w:rPr>
          <w:rFonts w:ascii="仿宋" w:hAnsi="仿宋" w:eastAsia="仿宋" w:cs="仿宋"/>
          <w:color w:val="auto"/>
          <w:sz w:val="36"/>
          <w:szCs w:val="36"/>
          <w:lang w:eastAsia="zh-CN"/>
        </w:rPr>
      </w:pPr>
      <w:r>
        <w:rPr>
          <w:rFonts w:hint="eastAsia" w:ascii="仿宋" w:hAnsi="仿宋" w:eastAsia="仿宋" w:cs="仿宋"/>
          <w:color w:val="auto"/>
          <w:sz w:val="36"/>
          <w:szCs w:val="36"/>
          <w:lang w:eastAsia="zh-CN"/>
        </w:rPr>
        <w:t>联系电话：13667596655</w:t>
      </w:r>
    </w:p>
    <w:p>
      <w:pPr>
        <w:spacing w:line="700" w:lineRule="exact"/>
        <w:ind w:firstLine="726" w:firstLineChars="200"/>
        <w:rPr>
          <w:rFonts w:ascii="仿宋" w:hAnsi="仿宋" w:eastAsia="仿宋" w:cs="仿宋"/>
          <w:color w:val="auto"/>
          <w:sz w:val="36"/>
          <w:szCs w:val="36"/>
        </w:rPr>
      </w:pPr>
      <w:r>
        <w:rPr>
          <w:rFonts w:hint="eastAsia" w:ascii="仿宋" w:hAnsi="仿宋" w:eastAsia="仿宋" w:cs="仿宋"/>
          <w:color w:val="auto"/>
          <w:sz w:val="36"/>
          <w:szCs w:val="36"/>
        </w:rPr>
        <w:t>代理机构：</w:t>
      </w:r>
      <w:r>
        <w:rPr>
          <w:rFonts w:hint="eastAsia" w:ascii="仿宋" w:hAnsi="仿宋" w:eastAsia="仿宋" w:cs="仿宋"/>
          <w:color w:val="auto"/>
          <w:sz w:val="36"/>
          <w:szCs w:val="36"/>
          <w:lang w:eastAsia="zh-CN"/>
        </w:rPr>
        <w:t>鼎建项目管理有限公司</w:t>
      </w:r>
    </w:p>
    <w:p>
      <w:pPr>
        <w:spacing w:line="700" w:lineRule="exact"/>
        <w:ind w:firstLine="726" w:firstLineChars="200"/>
        <w:rPr>
          <w:rFonts w:ascii="仿宋" w:hAnsi="仿宋" w:eastAsia="仿宋" w:cs="仿宋"/>
          <w:color w:val="auto"/>
          <w:sz w:val="36"/>
          <w:szCs w:val="36"/>
          <w:lang w:eastAsia="zh-CN"/>
        </w:rPr>
      </w:pPr>
      <w:r>
        <w:rPr>
          <w:rFonts w:hint="eastAsia" w:ascii="仿宋" w:hAnsi="仿宋" w:eastAsia="仿宋" w:cs="仿宋"/>
          <w:color w:val="auto"/>
          <w:sz w:val="36"/>
          <w:szCs w:val="36"/>
        </w:rPr>
        <w:t>联 系 人：</w:t>
      </w:r>
      <w:r>
        <w:rPr>
          <w:rFonts w:hint="eastAsia" w:ascii="仿宋" w:hAnsi="仿宋" w:eastAsia="仿宋" w:cs="仿宋"/>
          <w:color w:val="auto"/>
          <w:sz w:val="36"/>
          <w:szCs w:val="36"/>
          <w:lang w:eastAsia="zh-CN"/>
        </w:rPr>
        <w:t>朱先生</w:t>
      </w:r>
    </w:p>
    <w:p>
      <w:pPr>
        <w:spacing w:line="700" w:lineRule="exact"/>
        <w:ind w:firstLine="726" w:firstLineChars="200"/>
        <w:rPr>
          <w:rFonts w:hint="default" w:ascii="仿宋" w:hAnsi="仿宋" w:eastAsia="仿宋" w:cs="仿宋"/>
          <w:color w:val="auto"/>
          <w:sz w:val="36"/>
          <w:szCs w:val="36"/>
          <w:lang w:val="en-US" w:eastAsia="zh-CN"/>
        </w:rPr>
      </w:pPr>
      <w:r>
        <w:rPr>
          <w:rFonts w:hint="eastAsia" w:ascii="仿宋" w:hAnsi="仿宋" w:eastAsia="仿宋" w:cs="仿宋"/>
          <w:color w:val="auto"/>
          <w:sz w:val="36"/>
          <w:szCs w:val="36"/>
          <w:lang w:eastAsia="zh-CN"/>
        </w:rPr>
        <w:t>联系电话: 18609088999</w:t>
      </w:r>
    </w:p>
    <w:p>
      <w:pPr>
        <w:jc w:val="center"/>
        <w:rPr>
          <w:rFonts w:ascii="仿宋" w:hAnsi="仿宋" w:eastAsia="仿宋" w:cs="仿宋"/>
          <w:b/>
          <w:color w:val="auto"/>
          <w:sz w:val="36"/>
          <w:szCs w:val="36"/>
        </w:rPr>
      </w:pPr>
    </w:p>
    <w:p>
      <w:pPr>
        <w:jc w:val="center"/>
        <w:rPr>
          <w:rFonts w:ascii="仿宋" w:hAnsi="仿宋" w:eastAsia="仿宋" w:cs="仿宋"/>
          <w:b/>
          <w:color w:val="auto"/>
          <w:sz w:val="36"/>
          <w:szCs w:val="36"/>
        </w:rPr>
      </w:pPr>
      <w:r>
        <w:rPr>
          <w:rFonts w:hint="eastAsia" w:ascii="仿宋" w:hAnsi="仿宋" w:eastAsia="仿宋" w:cs="仿宋"/>
          <w:b/>
          <w:color w:val="auto"/>
          <w:sz w:val="36"/>
          <w:szCs w:val="36"/>
        </w:rPr>
        <w:t>招投标监督管理机构备案登记栏</w:t>
      </w:r>
    </w:p>
    <w:tbl>
      <w:tblPr>
        <w:tblStyle w:val="17"/>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826" w:type="dxa"/>
          </w:tcPr>
          <w:p>
            <w:pPr>
              <w:spacing w:line="500" w:lineRule="exact"/>
              <w:jc w:val="both"/>
              <w:rPr>
                <w:rFonts w:ascii="仿宋" w:hAnsi="仿宋" w:eastAsia="仿宋" w:cs="仿宋"/>
                <w:color w:val="auto"/>
              </w:rPr>
            </w:pPr>
          </w:p>
          <w:p>
            <w:pPr>
              <w:spacing w:line="500" w:lineRule="exact"/>
              <w:jc w:val="both"/>
              <w:rPr>
                <w:rFonts w:ascii="仿宋" w:hAnsi="仿宋" w:eastAsia="仿宋" w:cs="仿宋"/>
                <w:color w:val="auto"/>
              </w:rPr>
            </w:pPr>
          </w:p>
          <w:p>
            <w:pPr>
              <w:spacing w:line="500" w:lineRule="exact"/>
              <w:jc w:val="both"/>
              <w:rPr>
                <w:rFonts w:ascii="仿宋" w:hAnsi="仿宋" w:eastAsia="仿宋" w:cs="仿宋"/>
                <w:color w:val="auto"/>
                <w:w w:val="95"/>
                <w:sz w:val="32"/>
                <w:szCs w:val="32"/>
                <w:lang w:eastAsia="zh-CN"/>
              </w:rPr>
            </w:pPr>
            <w:r>
              <w:rPr>
                <w:rFonts w:hint="eastAsia" w:ascii="仿宋" w:hAnsi="仿宋" w:eastAsia="仿宋" w:cs="仿宋"/>
                <w:color w:val="auto"/>
                <w:sz w:val="32"/>
                <w:szCs w:val="32"/>
              </w:rPr>
              <w:t>采购单位：</w:t>
            </w:r>
            <w:r>
              <w:rPr>
                <w:rFonts w:hint="eastAsia" w:ascii="仿宋" w:hAnsi="仿宋" w:eastAsia="仿宋" w:cs="仿宋"/>
                <w:color w:val="auto"/>
                <w:w w:val="95"/>
                <w:sz w:val="32"/>
                <w:szCs w:val="32"/>
                <w:lang w:eastAsia="zh-CN"/>
              </w:rPr>
              <w:t>阿图什市技工学校（盖章）</w:t>
            </w:r>
          </w:p>
          <w:p>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pPr>
              <w:spacing w:line="500" w:lineRule="exact"/>
              <w:jc w:val="both"/>
              <w:rPr>
                <w:rFonts w:ascii="仿宋" w:hAnsi="仿宋" w:eastAsia="仿宋" w:cs="仿宋"/>
                <w:color w:val="auto"/>
                <w:sz w:val="32"/>
                <w:szCs w:val="32"/>
              </w:rPr>
            </w:pPr>
          </w:p>
          <w:p>
            <w:pPr>
              <w:spacing w:line="500" w:lineRule="exact"/>
              <w:jc w:val="both"/>
              <w:rPr>
                <w:rFonts w:ascii="仿宋" w:hAnsi="仿宋" w:eastAsia="仿宋" w:cs="仿宋"/>
                <w:color w:val="auto"/>
                <w:sz w:val="32"/>
                <w:szCs w:val="32"/>
              </w:rPr>
            </w:pPr>
          </w:p>
          <w:p>
            <w:pPr>
              <w:spacing w:line="500" w:lineRule="exact"/>
              <w:ind w:left="3554" w:hanging="3553" w:hangingChars="1100"/>
              <w:jc w:val="both"/>
              <w:rPr>
                <w:rFonts w:ascii="仿宋" w:hAnsi="仿宋" w:eastAsia="仿宋" w:cs="仿宋"/>
                <w:color w:val="auto"/>
                <w:sz w:val="32"/>
                <w:szCs w:val="32"/>
              </w:rPr>
            </w:pPr>
          </w:p>
          <w:p>
            <w:pPr>
              <w:spacing w:line="500" w:lineRule="exact"/>
              <w:ind w:left="3554" w:hanging="3553" w:hangingChars="1100"/>
              <w:jc w:val="both"/>
              <w:rPr>
                <w:rFonts w:ascii="仿宋" w:hAnsi="仿宋" w:eastAsia="仿宋" w:cs="仿宋"/>
                <w:color w:val="auto"/>
                <w:sz w:val="32"/>
                <w:szCs w:val="32"/>
                <w:lang w:eastAsia="zh-CN"/>
              </w:rPr>
            </w:pPr>
            <w:r>
              <w:rPr>
                <w:rFonts w:hint="eastAsia" w:ascii="仿宋" w:hAnsi="仿宋" w:eastAsia="仿宋" w:cs="仿宋"/>
                <w:color w:val="auto"/>
                <w:sz w:val="32"/>
                <w:szCs w:val="32"/>
              </w:rPr>
              <w:t>采购项目名称：</w:t>
            </w:r>
            <w:r>
              <w:rPr>
                <w:rFonts w:hint="eastAsia" w:ascii="仿宋" w:hAnsi="仿宋" w:eastAsia="仿宋" w:cs="仿宋"/>
                <w:color w:val="auto"/>
                <w:sz w:val="32"/>
                <w:szCs w:val="32"/>
                <w:lang w:eastAsia="zh-CN"/>
              </w:rPr>
              <w:t>阿图什市技工教育提升项目（三次）</w:t>
            </w:r>
          </w:p>
          <w:p>
            <w:pPr>
              <w:spacing w:line="500" w:lineRule="exact"/>
              <w:ind w:left="3554" w:hanging="3553" w:hangingChars="1100"/>
              <w:jc w:val="both"/>
              <w:rPr>
                <w:rFonts w:ascii="仿宋" w:hAnsi="仿宋" w:eastAsia="仿宋" w:cs="仿宋"/>
                <w:color w:val="auto"/>
                <w:sz w:val="32"/>
                <w:szCs w:val="32"/>
                <w:lang w:eastAsia="zh-CN"/>
              </w:rPr>
            </w:pPr>
          </w:p>
          <w:p>
            <w:pPr>
              <w:pStyle w:val="7"/>
              <w:spacing w:line="500" w:lineRule="exact"/>
              <w:jc w:val="both"/>
              <w:outlineLvl w:val="2"/>
              <w:rPr>
                <w:rFonts w:ascii="仿宋" w:hAnsi="仿宋" w:eastAsia="仿宋" w:cs="仿宋"/>
                <w:color w:val="auto"/>
              </w:rPr>
            </w:pPr>
          </w:p>
          <w:p>
            <w:pPr>
              <w:spacing w:line="500" w:lineRule="exact"/>
              <w:jc w:val="both"/>
              <w:rPr>
                <w:rFonts w:ascii="仿宋" w:hAnsi="仿宋" w:eastAsia="仿宋" w:cs="仿宋"/>
                <w:color w:val="auto"/>
                <w:sz w:val="32"/>
                <w:szCs w:val="32"/>
              </w:rPr>
            </w:pPr>
          </w:p>
          <w:p>
            <w:pPr>
              <w:spacing w:line="500" w:lineRule="exact"/>
              <w:jc w:val="both"/>
              <w:rPr>
                <w:rFonts w:ascii="仿宋" w:hAnsi="仿宋" w:eastAsia="仿宋" w:cs="仿宋"/>
                <w:color w:val="auto"/>
                <w:sz w:val="32"/>
                <w:szCs w:val="32"/>
              </w:rPr>
            </w:pPr>
          </w:p>
          <w:p>
            <w:pPr>
              <w:spacing w:line="500" w:lineRule="exact"/>
              <w:jc w:val="both"/>
              <w:rPr>
                <w:rFonts w:ascii="仿宋" w:hAnsi="仿宋" w:eastAsia="仿宋" w:cs="仿宋"/>
                <w:color w:val="auto"/>
                <w:sz w:val="32"/>
                <w:szCs w:val="32"/>
              </w:rPr>
            </w:pPr>
          </w:p>
          <w:p>
            <w:pPr>
              <w:shd w:val="clear" w:color="040000" w:fill="auto"/>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鼎建项目管理有限公司（盖章）</w:t>
            </w:r>
          </w:p>
          <w:p>
            <w:pPr>
              <w:pStyle w:val="7"/>
              <w:jc w:val="center"/>
              <w:outlineLvl w:val="2"/>
              <w:rPr>
                <w:rFonts w:ascii="仿宋" w:hAnsi="仿宋" w:eastAsia="仿宋" w:cs="仿宋"/>
                <w:color w:val="auto"/>
              </w:rPr>
            </w:pPr>
          </w:p>
          <w:p>
            <w:pPr>
              <w:pStyle w:val="7"/>
              <w:jc w:val="center"/>
              <w:outlineLvl w:val="2"/>
              <w:rPr>
                <w:rFonts w:ascii="仿宋" w:hAnsi="仿宋" w:eastAsia="仿宋" w:cs="仿宋"/>
                <w:color w:val="auto"/>
              </w:rPr>
            </w:pPr>
          </w:p>
          <w:p>
            <w:pPr>
              <w:autoSpaceDE w:val="0"/>
              <w:autoSpaceDN w:val="0"/>
              <w:adjustRightInd w:val="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本采购</w:t>
            </w:r>
            <w:r>
              <w:rPr>
                <w:rFonts w:hint="eastAsia" w:ascii="仿宋" w:hAnsi="仿宋" w:eastAsia="仿宋" w:cs="仿宋"/>
                <w:b/>
                <w:color w:val="auto"/>
                <w:kern w:val="0"/>
                <w:sz w:val="32"/>
                <w:szCs w:val="32"/>
                <w:lang w:val="en-US" w:eastAsia="zh-CN"/>
              </w:rPr>
              <w:t>谈判文件</w:t>
            </w:r>
            <w:r>
              <w:rPr>
                <w:rFonts w:hint="eastAsia" w:ascii="仿宋" w:hAnsi="仿宋" w:eastAsia="仿宋" w:cs="仿宋"/>
                <w:b/>
                <w:color w:val="auto"/>
                <w:kern w:val="0"/>
                <w:sz w:val="32"/>
                <w:szCs w:val="32"/>
              </w:rPr>
              <w:t>已报备</w:t>
            </w:r>
          </w:p>
          <w:p>
            <w:pPr>
              <w:pStyle w:val="7"/>
              <w:jc w:val="both"/>
              <w:outlineLvl w:val="2"/>
              <w:rPr>
                <w:rFonts w:ascii="仿宋" w:hAnsi="仿宋" w:eastAsia="仿宋" w:cs="仿宋"/>
                <w:color w:val="auto"/>
              </w:rPr>
            </w:pPr>
          </w:p>
        </w:tc>
      </w:tr>
    </w:tbl>
    <w:p>
      <w:pPr>
        <w:spacing w:line="240" w:lineRule="exact"/>
        <w:rPr>
          <w:rFonts w:ascii="仿宋" w:hAnsi="仿宋" w:eastAsia="仿宋" w:cs="仿宋"/>
          <w:color w:val="auto"/>
          <w:sz w:val="44"/>
          <w:szCs w:val="44"/>
        </w:rPr>
      </w:pPr>
    </w:p>
    <w:p>
      <w:pPr>
        <w:spacing w:line="240" w:lineRule="exact"/>
        <w:rPr>
          <w:rFonts w:ascii="仿宋" w:hAnsi="仿宋" w:eastAsia="仿宋" w:cs="仿宋"/>
          <w:color w:val="auto"/>
          <w:sz w:val="44"/>
          <w:szCs w:val="44"/>
        </w:rPr>
      </w:pPr>
    </w:p>
    <w:p>
      <w:pPr>
        <w:pStyle w:val="22"/>
        <w:spacing w:before="0" w:line="360" w:lineRule="auto"/>
        <w:jc w:val="center"/>
        <w:rPr>
          <w:rFonts w:ascii="仿宋" w:hAnsi="仿宋" w:eastAsia="仿宋" w:cs="仿宋"/>
          <w:color w:val="auto"/>
          <w:sz w:val="44"/>
          <w:szCs w:val="44"/>
          <w:lang w:val="zh-CN"/>
        </w:rPr>
        <w:sectPr>
          <w:footerReference r:id="rId3" w:type="default"/>
          <w:pgSz w:w="11905" w:h="16838"/>
          <w:pgMar w:top="1440" w:right="1417" w:bottom="1440" w:left="1417" w:header="850" w:footer="992" w:gutter="0"/>
          <w:cols w:space="720" w:num="1"/>
          <w:docGrid w:type="linesAndChars" w:linePitch="325" w:charSpace="635"/>
        </w:sectPr>
      </w:pPr>
    </w:p>
    <w:p>
      <w:pPr>
        <w:rPr>
          <w:rFonts w:ascii="仿宋" w:hAnsi="仿宋" w:eastAsia="仿宋" w:cs="仿宋"/>
          <w:color w:val="auto"/>
          <w:lang w:val="zh-CN"/>
        </w:rPr>
      </w:pPr>
    </w:p>
    <w:p>
      <w:pPr>
        <w:pStyle w:val="22"/>
        <w:spacing w:before="0" w:line="360" w:lineRule="auto"/>
        <w:jc w:val="center"/>
        <w:rPr>
          <w:rFonts w:ascii="仿宋" w:hAnsi="仿宋" w:eastAsia="仿宋" w:cs="仿宋"/>
          <w:color w:val="auto"/>
          <w:sz w:val="44"/>
          <w:szCs w:val="44"/>
          <w:lang w:val="zh-CN"/>
        </w:rPr>
      </w:pPr>
    </w:p>
    <w:p>
      <w:pPr>
        <w:pStyle w:val="22"/>
        <w:spacing w:before="0" w:line="360" w:lineRule="auto"/>
        <w:jc w:val="center"/>
        <w:rPr>
          <w:rFonts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pPr>
        <w:rPr>
          <w:rFonts w:ascii="仿宋" w:hAnsi="仿宋" w:eastAsia="仿宋" w:cs="仿宋"/>
          <w:color w:val="auto"/>
          <w:sz w:val="30"/>
          <w:szCs w:val="30"/>
          <w:lang w:val="zh-CN"/>
        </w:rPr>
      </w:pPr>
    </w:p>
    <w:p>
      <w:pPr>
        <w:spacing w:line="360" w:lineRule="auto"/>
        <w:rPr>
          <w:rFonts w:ascii="仿宋" w:hAnsi="仿宋" w:eastAsia="仿宋" w:cs="仿宋"/>
          <w:color w:val="auto"/>
          <w:sz w:val="30"/>
          <w:szCs w:val="30"/>
        </w:rPr>
      </w:pPr>
    </w:p>
    <w:p>
      <w:pPr>
        <w:widowControl/>
        <w:rPr>
          <w:rFonts w:ascii="仿宋" w:hAnsi="仿宋" w:eastAsia="仿宋" w:cs="仿宋"/>
          <w:color w:val="auto"/>
          <w:sz w:val="30"/>
          <w:szCs w:val="30"/>
        </w:rPr>
      </w:pPr>
    </w:p>
    <w:p>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第一部分      竞争性</w:t>
      </w:r>
      <w:r>
        <w:rPr>
          <w:rFonts w:hint="eastAsia" w:ascii="仿宋" w:hAnsi="仿宋" w:eastAsia="仿宋" w:cs="仿宋"/>
          <w:b/>
          <w:color w:val="auto"/>
          <w:sz w:val="30"/>
          <w:szCs w:val="30"/>
          <w:lang w:eastAsia="zh-CN"/>
        </w:rPr>
        <w:t>谈判</w:t>
      </w:r>
      <w:r>
        <w:rPr>
          <w:rFonts w:hint="eastAsia" w:ascii="仿宋" w:hAnsi="仿宋" w:eastAsia="仿宋" w:cs="仿宋"/>
          <w:b/>
          <w:color w:val="auto"/>
          <w:sz w:val="30"/>
          <w:szCs w:val="30"/>
        </w:rPr>
        <w:t>公告</w:t>
      </w:r>
    </w:p>
    <w:p>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第二部分      供应商须知</w:t>
      </w:r>
    </w:p>
    <w:p>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技术要</w:t>
      </w:r>
      <w:r>
        <w:rPr>
          <w:rFonts w:hint="eastAsia" w:ascii="仿宋" w:hAnsi="仿宋" w:eastAsia="仿宋" w:cs="仿宋"/>
          <w:b/>
          <w:color w:val="auto"/>
          <w:sz w:val="30"/>
          <w:szCs w:val="30"/>
        </w:rPr>
        <w:t>求</w:t>
      </w:r>
    </w:p>
    <w:p>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第四部分      合同文本（参考）</w:t>
      </w:r>
    </w:p>
    <w:p>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第五部分      响应文件格式</w:t>
      </w:r>
    </w:p>
    <w:p>
      <w:pPr>
        <w:pStyle w:val="3"/>
        <w:numPr>
          <w:ilvl w:val="0"/>
          <w:numId w:val="0"/>
        </w:numPr>
        <w:tabs>
          <w:tab w:val="clear" w:pos="780"/>
        </w:tabs>
        <w:rPr>
          <w:rFonts w:ascii="仿宋" w:hAnsi="仿宋" w:eastAsia="仿宋" w:cs="仿宋"/>
          <w:color w:val="auto"/>
        </w:rPr>
      </w:pPr>
    </w:p>
    <w:p>
      <w:pPr>
        <w:rPr>
          <w:rFonts w:ascii="仿宋" w:hAnsi="仿宋" w:eastAsia="仿宋" w:cs="仿宋"/>
          <w:color w:val="auto"/>
        </w:rPr>
      </w:pPr>
    </w:p>
    <w:p>
      <w:pPr>
        <w:pStyle w:val="7"/>
        <w:rPr>
          <w:rFonts w:ascii="仿宋" w:hAnsi="仿宋" w:eastAsia="仿宋" w:cs="仿宋"/>
          <w:color w:val="auto"/>
          <w:lang w:eastAsia="zh-CN"/>
        </w:rPr>
      </w:pPr>
    </w:p>
    <w:p>
      <w:pPr>
        <w:rPr>
          <w:rFonts w:ascii="仿宋" w:hAnsi="仿宋" w:eastAsia="仿宋" w:cs="仿宋"/>
          <w:color w:val="auto"/>
        </w:rPr>
      </w:pPr>
    </w:p>
    <w:p>
      <w:pPr>
        <w:pStyle w:val="7"/>
        <w:rPr>
          <w:rFonts w:ascii="仿宋" w:hAnsi="仿宋" w:eastAsia="仿宋" w:cs="仿宋"/>
          <w:color w:val="auto"/>
        </w:rPr>
      </w:pPr>
    </w:p>
    <w:p>
      <w:pPr>
        <w:rPr>
          <w:rFonts w:ascii="仿宋" w:hAnsi="仿宋" w:eastAsia="仿宋" w:cs="仿宋"/>
          <w:color w:val="auto"/>
        </w:rPr>
      </w:pPr>
    </w:p>
    <w:p>
      <w:pPr>
        <w:pStyle w:val="7"/>
        <w:rPr>
          <w:rFonts w:ascii="仿宋" w:hAnsi="仿宋" w:eastAsia="仿宋" w:cs="仿宋"/>
          <w:color w:val="auto"/>
        </w:rPr>
      </w:pPr>
    </w:p>
    <w:p>
      <w:pPr>
        <w:rPr>
          <w:rFonts w:ascii="仿宋" w:hAnsi="仿宋" w:eastAsia="仿宋" w:cs="仿宋"/>
          <w:color w:val="auto"/>
        </w:rPr>
      </w:pPr>
    </w:p>
    <w:p>
      <w:pPr>
        <w:pStyle w:val="7"/>
        <w:rPr>
          <w:rFonts w:ascii="仿宋" w:hAnsi="仿宋" w:eastAsia="仿宋" w:cs="仿宋"/>
          <w:color w:val="auto"/>
        </w:rPr>
      </w:pPr>
    </w:p>
    <w:p>
      <w:pPr>
        <w:rPr>
          <w:rFonts w:ascii="仿宋" w:hAnsi="仿宋" w:eastAsia="仿宋" w:cs="仿宋"/>
          <w:color w:val="auto"/>
        </w:rPr>
      </w:pPr>
    </w:p>
    <w:p>
      <w:pPr>
        <w:pStyle w:val="23"/>
        <w:keepNext/>
        <w:keepLines/>
        <w:pageBreakBefore w:val="0"/>
        <w:widowControl w:val="0"/>
        <w:numPr>
          <w:ilvl w:val="0"/>
          <w:numId w:val="2"/>
        </w:numPr>
        <w:kinsoku/>
        <w:wordWrap/>
        <w:overflowPunct/>
        <w:topLinePunct w:val="0"/>
        <w:autoSpaceDE/>
        <w:autoSpaceDN/>
        <w:bidi w:val="0"/>
        <w:adjustRightInd/>
        <w:snapToGrid/>
        <w:spacing w:before="120" w:after="300" w:line="400" w:lineRule="exact"/>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竞争性谈判公告</w:t>
      </w:r>
      <w:bookmarkStart w:id="0" w:name="_Toc35393789"/>
      <w:bookmarkStart w:id="1" w:name="_Toc28359001"/>
    </w:p>
    <w:p>
      <w:pPr>
        <w:pStyle w:val="23"/>
        <w:keepNext/>
        <w:keepLines/>
        <w:pageBreakBefore w:val="0"/>
        <w:widowControl w:val="0"/>
        <w:numPr>
          <w:ilvl w:val="0"/>
          <w:numId w:val="0"/>
        </w:numPr>
        <w:kinsoku/>
        <w:wordWrap/>
        <w:overflowPunct/>
        <w:topLinePunct w:val="0"/>
        <w:autoSpaceDE/>
        <w:autoSpaceDN/>
        <w:bidi w:val="0"/>
        <w:adjustRightInd/>
        <w:snapToGrid/>
        <w:spacing w:before="120" w:after="300" w:line="400" w:lineRule="exact"/>
        <w:jc w:val="center"/>
        <w:textAlignment w:val="auto"/>
        <w:rPr>
          <w:rFonts w:hint="eastAsia" w:ascii="仿宋" w:hAnsi="仿宋" w:eastAsia="仿宋" w:cs="仿宋"/>
          <w:b/>
          <w:color w:val="auto"/>
          <w:sz w:val="28"/>
          <w:szCs w:val="28"/>
          <w:shd w:val="clear" w:color="auto" w:fill="FFFFFF"/>
          <w:lang w:eastAsia="zh-CN"/>
        </w:rPr>
      </w:pPr>
      <w:r>
        <w:rPr>
          <w:rFonts w:hint="eastAsia" w:ascii="仿宋" w:hAnsi="仿宋" w:eastAsia="仿宋" w:cs="仿宋"/>
          <w:b/>
          <w:color w:val="auto"/>
          <w:sz w:val="28"/>
          <w:szCs w:val="28"/>
          <w:shd w:val="clear" w:color="auto" w:fill="FFFFFF"/>
          <w:lang w:eastAsia="zh-CN"/>
        </w:rPr>
        <w:t>鼎建项目管理有限公司关于</w:t>
      </w:r>
      <w:bookmarkEnd w:id="0"/>
      <w:bookmarkEnd w:id="1"/>
      <w:r>
        <w:rPr>
          <w:rFonts w:hint="eastAsia" w:ascii="仿宋" w:hAnsi="仿宋" w:eastAsia="仿宋" w:cs="仿宋"/>
          <w:b/>
          <w:color w:val="auto"/>
          <w:sz w:val="28"/>
          <w:szCs w:val="28"/>
          <w:shd w:val="clear" w:color="auto" w:fill="FFFFFF"/>
          <w:lang w:eastAsia="zh-CN"/>
        </w:rPr>
        <w:t>阿图什市技工教育提升项目（三次）</w:t>
      </w:r>
    </w:p>
    <w:p>
      <w:pPr>
        <w:pStyle w:val="23"/>
        <w:keepNext/>
        <w:keepLines/>
        <w:pageBreakBefore w:val="0"/>
        <w:widowControl w:val="0"/>
        <w:numPr>
          <w:ilvl w:val="0"/>
          <w:numId w:val="0"/>
        </w:numPr>
        <w:kinsoku/>
        <w:wordWrap/>
        <w:overflowPunct/>
        <w:topLinePunct w:val="0"/>
        <w:autoSpaceDE/>
        <w:autoSpaceDN/>
        <w:bidi w:val="0"/>
        <w:adjustRightInd/>
        <w:snapToGrid/>
        <w:spacing w:before="120" w:after="300" w:line="400" w:lineRule="exact"/>
        <w:jc w:val="center"/>
        <w:textAlignment w:val="auto"/>
        <w:rPr>
          <w:rFonts w:ascii="仿宋" w:hAnsi="仿宋" w:eastAsia="仿宋" w:cs="仿宋"/>
          <w:color w:val="auto"/>
          <w:sz w:val="28"/>
          <w:szCs w:val="28"/>
        </w:rPr>
      </w:pPr>
      <w:r>
        <w:rPr>
          <w:rFonts w:hint="eastAsia" w:ascii="仿宋" w:hAnsi="仿宋" w:eastAsia="仿宋" w:cs="仿宋"/>
          <w:b/>
          <w:color w:val="auto"/>
          <w:sz w:val="28"/>
          <w:szCs w:val="28"/>
          <w:shd w:val="clear" w:color="auto" w:fill="FFFFFF"/>
          <w:lang w:eastAsia="zh-CN"/>
        </w:rPr>
        <w:t>竞争性谈判公告</w:t>
      </w:r>
    </w:p>
    <w:p>
      <w:pPr>
        <w:pBdr>
          <w:top w:val="single" w:color="auto" w:sz="4" w:space="1"/>
          <w:left w:val="single" w:color="auto" w:sz="4" w:space="4"/>
          <w:bottom w:val="single" w:color="auto" w:sz="4" w:space="1"/>
          <w:right w:val="single" w:color="auto" w:sz="4" w:space="4"/>
        </w:pBdr>
        <w:spacing w:line="240" w:lineRule="auto"/>
        <w:rPr>
          <w:rFonts w:ascii="仿宋" w:hAnsi="仿宋" w:eastAsia="仿宋" w:cs="仿宋"/>
          <w:color w:val="auto"/>
          <w:sz w:val="24"/>
          <w:szCs w:val="24"/>
        </w:rPr>
      </w:pPr>
      <w:r>
        <w:rPr>
          <w:rFonts w:hint="eastAsia" w:ascii="仿宋" w:hAnsi="仿宋" w:eastAsia="仿宋" w:cs="仿宋"/>
          <w:color w:val="auto"/>
          <w:sz w:val="24"/>
          <w:szCs w:val="24"/>
        </w:rPr>
        <w:t>项目概况</w:t>
      </w:r>
    </w:p>
    <w:p>
      <w:pPr>
        <w:pBdr>
          <w:top w:val="single" w:color="auto" w:sz="4" w:space="1"/>
          <w:left w:val="single" w:color="auto" w:sz="4" w:space="4"/>
          <w:bottom w:val="single" w:color="auto" w:sz="4" w:space="1"/>
          <w:right w:val="single" w:color="auto" w:sz="4" w:space="4"/>
        </w:pBdr>
        <w:spacing w:line="24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阿图什市技工教育提升项目（三次）的潜在投标人应在供应商登陆政采云平台http://www.zcygov.cn/，在线申请获取谈判文件（登录政府采购云平台 → 项目采购 → 获取谈判文件 → 申请，审核通过后可下载谈判文件，如有操作性问题，可与政采云在线客服进行咨询，咨询电话：95763）获取采购文件，并于 </w:t>
      </w:r>
      <w:r>
        <w:rPr>
          <w:rFonts w:hint="eastAsia" w:ascii="仿宋" w:hAnsi="仿宋" w:eastAsia="仿宋" w:cs="仿宋"/>
          <w:color w:val="auto"/>
          <w:sz w:val="24"/>
          <w:szCs w:val="24"/>
          <w:u w:val="single"/>
          <w:lang w:eastAsia="zh-CN"/>
        </w:rPr>
        <w:t>2023</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single"/>
          <w:lang w:eastAsia="zh-CN"/>
        </w:rPr>
        <w:t>01</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u w:val="none"/>
          <w:lang w:eastAsia="zh-CN"/>
        </w:rPr>
        <w:t>日</w:t>
      </w:r>
      <w:r>
        <w:rPr>
          <w:rFonts w:hint="eastAsia" w:ascii="仿宋" w:hAnsi="仿宋" w:eastAsia="仿宋" w:cs="仿宋"/>
          <w:color w:val="auto"/>
          <w:sz w:val="24"/>
          <w:szCs w:val="24"/>
          <w:lang w:eastAsia="zh-CN"/>
        </w:rPr>
        <w:t xml:space="preserve"> 10:30（北京时间）前（上传）电子响应文件。</w:t>
      </w:r>
    </w:p>
    <w:p>
      <w:pPr>
        <w:pStyle w:val="6"/>
        <w:adjustRightInd/>
        <w:snapToGrid/>
        <w:spacing w:line="240" w:lineRule="auto"/>
        <w:jc w:val="left"/>
        <w:rPr>
          <w:rFonts w:ascii="仿宋" w:hAnsi="仿宋" w:eastAsia="仿宋" w:cs="仿宋"/>
          <w:b w:val="0"/>
          <w:color w:val="auto"/>
          <w:sz w:val="24"/>
          <w:szCs w:val="24"/>
        </w:rPr>
      </w:pPr>
      <w:bookmarkStart w:id="2" w:name="_Toc35393621"/>
      <w:bookmarkStart w:id="3" w:name="_Toc28359079"/>
      <w:bookmarkStart w:id="4" w:name="_Toc28359002"/>
      <w:bookmarkStart w:id="5" w:name="_Toc35393790"/>
      <w:bookmarkStart w:id="6" w:name="_Hlk24379207"/>
      <w:r>
        <w:rPr>
          <w:rFonts w:hint="eastAsia" w:ascii="仿宋" w:hAnsi="仿宋" w:eastAsia="仿宋" w:cs="仿宋"/>
          <w:b w:val="0"/>
          <w:color w:val="auto"/>
          <w:sz w:val="24"/>
          <w:szCs w:val="24"/>
        </w:rPr>
        <w:t>一、项目基本情况</w:t>
      </w:r>
      <w:bookmarkEnd w:id="2"/>
      <w:bookmarkEnd w:id="3"/>
      <w:bookmarkEnd w:id="4"/>
      <w:bookmarkEnd w:id="5"/>
    </w:p>
    <w:bookmarkEnd w:id="6"/>
    <w:p>
      <w:pPr>
        <w:spacing w:line="360" w:lineRule="auto"/>
        <w:ind w:firstLine="49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ATSSJYZX-2022097-1</w:t>
      </w:r>
      <w:r>
        <w:rPr>
          <w:rFonts w:hint="eastAsia" w:ascii="仿宋" w:hAnsi="仿宋" w:eastAsia="仿宋" w:cs="仿宋"/>
          <w:color w:val="auto"/>
          <w:sz w:val="24"/>
          <w:szCs w:val="24"/>
          <w:lang w:val="en-US" w:eastAsia="zh-CN"/>
        </w:rPr>
        <w:t>-1</w:t>
      </w:r>
    </w:p>
    <w:p>
      <w:pPr>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阿图什市技工教育提升项目（三次）</w:t>
      </w:r>
    </w:p>
    <w:p>
      <w:pPr>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采购方式：竞争性谈判</w:t>
      </w:r>
    </w:p>
    <w:p>
      <w:pPr>
        <w:spacing w:line="360" w:lineRule="auto"/>
        <w:ind w:firstLine="49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预算金额</w:t>
      </w:r>
      <w:r>
        <w:rPr>
          <w:rFonts w:hint="eastAsia" w:ascii="仿宋" w:hAnsi="仿宋" w:eastAsia="仿宋" w:cs="仿宋"/>
          <w:color w:val="auto"/>
          <w:sz w:val="24"/>
          <w:szCs w:val="24"/>
          <w:lang w:eastAsia="zh-CN"/>
        </w:rPr>
        <w:t>（元）</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403</w:t>
      </w:r>
    </w:p>
    <w:p>
      <w:pPr>
        <w:spacing w:line="360" w:lineRule="auto"/>
        <w:ind w:firstLine="49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eastAsia="zh-CN" w:bidi="ar-SA"/>
        </w:rPr>
        <w:t>最高限价（元）：</w:t>
      </w:r>
      <w:r>
        <w:rPr>
          <w:rFonts w:hint="eastAsia" w:ascii="仿宋" w:hAnsi="仿宋" w:eastAsia="仿宋" w:cs="仿宋"/>
          <w:color w:val="auto"/>
          <w:kern w:val="2"/>
          <w:sz w:val="24"/>
          <w:szCs w:val="24"/>
          <w:lang w:val="en-US" w:eastAsia="zh-CN" w:bidi="ar-SA"/>
        </w:rPr>
        <w:t>403</w:t>
      </w:r>
    </w:p>
    <w:p>
      <w:pPr>
        <w:spacing w:line="360" w:lineRule="auto"/>
        <w:ind w:firstLine="490" w:firstLineChars="200"/>
        <w:rPr>
          <w:color w:val="auto"/>
          <w:sz w:val="24"/>
          <w:szCs w:val="24"/>
          <w:lang w:eastAsia="zh-CN"/>
        </w:rPr>
      </w:pPr>
      <w:r>
        <w:rPr>
          <w:rFonts w:hint="eastAsia" w:ascii="仿宋" w:hAnsi="仿宋" w:eastAsia="仿宋" w:cs="仿宋"/>
          <w:color w:val="auto"/>
          <w:kern w:val="2"/>
          <w:sz w:val="24"/>
          <w:szCs w:val="24"/>
          <w:lang w:eastAsia="zh-CN" w:bidi="ar-SA"/>
        </w:rPr>
        <w:t>采购需求：</w:t>
      </w:r>
    </w:p>
    <w:p>
      <w:pPr>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标项名称： </w:t>
      </w:r>
      <w:r>
        <w:rPr>
          <w:rFonts w:hint="eastAsia" w:ascii="仿宋" w:hAnsi="仿宋" w:eastAsia="仿宋" w:cs="仿宋"/>
          <w:color w:val="auto"/>
          <w:sz w:val="24"/>
          <w:szCs w:val="24"/>
          <w:lang w:eastAsia="zh-CN"/>
        </w:rPr>
        <w:t>阿图什市技工教育提升项目（三次）</w:t>
      </w:r>
      <w:r>
        <w:rPr>
          <w:rFonts w:hint="eastAsia" w:ascii="仿宋" w:hAnsi="仿宋" w:eastAsia="仿宋" w:cs="仿宋"/>
          <w:color w:val="auto"/>
          <w:sz w:val="24"/>
          <w:szCs w:val="24"/>
        </w:rPr>
        <w:t> </w:t>
      </w:r>
    </w:p>
    <w:p>
      <w:pPr>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 数量：1     </w:t>
      </w:r>
    </w:p>
    <w:p>
      <w:pPr>
        <w:spacing w:line="360" w:lineRule="auto"/>
        <w:ind w:firstLine="490" w:firstLineChars="200"/>
        <w:rPr>
          <w:rFonts w:hint="default" w:ascii="仿宋" w:hAnsi="仿宋" w:eastAsia="仿宋" w:cs="仿宋"/>
          <w:color w:val="auto"/>
          <w:sz w:val="24"/>
          <w:szCs w:val="24"/>
          <w:lang w:val="en-US"/>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403</w:t>
      </w:r>
    </w:p>
    <w:p>
      <w:pPr>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简要规格描述：</w:t>
      </w:r>
      <w:r>
        <w:rPr>
          <w:rFonts w:hint="eastAsia" w:ascii="仿宋" w:hAnsi="仿宋" w:eastAsia="仿宋" w:cs="仿宋"/>
          <w:color w:val="auto"/>
          <w:sz w:val="24"/>
          <w:szCs w:val="24"/>
          <w:lang w:eastAsia="zh-CN"/>
        </w:rPr>
        <w:t>被子、褥子、床垫、枕头；（具体采购内容详见采购清单)</w:t>
      </w:r>
    </w:p>
    <w:p>
      <w:pPr>
        <w:pStyle w:val="2"/>
        <w:ind w:firstLine="490" w:firstLineChars="200"/>
        <w:rPr>
          <w:rFonts w:hint="default"/>
          <w:lang w:val="en-US" w:eastAsia="zh-CN"/>
        </w:rPr>
      </w:pPr>
      <w:r>
        <w:rPr>
          <w:rFonts w:hint="eastAsia" w:ascii="仿宋" w:hAnsi="仿宋" w:eastAsia="仿宋" w:cs="仿宋"/>
          <w:color w:val="auto"/>
          <w:sz w:val="24"/>
          <w:szCs w:val="24"/>
          <w:lang w:val="en-US" w:eastAsia="zh-CN"/>
        </w:rPr>
        <w:t>备注：本项目为单价招标。</w:t>
      </w:r>
    </w:p>
    <w:p>
      <w:pPr>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rPr>
        <w:t>合同履约期限：</w:t>
      </w:r>
      <w:r>
        <w:rPr>
          <w:rFonts w:hint="eastAsia" w:ascii="仿宋" w:hAnsi="仿宋" w:eastAsia="仿宋" w:cs="仿宋"/>
          <w:color w:val="auto"/>
          <w:sz w:val="24"/>
          <w:szCs w:val="24"/>
          <w:lang w:eastAsia="zh-CN"/>
        </w:rPr>
        <w:t>自签订合同后 20天内完成供货。</w:t>
      </w:r>
    </w:p>
    <w:p>
      <w:pPr>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不</w:t>
      </w:r>
      <w:r>
        <w:rPr>
          <w:rFonts w:hint="eastAsia" w:ascii="仿宋" w:hAnsi="仿宋" w:eastAsia="仿宋" w:cs="仿宋"/>
          <w:color w:val="auto"/>
          <w:sz w:val="24"/>
          <w:szCs w:val="24"/>
        </w:rPr>
        <w:t>接受联合体投标。</w:t>
      </w:r>
    </w:p>
    <w:p>
      <w:pPr>
        <w:pStyle w:val="6"/>
        <w:numPr>
          <w:ilvl w:val="0"/>
          <w:numId w:val="3"/>
        </w:numPr>
        <w:adjustRightInd/>
        <w:snapToGrid/>
        <w:spacing w:line="360" w:lineRule="auto"/>
        <w:jc w:val="left"/>
        <w:rPr>
          <w:rFonts w:ascii="仿宋" w:hAnsi="仿宋" w:eastAsia="仿宋" w:cs="仿宋"/>
          <w:color w:val="auto"/>
          <w:sz w:val="24"/>
          <w:szCs w:val="24"/>
        </w:rPr>
      </w:pPr>
      <w:bookmarkStart w:id="7" w:name="_Toc35393791"/>
      <w:bookmarkStart w:id="8" w:name="_Toc28359080"/>
      <w:bookmarkStart w:id="9" w:name="_Toc35393622"/>
      <w:bookmarkStart w:id="10" w:name="_Toc28359003"/>
      <w:r>
        <w:rPr>
          <w:rFonts w:hint="eastAsia" w:ascii="仿宋" w:hAnsi="仿宋" w:eastAsia="仿宋" w:cs="仿宋"/>
          <w:color w:val="auto"/>
          <w:sz w:val="24"/>
          <w:szCs w:val="24"/>
        </w:rPr>
        <w:t>申请人的资格要求：</w:t>
      </w:r>
      <w:bookmarkEnd w:id="7"/>
      <w:bookmarkEnd w:id="8"/>
      <w:bookmarkEnd w:id="9"/>
      <w:bookmarkEnd w:id="10"/>
    </w:p>
    <w:p>
      <w:pPr>
        <w:spacing w:line="360" w:lineRule="auto"/>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 xml:space="preserve"> 1.满足《中华人民共和国政府采购法》第二十二条规定；</w:t>
      </w:r>
    </w:p>
    <w:p>
      <w:pPr>
        <w:pStyle w:val="2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bookmarkStart w:id="11" w:name="_Toc35393623"/>
      <w:bookmarkStart w:id="12" w:name="_Toc28359081"/>
      <w:bookmarkStart w:id="13" w:name="_Toc35393792"/>
      <w:bookmarkStart w:id="14" w:name="_Toc28359004"/>
      <w:r>
        <w:rPr>
          <w:rFonts w:hint="eastAsia" w:ascii="仿宋" w:hAnsi="仿宋" w:eastAsia="仿宋" w:cs="仿宋"/>
          <w:color w:val="auto"/>
          <w:sz w:val="24"/>
          <w:szCs w:val="24"/>
          <w:lang w:eastAsia="zh-CN"/>
        </w:rPr>
        <w:t>2.落实政府采购政策需满足的资格要求：供应商为中小企业。</w:t>
      </w:r>
    </w:p>
    <w:p>
      <w:pPr>
        <w:pStyle w:val="2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3.本项目的特定资格要求：</w:t>
      </w:r>
    </w:p>
    <w:p>
      <w:pPr>
        <w:pStyle w:val="2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1).具备三证合一营业执照副本；</w:t>
      </w:r>
    </w:p>
    <w:p>
      <w:pPr>
        <w:pStyle w:val="2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2).法定代表人投标须提供法定代表人资格证明书，委托代理人投标须提供法定代表人授权委托书；</w:t>
      </w:r>
    </w:p>
    <w:p>
      <w:pPr>
        <w:pStyle w:val="2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3).投标企业须提供投标人（被授权本单位在职人员）近期有效的社保证明；</w:t>
      </w:r>
      <w:r>
        <w:rPr>
          <w:rFonts w:hint="eastAsia" w:ascii="仿宋" w:hAnsi="仿宋" w:eastAsia="仿宋" w:cs="仿宋"/>
          <w:color w:val="auto"/>
          <w:sz w:val="24"/>
          <w:szCs w:val="24"/>
          <w:lang w:val="en-US" w:eastAsia="zh-CN"/>
        </w:rPr>
        <w:t xml:space="preserve"> </w:t>
      </w:r>
    </w:p>
    <w:p>
      <w:pPr>
        <w:pStyle w:val="20"/>
        <w:spacing w:line="360" w:lineRule="auto"/>
        <w:ind w:firstLine="490" w:firstLineChars="200"/>
        <w:rPr>
          <w:rFonts w:ascii="仿宋" w:hAnsi="仿宋" w:eastAsia="仿宋" w:cs="仿宋"/>
          <w:color w:val="auto"/>
          <w:kern w:val="2"/>
          <w:sz w:val="24"/>
          <w:szCs w:val="24"/>
          <w:lang w:eastAsia="zh-CN" w:bidi="ar-SA"/>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pStyle w:val="6"/>
        <w:keepNext/>
        <w:keepLines/>
        <w:adjustRightInd/>
        <w:snapToGrid/>
        <w:spacing w:line="360" w:lineRule="auto"/>
        <w:jc w:val="left"/>
        <w:rPr>
          <w:rFonts w:ascii="仿宋" w:hAnsi="仿宋" w:eastAsia="仿宋" w:cs="仿宋"/>
          <w:color w:val="auto"/>
          <w:sz w:val="24"/>
          <w:szCs w:val="24"/>
          <w:lang w:eastAsia="zh-CN"/>
        </w:rPr>
      </w:pPr>
      <w:r>
        <w:rPr>
          <w:rFonts w:hint="eastAsia" w:ascii="仿宋" w:hAnsi="仿宋" w:eastAsia="仿宋" w:cs="仿宋"/>
          <w:color w:val="auto"/>
          <w:sz w:val="24"/>
          <w:szCs w:val="24"/>
        </w:rPr>
        <w:t>三、获取</w:t>
      </w:r>
      <w:bookmarkEnd w:id="11"/>
      <w:bookmarkEnd w:id="12"/>
      <w:bookmarkEnd w:id="13"/>
      <w:bookmarkEnd w:id="14"/>
      <w:r>
        <w:rPr>
          <w:rFonts w:hint="eastAsia" w:ascii="仿宋" w:hAnsi="仿宋" w:eastAsia="仿宋" w:cs="仿宋"/>
          <w:color w:val="auto"/>
          <w:sz w:val="24"/>
          <w:szCs w:val="24"/>
          <w:lang w:eastAsia="zh-CN"/>
        </w:rPr>
        <w:t>谈判文件</w:t>
      </w:r>
    </w:p>
    <w:p>
      <w:pPr>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val="en-US" w:eastAsia="zh-CN"/>
        </w:rPr>
        <w:t>01</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single"/>
          <w:lang w:val="en-US" w:eastAsia="zh-CN"/>
        </w:rPr>
        <w:t>0</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lang w:eastAsia="zh-CN"/>
        </w:rPr>
        <w:t>日至</w:t>
      </w:r>
      <w:r>
        <w:rPr>
          <w:rFonts w:hint="eastAsia" w:ascii="仿宋" w:hAnsi="仿宋" w:eastAsia="仿宋" w:cs="仿宋"/>
          <w:color w:val="auto"/>
          <w:sz w:val="24"/>
          <w:szCs w:val="24"/>
          <w:u w:val="single"/>
          <w:lang w:eastAsia="zh-CN"/>
        </w:rPr>
        <w:t>2023</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01</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val="en-US" w:eastAsia="zh-CN"/>
        </w:rPr>
        <w:t>11</w:t>
      </w:r>
      <w:r>
        <w:rPr>
          <w:rFonts w:hint="eastAsia" w:ascii="仿宋" w:hAnsi="仿宋" w:eastAsia="仿宋" w:cs="仿宋"/>
          <w:color w:val="auto"/>
          <w:sz w:val="24"/>
          <w:szCs w:val="24"/>
          <w:lang w:eastAsia="zh-CN"/>
        </w:rPr>
        <w:t>日，每天上午10:00至14:00，下午16:00至19：30（北京时间，节假日除外）</w:t>
      </w:r>
    </w:p>
    <w:p>
      <w:pPr>
        <w:spacing w:line="360" w:lineRule="auto"/>
        <w:ind w:firstLine="490" w:firstLineChars="200"/>
        <w:rPr>
          <w:rFonts w:ascii="仿宋" w:hAnsi="仿宋" w:eastAsia="仿宋" w:cs="仿宋"/>
          <w:color w:val="auto"/>
          <w:sz w:val="24"/>
          <w:szCs w:val="24"/>
          <w:lang w:eastAsia="zh-CN"/>
        </w:rPr>
      </w:pPr>
      <w:bookmarkStart w:id="15" w:name="_Toc35393793"/>
      <w:bookmarkStart w:id="16" w:name="_Toc28359082"/>
      <w:bookmarkStart w:id="17" w:name="_Toc28359005"/>
      <w:bookmarkStart w:id="18" w:name="_Toc35393624"/>
      <w:r>
        <w:rPr>
          <w:rFonts w:hint="eastAsia" w:ascii="仿宋" w:hAnsi="仿宋" w:eastAsia="仿宋" w:cs="仿宋"/>
          <w:color w:val="auto"/>
          <w:sz w:val="24"/>
          <w:szCs w:val="24"/>
          <w:lang w:eastAsia="zh-CN"/>
        </w:rPr>
        <w:t>2、地点：供应商登陆政采云平台http://www.zcygov.cn/，在线申请获取谈判文件（登录政府采购云平台 → 项目采购 → 获取谈判文件→申请，审核通过后可下载谈判文件，如有操作性问题，可与政采云在线客服进行咨询，咨询电话：95763）。</w:t>
      </w:r>
    </w:p>
    <w:p>
      <w:pPr>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3、方式：（1）线上获取（登录政府采购云平台 → 项目采购 → 获取谈判文件→ 申请，审核通过后可下载谈判文件）。本次谈判不提供纸质版谈判文件。</w:t>
      </w:r>
    </w:p>
    <w:p>
      <w:pPr>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（2）供应商获取谈判文件前应注册成为政府采购云平台正式供应商。</w:t>
      </w:r>
    </w:p>
    <w:p>
      <w:pPr>
        <w:tabs>
          <w:tab w:val="left" w:pos="366"/>
        </w:tabs>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4、售价（元）：0</w:t>
      </w:r>
    </w:p>
    <w:p>
      <w:pPr>
        <w:pStyle w:val="6"/>
        <w:keepNext/>
        <w:keepLines/>
        <w:adjustRightInd/>
        <w:snapToGrid/>
        <w:spacing w:line="360" w:lineRule="auto"/>
        <w:jc w:val="left"/>
        <w:rPr>
          <w:rFonts w:ascii="仿宋" w:hAnsi="仿宋" w:eastAsia="仿宋" w:cs="仿宋"/>
          <w:color w:val="auto"/>
          <w:sz w:val="24"/>
          <w:szCs w:val="24"/>
          <w:lang w:eastAsia="zh-CN"/>
        </w:rPr>
      </w:pPr>
      <w:r>
        <w:rPr>
          <w:rFonts w:hint="eastAsia" w:ascii="仿宋" w:hAnsi="仿宋" w:eastAsia="仿宋" w:cs="仿宋"/>
          <w:color w:val="auto"/>
          <w:sz w:val="24"/>
          <w:szCs w:val="24"/>
        </w:rPr>
        <w:t>四、</w:t>
      </w:r>
      <w:bookmarkEnd w:id="15"/>
      <w:bookmarkEnd w:id="16"/>
      <w:bookmarkEnd w:id="17"/>
      <w:bookmarkEnd w:id="18"/>
      <w:r>
        <w:rPr>
          <w:rFonts w:hint="eastAsia" w:ascii="仿宋" w:hAnsi="仿宋" w:eastAsia="仿宋" w:cs="仿宋"/>
          <w:color w:val="auto"/>
          <w:sz w:val="24"/>
          <w:szCs w:val="24"/>
          <w:lang w:eastAsia="zh-CN"/>
        </w:rPr>
        <w:t>响应文件提交（上传）</w:t>
      </w:r>
    </w:p>
    <w:p>
      <w:pPr>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val="en-US" w:eastAsia="zh-CN"/>
        </w:rPr>
        <w:t>01</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u w:val="none"/>
          <w:lang w:eastAsia="zh-CN"/>
        </w:rPr>
        <w:t xml:space="preserve"> 10：30 </w:t>
      </w:r>
      <w:r>
        <w:rPr>
          <w:rFonts w:hint="eastAsia" w:ascii="仿宋" w:hAnsi="仿宋" w:eastAsia="仿宋" w:cs="仿宋"/>
          <w:color w:val="auto"/>
          <w:sz w:val="24"/>
          <w:szCs w:val="24"/>
          <w:lang w:eastAsia="zh-CN"/>
        </w:rPr>
        <w:t>（北京时间）</w:t>
      </w:r>
    </w:p>
    <w:p>
      <w:pPr>
        <w:spacing w:line="360" w:lineRule="auto"/>
        <w:ind w:firstLine="490" w:firstLineChars="200"/>
        <w:rPr>
          <w:rFonts w:ascii="仿宋" w:hAnsi="仿宋" w:eastAsia="仿宋" w:cs="仿宋"/>
          <w:color w:val="auto"/>
          <w:kern w:val="2"/>
          <w:sz w:val="24"/>
          <w:szCs w:val="24"/>
          <w:lang w:eastAsia="zh-CN" w:bidi="ar-SA"/>
        </w:rPr>
      </w:pPr>
      <w:bookmarkStart w:id="19" w:name="_Toc28359084"/>
      <w:bookmarkStart w:id="20" w:name="_Toc35393794"/>
      <w:bookmarkStart w:id="21" w:name="_Toc28359007"/>
      <w:bookmarkStart w:id="22" w:name="_Toc35393625"/>
      <w:r>
        <w:rPr>
          <w:rFonts w:hint="eastAsia" w:ascii="仿宋" w:hAnsi="仿宋" w:eastAsia="仿宋" w:cs="仿宋"/>
          <w:color w:val="auto"/>
          <w:sz w:val="24"/>
          <w:szCs w:val="24"/>
          <w:lang w:eastAsia="zh-CN"/>
        </w:rPr>
        <w:t>投标地点：政府采购云平台（</w:t>
      </w:r>
      <w:r>
        <w:rPr>
          <w:color w:val="auto"/>
          <w:sz w:val="24"/>
          <w:szCs w:val="24"/>
        </w:rPr>
        <w:fldChar w:fldCharType="begin"/>
      </w:r>
      <w:r>
        <w:rPr>
          <w:color w:val="auto"/>
          <w:sz w:val="24"/>
          <w:szCs w:val="24"/>
        </w:rPr>
        <w:instrText xml:space="preserve"> HYPERLINK "http://www.zcygov.cn" </w:instrText>
      </w:r>
      <w:r>
        <w:rPr>
          <w:color w:val="auto"/>
          <w:sz w:val="24"/>
          <w:szCs w:val="24"/>
        </w:rPr>
        <w:fldChar w:fldCharType="separate"/>
      </w:r>
      <w:r>
        <w:rPr>
          <w:rFonts w:hint="eastAsia" w:ascii="仿宋" w:hAnsi="仿宋" w:eastAsia="仿宋" w:cs="仿宋"/>
          <w:color w:val="auto"/>
          <w:sz w:val="24"/>
          <w:szCs w:val="24"/>
          <w:lang w:eastAsia="zh-CN"/>
        </w:rPr>
        <w:t>www.zcygov.cn</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w:t>
      </w:r>
    </w:p>
    <w:p>
      <w:pPr>
        <w:spacing w:line="360" w:lineRule="auto"/>
        <w:rPr>
          <w:rFonts w:ascii="仿宋" w:hAnsi="仿宋" w:eastAsia="仿宋" w:cs="仿宋"/>
          <w:b/>
          <w:color w:val="auto"/>
          <w:sz w:val="24"/>
          <w:szCs w:val="24"/>
          <w:lang w:eastAsia="zh-CN" w:bidi="ar-SA"/>
        </w:rPr>
      </w:pPr>
      <w:r>
        <w:rPr>
          <w:rFonts w:hint="eastAsia" w:ascii="仿宋" w:hAnsi="仿宋" w:eastAsia="仿宋" w:cs="仿宋"/>
          <w:b/>
          <w:color w:val="auto"/>
          <w:sz w:val="24"/>
          <w:szCs w:val="24"/>
          <w:lang w:eastAsia="zh-CN" w:bidi="ar-SA"/>
        </w:rPr>
        <w:t>五、响应文件开启</w:t>
      </w:r>
    </w:p>
    <w:p>
      <w:pPr>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开启时间：202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val="en-US" w:eastAsia="zh-CN"/>
        </w:rPr>
        <w:t xml:space="preserve"> 01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 10：30 （北京时间）</w:t>
      </w:r>
    </w:p>
    <w:p>
      <w:pPr>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地点：在政府采购云平台（</w:t>
      </w:r>
      <w:r>
        <w:rPr>
          <w:color w:val="auto"/>
          <w:sz w:val="24"/>
          <w:szCs w:val="24"/>
        </w:rPr>
        <w:fldChar w:fldCharType="begin"/>
      </w:r>
      <w:r>
        <w:rPr>
          <w:color w:val="auto"/>
          <w:sz w:val="24"/>
          <w:szCs w:val="24"/>
        </w:rPr>
        <w:instrText xml:space="preserve"> HYPERLINK "http://www.zcygov.cn" </w:instrText>
      </w:r>
      <w:r>
        <w:rPr>
          <w:color w:val="auto"/>
          <w:sz w:val="24"/>
          <w:szCs w:val="24"/>
        </w:rPr>
        <w:fldChar w:fldCharType="separate"/>
      </w:r>
      <w:r>
        <w:rPr>
          <w:rFonts w:hint="eastAsia" w:ascii="仿宋" w:hAnsi="仿宋" w:eastAsia="仿宋" w:cs="仿宋"/>
          <w:color w:val="auto"/>
          <w:sz w:val="24"/>
          <w:szCs w:val="24"/>
          <w:lang w:eastAsia="zh-CN"/>
        </w:rPr>
        <w:t>www.zcygov.cn</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）上开启响应文件，开标时间后，待采购组织机构发出解密通知后30分钟内，供应商须登录“政采云”平台，用“项目采购-开标评标”功能解密响应文件。</w:t>
      </w:r>
    </w:p>
    <w:p>
      <w:pPr>
        <w:pStyle w:val="6"/>
        <w:keepNext/>
        <w:keepLines/>
        <w:adjustRightInd/>
        <w:snapToGrid/>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、公告期限</w:t>
      </w:r>
      <w:bookmarkEnd w:id="19"/>
      <w:bookmarkEnd w:id="20"/>
      <w:bookmarkEnd w:id="21"/>
      <w:bookmarkEnd w:id="22"/>
    </w:p>
    <w:p>
      <w:pPr>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自本公告发布之日起3个工作日</w:t>
      </w:r>
    </w:p>
    <w:p>
      <w:pPr>
        <w:pStyle w:val="6"/>
        <w:keepNext/>
        <w:keepLines/>
        <w:adjustRightInd/>
        <w:snapToGrid/>
        <w:spacing w:line="360" w:lineRule="auto"/>
        <w:ind w:right="-926" w:rightChars="-378"/>
        <w:jc w:val="left"/>
        <w:rPr>
          <w:rFonts w:ascii="仿宋" w:hAnsi="仿宋" w:eastAsia="仿宋" w:cs="仿宋"/>
          <w:color w:val="auto"/>
          <w:sz w:val="24"/>
          <w:szCs w:val="24"/>
        </w:rPr>
      </w:pPr>
      <w:bookmarkStart w:id="23" w:name="_Toc35393795"/>
      <w:bookmarkStart w:id="24" w:name="_Toc35393626"/>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其他补充事宜</w:t>
      </w:r>
      <w:bookmarkEnd w:id="23"/>
      <w:bookmarkEnd w:id="24"/>
      <w:bookmarkStart w:id="25" w:name="_Toc28359008"/>
      <w:bookmarkStart w:id="26" w:name="_Toc28359085"/>
      <w:bookmarkStart w:id="27" w:name="_Toc35393627"/>
      <w:bookmarkStart w:id="28" w:name="_Toc35393796"/>
    </w:p>
    <w:p>
      <w:pPr>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1.本项目采用全流程不见面电子开评标，投标供应商需要使用CA加密设备，供应商可通过新疆数字证书认证中心官网（https://www.xjca.com.cn/）或下载“新疆政务通”APP自行进行申领。</w:t>
      </w:r>
    </w:p>
    <w:p>
      <w:pPr>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2.本项目实行网上投标，采用加密电子响应文件(供应商须使用CA加密设备通过政采云电子投标客户端制作响应文件)。若供应商参与投标，自行承担投标一切费用。</w:t>
      </w:r>
    </w:p>
    <w:p>
      <w:pPr>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pPr>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5.供应商在开标时须使用制作加密电子响应文件所使用的CA锁及电脑，电脑须提前配置好浏览器（建议使用谷歌浏览器），以便开标时解锁。</w:t>
      </w:r>
    </w:p>
    <w:p>
      <w:pPr>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spacing w:line="360" w:lineRule="auto"/>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7.为了保证开评标顺利进行，政采云线上开标功能完全实现，供应商开标所使用的电脑设备须具有视频及语音功能。</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lang w:eastAsia="zh-CN"/>
        </w:rPr>
        <w:t>八</w:t>
      </w:r>
      <w:r>
        <w:rPr>
          <w:rFonts w:hint="eastAsia" w:ascii="仿宋" w:hAnsi="仿宋" w:eastAsia="仿宋" w:cs="仿宋"/>
          <w:b/>
          <w:color w:val="auto"/>
          <w:sz w:val="24"/>
          <w:szCs w:val="24"/>
        </w:rPr>
        <w:t>、对本次招标提出询问，请按以下方式联系。</w:t>
      </w:r>
      <w:bookmarkEnd w:id="25"/>
      <w:bookmarkEnd w:id="26"/>
      <w:bookmarkEnd w:id="27"/>
      <w:bookmarkEnd w:id="28"/>
    </w:p>
    <w:p>
      <w:pPr>
        <w:spacing w:line="360" w:lineRule="auto"/>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1.采购人信息</w:t>
      </w:r>
    </w:p>
    <w:p>
      <w:pPr>
        <w:spacing w:line="360" w:lineRule="auto"/>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名 称：阿图什市技工学校               </w:t>
      </w:r>
    </w:p>
    <w:p>
      <w:pPr>
        <w:spacing w:line="360" w:lineRule="auto"/>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地址：阿图什市</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 xml:space="preserve">联系方式：赵先生  13667596655             </w:t>
      </w:r>
    </w:p>
    <w:p>
      <w:pPr>
        <w:spacing w:line="360" w:lineRule="auto"/>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2.采购代理机构信息</w:t>
      </w:r>
    </w:p>
    <w:p>
      <w:pPr>
        <w:spacing w:line="360" w:lineRule="auto"/>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名 称：鼎建项目管理有限公司　　　　　　　　   　</w:t>
      </w:r>
    </w:p>
    <w:p>
      <w:pPr>
        <w:spacing w:line="360" w:lineRule="auto"/>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 址：阿图什市光明北路12号博格拉A座四楼　  　</w:t>
      </w:r>
    </w:p>
    <w:p>
      <w:pPr>
        <w:spacing w:line="360" w:lineRule="auto"/>
        <w:ind w:firstLine="245" w:firstLineChars="100"/>
        <w:rPr>
          <w:rFonts w:ascii="仿宋" w:hAnsi="仿宋" w:eastAsia="仿宋" w:cs="仿宋"/>
          <w:color w:val="auto"/>
          <w:sz w:val="24"/>
          <w:szCs w:val="24"/>
        </w:rPr>
      </w:pPr>
      <w:r>
        <w:rPr>
          <w:rFonts w:hint="eastAsia" w:ascii="仿宋" w:hAnsi="仿宋" w:eastAsia="仿宋" w:cs="仿宋"/>
          <w:color w:val="auto"/>
          <w:sz w:val="24"/>
          <w:szCs w:val="24"/>
          <w:lang w:eastAsia="zh-CN"/>
        </w:rPr>
        <w:t>联系方式：朱先生　18609088999</w:t>
      </w:r>
    </w:p>
    <w:p>
      <w:pPr>
        <w:pStyle w:val="23"/>
        <w:keepNext/>
        <w:keepLines/>
        <w:spacing w:before="0" w:after="240"/>
        <w:jc w:val="center"/>
        <w:rPr>
          <w:rFonts w:ascii="仿宋" w:hAnsi="仿宋" w:eastAsia="仿宋" w:cs="仿宋"/>
          <w:color w:val="auto"/>
        </w:rPr>
      </w:pPr>
      <w:r>
        <w:rPr>
          <w:rFonts w:hint="eastAsia" w:ascii="仿宋" w:hAnsi="仿宋" w:eastAsia="仿宋" w:cs="仿宋"/>
          <w:b/>
          <w:bCs/>
          <w:color w:val="auto"/>
        </w:rPr>
        <w:t>第二部分供应商须知</w:t>
      </w:r>
    </w:p>
    <w:p>
      <w:pPr>
        <w:pStyle w:val="24"/>
        <w:spacing w:after="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须知前附表</w:t>
      </w:r>
    </w:p>
    <w:tbl>
      <w:tblPr>
        <w:tblStyle w:val="16"/>
        <w:tblW w:w="9205" w:type="dxa"/>
        <w:jc w:val="center"/>
        <w:tblLayout w:type="fixed"/>
        <w:tblCellMar>
          <w:top w:w="0" w:type="dxa"/>
          <w:left w:w="108" w:type="dxa"/>
          <w:bottom w:w="0" w:type="dxa"/>
          <w:right w:w="108" w:type="dxa"/>
        </w:tblCellMar>
      </w:tblPr>
      <w:tblGrid>
        <w:gridCol w:w="692"/>
        <w:gridCol w:w="1992"/>
        <w:gridCol w:w="6521"/>
      </w:tblGrid>
      <w:tr>
        <w:tblPrEx>
          <w:tblCellMar>
            <w:top w:w="0" w:type="dxa"/>
            <w:left w:w="108" w:type="dxa"/>
            <w:bottom w:w="0" w:type="dxa"/>
            <w:right w:w="108" w:type="dxa"/>
          </w:tblCellMar>
        </w:tblPrEx>
        <w:trPr>
          <w:trHeight w:val="28"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序 号</w:t>
            </w:r>
          </w:p>
        </w:tc>
        <w:tc>
          <w:tcPr>
            <w:tcW w:w="1992"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名  称</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编  列  内  容</w:t>
            </w:r>
          </w:p>
        </w:tc>
      </w:tr>
      <w:tr>
        <w:tblPrEx>
          <w:tblCellMar>
            <w:top w:w="0" w:type="dxa"/>
            <w:left w:w="108" w:type="dxa"/>
            <w:bottom w:w="0" w:type="dxa"/>
            <w:right w:w="108" w:type="dxa"/>
          </w:tblCellMar>
        </w:tblPrEx>
        <w:trPr>
          <w:trHeight w:val="28"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w:t>
            </w:r>
          </w:p>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项目编号</w:t>
            </w:r>
          </w:p>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p>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货 期</w:t>
            </w:r>
          </w:p>
        </w:tc>
        <w:tc>
          <w:tcPr>
            <w:tcW w:w="6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项目名称：阿图什市技工教育提升项目（三次）</w:t>
            </w:r>
          </w:p>
          <w:p>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项目编号：ATSSJYZX-2022097-1</w:t>
            </w:r>
            <w:r>
              <w:rPr>
                <w:rFonts w:hint="eastAsia" w:ascii="仿宋" w:hAnsi="仿宋" w:eastAsia="仿宋" w:cs="仿宋"/>
                <w:color w:val="auto"/>
                <w:sz w:val="24"/>
                <w:szCs w:val="24"/>
                <w:lang w:val="en-US" w:eastAsia="zh-CN"/>
              </w:rPr>
              <w:t>-1</w:t>
            </w:r>
          </w:p>
          <w:p>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采购内容：被子、褥子、床垫、枕头；（具体采购内容详见采购清单)。</w:t>
            </w:r>
          </w:p>
          <w:p>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供货期：自签订合同后 20天内完成供货。。</w:t>
            </w:r>
          </w:p>
        </w:tc>
      </w:tr>
      <w:tr>
        <w:tblPrEx>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采购人信息</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名  称：阿图什市技工学校</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联系人：赵先生       电  话：13667596655 </w:t>
            </w:r>
          </w:p>
        </w:tc>
      </w:tr>
      <w:tr>
        <w:tblPrEx>
          <w:tblCellMar>
            <w:top w:w="0" w:type="dxa"/>
            <w:left w:w="108" w:type="dxa"/>
            <w:bottom w:w="0" w:type="dxa"/>
            <w:right w:w="108" w:type="dxa"/>
          </w:tblCellMar>
        </w:tblPrEx>
        <w:trPr>
          <w:trHeight w:val="873"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采购代理机构</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名  称：鼎建项目管理有限公司</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  址：阿图什市光明北路12号博格拉A座四楼</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联系人：朱先生       电  话：18609088999</w:t>
            </w:r>
          </w:p>
        </w:tc>
      </w:tr>
      <w:tr>
        <w:tblPrEx>
          <w:tblCellMar>
            <w:top w:w="0" w:type="dxa"/>
            <w:left w:w="108" w:type="dxa"/>
            <w:bottom w:w="0" w:type="dxa"/>
            <w:right w:w="108" w:type="dxa"/>
          </w:tblCellMar>
        </w:tblPrEx>
        <w:trPr>
          <w:trHeight w:val="14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最终交货地点</w:t>
            </w:r>
          </w:p>
        </w:tc>
        <w:tc>
          <w:tcPr>
            <w:tcW w:w="6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采购单位指定地点</w:t>
            </w:r>
          </w:p>
        </w:tc>
      </w:tr>
      <w:tr>
        <w:tblPrEx>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资格要求</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1.满足《中华人民共和国政府采购法》第二十二条规定；</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2.落实政府采购政策需满足的资格要求：供应商为中小企业</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3.本项目的特定资格要求：</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1).具备三证合一营业执照副本；</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2).法定代表人投标须提供法定代表人资格证明书，委托代理人投标须提供法定代表人授权委托书；</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3).投标企业须提供投标人（被授权本单位在职人员）近期有效的社保证明；</w:t>
            </w:r>
            <w:r>
              <w:rPr>
                <w:rFonts w:hint="eastAsia" w:ascii="仿宋" w:hAnsi="仿宋" w:eastAsia="仿宋" w:cs="仿宋"/>
                <w:color w:val="auto"/>
                <w:sz w:val="24"/>
                <w:szCs w:val="24"/>
                <w:lang w:val="en-US" w:eastAsia="zh-CN"/>
              </w:rPr>
              <w:t xml:space="preserve"> </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4.本项目不接受联合体投标；</w:t>
            </w:r>
          </w:p>
        </w:tc>
      </w:tr>
      <w:tr>
        <w:tblPrEx>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资金来源</w:t>
            </w:r>
          </w:p>
        </w:tc>
        <w:tc>
          <w:tcPr>
            <w:tcW w:w="6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江苏援疆资金</w:t>
            </w:r>
          </w:p>
        </w:tc>
      </w:tr>
      <w:tr>
        <w:tblPrEx>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招标方式</w:t>
            </w:r>
          </w:p>
        </w:tc>
        <w:tc>
          <w:tcPr>
            <w:tcW w:w="6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竞争性谈判(本项目采用网上电子招投标)  </w:t>
            </w:r>
          </w:p>
        </w:tc>
      </w:tr>
      <w:tr>
        <w:tblPrEx>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供应商信用查询</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1、查询渠道：信用中国（网址：http://www.creditchina.gov.cn）、中国政府采购网(网址：http://www.ccgp.gov.cn）。</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2、截止时点：开标后评标前。</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3、信用信息查询记录和证据留存的具体方式：由采购组织机构在规定查询时间内打印信用信息查询记录并归入项目档案。</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53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是否接受联合体投标</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■不接受</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□接  受</w:t>
            </w:r>
          </w:p>
        </w:tc>
      </w:tr>
      <w:tr>
        <w:tblPrEx>
          <w:tblCellMar>
            <w:top w:w="0" w:type="dxa"/>
            <w:left w:w="108" w:type="dxa"/>
            <w:bottom w:w="0" w:type="dxa"/>
            <w:right w:w="108" w:type="dxa"/>
          </w:tblCellMar>
        </w:tblPrEx>
        <w:trPr>
          <w:trHeight w:val="28"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投标截止时间 （开标时间）</w:t>
            </w:r>
          </w:p>
        </w:tc>
        <w:tc>
          <w:tcPr>
            <w:tcW w:w="6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截止时间：2023年</w:t>
            </w:r>
            <w:r>
              <w:rPr>
                <w:rFonts w:hint="eastAsia" w:ascii="仿宋" w:hAnsi="仿宋" w:eastAsia="仿宋" w:cs="仿宋"/>
                <w:color w:val="auto"/>
                <w:sz w:val="24"/>
                <w:szCs w:val="24"/>
                <w:u w:val="single"/>
                <w:lang w:eastAsia="zh-CN"/>
              </w:rPr>
              <w:t>01</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lang w:eastAsia="zh-CN"/>
              </w:rPr>
              <w:t>日上午10时30分（北京时间）</w:t>
            </w:r>
          </w:p>
        </w:tc>
      </w:tr>
      <w:tr>
        <w:tblPrEx>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11</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w:t>
            </w:r>
          </w:p>
        </w:tc>
        <w:tc>
          <w:tcPr>
            <w:tcW w:w="6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60 天</w:t>
            </w:r>
          </w:p>
        </w:tc>
      </w:tr>
      <w:tr>
        <w:tblPrEx>
          <w:tblCellMar>
            <w:top w:w="0" w:type="dxa"/>
            <w:left w:w="108" w:type="dxa"/>
            <w:bottom w:w="0" w:type="dxa"/>
            <w:right w:w="108" w:type="dxa"/>
          </w:tblCellMar>
        </w:tblPrEx>
        <w:trPr>
          <w:trHeight w:val="638"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12</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w:t>
            </w:r>
          </w:p>
        </w:tc>
        <w:tc>
          <w:tcPr>
            <w:tcW w:w="65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投标保证金交纳方式：投标保证金应当以支票、汇票、本票、网上银行支付或者金融机构、担保机构出具的保函等非现金形式交纳。</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投标保证金的金额：</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0000元（</w:t>
            </w:r>
            <w:r>
              <w:rPr>
                <w:rFonts w:hint="eastAsia" w:ascii="仿宋" w:hAnsi="仿宋" w:eastAsia="仿宋" w:cs="仿宋"/>
                <w:color w:val="auto"/>
                <w:sz w:val="24"/>
                <w:szCs w:val="24"/>
                <w:lang w:val="en-US" w:eastAsia="zh-CN"/>
              </w:rPr>
              <w:t>壹</w:t>
            </w:r>
            <w:r>
              <w:rPr>
                <w:rFonts w:hint="eastAsia" w:ascii="仿宋" w:hAnsi="仿宋" w:eastAsia="仿宋" w:cs="仿宋"/>
                <w:color w:val="auto"/>
                <w:sz w:val="24"/>
                <w:szCs w:val="24"/>
                <w:lang w:eastAsia="zh-CN"/>
              </w:rPr>
              <w:t>万元整）</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 </w:t>
            </w:r>
            <w:r>
              <w:rPr>
                <w:rFonts w:hint="eastAsia" w:ascii="仿宋" w:hAnsi="仿宋" w:eastAsia="仿宋" w:cs="仿宋"/>
                <w:color w:val="auto"/>
                <w:sz w:val="24"/>
                <w:szCs w:val="24"/>
                <w:lang w:val="en-US" w:eastAsia="zh-CN"/>
              </w:rPr>
              <w:t>投标保证金交纳要求：</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保证金以电汇、网银等转账形式提交的，应在投标截止时间2023年01月12日10:30时（北京时间）前以总公司的基本账户一次性汇入指定账户（以到账时间为准），不接受现金及任何个人汇款。确认到账后，持银行交款单、基本户开户许可证（基本存款账户信息）到阿图什市政务服务和公共资源交易中心（阿图什市财政局六楼）换取票据收据，开标现场持此项目开具的票据收据原件，标书内附此票据收据复印件。</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2、投标保证金以保函等票据形式提交的，在开标现场持金融机构、担保机构出具的票据原件，标书内附此票据复印件。</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3、有效投标保证金成功交纳后，截止开标时间，供应商无正当理由不参加该项目投标且不递交弃标函，投标保证金不予退还。</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户名：阿图什市政务服务和公共资源交易中心</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账号：30456301040005267</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行名：中国农业银行阿图什市天山分理处</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行号：103893045636</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联系人：祝女士</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电话：0908-4222076    </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（备注：必须写清楚某某公司某某项目保证金）</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投标保证金退还：</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成交供应商持合同和票据收据5日内办理；</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未成交供应商持收据5日内办理；</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3、因供应商自身原因耽搁领取，超过退还时限，不承担延后退还责任。 </w:t>
            </w:r>
            <w:r>
              <w:rPr>
                <w:rFonts w:hint="eastAsia" w:ascii="仿宋" w:hAnsi="仿宋" w:eastAsia="仿宋" w:cs="仿宋"/>
                <w:color w:val="auto"/>
                <w:sz w:val="24"/>
                <w:szCs w:val="24"/>
                <w:lang w:eastAsia="zh-CN"/>
              </w:rPr>
              <w:t xml:space="preserve">                </w:t>
            </w:r>
          </w:p>
        </w:tc>
      </w:tr>
      <w:tr>
        <w:tblPrEx>
          <w:tblCellMar>
            <w:top w:w="0" w:type="dxa"/>
            <w:left w:w="108" w:type="dxa"/>
            <w:bottom w:w="0" w:type="dxa"/>
            <w:right w:w="108" w:type="dxa"/>
          </w:tblCellMar>
        </w:tblPrEx>
        <w:trPr>
          <w:trHeight w:val="54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13</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是否允许递交备选  投标方案</w:t>
            </w:r>
          </w:p>
        </w:tc>
        <w:tc>
          <w:tcPr>
            <w:tcW w:w="6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■不允许</w:t>
            </w:r>
          </w:p>
          <w:p>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□允  许</w:t>
            </w:r>
          </w:p>
        </w:tc>
      </w:tr>
      <w:tr>
        <w:tblPrEx>
          <w:tblCellMar>
            <w:top w:w="0" w:type="dxa"/>
            <w:left w:w="108" w:type="dxa"/>
            <w:bottom w:w="0" w:type="dxa"/>
            <w:right w:w="108" w:type="dxa"/>
          </w:tblCellMar>
        </w:tblPrEx>
        <w:trPr>
          <w:trHeight w:val="67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14</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谈判文件领取</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single"/>
                <w:lang w:val="en-US" w:eastAsia="zh-CN"/>
              </w:rPr>
              <w:t>01</w:t>
            </w:r>
            <w:r>
              <w:rPr>
                <w:rFonts w:hint="eastAsia" w:ascii="仿宋" w:hAnsi="仿宋" w:eastAsia="仿宋" w:cs="仿宋"/>
                <w:color w:val="auto"/>
                <w:sz w:val="24"/>
                <w:szCs w:val="24"/>
                <w:u w:val="none"/>
                <w:lang w:eastAsia="zh-CN"/>
              </w:rPr>
              <w:t>月</w:t>
            </w:r>
            <w:bookmarkStart w:id="55" w:name="_GoBack"/>
            <w:r>
              <w:rPr>
                <w:rFonts w:hint="eastAsia" w:ascii="仿宋" w:hAnsi="仿宋" w:eastAsia="仿宋" w:cs="仿宋"/>
                <w:color w:val="auto"/>
                <w:sz w:val="24"/>
                <w:szCs w:val="24"/>
                <w:u w:val="single"/>
                <w:lang w:val="en-US" w:eastAsia="zh-CN"/>
              </w:rPr>
              <w:t>0</w:t>
            </w:r>
            <w:bookmarkEnd w:id="55"/>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none"/>
                <w:lang w:eastAsia="zh-CN"/>
              </w:rPr>
              <w:t>日至</w:t>
            </w:r>
            <w:r>
              <w:rPr>
                <w:rFonts w:hint="eastAsia" w:ascii="仿宋" w:hAnsi="仿宋" w:eastAsia="仿宋" w:cs="仿宋"/>
                <w:color w:val="auto"/>
                <w:sz w:val="24"/>
                <w:szCs w:val="24"/>
                <w:u w:val="single"/>
                <w:lang w:eastAsia="zh-CN"/>
              </w:rPr>
              <w:t>2023</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single"/>
                <w:lang w:eastAsia="zh-CN"/>
              </w:rPr>
              <w:t>01</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single"/>
                <w:lang w:val="en-US" w:eastAsia="zh-CN"/>
              </w:rPr>
              <w:t>11</w:t>
            </w:r>
            <w:r>
              <w:rPr>
                <w:rFonts w:hint="eastAsia" w:ascii="仿宋" w:hAnsi="仿宋" w:eastAsia="仿宋" w:cs="仿宋"/>
                <w:color w:val="auto"/>
                <w:sz w:val="24"/>
                <w:szCs w:val="24"/>
                <w:u w:val="none"/>
                <w:lang w:eastAsia="zh-CN"/>
              </w:rPr>
              <w:t>日，每天上午10:00至14:00，下午16:00至19：30</w:t>
            </w:r>
            <w:r>
              <w:rPr>
                <w:rFonts w:hint="eastAsia" w:ascii="仿宋" w:hAnsi="仿宋" w:eastAsia="仿宋" w:cs="仿宋"/>
                <w:color w:val="auto"/>
                <w:sz w:val="24"/>
                <w:szCs w:val="24"/>
                <w:lang w:eastAsia="zh-CN"/>
              </w:rPr>
              <w:t>（北京时间，节假日除外）</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地点：供应商登陆政采云平台http://www.zcygov.cn/，在线申请获取谈判文件 （登录政府采购云平台 → 项目采购 → 获取谈判文件 →申请，审核通过后可下载谈判文件 ，如有操作性问题，可与政采云在线客服进行咨询，咨询电话：95763）。</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方式：（1）线上获取（登录政府采购云平台 → 项目采购 → 获取谈判文件 → 申请，审核通过后可下载谈判文件 ）。本次谈判不提供纸质版谈判文件 。</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（2）供应商获取谈判文件前应注册成为政府采购云平台正式供应商。</w:t>
            </w:r>
          </w:p>
        </w:tc>
      </w:tr>
      <w:tr>
        <w:tblPrEx>
          <w:tblCellMar>
            <w:top w:w="0" w:type="dxa"/>
            <w:left w:w="108" w:type="dxa"/>
            <w:bottom w:w="0" w:type="dxa"/>
            <w:right w:w="108" w:type="dxa"/>
          </w:tblCellMar>
        </w:tblPrEx>
        <w:trPr>
          <w:trHeight w:val="67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15</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响应文件形式</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电子响应文件包括“电子加密响应文件”和“备份响应文件”，在响应文件编制完成后同时生成。</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1、“电子加密响应文件”是指通过“政采云电子交易客户端”完成响应文件编制后生成并加密的数据电文形式的响应文件。</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2、“备份响应文件”是指与“电子加密响应文件”同时生成的数据电文形式的电子文件（备份标书，用于供应商标书解密异常时应急使用），其他方式编制的备份响应文件视为无效备份响应文件。</w:t>
            </w:r>
          </w:p>
        </w:tc>
      </w:tr>
      <w:tr>
        <w:tblPrEx>
          <w:tblCellMar>
            <w:top w:w="0" w:type="dxa"/>
            <w:left w:w="108" w:type="dxa"/>
            <w:bottom w:w="0" w:type="dxa"/>
            <w:right w:w="108" w:type="dxa"/>
          </w:tblCellMar>
        </w:tblPrEx>
        <w:trPr>
          <w:trHeight w:val="731"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16</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响应文件份数及要求</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1、一份电子加密标书（“.jmbs”格式），一份备份标书文件（“.bfbs”格式）。</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2、每份电子响应文件应包括资格证明文件和商务及技术文件两部分。</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3、待开标结束后，中标企业请于</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val="en-US" w:eastAsia="zh-CN"/>
              </w:rPr>
              <w:t>01</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val="en-US" w:eastAsia="zh-CN"/>
              </w:rPr>
              <w:t>19</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0前提供纸质响应文件叁份并承诺与电子响应文件内容一致的承诺书至鼎建项目管理有限公司（阿图什市光明北路12号博格拉A座四楼）。中标人可采用邮寄方式提供纸质版响应文件（收件地址：阿图什市光明北路12号-博格拉A座四楼，收件人：朱明亮，电话：18609088999），费用自行承担。</w:t>
            </w:r>
          </w:p>
        </w:tc>
      </w:tr>
      <w:tr>
        <w:tblPrEx>
          <w:tblCellMar>
            <w:top w:w="0" w:type="dxa"/>
            <w:left w:w="108" w:type="dxa"/>
            <w:bottom w:w="0" w:type="dxa"/>
            <w:right w:w="108" w:type="dxa"/>
          </w:tblCellMar>
        </w:tblPrEx>
        <w:trPr>
          <w:trHeight w:val="731" w:hRule="atLeast"/>
          <w:jc w:val="center"/>
        </w:trPr>
        <w:tc>
          <w:tcPr>
            <w:tcW w:w="692"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17</w:t>
            </w:r>
          </w:p>
        </w:tc>
        <w:tc>
          <w:tcPr>
            <w:tcW w:w="1992"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响应文件的上传和递交</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1.电子加密响应文件：响应文件制作完成并生成加密标书，在投标截止时间前，供应商需将加密的响应文件上传至政采云平台，在开标时间开始后，待采购组织机构发出解密通知后30分钟内解密响应文件。</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a.供应商未能在投标截止时间前成功上传电子加密响应文件的投标无效。</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b.供应商成功上传电子加密响应文件后，可自行打印响应文件接收回执。</w:t>
            </w:r>
          </w:p>
        </w:tc>
      </w:tr>
      <w:tr>
        <w:tblPrEx>
          <w:tblCellMar>
            <w:top w:w="0" w:type="dxa"/>
            <w:left w:w="108" w:type="dxa"/>
            <w:bottom w:w="0" w:type="dxa"/>
            <w:right w:w="108" w:type="dxa"/>
          </w:tblCellMar>
        </w:tblPrEx>
        <w:trPr>
          <w:trHeight w:val="731" w:hRule="atLeast"/>
          <w:jc w:val="center"/>
        </w:trPr>
        <w:tc>
          <w:tcPr>
            <w:tcW w:w="692"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供应商在投标截止时间前将加密的响应文件上传至政府采购云平台，还可以在投标截止时间前以电子邮件方式提供备份响应文件1份（接收人邮箱：245291818@qq.com，接收人：朱明亮，电话：18609088999），“备份响应文件”由供应商自愿提供，谈判文件 不作强制性要求；如不提供或未按要求提供的，当电子响应文件无法解密时，将导致无备份响应文件而失去投标资格。</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a.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b.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tblPrEx>
          <w:tblCellMar>
            <w:top w:w="0" w:type="dxa"/>
            <w:left w:w="108" w:type="dxa"/>
            <w:bottom w:w="0" w:type="dxa"/>
            <w:right w:w="108" w:type="dxa"/>
          </w:tblCellMar>
        </w:tblPrEx>
        <w:trPr>
          <w:trHeight w:val="823"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18</w:t>
            </w:r>
          </w:p>
        </w:tc>
        <w:tc>
          <w:tcPr>
            <w:tcW w:w="1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评标委员会的组建</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评标委员会由招标人依法组建；</w:t>
            </w:r>
          </w:p>
          <w:p>
            <w:pPr>
              <w:rPr>
                <w:rFonts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评标专家确定方式：专家评委由招标人在开标前从政采云专家库中随机抽取</w:t>
            </w:r>
          </w:p>
        </w:tc>
      </w:tr>
      <w:tr>
        <w:tblPrEx>
          <w:tblCellMar>
            <w:top w:w="0" w:type="dxa"/>
            <w:left w:w="108" w:type="dxa"/>
            <w:bottom w:w="0" w:type="dxa"/>
            <w:right w:w="108" w:type="dxa"/>
          </w:tblCellMar>
        </w:tblPrEx>
        <w:trPr>
          <w:trHeight w:val="823"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19</w:t>
            </w:r>
          </w:p>
        </w:tc>
        <w:tc>
          <w:tcPr>
            <w:tcW w:w="1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是否授权评标委员会确定中标候选人</w:t>
            </w:r>
          </w:p>
        </w:tc>
        <w:tc>
          <w:tcPr>
            <w:tcW w:w="6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eastAsia="zh-CN"/>
              </w:rPr>
              <w:t>是</w:t>
            </w:r>
          </w:p>
        </w:tc>
      </w:tr>
      <w:tr>
        <w:tblPrEx>
          <w:tblCellMar>
            <w:top w:w="0" w:type="dxa"/>
            <w:left w:w="108" w:type="dxa"/>
            <w:bottom w:w="0" w:type="dxa"/>
            <w:right w:w="108" w:type="dxa"/>
          </w:tblCellMar>
        </w:tblPrEx>
        <w:trPr>
          <w:trHeight w:val="756"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递交响应文件地点</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投标截止时间：2023年</w:t>
            </w:r>
            <w:r>
              <w:rPr>
                <w:rFonts w:hint="eastAsia" w:ascii="仿宋" w:hAnsi="仿宋" w:eastAsia="仿宋" w:cs="仿宋"/>
                <w:color w:val="auto"/>
                <w:sz w:val="24"/>
                <w:szCs w:val="24"/>
                <w:u w:val="single"/>
                <w:lang w:eastAsia="zh-CN"/>
              </w:rPr>
              <w:t>01</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lang w:eastAsia="zh-CN"/>
              </w:rPr>
              <w:t>日上午10时30分（北京时间）</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投标地点：新疆政府采购云平台（www.zcygov.cn）</w:t>
            </w:r>
          </w:p>
        </w:tc>
      </w:tr>
      <w:tr>
        <w:tblPrEx>
          <w:tblCellMar>
            <w:top w:w="0" w:type="dxa"/>
            <w:left w:w="108" w:type="dxa"/>
            <w:bottom w:w="0" w:type="dxa"/>
            <w:right w:w="108" w:type="dxa"/>
          </w:tblCellMar>
        </w:tblPrEx>
        <w:trPr>
          <w:trHeight w:val="710" w:hRule="atLeast"/>
          <w:jc w:val="center"/>
        </w:trPr>
        <w:tc>
          <w:tcPr>
            <w:tcW w:w="692"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21</w:t>
            </w:r>
          </w:p>
        </w:tc>
        <w:tc>
          <w:tcPr>
            <w:tcW w:w="1992" w:type="dxa"/>
            <w:tcBorders>
              <w:top w:val="single" w:color="auto" w:sz="4" w:space="0"/>
              <w:left w:val="single" w:color="auto" w:sz="4" w:space="0"/>
              <w:right w:val="single" w:color="auto" w:sz="4" w:space="0"/>
            </w:tcBorders>
            <w:vAlign w:val="center"/>
          </w:tcPr>
          <w:p>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开标时间和地点</w:t>
            </w:r>
          </w:p>
        </w:tc>
        <w:tc>
          <w:tcPr>
            <w:tcW w:w="6521" w:type="dxa"/>
            <w:tcBorders>
              <w:top w:val="single" w:color="auto" w:sz="4" w:space="0"/>
              <w:left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开标时间：2023年</w:t>
            </w:r>
            <w:r>
              <w:rPr>
                <w:rFonts w:hint="eastAsia" w:ascii="仿宋" w:hAnsi="仿宋" w:eastAsia="仿宋" w:cs="仿宋"/>
                <w:color w:val="auto"/>
                <w:sz w:val="24"/>
                <w:szCs w:val="24"/>
                <w:u w:val="single"/>
                <w:lang w:eastAsia="zh-CN"/>
              </w:rPr>
              <w:t>01</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lang w:eastAsia="zh-CN"/>
              </w:rPr>
              <w:t>日上午10时30分（北京时间）</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692"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22</w:t>
            </w:r>
          </w:p>
        </w:tc>
        <w:tc>
          <w:tcPr>
            <w:tcW w:w="1992"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重要说明</w:t>
            </w:r>
          </w:p>
        </w:tc>
        <w:tc>
          <w:tcPr>
            <w:tcW w:w="6521" w:type="dxa"/>
            <w:tcBorders>
              <w:top w:val="single" w:color="auto" w:sz="4" w:space="0"/>
              <w:left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1.本项目采用全流程不见面电子开评标，投标供应商需要使用CA加密设备，供应商可通过新疆数字证书认证中心官网（https://www.xjca.com.cn/）或下载“新疆政务通”APP自行进行申领。</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2.本项目实行网上投标，采用加密电子响应文件(供应商须使用CA加密设备通过政采云电子投标客户端制作响应文件)。若供应商参与投标，自行承担投标一切费用。</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3.各供应商在开标前应确保成为新疆维吾尔自治区政府采购网正式注册入库供应商，</w:t>
            </w:r>
            <w:r>
              <w:rPr>
                <w:rFonts w:hint="eastAsia" w:ascii="仿宋" w:hAnsi="仿宋" w:eastAsia="仿宋" w:cs="仿宋"/>
                <w:color w:val="auto"/>
                <w:sz w:val="24"/>
                <w:szCs w:val="24"/>
                <w:lang w:val="en-US" w:eastAsia="zh-CN"/>
              </w:rPr>
              <w:t>(已在政采云平台其他省份入驻的供应商无须重复注册），</w:t>
            </w:r>
            <w:r>
              <w:rPr>
                <w:rFonts w:hint="eastAsia" w:ascii="仿宋" w:hAnsi="仿宋" w:eastAsia="仿宋" w:cs="仿宋"/>
                <w:color w:val="auto"/>
                <w:sz w:val="24"/>
                <w:szCs w:val="24"/>
                <w:lang w:eastAsia="zh-CN"/>
              </w:rPr>
              <w:t>并完成CA数字证书申领。因未注册入库、未办理CA数字证书等原因造成无法投标或投标失败等后果由供应商自行承担。</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5.供应商在开标时须使用制作加密电子响应文件所使用的CA锁及电脑，电脑须提前配置好浏览器（建议使用谷歌浏览器），以便开标时解锁。</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692"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1、电子招投标情况说明：</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（1）电子招投标：本项目以数据电文形式，依托“政府采购云平台（www.zcygov.cn）”进行招投标活动。</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rPr>
                <w:rFonts w:ascii="仿宋" w:hAnsi="仿宋" w:eastAsia="仿宋" w:cs="仿宋"/>
                <w:color w:val="FF0000"/>
                <w:sz w:val="24"/>
                <w:szCs w:val="24"/>
                <w:lang w:eastAsia="zh-CN"/>
              </w:rPr>
            </w:pPr>
            <w:r>
              <w:rPr>
                <w:rFonts w:hint="eastAsia" w:ascii="仿宋" w:hAnsi="仿宋" w:eastAsia="仿宋" w:cs="仿宋"/>
                <w:color w:val="auto"/>
                <w:sz w:val="24"/>
                <w:szCs w:val="24"/>
                <w:lang w:eastAsia="zh-CN"/>
              </w:rPr>
              <w:t>（3）谈判文件的获取：使用账号登录或者短信验证码或者使用CA登录政采云平台；进入“项目采购”应用，在获取谈判文件 菜单中选择项目，获取谈判文件 。</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（4）响应文件的制作：在“政采云电子交易客户端”中完成“填写基本信息”、“导入响应文件”、“标书关联”、“标书检查”、“电子签名”、“生成电子标书”等操作。</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响应文件的传输递交：供应商在投标截止时间前将加密的响应文件上传至政府采购云平台，还可以在投标截止时间前以电子邮件方式提供备份响应文件1份（接收人邮箱：245291818@qq.com，接收人：朱明亮，电话：18609088999），备份响应文件可以打包压缩并加密，压缩包命名为“XX单位备份响应文件”，加密密码由供应商自行保管（“备份响应文件”由供应商自愿提供，谈判文件 不作强制性要求；如不提供或未按要求提供的，当电子响应文件无法解密时，将导致无备份响应文件而失去投标资格）。</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（6）响应文件的解密：供应商按照平台提示和谈判文件 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（7）具体操作指南：详见政采云平台“服务中心-帮助文档-项目采购-操作流程-电子招投标-政府采购项目电子交易管理操作指南-供应商”。</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（8）供应商在进行上述操作时，如遇技术问题可登录政采云（https://</w:t>
            </w:r>
            <w:r>
              <w:rPr>
                <w:color w:val="auto"/>
                <w:sz w:val="24"/>
                <w:szCs w:val="24"/>
              </w:rPr>
              <w:fldChar w:fldCharType="begin"/>
            </w:r>
            <w:r>
              <w:rPr>
                <w:color w:val="auto"/>
                <w:sz w:val="24"/>
                <w:szCs w:val="24"/>
              </w:rPr>
              <w:instrText xml:space="preserve"> HYPERLINK "http://www.zcygov.cn/" \h </w:instrText>
            </w:r>
            <w:r>
              <w:rPr>
                <w:color w:val="auto"/>
                <w:sz w:val="24"/>
                <w:szCs w:val="24"/>
              </w:rPr>
              <w:fldChar w:fldCharType="separate"/>
            </w:r>
            <w:r>
              <w:rPr>
                <w:rFonts w:hint="eastAsia" w:ascii="仿宋" w:hAnsi="仿宋" w:eastAsia="仿宋" w:cs="仿宋"/>
                <w:color w:val="auto"/>
                <w:sz w:val="24"/>
                <w:szCs w:val="24"/>
                <w:lang w:eastAsia="zh-CN"/>
              </w:rPr>
              <w:t>www.zcygov.cn/</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），点击右侧咨询小采，获取采小蜜智能服务管家帮助，或拨打政采云服务热线 95763 获取热线服务帮助。</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温馨提醒：供应商应提前上传，以便在上传时遇到技术问题，有充足的时间请教平台的技术人员。</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2、供应商认为谈判文件 使自己的权益受到损害的，可以自收到谈判文件 之日（谈判文件 公告期限届满之前收到谈判文件 的，以完成获取谈判文件 申请后下载谈判文件 的时间为准）或者谈判文件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谈判文件 或逾期提出的不予受理、答复。</w:t>
            </w:r>
          </w:p>
        </w:tc>
      </w:tr>
      <w:tr>
        <w:tblPrEx>
          <w:tblCellMar>
            <w:top w:w="0" w:type="dxa"/>
            <w:left w:w="108" w:type="dxa"/>
            <w:bottom w:w="0" w:type="dxa"/>
            <w:right w:w="108" w:type="dxa"/>
          </w:tblCellMar>
        </w:tblPrEx>
        <w:trPr>
          <w:trHeight w:val="71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23</w:t>
            </w:r>
          </w:p>
        </w:tc>
        <w:tc>
          <w:tcPr>
            <w:tcW w:w="1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中标候选人公示媒介</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692"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24</w:t>
            </w:r>
          </w:p>
        </w:tc>
        <w:tc>
          <w:tcPr>
            <w:tcW w:w="85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招标代理服务费</w:t>
            </w:r>
          </w:p>
        </w:tc>
      </w:tr>
      <w:tr>
        <w:tblPrEx>
          <w:tblCellMar>
            <w:top w:w="0" w:type="dxa"/>
            <w:left w:w="108" w:type="dxa"/>
            <w:bottom w:w="0" w:type="dxa"/>
            <w:right w:w="108" w:type="dxa"/>
          </w:tblCellMar>
        </w:tblPrEx>
        <w:trPr>
          <w:trHeight w:val="655" w:hRule="atLeast"/>
          <w:jc w:val="center"/>
        </w:trPr>
        <w:tc>
          <w:tcPr>
            <w:tcW w:w="692"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p>
        </w:tc>
        <w:tc>
          <w:tcPr>
            <w:tcW w:w="851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招标代理服务收费标准(费率)</w:t>
            </w:r>
          </w:p>
          <w:tbl>
            <w:tblPr>
              <w:tblStyle w:val="16"/>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费率中标金额</w:t>
                  </w:r>
                </w:p>
              </w:tc>
              <w:tc>
                <w:tcPr>
                  <w:tcW w:w="1530"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货物招标</w:t>
                  </w:r>
                </w:p>
              </w:tc>
              <w:tc>
                <w:tcPr>
                  <w:tcW w:w="1335"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服务招标</w:t>
                  </w:r>
                </w:p>
              </w:tc>
              <w:tc>
                <w:tcPr>
                  <w:tcW w:w="299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100万元以下</w:t>
                  </w:r>
                </w:p>
              </w:tc>
              <w:tc>
                <w:tcPr>
                  <w:tcW w:w="1530"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1.5%</w:t>
                  </w:r>
                </w:p>
              </w:tc>
              <w:tc>
                <w:tcPr>
                  <w:tcW w:w="1335"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1.5%</w:t>
                  </w:r>
                </w:p>
              </w:tc>
              <w:tc>
                <w:tcPr>
                  <w:tcW w:w="299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100～500万元</w:t>
                  </w:r>
                </w:p>
              </w:tc>
              <w:tc>
                <w:tcPr>
                  <w:tcW w:w="1530"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1.1%</w:t>
                  </w:r>
                </w:p>
              </w:tc>
              <w:tc>
                <w:tcPr>
                  <w:tcW w:w="1335"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0.8%</w:t>
                  </w:r>
                </w:p>
              </w:tc>
              <w:tc>
                <w:tcPr>
                  <w:tcW w:w="299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500～1000万元</w:t>
                  </w:r>
                </w:p>
              </w:tc>
              <w:tc>
                <w:tcPr>
                  <w:tcW w:w="1530"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0.8%</w:t>
                  </w:r>
                </w:p>
              </w:tc>
              <w:tc>
                <w:tcPr>
                  <w:tcW w:w="1335"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0.45%</w:t>
                  </w:r>
                </w:p>
              </w:tc>
              <w:tc>
                <w:tcPr>
                  <w:tcW w:w="299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1000～5000万元</w:t>
                  </w:r>
                </w:p>
              </w:tc>
              <w:tc>
                <w:tcPr>
                  <w:tcW w:w="1530"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0.5%</w:t>
                  </w:r>
                </w:p>
              </w:tc>
              <w:tc>
                <w:tcPr>
                  <w:tcW w:w="1335"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0.25%</w:t>
                  </w:r>
                </w:p>
              </w:tc>
              <w:tc>
                <w:tcPr>
                  <w:tcW w:w="299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5000万元～1亿元</w:t>
                  </w:r>
                </w:p>
              </w:tc>
              <w:tc>
                <w:tcPr>
                  <w:tcW w:w="1530"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0.25%</w:t>
                  </w:r>
                </w:p>
              </w:tc>
              <w:tc>
                <w:tcPr>
                  <w:tcW w:w="1335"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0.1%</w:t>
                  </w:r>
                </w:p>
              </w:tc>
              <w:tc>
                <w:tcPr>
                  <w:tcW w:w="299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0.2%</w:t>
                  </w:r>
                  <w:r>
                    <w:rPr>
                      <w:rFonts w:hint="eastAsia" w:ascii="仿宋" w:hAnsi="仿宋" w:eastAsia="仿宋" w:cs="仿宋"/>
                      <w:color w:val="auto"/>
                      <w:sz w:val="24"/>
                      <w:szCs w:val="24"/>
                      <w:lang w:eastAsia="zh-CN"/>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1～5亿元</w:t>
                  </w:r>
                </w:p>
              </w:tc>
              <w:tc>
                <w:tcPr>
                  <w:tcW w:w="1530"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0.05%</w:t>
                  </w:r>
                </w:p>
              </w:tc>
              <w:tc>
                <w:tcPr>
                  <w:tcW w:w="1335"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0.05%</w:t>
                  </w:r>
                </w:p>
              </w:tc>
              <w:tc>
                <w:tcPr>
                  <w:tcW w:w="299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0.05</w:t>
                  </w:r>
                  <w:r>
                    <w:rPr>
                      <w:rFonts w:hint="eastAsia" w:ascii="仿宋" w:hAnsi="仿宋" w:eastAsia="仿宋" w:cs="仿宋"/>
                      <w:color w:val="auto"/>
                      <w:sz w:val="24"/>
                      <w:szCs w:val="24"/>
                      <w:lang w:eastAsia="zh-CN"/>
                    </w:rPr>
                    <w:cr/>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5～10亿元</w:t>
                  </w:r>
                </w:p>
              </w:tc>
              <w:tc>
                <w:tcPr>
                  <w:tcW w:w="1530"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0.035%</w:t>
                  </w:r>
                </w:p>
              </w:tc>
              <w:tc>
                <w:tcPr>
                  <w:tcW w:w="1335"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0.035%</w:t>
                  </w:r>
                </w:p>
              </w:tc>
              <w:tc>
                <w:tcPr>
                  <w:tcW w:w="299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10～50亿元</w:t>
                  </w:r>
                </w:p>
              </w:tc>
              <w:tc>
                <w:tcPr>
                  <w:tcW w:w="1530"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0.008%</w:t>
                  </w:r>
                </w:p>
              </w:tc>
              <w:tc>
                <w:tcPr>
                  <w:tcW w:w="1335"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0.008%</w:t>
                  </w:r>
                </w:p>
              </w:tc>
              <w:tc>
                <w:tcPr>
                  <w:tcW w:w="299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50～100亿元</w:t>
                  </w:r>
                </w:p>
              </w:tc>
              <w:tc>
                <w:tcPr>
                  <w:tcW w:w="1530"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0.006%</w:t>
                  </w:r>
                </w:p>
              </w:tc>
              <w:tc>
                <w:tcPr>
                  <w:tcW w:w="1335"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0.006%</w:t>
                  </w:r>
                </w:p>
              </w:tc>
              <w:tc>
                <w:tcPr>
                  <w:tcW w:w="299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100亿以上</w:t>
                  </w:r>
                </w:p>
              </w:tc>
              <w:tc>
                <w:tcPr>
                  <w:tcW w:w="1530"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0.004%</w:t>
                  </w:r>
                </w:p>
              </w:tc>
              <w:tc>
                <w:tcPr>
                  <w:tcW w:w="1335"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0.004%</w:t>
                  </w:r>
                </w:p>
              </w:tc>
              <w:tc>
                <w:tcPr>
                  <w:tcW w:w="2996"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0.004%</w:t>
                  </w:r>
                </w:p>
              </w:tc>
            </w:tr>
          </w:tbl>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注：</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1、按本表费率计算的收费为招标代理服务全过程的收费基准价格，单独提供编制谈判文件（有标底的含标底）服务的，可按规定标准的30％计收。</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2、招标代理服务收费按差额定率累进法计算。例如：某工程招标代理业务中标金额为6000万元，计算招标代理服务费额如下：</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100万元×1.0％＝1万元</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（500－100）万元×0.7％＝2.8万元</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（1000－500）万元×0.55％＝2.75万元</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（5000－1000）万元×0.35％＝14万元</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（6000－5000）万元×0.2％＝2万元</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合计收费＝1＋2.8＋2.75＋14＋2＝22.55(万元) </w:t>
            </w:r>
          </w:p>
        </w:tc>
      </w:tr>
      <w:tr>
        <w:tblPrEx>
          <w:tblCellMar>
            <w:top w:w="0" w:type="dxa"/>
            <w:left w:w="108" w:type="dxa"/>
            <w:bottom w:w="0" w:type="dxa"/>
            <w:right w:w="108" w:type="dxa"/>
          </w:tblCellMar>
        </w:tblPrEx>
        <w:trPr>
          <w:trHeight w:val="8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25</w:t>
            </w:r>
          </w:p>
        </w:tc>
        <w:tc>
          <w:tcPr>
            <w:tcW w:w="85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评标办法：本项目采用最低评标价法</w:t>
            </w:r>
          </w:p>
        </w:tc>
      </w:tr>
      <w:tr>
        <w:tblPrEx>
          <w:tblCellMar>
            <w:top w:w="0" w:type="dxa"/>
            <w:left w:w="108" w:type="dxa"/>
            <w:bottom w:w="0" w:type="dxa"/>
            <w:right w:w="108" w:type="dxa"/>
          </w:tblCellMar>
        </w:tblPrEx>
        <w:trPr>
          <w:trHeight w:val="8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26</w:t>
            </w:r>
          </w:p>
        </w:tc>
        <w:tc>
          <w:tcPr>
            <w:tcW w:w="85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27</w:t>
            </w:r>
          </w:p>
        </w:tc>
        <w:tc>
          <w:tcPr>
            <w:tcW w:w="85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sz w:val="24"/>
                <w:szCs w:val="24"/>
                <w:lang w:val="en-US" w:eastAsia="zh-CN"/>
              </w:rPr>
            </w:pPr>
            <w:r>
              <w:rPr>
                <w:rFonts w:hint="eastAsia" w:ascii="仿宋" w:hAnsi="仿宋" w:eastAsia="仿宋" w:cs="仿宋"/>
                <w:b/>
                <w:bCs/>
                <w:color w:val="auto"/>
                <w:sz w:val="24"/>
                <w:szCs w:val="24"/>
                <w:lang w:eastAsia="zh-CN"/>
              </w:rPr>
              <w:t>本次招标预算价：</w:t>
            </w:r>
            <w:r>
              <w:rPr>
                <w:rFonts w:hint="eastAsia" w:ascii="仿宋" w:hAnsi="仿宋" w:eastAsia="仿宋" w:cs="仿宋"/>
                <w:b/>
                <w:bCs/>
                <w:color w:val="auto"/>
                <w:sz w:val="24"/>
                <w:szCs w:val="24"/>
                <w:lang w:val="en-US" w:eastAsia="zh-CN"/>
              </w:rPr>
              <w:t>403</w:t>
            </w:r>
            <w:r>
              <w:rPr>
                <w:rFonts w:hint="eastAsia" w:ascii="仿宋" w:hAnsi="仿宋" w:eastAsia="仿宋" w:cs="仿宋"/>
                <w:b/>
                <w:bCs/>
                <w:color w:val="auto"/>
                <w:sz w:val="24"/>
                <w:szCs w:val="24"/>
                <w:lang w:eastAsia="zh-CN"/>
              </w:rPr>
              <w:t>元</w:t>
            </w:r>
            <w:r>
              <w:rPr>
                <w:rFonts w:hint="eastAsia" w:ascii="仿宋" w:hAnsi="仿宋" w:eastAsia="仿宋" w:cs="仿宋"/>
                <w:b/>
                <w:bCs/>
                <w:color w:val="auto"/>
                <w:sz w:val="24"/>
                <w:szCs w:val="24"/>
                <w:lang w:val="en-US" w:eastAsia="zh-CN"/>
              </w:rPr>
              <w:t>/套</w:t>
            </w:r>
            <w:r>
              <w:rPr>
                <w:rFonts w:hint="eastAsia" w:ascii="仿宋" w:hAnsi="仿宋" w:eastAsia="仿宋" w:cs="仿宋"/>
                <w:b/>
                <w:bCs/>
                <w:color w:val="auto"/>
                <w:sz w:val="24"/>
                <w:szCs w:val="24"/>
                <w:lang w:eastAsia="zh-CN"/>
              </w:rPr>
              <w:t>（本项目为单价招标），</w:t>
            </w:r>
            <w:r>
              <w:rPr>
                <w:rFonts w:hint="eastAsia" w:ascii="仿宋" w:hAnsi="仿宋" w:eastAsia="仿宋" w:cs="仿宋"/>
                <w:b/>
                <w:bCs/>
                <w:color w:val="auto"/>
                <w:sz w:val="24"/>
                <w:szCs w:val="24"/>
                <w:lang w:val="en-US" w:eastAsia="zh-CN"/>
              </w:rPr>
              <w:t>具体采购数量根据甲方实际需求量确定</w:t>
            </w:r>
            <w:r>
              <w:rPr>
                <w:rFonts w:hint="eastAsia" w:ascii="仿宋" w:hAnsi="仿宋" w:eastAsia="仿宋" w:cs="仿宋"/>
                <w:b/>
                <w:bCs/>
                <w:color w:val="auto"/>
                <w:sz w:val="24"/>
                <w:szCs w:val="24"/>
                <w:shd w:val="clear" w:color="auto" w:fill="auto"/>
                <w:lang w:val="en-US" w:eastAsia="zh-CN"/>
              </w:rPr>
              <w:t>，</w:t>
            </w:r>
            <w:r>
              <w:rPr>
                <w:rFonts w:hint="eastAsia" w:ascii="仿宋" w:hAnsi="仿宋" w:eastAsia="仿宋" w:cs="仿宋"/>
                <w:b/>
                <w:bCs/>
                <w:color w:val="auto"/>
                <w:sz w:val="24"/>
                <w:szCs w:val="24"/>
                <w:lang w:eastAsia="zh-CN"/>
              </w:rPr>
              <w:t>投标报价超过采购预算单价的按废标处理。</w:t>
            </w:r>
          </w:p>
        </w:tc>
      </w:tr>
      <w:tr>
        <w:tblPrEx>
          <w:tblCellMar>
            <w:top w:w="0" w:type="dxa"/>
            <w:left w:w="108" w:type="dxa"/>
            <w:bottom w:w="0" w:type="dxa"/>
            <w:right w:w="108" w:type="dxa"/>
          </w:tblCellMar>
        </w:tblPrEx>
        <w:trPr>
          <w:trHeight w:val="84" w:hRule="atLeast"/>
          <w:jc w:val="center"/>
        </w:trPr>
        <w:tc>
          <w:tcPr>
            <w:tcW w:w="692"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28</w:t>
            </w:r>
          </w:p>
        </w:tc>
        <w:tc>
          <w:tcPr>
            <w:tcW w:w="1992"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rPr>
              <w:t>中小微企业政策文件</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rPr>
              <w:t>（1）根据财政部、工业和信息化部关于印发《政府采购促进中小企业发展</w:t>
            </w:r>
            <w:r>
              <w:rPr>
                <w:rFonts w:hint="eastAsia" w:ascii="仿宋" w:hAnsi="仿宋" w:eastAsia="仿宋" w:cs="仿宋"/>
                <w:color w:val="auto"/>
                <w:sz w:val="24"/>
                <w:szCs w:val="24"/>
                <w:lang w:eastAsia="zh-CN"/>
              </w:rPr>
              <w:t>管理</w:t>
            </w:r>
            <w:r>
              <w:rPr>
                <w:rFonts w:hint="eastAsia" w:ascii="仿宋" w:hAnsi="仿宋" w:eastAsia="仿宋" w:cs="仿宋"/>
                <w:color w:val="auto"/>
                <w:sz w:val="24"/>
                <w:szCs w:val="24"/>
              </w:rPr>
              <w:t>办法》的通知（财库</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w:t>
            </w:r>
            <w:r>
              <w:rPr>
                <w:rFonts w:hint="eastAsia" w:ascii="仿宋" w:hAnsi="仿宋" w:eastAsia="仿宋" w:cs="仿宋"/>
                <w:color w:val="auto"/>
                <w:sz w:val="24"/>
                <w:szCs w:val="24"/>
                <w:lang w:eastAsia="zh-CN"/>
              </w:rPr>
              <w:t>20】46</w:t>
            </w:r>
            <w:r>
              <w:rPr>
                <w:rFonts w:hint="eastAsia" w:ascii="仿宋" w:hAnsi="仿宋" w:eastAsia="仿宋" w:cs="仿宋"/>
                <w:color w:val="auto"/>
                <w:sz w:val="24"/>
                <w:szCs w:val="24"/>
              </w:rPr>
              <w:t>号）</w:t>
            </w:r>
            <w:r>
              <w:rPr>
                <w:rFonts w:hint="eastAsia" w:ascii="仿宋" w:hAnsi="仿宋" w:eastAsia="仿宋" w:cs="仿宋"/>
                <w:color w:val="auto"/>
                <w:sz w:val="24"/>
                <w:szCs w:val="24"/>
                <w:lang w:eastAsia="zh-CN"/>
              </w:rPr>
              <w:t>和（新财购【2022】22号）</w:t>
            </w:r>
            <w:r>
              <w:rPr>
                <w:rFonts w:hint="eastAsia" w:ascii="仿宋" w:hAnsi="仿宋" w:eastAsia="仿宋" w:cs="仿宋"/>
                <w:color w:val="auto"/>
                <w:sz w:val="24"/>
                <w:szCs w:val="24"/>
              </w:rPr>
              <w:t>，投标人及其所投产品的制造商均属于《工业和信息化部、国家统计局、国家发展和改革委员会、财政部关于印发中小企业划型标准规定的通知》（工信部联企业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2011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300号）中规定的小型、微型企业标准的，按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格式提供《中小企业声明函》。</w:t>
            </w:r>
          </w:p>
        </w:tc>
      </w:tr>
      <w:tr>
        <w:tblPrEx>
          <w:tblCellMar>
            <w:top w:w="0" w:type="dxa"/>
            <w:left w:w="108" w:type="dxa"/>
            <w:bottom w:w="0" w:type="dxa"/>
            <w:right w:w="108" w:type="dxa"/>
          </w:tblCellMar>
        </w:tblPrEx>
        <w:trPr>
          <w:trHeight w:val="84" w:hRule="atLeast"/>
          <w:jc w:val="center"/>
        </w:trPr>
        <w:tc>
          <w:tcPr>
            <w:tcW w:w="692"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lang w:eastAsia="zh-CN"/>
              </w:rPr>
            </w:pPr>
            <w:r>
              <w:rPr>
                <w:rFonts w:hint="eastAsia" w:ascii="仿宋" w:hAnsi="仿宋" w:eastAsia="仿宋" w:cs="仿宋"/>
                <w:color w:val="auto"/>
                <w:sz w:val="24"/>
                <w:szCs w:val="24"/>
              </w:rPr>
              <w:t>（2）根据财政部、司令部《关于政府采购支持监狱企业发展有关问题》的通知财库</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84" w:hRule="atLeast"/>
          <w:jc w:val="center"/>
        </w:trPr>
        <w:tc>
          <w:tcPr>
            <w:tcW w:w="692"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（3）根据财政部、民政部、中国残疾人联合会《关于促进残疾人就业政府采购政策的通知》（财库</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2017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141号），在政府采购活动中，残疾人福利性单位视同小型、微型企业。投标人属于残疾人福利性单位的，按照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格式提供残疾人福利性单位声明函。</w:t>
            </w:r>
          </w:p>
        </w:tc>
      </w:tr>
      <w:tr>
        <w:tblPrEx>
          <w:tblCellMar>
            <w:top w:w="0" w:type="dxa"/>
            <w:left w:w="108" w:type="dxa"/>
            <w:bottom w:w="0" w:type="dxa"/>
            <w:right w:w="108" w:type="dxa"/>
          </w:tblCellMar>
        </w:tblPrEx>
        <w:trPr>
          <w:trHeight w:val="1732" w:hRule="atLeast"/>
          <w:jc w:val="center"/>
        </w:trPr>
        <w:tc>
          <w:tcPr>
            <w:tcW w:w="692"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29</w:t>
            </w:r>
          </w:p>
        </w:tc>
        <w:tc>
          <w:tcPr>
            <w:tcW w:w="1992"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中小微企业政策文件说明</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（1）支持中小企业发展：给予小型和微型企业产品的价格</w:t>
            </w:r>
            <w:r>
              <w:rPr>
                <w:rFonts w:hint="eastAsia" w:ascii="仿宋" w:hAnsi="仿宋" w:eastAsia="仿宋" w:cs="仿宋"/>
                <w:color w:val="auto"/>
                <w:sz w:val="24"/>
                <w:szCs w:val="24"/>
                <w:lang w:eastAsia="zh-CN"/>
              </w:rPr>
              <w:t>10</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0%的扣除，用扣除后的价格参与评审，本项目具体扣除比例为</w:t>
            </w:r>
            <w:r>
              <w:rPr>
                <w:rFonts w:hint="eastAsia" w:ascii="仿宋" w:hAnsi="仿宋" w:eastAsia="仿宋" w:cs="仿宋"/>
                <w:color w:val="auto"/>
                <w:sz w:val="24"/>
                <w:szCs w:val="24"/>
                <w:lang w:eastAsia="zh-CN"/>
              </w:rPr>
              <w:t>10</w:t>
            </w:r>
            <w:r>
              <w:rPr>
                <w:rFonts w:hint="eastAsia" w:ascii="仿宋" w:hAnsi="仿宋" w:eastAsia="仿宋" w:cs="仿宋"/>
                <w:color w:val="auto"/>
                <w:sz w:val="24"/>
                <w:szCs w:val="24"/>
              </w:rPr>
              <w:t>%。用扣除后的价格参与评审。残疾人福利性单位视同小型、微型企业，享受同等价格扣除，但同时属于残疾人福利性单位和小微企业的，不重复价格扣除。</w:t>
            </w:r>
          </w:p>
        </w:tc>
      </w:tr>
      <w:tr>
        <w:tblPrEx>
          <w:tblCellMar>
            <w:top w:w="0" w:type="dxa"/>
            <w:left w:w="108" w:type="dxa"/>
            <w:bottom w:w="0" w:type="dxa"/>
            <w:right w:w="108" w:type="dxa"/>
          </w:tblCellMar>
        </w:tblPrEx>
        <w:trPr>
          <w:trHeight w:val="363" w:hRule="atLeast"/>
          <w:jc w:val="center"/>
        </w:trPr>
        <w:tc>
          <w:tcPr>
            <w:tcW w:w="692"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rPr>
              <w:t>（2）不符合上述适用情形的投标人无需提供上述声明函件。</w:t>
            </w:r>
          </w:p>
        </w:tc>
      </w:tr>
      <w:tr>
        <w:tblPrEx>
          <w:tblCellMar>
            <w:top w:w="0" w:type="dxa"/>
            <w:left w:w="108" w:type="dxa"/>
            <w:bottom w:w="0" w:type="dxa"/>
            <w:right w:w="108" w:type="dxa"/>
          </w:tblCellMar>
        </w:tblPrEx>
        <w:trPr>
          <w:trHeight w:val="363" w:hRule="atLeast"/>
          <w:jc w:val="center"/>
        </w:trPr>
        <w:tc>
          <w:tcPr>
            <w:tcW w:w="692"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所属行业为：批发业</w:t>
            </w:r>
          </w:p>
        </w:tc>
      </w:tr>
      <w:tr>
        <w:tblPrEx>
          <w:tblCellMar>
            <w:top w:w="0" w:type="dxa"/>
            <w:left w:w="108" w:type="dxa"/>
            <w:bottom w:w="0" w:type="dxa"/>
            <w:right w:w="108" w:type="dxa"/>
          </w:tblCellMar>
        </w:tblPrEx>
        <w:trPr>
          <w:trHeight w:val="363" w:hRule="atLeast"/>
          <w:jc w:val="center"/>
        </w:trPr>
        <w:tc>
          <w:tcPr>
            <w:tcW w:w="692"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p>
        </w:tc>
        <w:tc>
          <w:tcPr>
            <w:tcW w:w="1992"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lang w:eastAsia="zh-CN"/>
              </w:rPr>
              <w:t>）本项目专门面向中小企业，不再执行价格评审优惠扶持政策。</w:t>
            </w:r>
          </w:p>
        </w:tc>
      </w:tr>
      <w:tr>
        <w:tblPrEx>
          <w:tblCellMar>
            <w:top w:w="0" w:type="dxa"/>
            <w:left w:w="108" w:type="dxa"/>
            <w:bottom w:w="0" w:type="dxa"/>
            <w:right w:w="108" w:type="dxa"/>
          </w:tblCellMar>
        </w:tblPrEx>
        <w:trPr>
          <w:trHeight w:val="558" w:hRule="atLeast"/>
          <w:jc w:val="center"/>
        </w:trPr>
        <w:tc>
          <w:tcPr>
            <w:tcW w:w="692"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30</w:t>
            </w:r>
          </w:p>
        </w:tc>
        <w:tc>
          <w:tcPr>
            <w:tcW w:w="1992" w:type="dxa"/>
            <w:tcBorders>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sz w:val="24"/>
                <w:szCs w:val="24"/>
                <w:lang w:eastAsia="zh-CN"/>
              </w:rPr>
            </w:pPr>
            <w:r>
              <w:rPr>
                <w:rFonts w:hint="eastAsia" w:ascii="仿宋" w:hAnsi="仿宋" w:eastAsia="仿宋" w:cs="仿宋"/>
                <w:color w:val="auto"/>
                <w:sz w:val="24"/>
                <w:szCs w:val="24"/>
              </w:rPr>
              <w:t>履约保证金</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无</w:t>
            </w:r>
          </w:p>
        </w:tc>
      </w:tr>
      <w:tr>
        <w:tblPrEx>
          <w:tblCellMar>
            <w:top w:w="0" w:type="dxa"/>
            <w:left w:w="108" w:type="dxa"/>
            <w:bottom w:w="0" w:type="dxa"/>
            <w:right w:w="108" w:type="dxa"/>
          </w:tblCellMar>
        </w:tblPrEx>
        <w:trPr>
          <w:trHeight w:val="84" w:hRule="atLeast"/>
          <w:jc w:val="center"/>
        </w:trPr>
        <w:tc>
          <w:tcPr>
            <w:tcW w:w="26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szCs w:val="24"/>
                <w:lang w:eastAsia="zh-CN"/>
              </w:rPr>
            </w:pPr>
            <w:r>
              <w:rPr>
                <w:rFonts w:hint="eastAsia" w:ascii="仿宋" w:hAnsi="仿宋" w:eastAsia="仿宋" w:cs="仿宋"/>
                <w:b/>
                <w:bCs/>
                <w:color w:val="auto"/>
                <w:sz w:val="24"/>
                <w:szCs w:val="24"/>
              </w:rPr>
              <w:t>备注</w:t>
            </w:r>
          </w:p>
        </w:tc>
        <w:tc>
          <w:tcPr>
            <w:tcW w:w="65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着重提醒各投标人注意，并认真查看</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中的每一个条款及要求，因误读</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而造成的后果，招标人概不负责。</w:t>
            </w:r>
          </w:p>
          <w:p>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2、投标人使用相同IP地址的，一经发现，相关部门将进一步核实，查实后按串通投标处理。</w:t>
            </w:r>
          </w:p>
          <w:p>
            <w:pPr>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为保证本项目质量，良好的售后服务，最</w:t>
            </w:r>
            <w:r>
              <w:rPr>
                <w:rFonts w:hint="eastAsia" w:ascii="仿宋" w:hAnsi="仿宋" w:eastAsia="仿宋" w:cs="仿宋"/>
                <w:color w:val="auto"/>
                <w:sz w:val="24"/>
                <w:szCs w:val="24"/>
                <w:lang w:eastAsia="zh-CN"/>
              </w:rPr>
              <w:t>高</w:t>
            </w:r>
            <w:r>
              <w:rPr>
                <w:rFonts w:hint="eastAsia" w:ascii="仿宋" w:hAnsi="仿宋" w:eastAsia="仿宋" w:cs="仿宋"/>
                <w:color w:val="auto"/>
                <w:sz w:val="24"/>
                <w:szCs w:val="24"/>
              </w:rPr>
              <w:t>报价不作为中标的唯一依据。</w:t>
            </w:r>
          </w:p>
          <w:p>
            <w:pPr>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采购人若发现成交候选供应商在投标过程中提供虚假证明文件，故意隐瞒公司不良信誉和财务状况，以及其他可能对合同圆满履行造成风险的因素等，则按规定取消其成交资格，监管部门依法进行处理。</w:t>
            </w:r>
          </w:p>
          <w:p>
            <w:pPr>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其它：</w:t>
            </w:r>
          </w:p>
          <w:p>
            <w:pPr>
              <w:rPr>
                <w:rFonts w:ascii="仿宋" w:hAnsi="仿宋" w:eastAsia="仿宋" w:cs="仿宋"/>
                <w:color w:val="auto"/>
                <w:sz w:val="24"/>
                <w:szCs w:val="24"/>
              </w:rPr>
            </w:pPr>
            <w:r>
              <w:rPr>
                <w:rFonts w:hint="eastAsia" w:ascii="仿宋" w:hAnsi="仿宋" w:eastAsia="仿宋" w:cs="仿宋"/>
                <w:color w:val="auto"/>
                <w:sz w:val="24"/>
                <w:szCs w:val="24"/>
              </w:rPr>
              <w:t>（1）投标企业严格遵守国家的法律法规及招标纪律，无违法违纪及商业贿赂行为。</w:t>
            </w:r>
          </w:p>
          <w:p>
            <w:pPr>
              <w:rPr>
                <w:rFonts w:ascii="仿宋" w:hAnsi="仿宋" w:eastAsia="仿宋" w:cs="仿宋"/>
                <w:color w:val="auto"/>
                <w:sz w:val="24"/>
                <w:szCs w:val="24"/>
              </w:rPr>
            </w:pPr>
            <w:r>
              <w:rPr>
                <w:rFonts w:hint="eastAsia" w:ascii="仿宋" w:hAnsi="仿宋" w:eastAsia="仿宋" w:cs="仿宋"/>
                <w:color w:val="auto"/>
                <w:sz w:val="24"/>
                <w:szCs w:val="24"/>
              </w:rPr>
              <w:t>（2）不管投标结果如何，供应商均应自行承担投标所需一切费用。</w:t>
            </w:r>
          </w:p>
          <w:p>
            <w:pPr>
              <w:rPr>
                <w:rFonts w:ascii="仿宋" w:hAnsi="仿宋" w:eastAsia="仿宋" w:cs="仿宋"/>
                <w:color w:val="auto"/>
                <w:sz w:val="24"/>
                <w:szCs w:val="24"/>
                <w:lang w:eastAsia="zh-CN"/>
              </w:rPr>
            </w:pPr>
            <w:r>
              <w:rPr>
                <w:rFonts w:hint="eastAsia" w:ascii="仿宋" w:hAnsi="仿宋" w:eastAsia="仿宋" w:cs="仿宋"/>
                <w:color w:val="auto"/>
                <w:sz w:val="24"/>
                <w:szCs w:val="24"/>
              </w:rPr>
              <w:t>（3）供应商应以书面形式保证中标后由本公司组织实施，不得以任何理由将项目转包给其他机构。</w:t>
            </w:r>
          </w:p>
          <w:p>
            <w:pPr>
              <w:rPr>
                <w:rFonts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中如出现前后不一致情况，均以前附表内容为准。</w:t>
            </w:r>
          </w:p>
        </w:tc>
      </w:tr>
    </w:tbl>
    <w:p>
      <w:pPr>
        <w:rPr>
          <w:color w:val="auto"/>
        </w:rPr>
      </w:pPr>
    </w:p>
    <w:p>
      <w:pPr>
        <w:rPr>
          <w:rFonts w:hint="eastAsia"/>
        </w:rPr>
      </w:pPr>
    </w:p>
    <w:p>
      <w:pPr>
        <w:pStyle w:val="2"/>
        <w:rPr>
          <w:rFonts w:hint="eastAsia"/>
        </w:rPr>
      </w:pPr>
    </w:p>
    <w:p>
      <w:pPr>
        <w:pStyle w:val="4"/>
        <w:numPr>
          <w:ilvl w:val="0"/>
          <w:numId w:val="0"/>
        </w:numPr>
        <w:tabs>
          <w:tab w:val="clear" w:pos="780"/>
        </w:tabs>
        <w:rPr>
          <w:rFonts w:hint="eastAsia"/>
        </w:rPr>
      </w:pPr>
    </w:p>
    <w:p>
      <w:pPr>
        <w:rPr>
          <w:rFonts w:hint="eastAsia"/>
        </w:rPr>
      </w:pPr>
    </w:p>
    <w:p>
      <w:pPr>
        <w:pStyle w:val="6"/>
        <w:rPr>
          <w:rFonts w:hint="eastAsia" w:ascii="仿宋" w:hAnsi="仿宋" w:eastAsia="仿宋" w:cs="仿宋"/>
          <w:color w:val="auto"/>
          <w:sz w:val="28"/>
          <w:szCs w:val="28"/>
        </w:rPr>
      </w:pPr>
      <w:r>
        <w:rPr>
          <w:rFonts w:hint="eastAsia" w:ascii="仿宋" w:hAnsi="仿宋" w:eastAsia="仿宋" w:cs="仿宋"/>
          <w:color w:val="auto"/>
          <w:sz w:val="28"/>
          <w:szCs w:val="28"/>
        </w:rPr>
        <w:t>一、总则</w:t>
      </w:r>
    </w:p>
    <w:p>
      <w:pPr>
        <w:pStyle w:val="15"/>
        <w:snapToGrid w:val="0"/>
        <w:spacing w:line="360" w:lineRule="auto"/>
        <w:ind w:firstLine="359" w:firstLineChars="147"/>
        <w:jc w:val="both"/>
        <w:rPr>
          <w:rFonts w:hint="eastAsia" w:ascii="仿宋" w:hAnsi="仿宋" w:eastAsia="仿宋" w:cs="仿宋"/>
          <w:b/>
          <w:bCs/>
          <w:color w:val="auto"/>
          <w:sz w:val="24"/>
          <w:szCs w:val="24"/>
          <w:lang w:eastAsia="zh-CN"/>
        </w:rPr>
      </w:pPr>
      <w:r>
        <w:rPr>
          <w:rFonts w:hint="eastAsia" w:ascii="仿宋" w:hAnsi="仿宋" w:eastAsia="仿宋" w:cs="仿宋"/>
          <w:b/>
          <w:bCs/>
          <w:color w:val="auto"/>
          <w:kern w:val="2"/>
          <w:sz w:val="24"/>
          <w:szCs w:val="24"/>
        </w:rPr>
        <w:t>（一）项目名称</w:t>
      </w:r>
      <w:r>
        <w:rPr>
          <w:rFonts w:hint="eastAsia" w:ascii="仿宋" w:hAnsi="仿宋" w:eastAsia="仿宋" w:cs="仿宋"/>
          <w:color w:val="auto"/>
          <w:sz w:val="24"/>
          <w:szCs w:val="24"/>
        </w:rPr>
        <w:t>：</w:t>
      </w:r>
      <w:r>
        <w:rPr>
          <w:rFonts w:hint="eastAsia" w:ascii="仿宋" w:hAnsi="仿宋" w:eastAsia="仿宋" w:cs="仿宋"/>
          <w:b/>
          <w:bCs/>
          <w:color w:val="auto"/>
          <w:sz w:val="24"/>
          <w:szCs w:val="24"/>
          <w:lang w:eastAsia="zh-CN"/>
        </w:rPr>
        <w:t>阿图什市技工教育提升项目（三次）</w:t>
      </w:r>
    </w:p>
    <w:p>
      <w:pPr>
        <w:snapToGrid w:val="0"/>
        <w:spacing w:line="360" w:lineRule="auto"/>
        <w:ind w:firstLine="367" w:firstLineChars="150"/>
        <w:rPr>
          <w:rFonts w:hint="eastAsia" w:ascii="仿宋" w:hAnsi="仿宋" w:eastAsia="仿宋" w:cs="仿宋"/>
          <w:color w:val="auto"/>
          <w:sz w:val="24"/>
          <w:szCs w:val="24"/>
        </w:rPr>
      </w:pPr>
      <w:r>
        <w:rPr>
          <w:rFonts w:hint="eastAsia" w:ascii="仿宋" w:hAnsi="仿宋" w:eastAsia="仿宋" w:cs="仿宋"/>
          <w:b/>
          <w:bCs/>
          <w:color w:val="auto"/>
          <w:sz w:val="24"/>
          <w:szCs w:val="24"/>
        </w:rPr>
        <w:t>（二）采购方式</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本项目采取</w:t>
      </w:r>
      <w:r>
        <w:rPr>
          <w:rFonts w:hint="eastAsia" w:ascii="仿宋" w:hAnsi="仿宋" w:eastAsia="仿宋" w:cs="仿宋"/>
          <w:color w:val="auto"/>
          <w:sz w:val="24"/>
          <w:szCs w:val="24"/>
          <w:u w:val="single"/>
          <w:lang w:eastAsia="zh-CN"/>
        </w:rPr>
        <w:t>竞争性谈判</w:t>
      </w:r>
      <w:r>
        <w:rPr>
          <w:rFonts w:hint="eastAsia" w:ascii="仿宋" w:hAnsi="仿宋" w:eastAsia="仿宋" w:cs="仿宋"/>
          <w:color w:val="auto"/>
          <w:sz w:val="24"/>
          <w:szCs w:val="24"/>
        </w:rPr>
        <w:t>方式采购。</w:t>
      </w:r>
    </w:p>
    <w:p>
      <w:pPr>
        <w:snapToGrid w:val="0"/>
        <w:spacing w:line="360" w:lineRule="auto"/>
        <w:ind w:firstLine="367" w:firstLineChars="150"/>
        <w:rPr>
          <w:rFonts w:hint="eastAsia" w:ascii="仿宋" w:hAnsi="仿宋" w:eastAsia="仿宋" w:cs="仿宋"/>
          <w:b/>
          <w:bCs/>
          <w:color w:val="auto"/>
          <w:sz w:val="24"/>
          <w:szCs w:val="24"/>
        </w:rPr>
      </w:pPr>
      <w:r>
        <w:rPr>
          <w:rFonts w:hint="eastAsia" w:ascii="仿宋" w:hAnsi="仿宋" w:eastAsia="仿宋" w:cs="仿宋"/>
          <w:b/>
          <w:bCs/>
          <w:color w:val="auto"/>
          <w:sz w:val="24"/>
          <w:szCs w:val="24"/>
        </w:rPr>
        <w:t>（三）合格的供应商</w:t>
      </w:r>
    </w:p>
    <w:p>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详见供应商须知前附表第5项</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（四）适用法律</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本次招标及由本次招标产生的合同受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中华人民共和国政府采购法》、《政府采购</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采购方式管理暂行办法》等相关法律、法规制约和保护。</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（五）招标费用</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供应商应自行承担所有参加招标有关的费用。</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（六）</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的约束力</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供应商一旦报名参加本项目投标，即被认为接受了本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中的所有条件和规定。</w:t>
      </w:r>
    </w:p>
    <w:p>
      <w:pPr>
        <w:pStyle w:val="6"/>
        <w:rPr>
          <w:rFonts w:hint="eastAsia" w:ascii="仿宋" w:hAnsi="仿宋" w:eastAsia="仿宋" w:cs="仿宋"/>
          <w:color w:val="auto"/>
          <w:sz w:val="28"/>
          <w:szCs w:val="28"/>
        </w:rPr>
      </w:pPr>
      <w:bookmarkStart w:id="29" w:name="_Toc452657552"/>
      <w:bookmarkStart w:id="30" w:name="_Toc497129137"/>
      <w:r>
        <w:rPr>
          <w:rFonts w:hint="eastAsia" w:ascii="仿宋" w:hAnsi="仿宋" w:eastAsia="仿宋" w:cs="仿宋"/>
          <w:color w:val="auto"/>
          <w:sz w:val="28"/>
          <w:szCs w:val="28"/>
        </w:rPr>
        <w:t>二、</w:t>
      </w:r>
      <w:bookmarkEnd w:id="29"/>
      <w:bookmarkEnd w:id="30"/>
      <w:r>
        <w:rPr>
          <w:rFonts w:hint="eastAsia" w:ascii="仿宋" w:hAnsi="仿宋" w:eastAsia="仿宋" w:cs="仿宋"/>
          <w:color w:val="auto"/>
          <w:sz w:val="28"/>
          <w:szCs w:val="28"/>
          <w:lang w:eastAsia="zh-CN"/>
        </w:rPr>
        <w:t>谈判文件</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（七）</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构成</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公告；</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2.供应商须知；</w:t>
      </w:r>
    </w:p>
    <w:p>
      <w:pPr>
        <w:adjustRightInd w:val="0"/>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3.技术要求</w:t>
      </w:r>
    </w:p>
    <w:p>
      <w:pPr>
        <w:adjustRightInd w:val="0"/>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4.合同文本（参考）</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5.响应文件格式</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供应商获取</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后，应仔细检查文件页数和附件数量，如发现有缺漏，请及时与采购代理机构联系补全。如果供应商不按上述要求操作而造成不良后果，采购代理机构不承担责任。</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（八）</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的澄清</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任何要求对</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澄清的供应商，均应在在响应文件接收截止时间5日之前，</w:t>
      </w:r>
      <w:r>
        <w:rPr>
          <w:rFonts w:hint="eastAsia" w:ascii="仿宋" w:hAnsi="仿宋" w:eastAsia="仿宋" w:cs="仿宋"/>
          <w:color w:val="auto"/>
          <w:sz w:val="24"/>
          <w:szCs w:val="24"/>
          <w:lang w:eastAsia="zh-CN"/>
        </w:rPr>
        <w:t>由澄清或质疑方的法定代表人或授权投标人（必须为法定代表人授权进行该项目投标的被授权人）以书面形式向采购人及招标代理公司递交澄清或质疑函(原件)，并登记备案。澄清或质疑函须有法定代表人亲笔签章。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w:t>
      </w:r>
      <w:r>
        <w:rPr>
          <w:rFonts w:hint="eastAsia" w:ascii="仿宋" w:hAnsi="仿宋" w:eastAsia="仿宋" w:cs="仿宋"/>
          <w:color w:val="auto"/>
          <w:sz w:val="24"/>
          <w:szCs w:val="24"/>
          <w:u w:val="single"/>
          <w:lang w:eastAsia="zh-CN"/>
        </w:rPr>
        <w:t>阿图什市技工教育提升项目（三次）</w:t>
      </w:r>
      <w:r>
        <w:rPr>
          <w:rFonts w:hint="eastAsia" w:ascii="仿宋" w:hAnsi="仿宋" w:eastAsia="仿宋" w:cs="仿宋"/>
          <w:color w:val="auto"/>
          <w:sz w:val="24"/>
          <w:szCs w:val="24"/>
          <w:lang w:eastAsia="zh-CN"/>
        </w:rPr>
        <w:t>澄清或质疑使用”字样，并由身份证持有人签章确认。上述资料均须加盖公章。</w:t>
      </w:r>
      <w:r>
        <w:rPr>
          <w:rFonts w:hint="eastAsia" w:ascii="仿宋" w:hAnsi="仿宋" w:eastAsia="仿宋" w:cs="仿宋"/>
          <w:color w:val="auto"/>
          <w:sz w:val="24"/>
          <w:szCs w:val="24"/>
        </w:rPr>
        <w:t>采购代理机构对规定时间内收到的澄清要求以书面形式予以答复，答复不包括问题的来源。</w:t>
      </w:r>
    </w:p>
    <w:p>
      <w:pPr>
        <w:snapToGrid w:val="0"/>
        <w:spacing w:line="360" w:lineRule="auto"/>
        <w:ind w:firstLine="490"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（九）</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的修改</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1、在响应文件接收截止5日前，采购代理机构可以更正文件以补充文件的形式对</w:t>
      </w:r>
      <w:r>
        <w:rPr>
          <w:rFonts w:hint="eastAsia" w:ascii="仿宋" w:hAnsi="仿宋" w:eastAsia="仿宋" w:cs="仿宋"/>
          <w:bCs/>
          <w:color w:val="auto"/>
          <w:sz w:val="24"/>
          <w:szCs w:val="24"/>
          <w:lang w:eastAsia="zh-CN"/>
        </w:rPr>
        <w:t>竞争性谈判</w:t>
      </w:r>
      <w:r>
        <w:rPr>
          <w:rFonts w:hint="eastAsia" w:ascii="仿宋" w:hAnsi="仿宋" w:eastAsia="仿宋" w:cs="仿宋"/>
          <w:color w:val="auto"/>
          <w:sz w:val="24"/>
          <w:szCs w:val="24"/>
        </w:rPr>
        <w:t>进行修改。</w:t>
      </w:r>
    </w:p>
    <w:p>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2、为使供应商有充分的时间对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的修改部分进行分析、研究，采购代理机构有权推迟响应文件接收截止日期和招标时间，并将此变更在</w:t>
      </w:r>
      <w:r>
        <w:rPr>
          <w:rFonts w:hint="eastAsia" w:ascii="仿宋" w:hAnsi="仿宋" w:eastAsia="仿宋" w:cs="仿宋"/>
          <w:color w:val="auto"/>
          <w:sz w:val="24"/>
          <w:szCs w:val="24"/>
          <w:lang w:eastAsia="zh-CN"/>
        </w:rPr>
        <w:t>政采云平台</w:t>
      </w:r>
      <w:r>
        <w:rPr>
          <w:rFonts w:hint="eastAsia" w:ascii="仿宋" w:hAnsi="仿宋" w:eastAsia="仿宋" w:cs="仿宋"/>
          <w:color w:val="auto"/>
          <w:sz w:val="24"/>
          <w:szCs w:val="24"/>
        </w:rPr>
        <w:t>以变更通知的形式予以公布或以书面通知所有购买</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的供应商。</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4、采购代理机构发出的所有补充、修改和变更文件均作为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的组成部分，与</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具有同等法律效力。</w:t>
      </w:r>
    </w:p>
    <w:p>
      <w:pPr>
        <w:pStyle w:val="6"/>
        <w:rPr>
          <w:rFonts w:hint="eastAsia" w:ascii="仿宋" w:hAnsi="仿宋" w:eastAsia="仿宋" w:cs="仿宋"/>
          <w:color w:val="auto"/>
          <w:sz w:val="28"/>
          <w:szCs w:val="28"/>
        </w:rPr>
      </w:pPr>
      <w:bookmarkStart w:id="31" w:name="_Toc497129138"/>
      <w:bookmarkStart w:id="32" w:name="_Toc452657553"/>
      <w:r>
        <w:rPr>
          <w:rFonts w:hint="eastAsia" w:ascii="仿宋" w:hAnsi="仿宋" w:eastAsia="仿宋" w:cs="仿宋"/>
          <w:color w:val="auto"/>
          <w:sz w:val="28"/>
          <w:szCs w:val="28"/>
        </w:rPr>
        <w:t>三、响应文件的编制</w:t>
      </w:r>
      <w:bookmarkEnd w:id="31"/>
      <w:bookmarkEnd w:id="32"/>
    </w:p>
    <w:p>
      <w:pPr>
        <w:snapToGrid w:val="0"/>
        <w:spacing w:line="360" w:lineRule="auto"/>
        <w:ind w:firstLine="245"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（十）响应文件的编制要求</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供应商应仔细阅读“</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”的所有内容，按“</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”的要求编制“响应文件”，并保证所提供的全部资料的真实性、完整性及有效性，以使其投标对“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”做出</w:t>
      </w:r>
      <w:r>
        <w:rPr>
          <w:rFonts w:hint="eastAsia" w:ascii="仿宋" w:hAnsi="仿宋" w:eastAsia="仿宋" w:cs="仿宋"/>
          <w:b/>
          <w:color w:val="auto"/>
          <w:sz w:val="24"/>
          <w:szCs w:val="24"/>
        </w:rPr>
        <w:t>实质性响应</w:t>
      </w:r>
      <w:r>
        <w:rPr>
          <w:rFonts w:hint="eastAsia" w:ascii="仿宋" w:hAnsi="仿宋" w:eastAsia="仿宋" w:cs="仿宋"/>
          <w:color w:val="auto"/>
          <w:sz w:val="24"/>
          <w:szCs w:val="24"/>
        </w:rPr>
        <w:t>。否则，可能被拒绝。</w:t>
      </w:r>
    </w:p>
    <w:p>
      <w:pPr>
        <w:snapToGrid w:val="0"/>
        <w:spacing w:line="360" w:lineRule="auto"/>
        <w:ind w:firstLine="245" w:firstLineChars="100"/>
        <w:rPr>
          <w:rFonts w:hint="eastAsia" w:ascii="仿宋" w:hAnsi="仿宋" w:eastAsia="仿宋" w:cs="仿宋"/>
          <w:color w:val="auto"/>
          <w:sz w:val="24"/>
          <w:szCs w:val="24"/>
        </w:rPr>
      </w:pPr>
      <w:r>
        <w:rPr>
          <w:rFonts w:hint="eastAsia" w:ascii="仿宋" w:hAnsi="仿宋" w:eastAsia="仿宋" w:cs="仿宋"/>
          <w:b/>
          <w:bCs/>
          <w:color w:val="auto"/>
          <w:sz w:val="24"/>
          <w:szCs w:val="24"/>
        </w:rPr>
        <w:t>（十一）响应文件构成</w:t>
      </w:r>
    </w:p>
    <w:p>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资格证明文件和商务及技术文件两部分</w:t>
      </w:r>
    </w:p>
    <w:p>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资格证明文件（包括但不限于）</w:t>
      </w:r>
    </w:p>
    <w:p>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资格证明文件是证明投标人有资格参加投标和中标后有能力履行合同的文件，这些文件应能满足招标的要求，否则作无效投标处理。</w:t>
      </w:r>
    </w:p>
    <w:p>
      <w:pPr>
        <w:numPr>
          <w:ilvl w:val="0"/>
          <w:numId w:val="0"/>
        </w:num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具备三证合一营业执照副本</w:t>
      </w:r>
    </w:p>
    <w:p>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2、法定代表人资格证明书</w:t>
      </w:r>
    </w:p>
    <w:p>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3、法定代表人授权书</w:t>
      </w:r>
    </w:p>
    <w:p>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4、</w:t>
      </w:r>
      <w:r>
        <w:rPr>
          <w:rFonts w:hint="eastAsia" w:ascii="仿宋" w:hAnsi="仿宋" w:eastAsia="仿宋" w:cs="仿宋"/>
          <w:b/>
          <w:color w:val="auto"/>
          <w:sz w:val="24"/>
          <w:szCs w:val="24"/>
          <w:lang w:val="en-US" w:eastAsia="zh-CN"/>
        </w:rPr>
        <w:t>投标保证金缴纳凭证或投标担保函</w:t>
      </w:r>
    </w:p>
    <w:p>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5、投标企业须提供投标人（被授权本单位在职人员）近期有效的社保证明</w:t>
      </w:r>
    </w:p>
    <w:p>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7</w:t>
      </w:r>
      <w:r>
        <w:rPr>
          <w:rFonts w:hint="eastAsia" w:ascii="仿宋" w:hAnsi="仿宋" w:eastAsia="仿宋" w:cs="仿宋"/>
          <w:b/>
          <w:color w:val="auto"/>
          <w:sz w:val="24"/>
          <w:szCs w:val="24"/>
          <w:lang w:eastAsia="zh-CN"/>
        </w:rPr>
        <w:t xml:space="preserve">、投标人须知资料表要求的其他资格证明文件; </w:t>
      </w:r>
    </w:p>
    <w:p>
      <w:pPr>
        <w:snapToGrid w:val="0"/>
        <w:spacing w:line="360" w:lineRule="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（2）商务及技术文件（包括但不限于）</w:t>
      </w:r>
    </w:p>
    <w:p>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1、投标函</w:t>
      </w:r>
    </w:p>
    <w:p>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2、开标一览表</w:t>
      </w:r>
    </w:p>
    <w:p>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3、货物说明一览表</w:t>
      </w:r>
    </w:p>
    <w:p>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4、投标分项报价表</w:t>
      </w:r>
    </w:p>
    <w:p>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5、技术规格偏离表</w:t>
      </w:r>
    </w:p>
    <w:p>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6、商务条款偏离表</w:t>
      </w:r>
    </w:p>
    <w:p>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7、投标人基本情况表</w:t>
      </w:r>
    </w:p>
    <w:p>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8、近三年（2019年1月1日至今）类似项目业绩表</w:t>
      </w:r>
    </w:p>
    <w:p>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9、中小企业声明函(货物)</w:t>
      </w:r>
    </w:p>
    <w:p>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10、《残疾人福利性单位声明函》</w:t>
      </w:r>
    </w:p>
    <w:p>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11、投标人认为有必要提供的其他证明材料</w:t>
      </w:r>
    </w:p>
    <w:p>
      <w:pPr>
        <w:snapToGrid w:val="0"/>
        <w:spacing w:line="360" w:lineRule="auto"/>
        <w:ind w:firstLine="49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注：1.为了便于查找，请按上述顺序编制内容，并在目录中标明每项内容的起始页码。</w:t>
      </w:r>
    </w:p>
    <w:p>
      <w:pPr>
        <w:snapToGrid w:val="0"/>
        <w:spacing w:line="360" w:lineRule="auto"/>
        <w:ind w:firstLine="980" w:firstLineChars="4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2.以上材料须加盖单位公章，供应商需将响应文件按上述顺序装订成册。       </w:t>
      </w:r>
    </w:p>
    <w:p>
      <w:pPr>
        <w:snapToGrid w:val="0"/>
        <w:spacing w:line="360" w:lineRule="auto"/>
        <w:ind w:firstLine="980" w:firstLineChars="400"/>
        <w:rPr>
          <w:rFonts w:hint="eastAsia" w:ascii="仿宋" w:hAnsi="仿宋" w:eastAsia="仿宋" w:cs="仿宋"/>
          <w:b/>
          <w:bCs/>
          <w:color w:val="auto"/>
          <w:sz w:val="24"/>
          <w:szCs w:val="24"/>
        </w:rPr>
      </w:pPr>
      <w:r>
        <w:rPr>
          <w:rFonts w:hint="eastAsia" w:ascii="仿宋" w:hAnsi="仿宋" w:eastAsia="仿宋" w:cs="仿宋"/>
          <w:color w:val="auto"/>
          <w:sz w:val="24"/>
          <w:szCs w:val="24"/>
          <w:u w:val="single"/>
        </w:rPr>
        <w:t>3. 请各投标供应商根据项目实际需求，并结合企业自身情况以及相关评标办法进行编制。</w:t>
      </w:r>
    </w:p>
    <w:p>
      <w:pPr>
        <w:snapToGrid w:val="0"/>
        <w:spacing w:line="360" w:lineRule="auto"/>
        <w:ind w:firstLine="200"/>
        <w:rPr>
          <w:rFonts w:hint="eastAsia" w:ascii="仿宋" w:hAnsi="仿宋" w:eastAsia="仿宋" w:cs="仿宋"/>
          <w:color w:val="auto"/>
          <w:sz w:val="24"/>
          <w:szCs w:val="24"/>
        </w:rPr>
      </w:pPr>
      <w:r>
        <w:rPr>
          <w:rFonts w:hint="eastAsia" w:ascii="仿宋" w:hAnsi="仿宋" w:eastAsia="仿宋" w:cs="仿宋"/>
          <w:b/>
          <w:bCs/>
          <w:color w:val="auto"/>
          <w:sz w:val="24"/>
          <w:szCs w:val="24"/>
        </w:rPr>
        <w:t>（十二）响应文件格式</w:t>
      </w:r>
    </w:p>
    <w:p>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供应商应仔细阅读谈判文件的所有内容，按照谈判文件的要求详细编制响应文件，所提交的全部资料必须真实有效，并且要保证字迹清晰易于辨认。响应文件应对谈判文件实质性内容作出响应，否则按无效标处理。</w:t>
      </w:r>
    </w:p>
    <w:p>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（2）响应文件格式应按本谈判文件第五章格式要求编制，不得对谈判文件格式进行增删更改，否则按无效标处理。</w:t>
      </w:r>
    </w:p>
    <w:p>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（3）对谈判文件格式可更改的例外情况：谈判文件第五章附件格式要求中明确规定表格中行数不够用时可按相同格式增加行数，其他一切内容和格式不得更改。 </w:t>
      </w:r>
    </w:p>
    <w:p>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（4）响应文件为电子响应文件，电子响应文件按“政采云供应商项目采购-电子招投标操作指南”及本谈判文件要求制作、加密传输。</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（5）响应文件未在投标截止时间前完成传输的，视为响应文件撤回；响应文件未按时解密也未提供备份响应文件的，亦视为响应文件撤回。</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（十三）</w:t>
      </w:r>
      <w:r>
        <w:rPr>
          <w:rFonts w:hint="eastAsia" w:ascii="仿宋" w:hAnsi="仿宋" w:eastAsia="仿宋" w:cs="仿宋"/>
          <w:b/>
          <w:bCs/>
          <w:color w:val="auto"/>
          <w:sz w:val="24"/>
          <w:szCs w:val="24"/>
          <w:lang w:eastAsia="zh-CN"/>
        </w:rPr>
        <w:t>谈判</w:t>
      </w:r>
      <w:r>
        <w:rPr>
          <w:rFonts w:hint="eastAsia" w:ascii="仿宋" w:hAnsi="仿宋" w:eastAsia="仿宋" w:cs="仿宋"/>
          <w:b/>
          <w:bCs/>
          <w:color w:val="auto"/>
          <w:sz w:val="24"/>
          <w:szCs w:val="24"/>
        </w:rPr>
        <w:t>报价</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报价为“招标范围”内的总报价。</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2、凡要求供应商考虑在报价中的内容供应商在响应文件中没有考虑、没有计入的或未单独列出，采购人认为供应商已将此项费用涵盖在其它费用价格中。</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报价应包含项目实施过程中涉及到的一切费用。</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4、报价注意事项：</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供应商报价时应充分考虑所有可能影响到报价的报价因素，一旦招标结束最终成交，总价将固定，不予调整。如发生漏、缺、少项，都将被认为是成交人的报价让利行为，损失自负。</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（十四）投标有效期</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1、投标有效期为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规定的供应商提交响应文件截止之日起</w:t>
      </w:r>
      <w:r>
        <w:rPr>
          <w:rFonts w:hint="eastAsia" w:ascii="仿宋" w:hAnsi="仿宋" w:eastAsia="仿宋" w:cs="仿宋"/>
          <w:color w:val="auto"/>
          <w:sz w:val="24"/>
          <w:szCs w:val="24"/>
          <w:u w:val="single"/>
          <w:lang w:eastAsia="zh-CN"/>
        </w:rPr>
        <w:t>60</w:t>
      </w:r>
      <w:r>
        <w:rPr>
          <w:rFonts w:hint="eastAsia" w:ascii="仿宋" w:hAnsi="仿宋" w:eastAsia="仿宋" w:cs="仿宋"/>
          <w:color w:val="auto"/>
          <w:sz w:val="24"/>
          <w:szCs w:val="24"/>
        </w:rPr>
        <w:t>天。投标有效期不满足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要求的将视为非响应性文件而予以拒绝。</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特殊情况下，采购人于原投标有效期满之前，可向供应商提出延长投标有效期的要求，这种要求与答复均应采用书面形式（如信件、传真或电报等），供应商可以拒绝采购人的这一要求而放弃参与投标；同意延长的供应商不允许修改其响应文件。</w:t>
      </w:r>
    </w:p>
    <w:p>
      <w:pPr>
        <w:snapToGrid w:val="0"/>
        <w:spacing w:line="360" w:lineRule="auto"/>
        <w:ind w:firstLine="239" w:firstLineChars="98"/>
        <w:rPr>
          <w:rFonts w:hint="eastAsia" w:ascii="仿宋" w:hAnsi="仿宋" w:eastAsia="仿宋" w:cs="仿宋"/>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）响应文件</w:t>
      </w:r>
      <w:r>
        <w:rPr>
          <w:rFonts w:hint="eastAsia" w:ascii="仿宋" w:hAnsi="仿宋" w:eastAsia="仿宋" w:cs="仿宋"/>
          <w:b/>
          <w:bCs/>
          <w:color w:val="auto"/>
          <w:sz w:val="24"/>
          <w:szCs w:val="24"/>
          <w:lang w:eastAsia="zh-CN"/>
        </w:rPr>
        <w:t>的</w:t>
      </w:r>
      <w:r>
        <w:rPr>
          <w:rFonts w:hint="eastAsia" w:ascii="仿宋" w:hAnsi="仿宋" w:eastAsia="仿宋" w:cs="仿宋"/>
          <w:b/>
          <w:bCs/>
          <w:color w:val="auto"/>
          <w:sz w:val="24"/>
          <w:szCs w:val="24"/>
        </w:rPr>
        <w:t>签署</w:t>
      </w:r>
    </w:p>
    <w:p>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1、除供应商对错处做必要修改外，响应文件不得行间插字、涂改或增删，必要的修改处必须有供应商法人代表或其被授权人</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并加盖公章。</w:t>
      </w:r>
    </w:p>
    <w:p>
      <w:pPr>
        <w:pStyle w:val="5"/>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的制作、上传及递交要求</w:t>
      </w:r>
    </w:p>
    <w:p>
      <w:pPr>
        <w:snapToGrid w:val="0"/>
        <w:spacing w:line="360" w:lineRule="auto"/>
        <w:ind w:firstLine="490" w:firstLineChars="200"/>
        <w:rPr>
          <w:rFonts w:hint="eastAsia" w:ascii="仿宋" w:hAnsi="仿宋" w:eastAsia="仿宋" w:cs="仿宋"/>
          <w:b/>
          <w:bCs/>
          <w:color w:val="auto"/>
          <w:sz w:val="24"/>
          <w:szCs w:val="24"/>
          <w:lang w:eastAsia="zh-CN"/>
        </w:rPr>
      </w:pPr>
    </w:p>
    <w:p>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（十六）响应文件</w:t>
      </w:r>
      <w:r>
        <w:rPr>
          <w:rFonts w:hint="eastAsia" w:ascii="仿宋" w:hAnsi="仿宋" w:eastAsia="仿宋" w:cs="仿宋"/>
          <w:b/>
          <w:bCs/>
          <w:color w:val="auto"/>
          <w:sz w:val="24"/>
          <w:szCs w:val="24"/>
        </w:rPr>
        <w:t>的制作要求</w:t>
      </w:r>
    </w:p>
    <w:p>
      <w:pPr>
        <w:pStyle w:val="8"/>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（1）供应商应按照</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组成内容及项目招标需求和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的将视情况处理（拒收等），由此产生的责任由供应商自行承担。</w:t>
      </w:r>
    </w:p>
    <w:p>
      <w:pPr>
        <w:pStyle w:val="8"/>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部分：供应商应根据“政采云供应商项目采购-电子招投标操作指南”及本</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规定的格式和顺序编制电子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并进行关联定位。本文件《</w:t>
      </w:r>
      <w:r>
        <w:rPr>
          <w:rFonts w:hint="eastAsia" w:ascii="仿宋" w:hAnsi="仿宋" w:eastAsia="仿宋" w:cs="仿宋"/>
          <w:color w:val="auto"/>
          <w:sz w:val="24"/>
          <w:szCs w:val="24"/>
          <w:lang w:eastAsia="zh-CN"/>
        </w:rPr>
        <w:t>第五部分</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格式》中有提供格式的，供应商应按照格式进行编制（格式中要求提供相关证明材料的还需后附相关证明材料），并按格式要求在指定位置根据要求进行签章，否则视为未提供；本文件《</w:t>
      </w:r>
      <w:r>
        <w:rPr>
          <w:rFonts w:hint="eastAsia" w:ascii="仿宋" w:hAnsi="仿宋" w:eastAsia="仿宋" w:cs="仿宋"/>
          <w:color w:val="auto"/>
          <w:sz w:val="24"/>
          <w:szCs w:val="24"/>
          <w:lang w:eastAsia="zh-CN"/>
        </w:rPr>
        <w:t>第五部分响应文件</w:t>
      </w:r>
      <w:r>
        <w:rPr>
          <w:rFonts w:hint="eastAsia" w:ascii="仿宋" w:hAnsi="仿宋" w:eastAsia="仿宋" w:cs="仿宋"/>
          <w:color w:val="auto"/>
          <w:sz w:val="24"/>
          <w:szCs w:val="24"/>
        </w:rPr>
        <w:t>格式》未提供格式的，请供应商自行拟定格式，并加盖单位公章，否则视为未提供。</w:t>
      </w:r>
    </w:p>
    <w:p>
      <w:pPr>
        <w:pStyle w:val="8"/>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：通过“政采云”平台电子投标工具制作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所产生的备份文件。</w:t>
      </w:r>
    </w:p>
    <w:p>
      <w:pPr>
        <w:pStyle w:val="8"/>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（2）供应商应对所提供的全部资料的真实性、有效性承担法律责任，电子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中所须加盖公章部分均采用CA签章。</w:t>
      </w:r>
    </w:p>
    <w:p>
      <w:pPr>
        <w:pStyle w:val="8"/>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以及供应商与采购组织机构就有关投标事宜的所有来往函电，均应以中文汉语书写。除</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、盖章、专用名称等特殊情形外，以中文汉语以外的文字表述的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视同未提供。</w:t>
      </w:r>
    </w:p>
    <w:p>
      <w:pPr>
        <w:pStyle w:val="8"/>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（4）投标计量单位，</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已有明确规定的，使用</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规定的计量单位；</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没有规定的，应采用中华人民共和国法定计量单位（货币单位：人民币元）。</w:t>
      </w:r>
    </w:p>
    <w:p>
      <w:pPr>
        <w:pStyle w:val="8"/>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（5）若供应商不按</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的要求提供资格审查材料，其风险由供应商自行承担。</w:t>
      </w:r>
    </w:p>
    <w:p>
      <w:pPr>
        <w:pStyle w:val="8"/>
        <w:snapToGrid w:val="0"/>
        <w:spacing w:line="360" w:lineRule="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（6）与本次投标无关的内容请不要制作在内，确保</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有针对性、简洁明</w:t>
      </w:r>
      <w:r>
        <w:rPr>
          <w:rFonts w:hint="eastAsia" w:ascii="仿宋" w:hAnsi="仿宋" w:eastAsia="仿宋" w:cs="仿宋"/>
          <w:bCs/>
          <w:color w:val="auto"/>
          <w:sz w:val="24"/>
          <w:szCs w:val="24"/>
        </w:rPr>
        <w:t>了。</w:t>
      </w:r>
    </w:p>
    <w:p>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（十七）响应文件</w:t>
      </w:r>
      <w:r>
        <w:rPr>
          <w:rFonts w:hint="eastAsia" w:ascii="仿宋" w:hAnsi="仿宋" w:eastAsia="仿宋" w:cs="仿宋"/>
          <w:b/>
          <w:bCs/>
          <w:color w:val="auto"/>
          <w:sz w:val="24"/>
          <w:szCs w:val="24"/>
        </w:rPr>
        <w:t>的上传</w:t>
      </w:r>
    </w:p>
    <w:p>
      <w:pPr>
        <w:pStyle w:val="8"/>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（1）电子加密响应文件（“.jmbs”格式）：</w:t>
      </w:r>
    </w:p>
    <w:p>
      <w:pPr>
        <w:pStyle w:val="8"/>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 供应商应在投标截止时间前将电子加密响应文件成功上传递交至新疆政府采购云平台，否则投标无效；</w:t>
      </w:r>
    </w:p>
    <w:p>
      <w:pPr>
        <w:pStyle w:val="8"/>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b.供应商成功上传电子加密响应文件后，可自行打印响应文件接收回执。</w:t>
      </w:r>
    </w:p>
    <w:p>
      <w:pPr>
        <w:pStyle w:val="8"/>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（2）备份响应文件（“.bfbs”格式）：</w:t>
      </w:r>
    </w:p>
    <w:p>
      <w:pPr>
        <w:pStyle w:val="8"/>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供应商可以将备份响应文件打包压缩并加密，压缩包命名为“XX单位备份响应文件”，加密密码由供应商自行保管；送达时间以采购代理机构实际接收时间为准。“备份响应文件”以投标截止时间前指定接收邮箱最终收到的文件为准，逾期或未按要求提供的视为未提供，建议供应商提前1日办理邮件提供事宜（接收人邮箱：</w:t>
      </w:r>
      <w:r>
        <w:rPr>
          <w:color w:val="auto"/>
          <w:sz w:val="24"/>
          <w:szCs w:val="24"/>
        </w:rPr>
        <w:fldChar w:fldCharType="begin"/>
      </w:r>
      <w:r>
        <w:rPr>
          <w:color w:val="auto"/>
          <w:sz w:val="24"/>
          <w:szCs w:val="24"/>
        </w:rPr>
        <w:instrText xml:space="preserve"> HYPERLINK "mailto:1207446769@qq.com，接收人：陈加轲，电话：15157655122" </w:instrText>
      </w:r>
      <w:r>
        <w:rPr>
          <w:color w:val="auto"/>
          <w:sz w:val="24"/>
          <w:szCs w:val="24"/>
        </w:rPr>
        <w:fldChar w:fldCharType="separate"/>
      </w:r>
      <w:r>
        <w:rPr>
          <w:rFonts w:hint="eastAsia" w:ascii="仿宋" w:hAnsi="仿宋" w:eastAsia="仿宋" w:cs="仿宋"/>
          <w:color w:val="auto"/>
          <w:sz w:val="24"/>
          <w:szCs w:val="24"/>
        </w:rPr>
        <w:t>245291818@qq.com，接收人：朱明亮，电话：1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8609088999）；</w:t>
      </w:r>
    </w:p>
    <w:p>
      <w:pPr>
        <w:pStyle w:val="8"/>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pPr>
        <w:pStyle w:val="8"/>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（十八）响应文件</w:t>
      </w:r>
      <w:r>
        <w:rPr>
          <w:rFonts w:hint="eastAsia" w:ascii="仿宋" w:hAnsi="仿宋" w:eastAsia="仿宋" w:cs="仿宋"/>
          <w:b/>
          <w:bCs/>
          <w:color w:val="auto"/>
          <w:sz w:val="24"/>
          <w:szCs w:val="24"/>
        </w:rPr>
        <w:t>的递交要求</w:t>
      </w:r>
    </w:p>
    <w:p>
      <w:pPr>
        <w:pStyle w:val="8"/>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（1）供应商须按照</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和政采云平台的要求编制并加密</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递交截止时间以前完成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的传输递交，截止时间后递交的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，将被拒收。</w:t>
      </w:r>
    </w:p>
    <w:p>
      <w:pPr>
        <w:pStyle w:val="8"/>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必须在投标截止时间前送达指定的投标地点。备份电子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在截止时间后提交，采购组织机构将拒绝接收。</w:t>
      </w:r>
    </w:p>
    <w:p>
      <w:pPr>
        <w:pStyle w:val="8"/>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（3）如有特殊情况，采购组织机构延长截止时间和开标时间，采购组织机构和供应商的权利和义务将受到新的截止时间和开标时间的约束。</w:t>
      </w:r>
    </w:p>
    <w:p>
      <w:pPr>
        <w:pStyle w:val="8"/>
        <w:snapToGrid w:val="0"/>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（十九）响应文件的补充、修改与撤回</w:t>
      </w:r>
    </w:p>
    <w:p>
      <w:pPr>
        <w:pStyle w:val="8"/>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撤回。投标截止时间后传输递交的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，“政府采购云平台”将予以拒收。投标截止时间后，供应商不得修改（补充）或撤回其</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w:t>
      </w:r>
    </w:p>
    <w:p>
      <w:pPr>
        <w:pStyle w:val="6"/>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auto"/>
          <w:sz w:val="28"/>
          <w:szCs w:val="28"/>
        </w:rPr>
        <w:t>五、无效标、废标条款</w:t>
      </w:r>
      <w:bookmarkStart w:id="33" w:name="_Toc452657556"/>
      <w:bookmarkStart w:id="34" w:name="_Toc497129141"/>
    </w:p>
    <w:p>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（二十）无效标</w:t>
      </w:r>
    </w:p>
    <w:p>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有下列情形之一的，响应文件按无效标处理：</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报名的投标人与参加投标的投标人发生实质性变更的且未提供有效证明的；</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投标人提交两份或两份以上内容不同的响应文件，未声明哪一份有效的；</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3、响应文件非投标人法定代表人签署的，未提供或提供无效的法定代表人授权书；</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4、未按谈判文件规定装订；</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5、响应文件内容未按谈判文件规定签章或盖章的；</w:t>
      </w:r>
    </w:p>
    <w:p>
      <w:pPr>
        <w:spacing w:line="440" w:lineRule="exact"/>
        <w:ind w:firstLine="735" w:firstLineChars="3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6、响应文件组成漏项或未按规定的格式编制或响应文件正、副本份数不足或内容不全或内容字迹模糊辨认不清的等而导致评标活动无法正常进行；</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eastAsia="zh-CN"/>
          <w14:textFill>
            <w14:solidFill>
              <w14:schemeClr w14:val="tx1"/>
            </w14:solidFill>
          </w14:textFill>
        </w:rPr>
        <w:t xml:space="preserve"> 投标人未按谈判文件变更通知更改响应文件的；</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8、《开标一览表》和《投标分项报价表》内容不完整且不接受修正意见或字迹不能辨认的或未提供；</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9、标项投标报价超过谈判文件规定的预算金额或最高限价</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10 、因投标人原因编制错误造成经评标委员会修正后的报价达到或超过投标报价的0.5%；</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1、投标人的报价明显低于其他通过符合性审查投标人的报价，有可能影响产品质量或者不能诚信履约的，且在规定时间内不能合理说明原因并提供证明材料的；</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eastAsia="zh-CN"/>
          <w14:textFill>
            <w14:solidFill>
              <w14:schemeClr w14:val="tx1"/>
            </w14:solidFill>
          </w14:textFill>
        </w:rPr>
        <w:t>未实质性响应谈判文件中条款要求的响应文件；</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13、不符合招标范围、技术规格、技术标准的要求无法满足采购人使用要求；</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14、响应文件附有采购人不能接受的条款；</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15、响应文件中提供了赠品或者与本项目采购无关的其他商品、服务；</w:t>
      </w:r>
    </w:p>
    <w:p>
      <w:pPr>
        <w:spacing w:line="440" w:lineRule="exact"/>
        <w:ind w:firstLine="49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16、响应文件中承诺的投标有效期少于谈判文件中载明的投标有效期；</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eastAsia="zh-CN"/>
          <w14:textFill>
            <w14:solidFill>
              <w14:schemeClr w14:val="tx1"/>
            </w14:solidFill>
          </w14:textFill>
        </w:rPr>
        <w:t>、投标人串通投标，妨碍其他投标人的竞争行为，损害采购人或者其他投标人的合法权益；</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18、违反国家及政府部门相关法律、法规、文件规定或经评标委员会认定的其他属于重大偏离；</w:t>
      </w:r>
    </w:p>
    <w:p>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（二十一）废标</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符合谈判文件规定废标情形的；</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出现影响采购公正的违法、违规行为的；</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供应商的报价均超过了采购预算（或最高限价），采购人不能支付的;</w:t>
      </w:r>
    </w:p>
    <w:p>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因重大变故，采购任务取消的。</w:t>
      </w:r>
    </w:p>
    <w:p>
      <w:pPr>
        <w:spacing w:line="440" w:lineRule="exact"/>
        <w:ind w:firstLine="245" w:firstLineChars="100"/>
        <w:rPr>
          <w:rFonts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（二十二）突发情况处理</w:t>
      </w:r>
    </w:p>
    <w:p>
      <w:pPr>
        <w:spacing w:line="440" w:lineRule="exact"/>
        <w:ind w:firstLine="49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 采购过程中出现以下情形，导致电子交易平台无法正常运行，或者无法保证电子交易的公平、公正和安全时，采购组织机构可中止电子交易活动：</w:t>
      </w:r>
    </w:p>
    <w:p>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（1）电子交易平台发生故障而无法登录访问的； </w:t>
      </w:r>
    </w:p>
    <w:p>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（2）电子交易平台应用或数据库出现错误，不能进行正常操作的；</w:t>
      </w:r>
    </w:p>
    <w:p>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（3）电子交易平台发现严重安全漏洞，有潜在泄密危险的；</w:t>
      </w:r>
    </w:p>
    <w:p>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（4）病毒发作导致不能进行正常操作的； </w:t>
      </w:r>
    </w:p>
    <w:p>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（5）其他无法保证电子交易的公平、公正和安全的情况。</w:t>
      </w:r>
    </w:p>
    <w:p>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采购代理机构或评审小组因不可抗力（不可抗力包括但不限于自然灾害、断电、传播疫病等）原因造成电子交易活动无法正常运行的，将采取以下措施：</w:t>
      </w:r>
    </w:p>
    <w:p>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（1）短时间内能消除不可抗力因素的，采购代理机构或评审小组在消除不可抗力因素后继续组织电子交易活动； </w:t>
      </w:r>
    </w:p>
    <w:p>
      <w:pPr>
        <w:spacing w:line="440" w:lineRule="exact"/>
        <w:ind w:firstLine="245"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pPr>
        <w:pStyle w:val="20"/>
        <w:rPr>
          <w:sz w:val="24"/>
          <w:szCs w:val="24"/>
          <w:lang w:eastAsia="zh-CN"/>
        </w:rPr>
      </w:pPr>
    </w:p>
    <w:p>
      <w:pPr>
        <w:pStyle w:val="6"/>
        <w:rPr>
          <w:rFonts w:ascii="仿宋" w:hAnsi="仿宋" w:eastAsia="仿宋" w:cs="仿宋"/>
          <w:color w:val="auto"/>
          <w:sz w:val="28"/>
          <w:szCs w:val="28"/>
        </w:rPr>
      </w:pPr>
      <w:r>
        <w:rPr>
          <w:rFonts w:hint="eastAsia" w:ascii="仿宋" w:hAnsi="仿宋" w:eastAsia="仿宋" w:cs="仿宋"/>
          <w:color w:val="auto"/>
          <w:sz w:val="28"/>
          <w:szCs w:val="28"/>
        </w:rPr>
        <w:t>六、开标</w:t>
      </w:r>
      <w:r>
        <w:rPr>
          <w:rFonts w:hint="eastAsia" w:ascii="仿宋" w:hAnsi="仿宋" w:eastAsia="仿宋" w:cs="仿宋"/>
          <w:color w:val="auto"/>
          <w:sz w:val="28"/>
          <w:szCs w:val="28"/>
          <w:lang w:eastAsia="zh-CN"/>
        </w:rPr>
        <w:t>、评标和定标</w:t>
      </w:r>
      <w:bookmarkEnd w:id="33"/>
      <w:bookmarkEnd w:id="34"/>
    </w:p>
    <w:p>
      <w:pPr>
        <w:snapToGrid w:val="0"/>
        <w:spacing w:line="360" w:lineRule="auto"/>
        <w:ind w:firstLine="359" w:firstLineChars="147"/>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）开标程序（先资格、商务技术后报价）</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开标时间到后，主持人宣布开标会议开始。</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（2）响应文件</w:t>
      </w:r>
      <w:r>
        <w:rPr>
          <w:rFonts w:hint="eastAsia" w:ascii="仿宋" w:hAnsi="仿宋" w:eastAsia="仿宋" w:cs="仿宋"/>
          <w:color w:val="auto"/>
          <w:sz w:val="24"/>
          <w:szCs w:val="24"/>
        </w:rPr>
        <w:t>解密（</w:t>
      </w:r>
      <w:r>
        <w:rPr>
          <w:rFonts w:hint="eastAsia" w:ascii="仿宋" w:hAnsi="仿宋" w:eastAsia="仿宋" w:cs="仿宋"/>
          <w:b/>
          <w:color w:val="auto"/>
          <w:sz w:val="24"/>
          <w:szCs w:val="24"/>
        </w:rPr>
        <w:t>解密规定见《供应商须知前附表》</w:t>
      </w:r>
      <w:r>
        <w:rPr>
          <w:rFonts w:hint="eastAsia" w:ascii="仿宋" w:hAnsi="仿宋" w:eastAsia="仿宋" w:cs="仿宋"/>
          <w:color w:val="auto"/>
          <w:sz w:val="24"/>
          <w:szCs w:val="24"/>
        </w:rPr>
        <w:t>）。</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（3）响应文件</w:t>
      </w:r>
      <w:r>
        <w:rPr>
          <w:rFonts w:hint="eastAsia" w:ascii="仿宋" w:hAnsi="仿宋" w:eastAsia="仿宋" w:cs="仿宋"/>
          <w:color w:val="auto"/>
          <w:sz w:val="24"/>
          <w:szCs w:val="24"/>
        </w:rPr>
        <w:t>解密异常情况处理（</w:t>
      </w:r>
      <w:r>
        <w:rPr>
          <w:rFonts w:hint="eastAsia" w:ascii="仿宋" w:hAnsi="仿宋" w:eastAsia="仿宋" w:cs="仿宋"/>
          <w:b/>
          <w:color w:val="auto"/>
          <w:sz w:val="24"/>
          <w:szCs w:val="24"/>
        </w:rPr>
        <w:t>处理办法见《供应商须知前附表》</w:t>
      </w:r>
      <w:r>
        <w:rPr>
          <w:rFonts w:hint="eastAsia" w:ascii="仿宋" w:hAnsi="仿宋" w:eastAsia="仿宋" w:cs="仿宋"/>
          <w:color w:val="auto"/>
          <w:sz w:val="24"/>
          <w:szCs w:val="24"/>
        </w:rPr>
        <w:t>）。</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公布</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解密情况（</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成功解密的供应商名单等信息），组织签署</w:t>
      </w:r>
      <w:r>
        <w:rPr>
          <w:rFonts w:hint="eastAsia" w:ascii="仿宋" w:hAnsi="仿宋" w:eastAsia="仿宋" w:cs="仿宋"/>
          <w:b/>
          <w:bCs/>
          <w:color w:val="auto"/>
          <w:sz w:val="24"/>
          <w:szCs w:val="24"/>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color w:val="auto"/>
          <w:sz w:val="24"/>
          <w:szCs w:val="24"/>
          <w:lang w:eastAsia="zh-CN"/>
        </w:rPr>
        <w:t>245291818@qq.com</w:t>
      </w:r>
      <w:r>
        <w:rPr>
          <w:rFonts w:hint="eastAsia" w:ascii="仿宋" w:hAnsi="仿宋" w:eastAsia="仿宋" w:cs="仿宋"/>
          <w:b/>
          <w:bCs/>
          <w:color w:val="auto"/>
          <w:sz w:val="24"/>
          <w:szCs w:val="24"/>
        </w:rPr>
        <w:t xml:space="preserve"> ，逾期发送或未发送的视为无异议</w:t>
      </w:r>
      <w:r>
        <w:rPr>
          <w:rFonts w:hint="eastAsia" w:ascii="仿宋" w:hAnsi="仿宋" w:eastAsia="仿宋" w:cs="仿宋"/>
          <w:color w:val="auto"/>
          <w:sz w:val="24"/>
          <w:szCs w:val="24"/>
        </w:rPr>
        <w:t>。</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开启标书信息（资格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文件、商务技术文件）。标书信息开启后，首先由采购人或采购代理机构</w:t>
      </w:r>
      <w:r>
        <w:rPr>
          <w:rFonts w:hint="eastAsia" w:ascii="仿宋" w:hAnsi="仿宋" w:eastAsia="仿宋" w:cs="仿宋"/>
          <w:color w:val="auto"/>
          <w:sz w:val="24"/>
          <w:szCs w:val="24"/>
          <w:lang w:eastAsia="zh-CN"/>
        </w:rPr>
        <w:t>或评审小组</w:t>
      </w:r>
      <w:r>
        <w:rPr>
          <w:rFonts w:hint="eastAsia" w:ascii="仿宋" w:hAnsi="仿宋" w:eastAsia="仿宋" w:cs="仿宋"/>
          <w:color w:val="auto"/>
          <w:sz w:val="24"/>
          <w:szCs w:val="24"/>
        </w:rPr>
        <w:t>依法对投标供应商的资格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文件进行审查（具体见资格性检查）， 审查结束公布投标供应商的资格符合情况。资格审查未获通过的供应商，其商务技术文件及报价文件不再进入评审。</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开启有效投标供应商的报价，公布开标一览表有关内容，</w:t>
      </w:r>
      <w:r>
        <w:rPr>
          <w:rFonts w:hint="eastAsia" w:ascii="仿宋" w:hAnsi="仿宋" w:eastAsia="仿宋" w:cs="仿宋"/>
          <w:color w:val="auto"/>
          <w:sz w:val="24"/>
          <w:szCs w:val="24"/>
          <w:lang w:bidi="zh-CN"/>
        </w:rPr>
        <w:t>并【开启签章时段】，供应商对开标记录进行在线签章确认（不予确认的应说明理由，否则视为无异议）</w:t>
      </w:r>
      <w:r>
        <w:rPr>
          <w:rFonts w:hint="eastAsia" w:ascii="仿宋" w:hAnsi="仿宋" w:eastAsia="仿宋" w:cs="仿宋"/>
          <w:color w:val="auto"/>
          <w:sz w:val="24"/>
          <w:szCs w:val="24"/>
        </w:rPr>
        <w:t>。开标结束后，由评标委员会对报价的合理性、准确性等进行审查核实。</w:t>
      </w:r>
    </w:p>
    <w:p>
      <w:pPr>
        <w:snapToGrid w:val="0"/>
        <w:spacing w:line="360" w:lineRule="auto"/>
        <w:ind w:firstLine="490" w:firstLineChars="200"/>
        <w:rPr>
          <w:color w:val="auto"/>
          <w:sz w:val="24"/>
          <w:szCs w:val="24"/>
        </w:rPr>
      </w:pPr>
      <w:r>
        <w:rPr>
          <w:rFonts w:hint="eastAsia" w:ascii="仿宋" w:hAnsi="仿宋" w:eastAsia="仿宋" w:cs="仿宋"/>
          <w:color w:val="auto"/>
          <w:sz w:val="24"/>
          <w:szCs w:val="24"/>
          <w:lang w:eastAsia="zh-CN"/>
        </w:rPr>
        <w:t>（7）商务技术评审结束后，主持人公布商务技术评审无效投标供应商名单和商务技术评审有效投标供应商名单。商务技术评审无效的供应商，其报价不再进入评审。</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（8）</w:t>
      </w:r>
      <w:r>
        <w:rPr>
          <w:rFonts w:hint="eastAsia" w:ascii="仿宋" w:hAnsi="仿宋" w:eastAsia="仿宋" w:cs="仿宋"/>
          <w:color w:val="auto"/>
          <w:sz w:val="24"/>
          <w:szCs w:val="24"/>
        </w:rPr>
        <w:t>评审结束后，采购代理机构在系统上公布评审结果。</w:t>
      </w:r>
    </w:p>
    <w:p>
      <w:pPr>
        <w:snapToGrid w:val="0"/>
        <w:spacing w:line="360" w:lineRule="auto"/>
        <w:ind w:left="480"/>
        <w:rPr>
          <w:rFonts w:ascii="仿宋" w:hAnsi="仿宋" w:eastAsia="仿宋" w:cs="仿宋"/>
          <w:b/>
          <w:color w:val="auto"/>
          <w:sz w:val="24"/>
          <w:szCs w:val="24"/>
        </w:rPr>
      </w:pPr>
      <w:r>
        <w:rPr>
          <w:rFonts w:hint="eastAsia" w:ascii="仿宋" w:hAnsi="仿宋" w:eastAsia="仿宋" w:cs="仿宋"/>
          <w:b/>
          <w:color w:val="auto"/>
          <w:sz w:val="24"/>
          <w:szCs w:val="24"/>
        </w:rPr>
        <w:t>特别情况说明：</w:t>
      </w:r>
    </w:p>
    <w:p>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（1）本项目采用电子交易，如遇“</w:t>
      </w:r>
      <w:r>
        <w:rPr>
          <w:rFonts w:hint="eastAsia" w:ascii="仿宋" w:hAnsi="仿宋" w:eastAsia="仿宋" w:cs="仿宋"/>
          <w:b/>
          <w:color w:val="auto"/>
          <w:sz w:val="24"/>
          <w:szCs w:val="24"/>
          <w:lang w:eastAsia="zh-CN"/>
        </w:rPr>
        <w:t>新疆</w:t>
      </w:r>
      <w:r>
        <w:rPr>
          <w:rFonts w:hint="eastAsia" w:ascii="仿宋" w:hAnsi="仿宋" w:eastAsia="仿宋" w:cs="仿宋"/>
          <w:b/>
          <w:color w:val="auto"/>
          <w:sz w:val="24"/>
          <w:szCs w:val="24"/>
        </w:rPr>
        <w:t>政府采购云平台”电子化开标或评审程序调整的，按调整后程序执行。</w:t>
      </w:r>
    </w:p>
    <w:p>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（2）开标过程中需要相关当事人进行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或盖章确认的材料将通过“政府采购云平台”进行，若因“政府采购云平台”技术问题无法进行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或盖章确认的，采购组织机构将通过电子邮件等形式予以确认，</w:t>
      </w:r>
      <w:r>
        <w:rPr>
          <w:rFonts w:hint="eastAsia" w:ascii="仿宋" w:hAnsi="仿宋" w:eastAsia="仿宋" w:cs="仿宋"/>
          <w:b/>
          <w:color w:val="auto"/>
          <w:sz w:val="24"/>
          <w:szCs w:val="24"/>
          <w:u w:val="single"/>
        </w:rPr>
        <w:t>请供应商保证办理投标事宜人员电话畅通、网络在线，</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或盖章确认的时间为20分钟。如未及时</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或盖章确认的，视为无异议</w:t>
      </w:r>
      <w:r>
        <w:rPr>
          <w:rFonts w:hint="eastAsia" w:ascii="仿宋" w:hAnsi="仿宋" w:eastAsia="仿宋" w:cs="仿宋"/>
          <w:b/>
          <w:color w:val="auto"/>
          <w:sz w:val="24"/>
          <w:szCs w:val="24"/>
        </w:rPr>
        <w:t>。</w:t>
      </w:r>
    </w:p>
    <w:p>
      <w:pPr>
        <w:snapToGrid w:val="0"/>
        <w:spacing w:line="360" w:lineRule="auto"/>
        <w:ind w:firstLine="490" w:firstLineChars="200"/>
        <w:rPr>
          <w:rFonts w:ascii="仿宋" w:hAnsi="仿宋" w:eastAsia="仿宋" w:cs="仿宋"/>
          <w:b/>
          <w:color w:val="auto"/>
          <w:sz w:val="24"/>
          <w:szCs w:val="24"/>
        </w:rPr>
      </w:pPr>
      <w:r>
        <w:rPr>
          <w:rFonts w:hint="eastAsia" w:ascii="仿宋" w:hAnsi="仿宋" w:eastAsia="仿宋" w:cs="仿宋"/>
          <w:b/>
          <w:color w:val="auto"/>
          <w:sz w:val="24"/>
          <w:szCs w:val="24"/>
          <w:lang w:eastAsia="zh-CN"/>
        </w:rPr>
        <w:t>3.</w:t>
      </w:r>
      <w:r>
        <w:rPr>
          <w:rFonts w:hint="eastAsia" w:ascii="仿宋" w:hAnsi="仿宋" w:eastAsia="仿宋" w:cs="仿宋"/>
          <w:b/>
          <w:color w:val="auto"/>
          <w:sz w:val="24"/>
          <w:szCs w:val="24"/>
        </w:rPr>
        <w:t>投标供应商资格审查：</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开标（标书信息开启）后，采购人或采购代理机构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bCs/>
          <w:color w:val="auto"/>
          <w:sz w:val="24"/>
          <w:szCs w:val="24"/>
        </w:rPr>
        <w:t>首先依法对投标供应商的资格文件进行审查，审查各投标供应商的资格符合情况。</w:t>
      </w:r>
      <w:r>
        <w:rPr>
          <w:rFonts w:hint="eastAsia" w:ascii="仿宋" w:hAnsi="仿宋" w:eastAsia="仿宋" w:cs="仿宋"/>
          <w:color w:val="auto"/>
          <w:sz w:val="24"/>
          <w:szCs w:val="24"/>
        </w:rPr>
        <w:t>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对投标供应商所提交的资格证明材料仅负审核的责任。如发现投标供应商所提交的资格证明材料不合法或与事实不符，采购人可取消其中标资格并追究投标供应商的法律责任。</w:t>
      </w:r>
    </w:p>
    <w:p>
      <w:pPr>
        <w:pStyle w:val="8"/>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（2）投标供应商提交的资格证明材料无法证明其符合</w:t>
      </w:r>
      <w:r>
        <w:rPr>
          <w:rFonts w:hint="eastAsia" w:ascii="仿宋" w:hAnsi="仿宋" w:eastAsia="仿宋" w:cs="仿宋"/>
          <w:bCs/>
          <w:color w:val="auto"/>
          <w:sz w:val="24"/>
          <w:szCs w:val="24"/>
          <w:lang w:eastAsia="zh-CN"/>
        </w:rPr>
        <w:t xml:space="preserve">谈判文件 </w:t>
      </w:r>
      <w:r>
        <w:rPr>
          <w:rFonts w:hint="eastAsia" w:ascii="仿宋" w:hAnsi="仿宋" w:eastAsia="仿宋" w:cs="仿宋"/>
          <w:bCs/>
          <w:color w:val="auto"/>
          <w:sz w:val="24"/>
          <w:szCs w:val="24"/>
        </w:rPr>
        <w:t>规定的“投标供应商资格要求”的，采购人或采购代理机构将对其作“资格审查不合格”处理（无效投标），并不再将其投标提交评标委员会进行后续评审。</w:t>
      </w:r>
    </w:p>
    <w:p>
      <w:pPr>
        <w:pStyle w:val="8"/>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（3）供应商信用记录查询与使用：见《供应商须知前附表》。</w:t>
      </w:r>
    </w:p>
    <w:p>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b/>
          <w:color w:val="auto"/>
          <w:sz w:val="24"/>
          <w:szCs w:val="24"/>
        </w:rPr>
      </w:pPr>
      <w:bookmarkStart w:id="35" w:name="_Toc213839741"/>
      <w:r>
        <w:rPr>
          <w:rFonts w:hint="eastAsia" w:ascii="仿宋" w:hAnsi="仿宋" w:eastAsia="仿宋" w:cs="仿宋"/>
          <w:b/>
          <w:color w:val="auto"/>
          <w:sz w:val="24"/>
          <w:szCs w:val="24"/>
        </w:rPr>
        <w:t>（二十</w:t>
      </w: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报价方式</w:t>
      </w:r>
    </w:p>
    <w:p>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1、供应商提交的响应性文件中的报价，该报价只允许有一个报价，任何有选择性的报价将不予接受。</w:t>
      </w:r>
    </w:p>
    <w:p>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所有成员与供应商进行单独</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的任何一方不得透露与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有关的其他供应商的技术资料、价格和其他信息。</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有实质性变动的，</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应以书面形式通知所有参加</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的供应商。</w:t>
      </w:r>
    </w:p>
    <w:p>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结束后，供应商可根据</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情况，进行第二次报价</w:t>
      </w:r>
      <w:r>
        <w:rPr>
          <w:rFonts w:hint="eastAsia" w:ascii="仿宋" w:hAnsi="仿宋" w:eastAsia="仿宋" w:cs="仿宋"/>
          <w:color w:val="auto"/>
          <w:sz w:val="24"/>
          <w:szCs w:val="24"/>
          <w:lang w:eastAsia="zh-CN"/>
        </w:rPr>
        <w:t>，采购人也可以根据谈判情况开启多轮报价，</w:t>
      </w:r>
      <w:r>
        <w:rPr>
          <w:rFonts w:hint="eastAsia" w:ascii="仿宋" w:hAnsi="仿宋" w:eastAsia="仿宋" w:cs="仿宋"/>
          <w:color w:val="auto"/>
          <w:sz w:val="24"/>
          <w:szCs w:val="24"/>
        </w:rPr>
        <w:t>该报价为</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的最终报价。</w:t>
      </w:r>
    </w:p>
    <w:p>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rPr>
        <w:t>4、第二次报价</w:t>
      </w:r>
      <w:r>
        <w:rPr>
          <w:rFonts w:hint="eastAsia" w:ascii="仿宋" w:hAnsi="仿宋" w:eastAsia="仿宋" w:cs="仿宋"/>
          <w:color w:val="auto"/>
          <w:sz w:val="24"/>
          <w:szCs w:val="24"/>
          <w:lang w:eastAsia="zh-CN"/>
        </w:rPr>
        <w:t>在政采云不见面开评标系统</w:t>
      </w:r>
      <w:r>
        <w:rPr>
          <w:rFonts w:hint="eastAsia" w:ascii="仿宋" w:hAnsi="仿宋" w:eastAsia="仿宋" w:cs="仿宋"/>
          <w:color w:val="auto"/>
          <w:sz w:val="24"/>
          <w:szCs w:val="24"/>
        </w:rPr>
        <w:t>填写提交。所有供应商的二次报价收集齐全后，二次报价不进行公开唱标</w:t>
      </w:r>
      <w:r>
        <w:rPr>
          <w:rFonts w:hint="eastAsia" w:ascii="仿宋" w:hAnsi="仿宋" w:eastAsia="仿宋" w:cs="仿宋"/>
          <w:color w:val="auto"/>
          <w:sz w:val="24"/>
          <w:szCs w:val="24"/>
          <w:lang w:eastAsia="zh-CN"/>
        </w:rPr>
        <w:t>，依次类推。</w:t>
      </w:r>
    </w:p>
    <w:p>
      <w:pPr>
        <w:keepNext w:val="0"/>
        <w:keepLines w:val="0"/>
        <w:pageBreakBefore w:val="0"/>
        <w:widowControl w:val="0"/>
        <w:kinsoku/>
        <w:wordWrap/>
        <w:overflowPunct/>
        <w:topLinePunct w:val="0"/>
        <w:bidi w:val="0"/>
        <w:snapToGrid w:val="0"/>
        <w:spacing w:line="324" w:lineRule="auto"/>
        <w:ind w:firstLine="359" w:firstLineChars="147"/>
        <w:textAlignment w:val="auto"/>
        <w:rPr>
          <w:color w:val="auto"/>
          <w:sz w:val="24"/>
          <w:szCs w:val="24"/>
        </w:rPr>
      </w:pPr>
      <w:r>
        <w:rPr>
          <w:rFonts w:hint="eastAsia" w:ascii="仿宋" w:hAnsi="仿宋" w:eastAsia="仿宋" w:cs="仿宋"/>
          <w:color w:val="auto"/>
          <w:sz w:val="24"/>
          <w:szCs w:val="24"/>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bookmarkEnd w:id="35"/>
    </w:p>
    <w:p>
      <w:pPr>
        <w:pStyle w:val="20"/>
        <w:rPr>
          <w:color w:val="auto"/>
          <w:sz w:val="24"/>
          <w:szCs w:val="24"/>
        </w:rPr>
      </w:pPr>
    </w:p>
    <w:p>
      <w:pPr>
        <w:pStyle w:val="6"/>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七、评标</w:t>
      </w:r>
      <w:r>
        <w:rPr>
          <w:rFonts w:hint="eastAsia" w:ascii="仿宋" w:hAnsi="仿宋" w:eastAsia="仿宋" w:cs="仿宋"/>
          <w:color w:val="auto"/>
          <w:sz w:val="28"/>
          <w:szCs w:val="28"/>
          <w:lang w:eastAsia="zh-CN"/>
        </w:rPr>
        <w:t>程序</w:t>
      </w:r>
    </w:p>
    <w:p>
      <w:pPr>
        <w:snapToGrid w:val="0"/>
        <w:spacing w:line="360" w:lineRule="auto"/>
        <w:ind w:firstLine="479" w:firstLineChars="196"/>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）评标原则</w:t>
      </w:r>
    </w:p>
    <w:p>
      <w:pPr>
        <w:adjustRightInd w:val="0"/>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“公开、公平、公正、客观、择优”为评标的基本原则，</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小组将根据这一原则，公正、平等地对待各供应商。</w:t>
      </w:r>
    </w:p>
    <w:p>
      <w:pPr>
        <w:adjustRightInd w:val="0"/>
        <w:snapToGrid w:val="0"/>
        <w:spacing w:line="360" w:lineRule="auto"/>
        <w:ind w:firstLine="359" w:firstLineChars="147"/>
        <w:rPr>
          <w:rFonts w:ascii="仿宋" w:hAnsi="仿宋" w:eastAsia="仿宋" w:cs="仿宋"/>
          <w:b/>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小组</w:t>
      </w:r>
    </w:p>
    <w:p>
      <w:pPr>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评标委员会成员由招标人的代表1名和随机抽取的有关方面的专家</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名组成，成员共为</w:t>
      </w: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人，评标委员会的成员在评标过程中必须严格遵守政府采购的有关规定。专家从</w:t>
      </w:r>
      <w:r>
        <w:rPr>
          <w:rFonts w:hint="eastAsia" w:ascii="仿宋" w:hAnsi="仿宋" w:eastAsia="仿宋" w:cs="仿宋"/>
          <w:color w:val="auto"/>
          <w:sz w:val="24"/>
          <w:szCs w:val="24"/>
          <w:lang w:eastAsia="zh-CN"/>
        </w:rPr>
        <w:t>政采云</w:t>
      </w:r>
      <w:r>
        <w:rPr>
          <w:rFonts w:hint="eastAsia" w:ascii="仿宋" w:hAnsi="仿宋" w:eastAsia="仿宋" w:cs="仿宋"/>
          <w:color w:val="auto"/>
          <w:sz w:val="24"/>
          <w:szCs w:val="24"/>
        </w:rPr>
        <w:t>专家库中随机抽取产生，负责对响应文件进行审查、质询、评审、推选中标候选人。</w:t>
      </w:r>
    </w:p>
    <w:p>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1、评标事务由</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小组负责，并独立履行下列职责：</w:t>
      </w:r>
    </w:p>
    <w:p>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（a）审查响应文件是否符合本文件要求，并做出评价；</w:t>
      </w:r>
    </w:p>
    <w:p>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（b）要求供应商对响应文件有关事项做出澄清或答复；</w:t>
      </w:r>
    </w:p>
    <w:p>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（c）推荐中标候选人名单，或者直接确定</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（d）向招标采购单位或者有关部门报告非法干预评标工作的行为。</w:t>
      </w:r>
    </w:p>
    <w:p>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小组成员的义务</w:t>
      </w:r>
    </w:p>
    <w:p>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（a）遵纪守法，客观、公正、廉洁地履行职责；</w:t>
      </w:r>
    </w:p>
    <w:p>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规定的评标方法和标准进行评标，对评审意见承担个人责任；</w:t>
      </w:r>
    </w:p>
    <w:p>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（c）对评标过程和结果，以及供应商的商业秘密保密；</w:t>
      </w:r>
    </w:p>
    <w:p>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（d）参与评标报告的起草；</w:t>
      </w:r>
    </w:p>
    <w:p>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（e）配合财政部门的投诉处理工作；</w:t>
      </w:r>
    </w:p>
    <w:p>
      <w:pPr>
        <w:keepNext w:val="0"/>
        <w:keepLines w:val="0"/>
        <w:pageBreakBefore w:val="0"/>
        <w:kinsoku/>
        <w:wordWrap/>
        <w:overflowPunct/>
        <w:topLinePunct w:val="0"/>
        <w:autoSpaceDE/>
        <w:autoSpaceDN/>
        <w:bidi w:val="0"/>
        <w:snapToGrid w:val="0"/>
        <w:spacing w:line="305" w:lineRule="auto"/>
        <w:ind w:firstLine="359" w:firstLineChars="147"/>
        <w:rPr>
          <w:rFonts w:hint="eastAsia" w:ascii="仿宋" w:hAnsi="仿宋" w:eastAsia="仿宋" w:cs="仿宋"/>
          <w:color w:val="auto"/>
          <w:sz w:val="24"/>
          <w:szCs w:val="24"/>
        </w:rPr>
      </w:pPr>
      <w:r>
        <w:rPr>
          <w:rFonts w:hint="eastAsia" w:ascii="仿宋" w:hAnsi="仿宋" w:eastAsia="仿宋" w:cs="仿宋"/>
          <w:color w:val="auto"/>
          <w:sz w:val="24"/>
          <w:szCs w:val="24"/>
        </w:rPr>
        <w:t>（f）配合招标采购单位答复供应商提出的质疑。</w:t>
      </w:r>
    </w:p>
    <w:p>
      <w:pPr>
        <w:pStyle w:val="20"/>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3.评标程序</w:t>
      </w:r>
    </w:p>
    <w:p>
      <w:pPr>
        <w:pStyle w:val="20"/>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本次评标首先由评标委员会对投标人的响应文件进行初审，对未能通过初审的响应文件作无效标处理；</w:t>
      </w:r>
    </w:p>
    <w:p>
      <w:pPr>
        <w:pStyle w:val="20"/>
        <w:keepNext w:val="0"/>
        <w:keepLines w:val="0"/>
        <w:pageBreakBefore w:val="0"/>
        <w:kinsoku/>
        <w:wordWrap/>
        <w:overflowPunct/>
        <w:topLinePunct w:val="0"/>
        <w:autoSpaceDE/>
        <w:autoSpaceDN/>
        <w:bidi w:val="0"/>
        <w:snapToGrid w:val="0"/>
        <w:spacing w:line="305" w:lineRule="auto"/>
        <w:rPr>
          <w:rFonts w:hint="eastAsia"/>
          <w:sz w:val="24"/>
          <w:szCs w:val="24"/>
          <w:lang w:val="en-US" w:eastAsia="zh-CN"/>
        </w:rPr>
      </w:pPr>
      <w:r>
        <w:rPr>
          <w:rFonts w:hint="eastAsia" w:ascii="仿宋" w:hAnsi="仿宋" w:eastAsia="仿宋" w:cs="仿宋"/>
          <w:color w:val="auto"/>
          <w:sz w:val="24"/>
          <w:szCs w:val="24"/>
          <w:lang w:val="en-US" w:eastAsia="zh-CN" w:bidi="en-US"/>
        </w:rPr>
        <w:t>5对通过初审的投标人的响应文件进行详细的比较和评价。如需要，进行必要的澄清工作；</w:t>
      </w:r>
    </w:p>
    <w:p>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color w:val="000000" w:themeColor="text1"/>
          <w:sz w:val="24"/>
          <w:szCs w:val="24"/>
          <w:lang w:val="en-US" w:eastAsia="zh-CN"/>
          <w14:textFill>
            <w14:solidFill>
              <w14:schemeClr w14:val="tx1"/>
            </w14:solidFill>
          </w14:textFill>
        </w:rPr>
        <w:t>（一）</w:t>
      </w:r>
      <w:r>
        <w:rPr>
          <w:rFonts w:hint="eastAsia" w:ascii="仿宋" w:hAnsi="仿宋" w:eastAsia="仿宋" w:cs="仿宋"/>
          <w:b/>
          <w:color w:val="000000" w:themeColor="text1"/>
          <w:sz w:val="24"/>
          <w:szCs w:val="24"/>
          <w:lang w:eastAsia="zh-CN"/>
          <w14:textFill>
            <w14:solidFill>
              <w14:schemeClr w14:val="tx1"/>
            </w14:solidFill>
          </w14:textFill>
        </w:rPr>
        <w:t>响应文件初审</w:t>
      </w:r>
    </w:p>
    <w:p>
      <w:pPr>
        <w:spacing w:line="400" w:lineRule="exact"/>
        <w:ind w:firstLine="359" w:firstLineChars="147"/>
        <w:rPr>
          <w:rFonts w:ascii="仿宋" w:hAnsi="仿宋" w:eastAsia="仿宋" w:cs="仿宋"/>
          <w:b/>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6.资格性审查:</w:t>
      </w:r>
    </w:p>
    <w:p>
      <w:pPr>
        <w:spacing w:line="400" w:lineRule="exact"/>
        <w:ind w:firstLine="359" w:firstLineChars="147"/>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.1评审细则</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w:t>
            </w:r>
          </w:p>
        </w:tc>
        <w:tc>
          <w:tcPr>
            <w:tcW w:w="7196" w:type="dxa"/>
            <w:gridSpan w:val="2"/>
            <w:vMerge w:val="restart"/>
            <w:vAlign w:val="center"/>
          </w:tcPr>
          <w:p>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评审内容</w:t>
            </w:r>
          </w:p>
        </w:tc>
        <w:tc>
          <w:tcPr>
            <w:tcW w:w="1209" w:type="dxa"/>
            <w:gridSpan w:val="2"/>
            <w:vAlign w:val="center"/>
          </w:tcPr>
          <w:p>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81" w:type="dxa"/>
            <w:vMerge w:val="continue"/>
            <w:vAlign w:val="center"/>
          </w:tcPr>
          <w:p>
            <w:pPr>
              <w:rPr>
                <w:rFonts w:ascii="仿宋" w:hAnsi="仿宋" w:eastAsia="仿宋" w:cs="仿宋"/>
                <w:color w:val="000000" w:themeColor="text1"/>
                <w:sz w:val="24"/>
                <w:szCs w:val="24"/>
                <w14:textFill>
                  <w14:solidFill>
                    <w14:schemeClr w14:val="tx1"/>
                  </w14:solidFill>
                </w14:textFill>
              </w:rPr>
            </w:pPr>
          </w:p>
        </w:tc>
        <w:tc>
          <w:tcPr>
            <w:tcW w:w="7196" w:type="dxa"/>
            <w:gridSpan w:val="2"/>
            <w:vMerge w:val="continue"/>
          </w:tcPr>
          <w:p>
            <w:pPr>
              <w:rPr>
                <w:rFonts w:ascii="仿宋" w:hAnsi="仿宋" w:eastAsia="仿宋" w:cs="仿宋"/>
                <w:color w:val="000000" w:themeColor="text1"/>
                <w:sz w:val="24"/>
                <w:szCs w:val="24"/>
                <w14:textFill>
                  <w14:solidFill>
                    <w14:schemeClr w14:val="tx1"/>
                  </w14:solidFill>
                </w14:textFill>
              </w:rPr>
            </w:pPr>
          </w:p>
        </w:tc>
        <w:tc>
          <w:tcPr>
            <w:tcW w:w="555" w:type="dxa"/>
            <w:vAlign w:val="center"/>
          </w:tcPr>
          <w:p>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是</w:t>
            </w:r>
          </w:p>
        </w:tc>
        <w:tc>
          <w:tcPr>
            <w:tcW w:w="654" w:type="dxa"/>
            <w:vAlign w:val="center"/>
          </w:tcPr>
          <w:p>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81" w:type="dxa"/>
            <w:vMerge w:val="restart"/>
            <w:vAlign w:val="center"/>
          </w:tcPr>
          <w:p>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审</w:t>
            </w:r>
          </w:p>
          <w:p>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查</w:t>
            </w:r>
          </w:p>
          <w:p>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标</w:t>
            </w:r>
          </w:p>
          <w:p>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准</w:t>
            </w:r>
          </w:p>
          <w:p>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(适</w:t>
            </w:r>
          </w:p>
          <w:p>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用</w:t>
            </w:r>
          </w:p>
          <w:p>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于</w:t>
            </w:r>
          </w:p>
          <w:p>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资</w:t>
            </w:r>
          </w:p>
          <w:p>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格</w:t>
            </w:r>
          </w:p>
          <w:p>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后</w:t>
            </w:r>
          </w:p>
          <w:p>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审)</w:t>
            </w:r>
          </w:p>
        </w:tc>
        <w:tc>
          <w:tcPr>
            <w:tcW w:w="547" w:type="dxa"/>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6649" w:type="dxa"/>
            <w:vAlign w:val="center"/>
          </w:tcPr>
          <w:p>
            <w:pPr>
              <w:widowControl/>
              <w:textAlignment w:val="center"/>
              <w:rPr>
                <w:rFonts w:hint="default"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供应商为中小企业</w:t>
            </w:r>
          </w:p>
        </w:tc>
        <w:tc>
          <w:tcPr>
            <w:tcW w:w="555" w:type="dxa"/>
          </w:tcPr>
          <w:p>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pPr>
              <w:rPr>
                <w:rFonts w:ascii="仿宋" w:hAnsi="仿宋" w:eastAsia="仿宋" w:cs="仿宋"/>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1" w:type="dxa"/>
            <w:vMerge w:val="continue"/>
            <w:vAlign w:val="center"/>
          </w:tcPr>
          <w:p>
            <w:pPr>
              <w:jc w:val="cente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6649" w:type="dxa"/>
            <w:vAlign w:val="center"/>
          </w:tcPr>
          <w:p>
            <w:pPr>
              <w:widowControl/>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（三证合一）营业执照</w:t>
            </w:r>
          </w:p>
        </w:tc>
        <w:tc>
          <w:tcPr>
            <w:tcW w:w="555" w:type="dxa"/>
          </w:tcPr>
          <w:p>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pPr>
              <w:rPr>
                <w:rFonts w:ascii="仿宋" w:hAnsi="仿宋" w:eastAsia="仿宋" w:cs="仿宋"/>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pP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6649" w:type="dxa"/>
            <w:vAlign w:val="center"/>
          </w:tcPr>
          <w:p>
            <w:pPr>
              <w:widowControl/>
              <w:textAlignment w:val="center"/>
              <w:rPr>
                <w:rFonts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法定代表人投标需提供法定代表人资格证明书，委托代理人投标需提供法定代表人授权委托书</w:t>
            </w:r>
          </w:p>
        </w:tc>
        <w:tc>
          <w:tcPr>
            <w:tcW w:w="555" w:type="dxa"/>
          </w:tcPr>
          <w:p>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pPr>
              <w:rPr>
                <w:rFonts w:ascii="仿宋" w:hAnsi="仿宋" w:eastAsia="仿宋" w:cs="仿宋"/>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81" w:type="dxa"/>
            <w:vMerge w:val="continue"/>
            <w:vAlign w:val="center"/>
          </w:tcPr>
          <w:p>
            <w:pP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6649" w:type="dxa"/>
            <w:vAlign w:val="center"/>
          </w:tcPr>
          <w:p>
            <w:pPr>
              <w:widowControl/>
              <w:textAlignment w:val="center"/>
              <w:rPr>
                <w:rFonts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tc>
        <w:tc>
          <w:tcPr>
            <w:tcW w:w="555" w:type="dxa"/>
          </w:tcPr>
          <w:p>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pPr>
              <w:rPr>
                <w:rFonts w:ascii="仿宋" w:hAnsi="仿宋" w:eastAsia="仿宋" w:cs="仿宋"/>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vMerge w:val="continue"/>
            <w:vAlign w:val="center"/>
          </w:tcPr>
          <w:p>
            <w:pP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6649" w:type="dxa"/>
            <w:vAlign w:val="center"/>
          </w:tcPr>
          <w:p>
            <w:pPr>
              <w:widowControl/>
              <w:textAlignment w:val="center"/>
              <w:rPr>
                <w:rFonts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投标保证金收据或保函等票据</w:t>
            </w:r>
          </w:p>
        </w:tc>
        <w:tc>
          <w:tcPr>
            <w:tcW w:w="555" w:type="dxa"/>
          </w:tcPr>
          <w:p>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pPr>
              <w:rPr>
                <w:rFonts w:ascii="仿宋" w:hAnsi="仿宋" w:eastAsia="仿宋" w:cs="仿宋"/>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pP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6649" w:type="dxa"/>
            <w:vAlign w:val="center"/>
          </w:tcPr>
          <w:p>
            <w:pPr>
              <w:widowControl/>
              <w:textAlignment w:val="center"/>
              <w:rPr>
                <w:rFonts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投标企业须提供投标人（被授权本单位在职人员）近期有效社保证明</w:t>
            </w:r>
          </w:p>
        </w:tc>
        <w:tc>
          <w:tcPr>
            <w:tcW w:w="555" w:type="dxa"/>
          </w:tcPr>
          <w:p>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pPr>
              <w:rPr>
                <w:rFonts w:ascii="仿宋" w:hAnsi="仿宋" w:eastAsia="仿宋" w:cs="仿宋"/>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pPr>
              <w:jc w:val="center"/>
              <w:rPr>
                <w:rFonts w:ascii="仿宋" w:hAnsi="仿宋" w:eastAsia="仿宋" w:cs="仿宋"/>
                <w:color w:val="000000" w:themeColor="text1"/>
                <w:sz w:val="24"/>
                <w:szCs w:val="24"/>
                <w:lang w:eastAsia="zh-CN"/>
                <w14:textFill>
                  <w14:solidFill>
                    <w14:schemeClr w14:val="tx1"/>
                  </w14:solidFill>
                </w14:textFill>
              </w:rPr>
            </w:pPr>
          </w:p>
        </w:tc>
        <w:tc>
          <w:tcPr>
            <w:tcW w:w="547" w:type="dxa"/>
          </w:tcPr>
          <w:p>
            <w:pPr>
              <w:spacing w:line="440" w:lineRule="exact"/>
              <w:rPr>
                <w:rFonts w:ascii="仿宋" w:hAnsi="仿宋" w:eastAsia="仿宋" w:cs="仿宋"/>
                <w:color w:val="000000" w:themeColor="text1"/>
                <w:sz w:val="24"/>
                <w:szCs w:val="24"/>
                <w:lang w:eastAsia="zh-CN"/>
                <w14:textFill>
                  <w14:solidFill>
                    <w14:schemeClr w14:val="tx1"/>
                  </w14:solidFill>
                </w14:textFill>
              </w:rPr>
            </w:pPr>
          </w:p>
        </w:tc>
        <w:tc>
          <w:tcPr>
            <w:tcW w:w="6649" w:type="dxa"/>
          </w:tcPr>
          <w:p>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结论：是否通过评审（须填写通过或不通过）</w:t>
            </w:r>
          </w:p>
          <w:p>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注：如有一项不合格，作废标处理。</w:t>
            </w:r>
          </w:p>
        </w:tc>
        <w:tc>
          <w:tcPr>
            <w:tcW w:w="1209" w:type="dxa"/>
            <w:gridSpan w:val="2"/>
          </w:tcPr>
          <w:p>
            <w:pPr>
              <w:rPr>
                <w:rFonts w:ascii="仿宋" w:hAnsi="仿宋" w:eastAsia="仿宋" w:cs="仿宋"/>
                <w:color w:val="000000" w:themeColor="text1"/>
                <w:sz w:val="24"/>
                <w:szCs w:val="24"/>
                <w:lang w:eastAsia="zh-CN"/>
                <w14:textFill>
                  <w14:solidFill>
                    <w14:schemeClr w14:val="tx1"/>
                  </w14:solidFill>
                </w14:textFill>
              </w:rPr>
            </w:pPr>
          </w:p>
        </w:tc>
      </w:tr>
    </w:tbl>
    <w:p>
      <w:pPr>
        <w:spacing w:line="400" w:lineRule="exact"/>
        <w:ind w:firstLine="590" w:firstLineChars="241"/>
        <w:rPr>
          <w:rFonts w:ascii="仿宋" w:hAnsi="仿宋" w:eastAsia="仿宋" w:cs="仿宋"/>
          <w:b/>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6.2如评标专家在检验电子标书过程中，如果由于投标人自身原因导致评标专家无法查看并检验电子标书中以上相关资料的，否决其投标。即使投标单位将原件携带至现场的，同样按无效投标处理。</w:t>
      </w:r>
    </w:p>
    <w:p>
      <w:pPr>
        <w:spacing w:before="156" w:beforeLines="50" w:line="440" w:lineRule="exact"/>
        <w:ind w:firstLine="359" w:firstLineChars="147"/>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7</w:t>
      </w:r>
      <w:r>
        <w:rPr>
          <w:rFonts w:hint="eastAsia" w:ascii="仿宋" w:hAnsi="仿宋" w:eastAsia="仿宋" w:cs="仿宋"/>
          <w:b/>
          <w:color w:val="000000" w:themeColor="text1"/>
          <w:sz w:val="24"/>
          <w:szCs w:val="24"/>
          <w14:textFill>
            <w14:solidFill>
              <w14:schemeClr w14:val="tx1"/>
            </w14:solidFill>
          </w14:textFill>
        </w:rPr>
        <w:t>.符合性审查</w:t>
      </w:r>
    </w:p>
    <w:p>
      <w:pPr>
        <w:spacing w:line="440" w:lineRule="exact"/>
        <w:ind w:firstLine="367"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．1评审细则</w:t>
      </w:r>
    </w:p>
    <w:tbl>
      <w:tblPr>
        <w:tblStyle w:val="16"/>
        <w:tblpPr w:leftFromText="180" w:rightFromText="180" w:vertAnchor="text" w:horzAnchor="page" w:tblpX="1333" w:tblpY="363"/>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tcBorders>
              <w:top w:val="single" w:color="auto" w:sz="4" w:space="0"/>
              <w:left w:val="single" w:color="auto" w:sz="4" w:space="0"/>
            </w:tcBorders>
            <w:vAlign w:val="center"/>
          </w:tcPr>
          <w:p>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w:t>
            </w:r>
          </w:p>
        </w:tc>
        <w:tc>
          <w:tcPr>
            <w:tcW w:w="6975" w:type="dxa"/>
            <w:gridSpan w:val="2"/>
            <w:tcBorders>
              <w:top w:val="single" w:color="auto" w:sz="4" w:space="0"/>
            </w:tcBorders>
            <w:vAlign w:val="center"/>
          </w:tcPr>
          <w:p>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评审内容</w:t>
            </w:r>
          </w:p>
        </w:tc>
        <w:tc>
          <w:tcPr>
            <w:tcW w:w="1366" w:type="dxa"/>
            <w:gridSpan w:val="2"/>
            <w:tcBorders>
              <w:top w:val="single" w:color="auto" w:sz="4" w:space="0"/>
              <w:right w:val="single" w:color="auto" w:sz="4" w:space="0"/>
            </w:tcBorders>
            <w:vAlign w:val="center"/>
          </w:tcPr>
          <w:p>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tcBorders>
              <w:left w:val="single" w:color="auto" w:sz="4" w:space="0"/>
              <w:bottom w:val="single" w:color="auto" w:sz="4" w:space="0"/>
            </w:tcBorders>
            <w:vAlign w:val="center"/>
          </w:tcPr>
          <w:p>
            <w:pPr>
              <w:rPr>
                <w:rFonts w:ascii="仿宋" w:hAnsi="仿宋" w:eastAsia="仿宋" w:cs="仿宋"/>
                <w:color w:val="000000" w:themeColor="text1"/>
                <w:sz w:val="24"/>
                <w:szCs w:val="24"/>
                <w14:textFill>
                  <w14:solidFill>
                    <w14:schemeClr w14:val="tx1"/>
                  </w14:solidFill>
                </w14:textFill>
              </w:rPr>
            </w:pPr>
          </w:p>
        </w:tc>
        <w:tc>
          <w:tcPr>
            <w:tcW w:w="6975" w:type="dxa"/>
            <w:gridSpan w:val="2"/>
            <w:tcBorders>
              <w:bottom w:val="single" w:color="auto" w:sz="4" w:space="0"/>
            </w:tcBorders>
          </w:tcPr>
          <w:p>
            <w:pPr>
              <w:rPr>
                <w:rFonts w:ascii="仿宋" w:hAnsi="仿宋" w:eastAsia="仿宋" w:cs="仿宋"/>
                <w:color w:val="000000" w:themeColor="text1"/>
                <w:sz w:val="24"/>
                <w:szCs w:val="24"/>
                <w14:textFill>
                  <w14:solidFill>
                    <w14:schemeClr w14:val="tx1"/>
                  </w14:solidFill>
                </w14:textFill>
              </w:rPr>
            </w:pPr>
          </w:p>
        </w:tc>
        <w:tc>
          <w:tcPr>
            <w:tcW w:w="482" w:type="dxa"/>
            <w:vAlign w:val="center"/>
          </w:tcPr>
          <w:p>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是</w:t>
            </w:r>
          </w:p>
        </w:tc>
        <w:tc>
          <w:tcPr>
            <w:tcW w:w="884" w:type="dxa"/>
            <w:tcBorders>
              <w:right w:val="single" w:color="auto" w:sz="4" w:space="0"/>
            </w:tcBorders>
            <w:vAlign w:val="center"/>
          </w:tcPr>
          <w:p>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审</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查</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准</w:t>
            </w: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6378" w:type="dxa"/>
            <w:tcBorders>
              <w:top w:val="single" w:color="auto" w:sz="4" w:space="0"/>
              <w:left w:val="single" w:color="auto" w:sz="4" w:space="0"/>
              <w:right w:val="single" w:color="auto" w:sz="4" w:space="0"/>
            </w:tcBorders>
            <w:vAlign w:val="top"/>
          </w:tcPr>
          <w:p>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由政府立项核准、审批的采购项目, 投标报价高于设定的采购预算价的；</w:t>
            </w:r>
          </w:p>
        </w:tc>
        <w:tc>
          <w:tcPr>
            <w:tcW w:w="482" w:type="dxa"/>
            <w:tcBorders>
              <w:left w:val="single" w:color="auto" w:sz="4" w:space="0"/>
              <w:right w:val="single" w:color="auto" w:sz="4" w:space="0"/>
            </w:tcBorders>
          </w:tcPr>
          <w:p>
            <w:pPr>
              <w:jc w:val="center"/>
              <w:rPr>
                <w:rFonts w:ascii="仿宋" w:hAnsi="仿宋" w:eastAsia="仿宋" w:cs="仿宋"/>
                <w:b/>
                <w:color w:val="000000" w:themeColor="text1"/>
                <w:sz w:val="24"/>
                <w:szCs w:val="24"/>
                <w:lang w:eastAsia="zh-CN"/>
                <w14:textFill>
                  <w14:solidFill>
                    <w14:schemeClr w14:val="tx1"/>
                  </w14:solidFill>
                </w14:textFill>
              </w:rPr>
            </w:pPr>
          </w:p>
        </w:tc>
        <w:tc>
          <w:tcPr>
            <w:tcW w:w="884" w:type="dxa"/>
            <w:tcBorders>
              <w:left w:val="single" w:color="auto" w:sz="4" w:space="0"/>
              <w:right w:val="single" w:color="auto" w:sz="4" w:space="0"/>
            </w:tcBorders>
          </w:tcPr>
          <w:p>
            <w:pPr>
              <w:jc w:val="center"/>
              <w:rPr>
                <w:rFonts w:ascii="仿宋" w:hAnsi="仿宋" w:eastAsia="仿宋" w:cs="仿宋"/>
                <w:b/>
                <w:color w:val="000000" w:themeColor="text1"/>
                <w:sz w:val="24"/>
                <w:szCs w:val="24"/>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sz w:val="24"/>
                <w:szCs w:val="24"/>
                <w:lang w:eastAsia="zh-CN"/>
                <w14:textFill>
                  <w14:solidFill>
                    <w14:schemeClr w14:val="tx1"/>
                  </w14:solidFill>
                </w14:textFill>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6378" w:type="dxa"/>
            <w:tcBorders>
              <w:top w:val="single" w:color="auto" w:sz="4" w:space="0"/>
              <w:left w:val="single" w:color="auto" w:sz="4" w:space="0"/>
              <w:bottom w:val="single" w:color="auto" w:sz="4" w:space="0"/>
              <w:right w:val="single" w:color="auto" w:sz="4" w:space="0"/>
            </w:tcBorders>
            <w:vAlign w:val="top"/>
          </w:tcPr>
          <w:p>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法定代表人身份证明及授权委托书有效，且符合</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规定的格式</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righ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sz w:val="24"/>
                <w:szCs w:val="24"/>
                <w:lang w:eastAsia="zh-CN"/>
                <w14:textFill>
                  <w14:solidFill>
                    <w14:schemeClr w14:val="tx1"/>
                  </w14:solidFill>
                </w14:textFill>
              </w:rPr>
            </w:pP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6378" w:type="dxa"/>
            <w:tcBorders>
              <w:top w:val="single" w:color="auto" w:sz="4" w:space="0"/>
              <w:left w:val="single" w:color="auto" w:sz="4" w:space="0"/>
              <w:right w:val="single" w:color="auto" w:sz="4" w:space="0"/>
            </w:tcBorders>
            <w:vAlign w:val="top"/>
          </w:tcPr>
          <w:p>
            <w:pPr>
              <w:autoSpaceDN w:val="0"/>
              <w:jc w:val="left"/>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highlight w:val="none"/>
              </w:rPr>
              <w:t>只能有一个有效报价，不得提交选择性报价</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pPr>
              <w:rPr>
                <w:rFonts w:ascii="仿宋" w:hAnsi="仿宋" w:eastAsia="仿宋" w:cs="仿宋"/>
                <w:color w:val="000000" w:themeColor="text1"/>
                <w:sz w:val="24"/>
                <w:szCs w:val="24"/>
                <w14:textFill>
                  <w14:solidFill>
                    <w14:schemeClr w14:val="tx1"/>
                  </w14:solidFill>
                </w14:textFill>
              </w:rPr>
            </w:pPr>
          </w:p>
        </w:tc>
        <w:tc>
          <w:tcPr>
            <w:tcW w:w="884" w:type="dxa"/>
            <w:tcBorders>
              <w:right w:val="single" w:color="auto" w:sz="4" w:space="0"/>
            </w:tcBorders>
          </w:tcPr>
          <w:p>
            <w:pPr>
              <w:rPr>
                <w:rFonts w:ascii="仿宋" w:hAnsi="仿宋" w:eastAsia="仿宋" w:cs="仿宋"/>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sz w:val="24"/>
                <w:szCs w:val="24"/>
                <w14:textFill>
                  <w14:solidFill>
                    <w14:schemeClr w14:val="tx1"/>
                  </w14:solidFill>
                </w14:textFill>
              </w:rPr>
            </w:pPr>
          </w:p>
        </w:tc>
        <w:tc>
          <w:tcPr>
            <w:tcW w:w="597" w:type="dxa"/>
            <w:tcBorders>
              <w:left w:val="single" w:color="auto" w:sz="4" w:space="0"/>
            </w:tcBorders>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p>
        </w:tc>
        <w:tc>
          <w:tcPr>
            <w:tcW w:w="6378" w:type="dxa"/>
            <w:tcBorders>
              <w:right w:val="single" w:color="auto" w:sz="4" w:space="0"/>
            </w:tcBorders>
            <w:vAlign w:val="top"/>
          </w:tcPr>
          <w:p>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正本、副本数量符合</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righ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sz w:val="24"/>
                <w:szCs w:val="24"/>
                <w:lang w:eastAsia="zh-CN"/>
                <w14:textFill>
                  <w14:solidFill>
                    <w14:schemeClr w14:val="tx1"/>
                  </w14:solidFill>
                </w14:textFill>
              </w:rPr>
            </w:pPr>
          </w:p>
        </w:tc>
        <w:tc>
          <w:tcPr>
            <w:tcW w:w="597" w:type="dxa"/>
            <w:tcBorders>
              <w:left w:val="single" w:color="auto" w:sz="4" w:space="0"/>
              <w:bottom w:val="single" w:color="auto" w:sz="4" w:space="0"/>
            </w:tcBorders>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6378" w:type="dxa"/>
            <w:tcBorders>
              <w:bottom w:val="single" w:color="auto" w:sz="4" w:space="0"/>
              <w:right w:val="single" w:color="auto" w:sz="4" w:space="0"/>
            </w:tcBorders>
            <w:vAlign w:val="top"/>
          </w:tcPr>
          <w:p>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内容齐全、无遗漏</w:t>
            </w:r>
            <w:r>
              <w:rPr>
                <w:rFonts w:hint="eastAsia" w:ascii="仿宋" w:hAnsi="仿宋" w:eastAsia="仿宋" w:cs="仿宋"/>
                <w:color w:val="auto"/>
                <w:sz w:val="24"/>
                <w:szCs w:val="24"/>
                <w:highlight w:val="none"/>
                <w:lang w:eastAsia="zh-CN"/>
              </w:rPr>
              <w:t>；</w:t>
            </w:r>
          </w:p>
        </w:tc>
        <w:tc>
          <w:tcPr>
            <w:tcW w:w="482" w:type="dxa"/>
            <w:tcBorders>
              <w:left w:val="single" w:color="auto" w:sz="4" w:space="0"/>
              <w:bottom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bottom w:val="single" w:color="auto" w:sz="4" w:space="0"/>
              <w:righ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sz w:val="24"/>
                <w:szCs w:val="24"/>
                <w:lang w:eastAsia="zh-CN"/>
                <w14:textFill>
                  <w14:solidFill>
                    <w14:schemeClr w14:val="tx1"/>
                  </w14:solidFill>
                </w14:textFill>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6378" w:type="dxa"/>
            <w:tcBorders>
              <w:top w:val="single" w:color="auto" w:sz="4" w:space="0"/>
              <w:left w:val="single" w:color="auto" w:sz="4" w:space="0"/>
              <w:bottom w:val="single" w:color="auto" w:sz="4" w:space="0"/>
              <w:right w:val="single" w:color="auto" w:sz="4" w:space="0"/>
            </w:tcBorders>
            <w:vAlign w:val="top"/>
          </w:tcPr>
          <w:p>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规定的招标内容全部作出响应</w:t>
            </w:r>
            <w:r>
              <w:rPr>
                <w:rFonts w:hint="eastAsia" w:ascii="仿宋" w:hAnsi="仿宋" w:eastAsia="仿宋" w:cs="仿宋"/>
                <w:color w:val="auto"/>
                <w:sz w:val="24"/>
                <w:szCs w:val="24"/>
                <w:highlight w:val="none"/>
                <w:lang w:eastAsia="zh-CN"/>
              </w:rPr>
              <w:t>；</w:t>
            </w:r>
          </w:p>
        </w:tc>
        <w:tc>
          <w:tcPr>
            <w:tcW w:w="4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sz w:val="24"/>
                <w:szCs w:val="24"/>
                <w:lang w:eastAsia="zh-CN"/>
                <w14:textFill>
                  <w14:solidFill>
                    <w14:schemeClr w14:val="tx1"/>
                  </w14:solidFill>
                </w14:textFill>
              </w:rPr>
            </w:pPr>
          </w:p>
        </w:tc>
        <w:tc>
          <w:tcPr>
            <w:tcW w:w="597" w:type="dxa"/>
            <w:tcBorders>
              <w:top w:val="single" w:color="auto" w:sz="4" w:space="0"/>
              <w:left w:val="single" w:color="auto" w:sz="4" w:space="0"/>
            </w:tcBorders>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6378" w:type="dxa"/>
            <w:tcBorders>
              <w:top w:val="single" w:color="auto" w:sz="4" w:space="0"/>
              <w:right w:val="single" w:color="auto" w:sz="4" w:space="0"/>
            </w:tcBorders>
            <w:vAlign w:val="top"/>
          </w:tcPr>
          <w:p>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提出的技术和质量要求</w:t>
            </w:r>
            <w:r>
              <w:rPr>
                <w:rFonts w:hint="eastAsia" w:ascii="仿宋" w:hAnsi="仿宋" w:eastAsia="仿宋" w:cs="仿宋"/>
                <w:color w:val="auto"/>
                <w:sz w:val="24"/>
                <w:szCs w:val="24"/>
                <w:highlight w:val="none"/>
                <w:lang w:eastAsia="zh-CN"/>
              </w:rPr>
              <w:t>；</w:t>
            </w:r>
          </w:p>
        </w:tc>
        <w:tc>
          <w:tcPr>
            <w:tcW w:w="482" w:type="dxa"/>
            <w:tcBorders>
              <w:top w:val="single" w:color="auto" w:sz="4" w:space="0"/>
              <w:lef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top w:val="single" w:color="auto" w:sz="4" w:space="0"/>
              <w:righ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sz w:val="24"/>
                <w:szCs w:val="24"/>
                <w:lang w:eastAsia="zh-CN"/>
                <w14:textFill>
                  <w14:solidFill>
                    <w14:schemeClr w14:val="tx1"/>
                  </w14:solidFill>
                </w14:textFill>
              </w:rPr>
            </w:pPr>
          </w:p>
        </w:tc>
        <w:tc>
          <w:tcPr>
            <w:tcW w:w="597" w:type="dxa"/>
            <w:tcBorders>
              <w:left w:val="single" w:color="auto" w:sz="4" w:space="0"/>
            </w:tcBorders>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6378" w:type="dxa"/>
            <w:tcBorders>
              <w:right w:val="single" w:color="auto" w:sz="4" w:space="0"/>
            </w:tcBorders>
            <w:vAlign w:val="top"/>
          </w:tcPr>
          <w:p>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完成期限满足</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righ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sz w:val="24"/>
                <w:szCs w:val="24"/>
                <w:lang w:eastAsia="zh-CN"/>
                <w14:textFill>
                  <w14:solidFill>
                    <w14:schemeClr w14:val="tx1"/>
                  </w14:solidFill>
                </w14:textFill>
              </w:rPr>
            </w:pPr>
          </w:p>
        </w:tc>
        <w:tc>
          <w:tcPr>
            <w:tcW w:w="597" w:type="dxa"/>
            <w:tcBorders>
              <w:left w:val="single" w:color="auto" w:sz="4" w:space="0"/>
            </w:tcBorders>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6378" w:type="dxa"/>
            <w:tcBorders>
              <w:right w:val="single" w:color="auto" w:sz="4" w:space="0"/>
            </w:tcBorders>
            <w:vAlign w:val="top"/>
          </w:tcPr>
          <w:p>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有效期满足</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righ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sz w:val="24"/>
                <w:szCs w:val="24"/>
                <w:lang w:eastAsia="zh-CN"/>
                <w14:textFill>
                  <w14:solidFill>
                    <w14:schemeClr w14:val="tx1"/>
                  </w14:solidFill>
                </w14:textFill>
              </w:rPr>
            </w:pPr>
          </w:p>
        </w:tc>
        <w:tc>
          <w:tcPr>
            <w:tcW w:w="597" w:type="dxa"/>
            <w:tcBorders>
              <w:left w:val="single" w:color="auto" w:sz="4" w:space="0"/>
            </w:tcBorders>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6378" w:type="dxa"/>
            <w:tcBorders>
              <w:right w:val="single" w:color="auto" w:sz="4" w:space="0"/>
            </w:tcBorders>
            <w:vAlign w:val="top"/>
          </w:tcPr>
          <w:p>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投标人详细地址、联系人、电话</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righ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 w:val="24"/>
                <w:szCs w:val="24"/>
                <w:lang w:eastAsia="zh-CN"/>
                <w14:textFill>
                  <w14:solidFill>
                    <w14:schemeClr w14:val="tx1"/>
                  </w14:solidFill>
                </w14:textFill>
              </w:rPr>
            </w:pPr>
          </w:p>
        </w:tc>
        <w:tc>
          <w:tcPr>
            <w:tcW w:w="6975"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结论：是否通过评审（须填写通过或不通过）</w:t>
            </w:r>
          </w:p>
          <w:p>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sz w:val="24"/>
                <w:szCs w:val="24"/>
                <w:lang w:eastAsia="zh-CN"/>
                <w14:textFill>
                  <w14:solidFill>
                    <w14:schemeClr w14:val="tx1"/>
                  </w14:solidFill>
                </w14:textFill>
              </w:rPr>
            </w:pPr>
          </w:p>
        </w:tc>
      </w:tr>
    </w:tbl>
    <w:p>
      <w:pPr>
        <w:numPr>
          <w:ilvl w:val="0"/>
          <w:numId w:val="0"/>
        </w:num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评委会判定</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的响应性只根据</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本身的内容，而不寻求外部的证</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据，但投标有不真实不正确的内容时除外。</w:t>
      </w:r>
    </w:p>
    <w:p>
      <w:pPr>
        <w:spacing w:line="400" w:lineRule="exact"/>
        <w:ind w:left="490" w:leftChars="200"/>
        <w:rPr>
          <w:rFonts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如果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实质上没有响应</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的要求，评委会将予以拒绝，投标人不得通过修正或撤销不符合要求的偏离或保留，而使其投标成为实质上响应的投标。</w:t>
      </w:r>
    </w:p>
    <w:p>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投标人可在现场20分钟内对评标委员会的评审结论提出异议，评标委员会根据</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及有关规定对投标人的异议进行复议</w:t>
      </w:r>
    </w:p>
    <w:p>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只有通过初审的投标人才能进入下一步评标程序。</w:t>
      </w:r>
    </w:p>
    <w:p>
      <w:pPr>
        <w:spacing w:line="400" w:lineRule="exact"/>
        <w:ind w:firstLine="490" w:firstLineChars="200"/>
        <w:rPr>
          <w:rFonts w:ascii="仿宋" w:hAnsi="仿宋" w:eastAsia="仿宋" w:cs="仿宋"/>
          <w:color w:val="auto"/>
          <w:sz w:val="24"/>
          <w:szCs w:val="24"/>
        </w:rPr>
      </w:pPr>
      <w:r>
        <w:rPr>
          <w:rFonts w:hint="eastAsia" w:ascii="仿宋" w:hAnsi="仿宋" w:eastAsia="仿宋" w:cs="仿宋"/>
          <w:b/>
          <w:color w:val="auto"/>
          <w:sz w:val="24"/>
          <w:szCs w:val="24"/>
        </w:rPr>
        <w:t>温馨提示：</w:t>
      </w:r>
      <w:r>
        <w:rPr>
          <w:rFonts w:hint="eastAsia" w:ascii="仿宋" w:hAnsi="仿宋" w:eastAsia="仿宋" w:cs="仿宋"/>
          <w:b/>
          <w:color w:val="auto"/>
          <w:sz w:val="24"/>
          <w:szCs w:val="24"/>
          <w:lang w:eastAsia="zh-CN"/>
        </w:rPr>
        <w:t>响应文件</w:t>
      </w:r>
      <w:r>
        <w:rPr>
          <w:rFonts w:hint="eastAsia" w:ascii="仿宋" w:hAnsi="仿宋" w:eastAsia="仿宋" w:cs="仿宋"/>
          <w:b/>
          <w:color w:val="auto"/>
          <w:sz w:val="24"/>
          <w:szCs w:val="24"/>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pacing w:beforeLines="50"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lang w:eastAsia="zh-CN"/>
        </w:rPr>
        <w:t>（二）响应文件</w:t>
      </w:r>
      <w:r>
        <w:rPr>
          <w:rFonts w:hint="eastAsia" w:ascii="仿宋" w:hAnsi="仿宋" w:eastAsia="仿宋" w:cs="仿宋"/>
          <w:b/>
          <w:color w:val="auto"/>
          <w:sz w:val="24"/>
          <w:szCs w:val="24"/>
        </w:rPr>
        <w:t>的澄清和补正</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5、澄清、说明或补正的形式</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9．错误修正的原则</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电子交易平台客户端里开标一览表录入的投标报价或优惠率与扫描上传的报价文件信息不一致的，以扫描上传的报价文件信息为准进行修正。</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响应文件报价出现前后不一致的，除谈判文件 另有规定外，按照下列规定修正：</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10、投标函中表述的内容与报价表中不一致的，以报价表为准；报价表中的内容与报价明细表不一致的，以报价表为准；</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11、响应文件中的大写金额和小写金额不一致的，以大写金额为准；</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12、单价金额小数点或者百分比有明显错位的，以开标一览表的总价为准，并修改单价；</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13、总价金额与按单价汇总金额不一致的，以单价金额计算结果为准；</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14、若用文字表示的数值与用数字表示的数值不一致，以文字表示的数值为准；</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15、如有多报（指数量超出谈判文件 需求）、重报（指同一货物重复报价），其投标总价在评标过程中不予调整，如其中标，其合同价按其投标单价予以调整；</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16、对不同文字文本响应文件的解释发生异议的，以中文文本为准；</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17、供应商需要注意的其它事项：</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2、供应商应遵守有关法律、法规，不得采取不正当的竞争手段，否则，其后果由供应商自负。</w:t>
      </w:r>
    </w:p>
    <w:p>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3、在谈判会直至宣布结果之前，供应商不得向谈判评审专家询问谈判情况，不得进行旨在影响成交结果的活动，否则，其竞争性谈判无效并追究相应责任。</w:t>
      </w:r>
    </w:p>
    <w:p>
      <w:pPr>
        <w:spacing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4、本谈判文件的未尽事项，按现行的有关法律、法规及规章执行</w:t>
      </w:r>
    </w:p>
    <w:p>
      <w:pPr>
        <w:pStyle w:val="20"/>
        <w:rPr>
          <w:sz w:val="24"/>
          <w:szCs w:val="24"/>
        </w:rPr>
      </w:pPr>
    </w:p>
    <w:p>
      <w:pPr>
        <w:pStyle w:val="6"/>
        <w:rPr>
          <w:rFonts w:ascii="仿宋" w:hAnsi="仿宋" w:eastAsia="仿宋" w:cs="仿宋"/>
          <w:color w:val="auto"/>
          <w:sz w:val="28"/>
          <w:szCs w:val="28"/>
        </w:rPr>
      </w:pPr>
      <w:r>
        <w:rPr>
          <w:rFonts w:hint="eastAsia" w:ascii="仿宋" w:hAnsi="仿宋" w:eastAsia="仿宋" w:cs="仿宋"/>
          <w:color w:val="auto"/>
          <w:sz w:val="28"/>
          <w:szCs w:val="28"/>
        </w:rPr>
        <w:t>八、成交及合同签订</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二十七</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供应商</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对各供应商满足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实质性响应【</w:t>
      </w:r>
      <w:r>
        <w:rPr>
          <w:rFonts w:hint="eastAsia" w:ascii="仿宋" w:hAnsi="仿宋" w:eastAsia="仿宋" w:cs="仿宋"/>
          <w:b/>
          <w:color w:val="auto"/>
          <w:sz w:val="24"/>
          <w:szCs w:val="24"/>
        </w:rPr>
        <w:t>所谓实质性响应，是指响应文件应与</w:t>
      </w:r>
      <w:r>
        <w:rPr>
          <w:rFonts w:hint="eastAsia" w:ascii="仿宋" w:hAnsi="仿宋" w:eastAsia="仿宋" w:cs="仿宋"/>
          <w:b/>
          <w:bCs/>
          <w:color w:val="auto"/>
          <w:sz w:val="24"/>
          <w:szCs w:val="24"/>
          <w:lang w:eastAsia="zh-CN"/>
        </w:rPr>
        <w:t>谈判文件</w:t>
      </w:r>
      <w:r>
        <w:rPr>
          <w:rFonts w:hint="eastAsia" w:ascii="仿宋" w:hAnsi="仿宋" w:eastAsia="仿宋" w:cs="仿宋"/>
          <w:b/>
          <w:color w:val="auto"/>
          <w:sz w:val="24"/>
          <w:szCs w:val="24"/>
        </w:rPr>
        <w:t>的所有实质性条款、条件和要求相符，无显著差异或保留（由</w:t>
      </w:r>
      <w:r>
        <w:rPr>
          <w:rFonts w:hint="eastAsia" w:ascii="仿宋" w:hAnsi="仿宋" w:eastAsia="仿宋" w:cs="仿宋"/>
          <w:b/>
          <w:color w:val="auto"/>
          <w:sz w:val="24"/>
          <w:szCs w:val="24"/>
          <w:lang w:eastAsia="zh-CN"/>
        </w:rPr>
        <w:t>谈判小组</w:t>
      </w:r>
      <w:r>
        <w:rPr>
          <w:rFonts w:hint="eastAsia" w:ascii="仿宋" w:hAnsi="仿宋" w:eastAsia="仿宋" w:cs="仿宋"/>
          <w:b/>
          <w:color w:val="auto"/>
          <w:sz w:val="24"/>
          <w:szCs w:val="24"/>
        </w:rPr>
        <w:t>确定）、质量和服务相等且</w:t>
      </w:r>
      <w:r>
        <w:rPr>
          <w:rFonts w:hint="eastAsia" w:ascii="仿宋" w:hAnsi="仿宋" w:eastAsia="仿宋" w:cs="仿宋"/>
          <w:b/>
          <w:color w:val="auto"/>
          <w:sz w:val="24"/>
          <w:szCs w:val="24"/>
          <w:lang w:eastAsia="zh-CN"/>
        </w:rPr>
        <w:t>报价</w:t>
      </w:r>
      <w:r>
        <w:rPr>
          <w:rFonts w:hint="eastAsia" w:ascii="仿宋" w:hAnsi="仿宋" w:eastAsia="仿宋" w:cs="仿宋"/>
          <w:b/>
          <w:color w:val="auto"/>
          <w:sz w:val="24"/>
          <w:szCs w:val="24"/>
        </w:rPr>
        <w:t>最</w:t>
      </w:r>
      <w:r>
        <w:rPr>
          <w:rFonts w:hint="eastAsia" w:ascii="仿宋" w:hAnsi="仿宋" w:eastAsia="仿宋" w:cs="仿宋"/>
          <w:b/>
          <w:color w:val="auto"/>
          <w:sz w:val="24"/>
          <w:szCs w:val="24"/>
          <w:lang w:eastAsia="zh-CN"/>
        </w:rPr>
        <w:t>低</w:t>
      </w:r>
      <w:r>
        <w:rPr>
          <w:rFonts w:hint="eastAsia" w:ascii="仿宋" w:hAnsi="仿宋" w:eastAsia="仿宋" w:cs="仿宋"/>
          <w:b/>
          <w:color w:val="auto"/>
          <w:sz w:val="24"/>
          <w:szCs w:val="24"/>
        </w:rPr>
        <w:t>的原则确定成交候选供应商。</w:t>
      </w:r>
      <w:r>
        <w:rPr>
          <w:rFonts w:hint="eastAsia" w:ascii="仿宋" w:hAnsi="仿宋" w:eastAsia="仿宋" w:cs="仿宋"/>
          <w:color w:val="auto"/>
          <w:sz w:val="24"/>
          <w:szCs w:val="24"/>
        </w:rPr>
        <w:t>】</w:t>
      </w:r>
    </w:p>
    <w:p>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的评审报告，将排名</w:t>
      </w:r>
      <w:r>
        <w:rPr>
          <w:rFonts w:hint="eastAsia" w:ascii="仿宋" w:hAnsi="仿宋" w:eastAsia="仿宋" w:cs="仿宋"/>
          <w:color w:val="auto"/>
          <w:sz w:val="24"/>
          <w:szCs w:val="24"/>
          <w:lang w:eastAsia="zh-CN"/>
        </w:rPr>
        <w:t>第</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的成交候选人纳为</w:t>
      </w:r>
      <w:r>
        <w:rPr>
          <w:rFonts w:hint="eastAsia" w:ascii="仿宋" w:hAnsi="仿宋" w:eastAsia="仿宋" w:cs="仿宋"/>
          <w:color w:val="auto"/>
          <w:sz w:val="24"/>
          <w:szCs w:val="24"/>
          <w:lang w:eastAsia="zh-CN"/>
        </w:rPr>
        <w:t>阿图什市技工教育提升项目（三次）</w:t>
      </w:r>
      <w:r>
        <w:rPr>
          <w:rFonts w:hint="eastAsia" w:ascii="仿宋" w:hAnsi="仿宋" w:eastAsia="仿宋" w:cs="仿宋"/>
          <w:color w:val="auto"/>
          <w:sz w:val="24"/>
          <w:szCs w:val="24"/>
        </w:rPr>
        <w:t>指定</w:t>
      </w:r>
      <w:r>
        <w:rPr>
          <w:rFonts w:hint="eastAsia" w:ascii="仿宋" w:hAnsi="仿宋" w:eastAsia="仿宋" w:cs="仿宋"/>
          <w:color w:val="auto"/>
          <w:sz w:val="24"/>
          <w:szCs w:val="24"/>
          <w:lang w:eastAsia="zh-CN"/>
        </w:rPr>
        <w:t>供应商。</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二十八</w:t>
      </w:r>
      <w:r>
        <w:rPr>
          <w:rFonts w:hint="eastAsia" w:ascii="仿宋" w:hAnsi="仿宋" w:eastAsia="仿宋" w:cs="仿宋"/>
          <w:b/>
          <w:bCs/>
          <w:color w:val="auto"/>
          <w:sz w:val="24"/>
          <w:szCs w:val="24"/>
        </w:rPr>
        <w:t>）资格条件</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2、采购人若发现成交候选供应商在投标过程中提供虚假证明文件，故意隐瞒不良信誉和财务状况，以及存在可能对合同圆满履行造成风险的其他因素等，则按规定取消其成交资格，监管部门依法进行处理。</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3、如果成交候选供应商被确认为不具备执行合同的能力，采购人将考虑按同样的程序审查下一个成交候选供应商。</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二十九</w:t>
      </w:r>
      <w:r>
        <w:rPr>
          <w:rFonts w:hint="eastAsia" w:ascii="仿宋" w:hAnsi="仿宋" w:eastAsia="仿宋" w:cs="仿宋"/>
          <w:b/>
          <w:bCs/>
          <w:color w:val="auto"/>
          <w:sz w:val="24"/>
          <w:szCs w:val="24"/>
        </w:rPr>
        <w:t>）成交通知书</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1、定标后，经采购人同意，采购代理机构应当向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发出成交通知书。</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应及时到采购代理机构领取成交通知书，成交通知书是签订合同的依据和组成部分。</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（三十）签订合同</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在自成交通知书发出之日起30日内，依据《中华人民共和国经济合同法》和有关法规及</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、响应文件与采购人签订合同。</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供应商的响应文件及服务承诺文件以及评标过程中有关澄清文件均作为合同附件，合同经采购人审核盖章后实施。</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未能按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要求与采购单位签订采购合同，逾期将视为自动放弃中标资格，采购人将顺延下一中标候选人为</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，依次类推或依法重新进行采购。</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采购人若发现中标候</w:t>
      </w:r>
      <w:bookmarkStart w:id="36" w:name="_bookmark10"/>
      <w:bookmarkEnd w:id="36"/>
      <w:r>
        <w:rPr>
          <w:rFonts w:hint="eastAsia" w:ascii="仿宋" w:hAnsi="仿宋" w:eastAsia="仿宋" w:cs="仿宋"/>
          <w:color w:val="auto"/>
          <w:sz w:val="24"/>
          <w:szCs w:val="24"/>
        </w:rPr>
        <w:t>选供应商在竞标过程中提供虚假证明文件，故意隐瞒不良信誉和财务状况，以及存在可能对合同圆满履行造成风险的其他因素等，则按规定取消其中标资格，监管部门依法进行处理。</w:t>
      </w:r>
    </w:p>
    <w:p>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如果中标候选供应商被确认为不具备执行合同的能力，采购人将考虑按同样的程序审查下一个中标候选供应商或依法重新招标。</w:t>
      </w:r>
    </w:p>
    <w:p>
      <w:pPr>
        <w:snapToGrid w:val="0"/>
        <w:spacing w:line="360" w:lineRule="auto"/>
        <w:ind w:firstLine="490"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（三十</w:t>
      </w: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）中标服务费计算方法</w:t>
      </w:r>
    </w:p>
    <w:p>
      <w:pPr>
        <w:keepNext w:val="0"/>
        <w:keepLines w:val="0"/>
        <w:pageBreakBefore w:val="0"/>
        <w:widowControl w:val="0"/>
        <w:kinsoku/>
        <w:wordWrap/>
        <w:overflowPunct/>
        <w:topLinePunct w:val="0"/>
        <w:autoSpaceDE/>
        <w:autoSpaceDN/>
        <w:bidi w:val="0"/>
        <w:spacing w:line="336" w:lineRule="auto"/>
        <w:ind w:firstLine="490" w:firstLineChars="200"/>
        <w:textAlignment w:val="auto"/>
        <w:rPr>
          <w:rFonts w:ascii="仿宋" w:hAnsi="仿宋" w:eastAsia="仿宋" w:cs="仿宋"/>
          <w:color w:val="auto"/>
          <w:sz w:val="24"/>
          <w:szCs w:val="24"/>
        </w:rPr>
      </w:pPr>
      <w:r>
        <w:rPr>
          <w:rFonts w:hint="eastAsia" w:ascii="仿宋" w:hAnsi="仿宋" w:eastAsia="仿宋" w:cs="仿宋"/>
          <w:b/>
          <w:bCs/>
          <w:color w:val="auto"/>
          <w:sz w:val="24"/>
          <w:szCs w:val="24"/>
        </w:rPr>
        <w:t>由</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供应商向招标代理机构支付，详见前附表。</w:t>
      </w:r>
    </w:p>
    <w:p>
      <w:pPr>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4"/>
          <w:szCs w:val="24"/>
        </w:rPr>
      </w:pPr>
    </w:p>
    <w:p>
      <w:pPr>
        <w:pStyle w:val="6"/>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rPr>
      </w:pP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、法律责任</w:t>
      </w:r>
    </w:p>
    <w:p>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采购活动，并予以公告，有违法所得的，并处没收违法所得，情节严重的，由行政管理机关吊销营业执照；构成犯罪的，依法追究刑事责任：</w:t>
      </w:r>
    </w:p>
    <w:p>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1、提供虚假材料谋取中标的；</w:t>
      </w:r>
    </w:p>
    <w:p>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2、采取不正当手段诋毁、排挤其他供应商的；</w:t>
      </w:r>
    </w:p>
    <w:p>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3、与采购人、其他供应商或采购代理机构恶意串通的；</w:t>
      </w:r>
    </w:p>
    <w:p>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4、向采购人、采购代理机构行贿或者提供其他不正当利益的；</w:t>
      </w:r>
    </w:p>
    <w:p>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5、在招标过程中与招标采购单位进行协商谈判、不按照</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的响应文件订立合同，或者与采购人另行订立背离合同实质性内容的协议的；</w:t>
      </w:r>
    </w:p>
    <w:p>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6、拒绝有关部门监督检查或者提供虚假情况的。供应商有前款情形之一的，中标无效。</w:t>
      </w:r>
    </w:p>
    <w:p>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有下列情形之一的，情节严重的，由财政部门将其列入不良行为记录名单，在一至三年内禁止参加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采购活动，并予以通报：</w:t>
      </w:r>
    </w:p>
    <w:p>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1、中标后无正当理由不与采购人签订合同，或者与采购人另行订立背离合同实质性内容的协议的；</w:t>
      </w:r>
    </w:p>
    <w:p>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2、将中标项目转让给他人，或者在响应文件中未说明，且未经采购人同意，将中标项目分包给他人的；</w:t>
      </w:r>
    </w:p>
    <w:p>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3、拒绝履行合同义务的。</w:t>
      </w:r>
    </w:p>
    <w:p>
      <w:pPr>
        <w:snapToGrid w:val="0"/>
        <w:spacing w:line="360" w:lineRule="auto"/>
        <w:ind w:firstLine="490" w:firstLineChars="200"/>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有前款情形之一的，中标无效。</w:t>
      </w:r>
    </w:p>
    <w:p>
      <w:pPr>
        <w:snapToGrid w:val="0"/>
        <w:spacing w:line="360" w:lineRule="auto"/>
        <w:ind w:firstLine="490" w:firstLineChars="200"/>
        <w:outlineLvl w:val="0"/>
      </w:pPr>
      <w:r>
        <w:rPr>
          <w:rFonts w:hint="eastAsia" w:ascii="仿宋" w:hAnsi="仿宋" w:eastAsia="仿宋" w:cs="仿宋"/>
          <w:color w:val="auto"/>
          <w:sz w:val="24"/>
          <w:szCs w:val="24"/>
        </w:rPr>
        <w:t>按照以上条款规定，经同级或其上级财政部门认定中标无效的，可按中标候选顺序重新确定，或重新进行采购。</w:t>
      </w:r>
      <w:bookmarkStart w:id="37" w:name="_Toc497129227"/>
    </w:p>
    <w:p>
      <w:pPr>
        <w:numPr>
          <w:ilvl w:val="0"/>
          <w:numId w:val="4"/>
        </w:numPr>
        <w:jc w:val="center"/>
        <w:rPr>
          <w:rFonts w:ascii="仿宋" w:hAnsi="仿宋" w:eastAsia="仿宋" w:cs="仿宋"/>
          <w:color w:val="auto"/>
          <w:sz w:val="36"/>
          <w:szCs w:val="36"/>
        </w:rPr>
      </w:pPr>
      <w:r>
        <w:rPr>
          <w:rFonts w:hint="eastAsia" w:ascii="仿宋" w:hAnsi="仿宋" w:eastAsia="仿宋" w:cs="仿宋"/>
          <w:b/>
          <w:color w:val="000000" w:themeColor="text1"/>
          <w:sz w:val="32"/>
          <w:szCs w:val="32"/>
          <w:lang w:eastAsia="zh-CN"/>
          <w14:textFill>
            <w14:solidFill>
              <w14:schemeClr w14:val="tx1"/>
            </w14:solidFill>
          </w14:textFill>
        </w:rPr>
        <w:t>技术要求</w:t>
      </w:r>
    </w:p>
    <w:tbl>
      <w:tblPr>
        <w:tblStyle w:val="16"/>
        <w:tblW w:w="8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950"/>
        <w:gridCol w:w="4720"/>
        <w:gridCol w:w="867"/>
        <w:gridCol w:w="879"/>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名称</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主要技术参数</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单价（元）</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被子</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军绿色军用被，规格：1.5*2米，填充物：热熔棉 ，重量：≥2.5公斤，外层包布100%纯棉。（提供检测报告）</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军</w:t>
            </w:r>
            <w:r>
              <w:rPr>
                <w:rFonts w:hint="eastAsia" w:ascii="仿宋" w:hAnsi="仿宋" w:eastAsia="仿宋" w:cs="仿宋"/>
                <w:i w:val="0"/>
                <w:iCs w:val="0"/>
                <w:color w:val="auto"/>
                <w:sz w:val="24"/>
                <w:szCs w:val="24"/>
                <w:u w:val="none"/>
                <w:lang w:val="en-US" w:eastAsia="zh-CN"/>
              </w:rPr>
              <w:t xml:space="preserve"> </w:t>
            </w:r>
            <w:r>
              <w:rPr>
                <w:rFonts w:hint="eastAsia" w:ascii="仿宋" w:hAnsi="仿宋" w:eastAsia="仿宋" w:cs="仿宋"/>
                <w:i w:val="0"/>
                <w:iCs w:val="0"/>
                <w:color w:val="auto"/>
                <w:sz w:val="24"/>
                <w:szCs w:val="24"/>
                <w:u w:val="none"/>
                <w:lang w:eastAsia="zh-CN"/>
              </w:rPr>
              <w:t>用正</w:t>
            </w:r>
            <w:r>
              <w:rPr>
                <w:rFonts w:hint="eastAsia" w:ascii="仿宋" w:hAnsi="仿宋" w:eastAsia="仿宋" w:cs="仿宋"/>
                <w:i w:val="0"/>
                <w:iCs w:val="0"/>
                <w:color w:val="auto"/>
                <w:sz w:val="24"/>
                <w:szCs w:val="24"/>
                <w:u w:val="none"/>
                <w:lang w:val="en-US" w:eastAsia="zh-CN"/>
              </w:rPr>
              <w:t xml:space="preserve"> </w:t>
            </w:r>
            <w:r>
              <w:rPr>
                <w:rFonts w:hint="eastAsia" w:ascii="仿宋" w:hAnsi="仿宋" w:eastAsia="仿宋" w:cs="仿宋"/>
                <w:i w:val="0"/>
                <w:iCs w:val="0"/>
                <w:color w:val="auto"/>
                <w:sz w:val="24"/>
                <w:szCs w:val="24"/>
                <w:u w:val="none"/>
                <w:lang w:eastAsia="zh-CN"/>
              </w:rPr>
              <w:t>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褥子</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lang w:val="en-US"/>
              </w:rPr>
            </w:pPr>
            <w:r>
              <w:rPr>
                <w:rStyle w:val="32"/>
                <w:rFonts w:hint="eastAsia" w:ascii="仿宋" w:hAnsi="仿宋" w:eastAsia="仿宋" w:cs="仿宋"/>
                <w:color w:val="auto"/>
                <w:sz w:val="24"/>
                <w:szCs w:val="24"/>
                <w:lang w:val="en-US" w:eastAsia="zh-CN" w:bidi="ar"/>
              </w:rPr>
              <w:t>规格：0.9*2米，填充物：热熔棉，</w:t>
            </w:r>
            <w:r>
              <w:rPr>
                <w:rFonts w:hint="eastAsia" w:ascii="仿宋" w:hAnsi="仿宋" w:eastAsia="仿宋" w:cs="仿宋"/>
                <w:i w:val="0"/>
                <w:iCs w:val="0"/>
                <w:color w:val="auto"/>
                <w:kern w:val="0"/>
                <w:sz w:val="24"/>
                <w:szCs w:val="24"/>
                <w:u w:val="none"/>
                <w:lang w:val="en-US" w:eastAsia="zh-CN" w:bidi="ar"/>
              </w:rPr>
              <w:t>重量：≥2公斤，外层包布100%纯棉。（提供检测报告）</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eastAsia="zh-CN"/>
              </w:rPr>
              <w:t>军</w:t>
            </w:r>
            <w:r>
              <w:rPr>
                <w:rFonts w:hint="eastAsia" w:ascii="仿宋" w:hAnsi="仿宋" w:eastAsia="仿宋" w:cs="仿宋"/>
                <w:i w:val="0"/>
                <w:iCs w:val="0"/>
                <w:color w:val="auto"/>
                <w:sz w:val="24"/>
                <w:szCs w:val="24"/>
                <w:u w:val="none"/>
                <w:lang w:val="en-US" w:eastAsia="zh-CN"/>
              </w:rPr>
              <w:t xml:space="preserve"> </w:t>
            </w:r>
            <w:r>
              <w:rPr>
                <w:rFonts w:hint="eastAsia" w:ascii="仿宋" w:hAnsi="仿宋" w:eastAsia="仿宋" w:cs="仿宋"/>
                <w:i w:val="0"/>
                <w:iCs w:val="0"/>
                <w:color w:val="auto"/>
                <w:sz w:val="24"/>
                <w:szCs w:val="24"/>
                <w:u w:val="none"/>
                <w:lang w:eastAsia="zh-CN"/>
              </w:rPr>
              <w:t>用正</w:t>
            </w:r>
            <w:r>
              <w:rPr>
                <w:rFonts w:hint="eastAsia" w:ascii="仿宋" w:hAnsi="仿宋" w:eastAsia="仿宋" w:cs="仿宋"/>
                <w:i w:val="0"/>
                <w:iCs w:val="0"/>
                <w:color w:val="auto"/>
                <w:sz w:val="24"/>
                <w:szCs w:val="24"/>
                <w:u w:val="none"/>
                <w:lang w:val="en-US" w:eastAsia="zh-CN"/>
              </w:rPr>
              <w:t xml:space="preserve"> </w:t>
            </w:r>
            <w:r>
              <w:rPr>
                <w:rFonts w:hint="eastAsia" w:ascii="仿宋" w:hAnsi="仿宋" w:eastAsia="仿宋" w:cs="仿宋"/>
                <w:i w:val="0"/>
                <w:iCs w:val="0"/>
                <w:color w:val="auto"/>
                <w:sz w:val="24"/>
                <w:szCs w:val="24"/>
                <w:u w:val="none"/>
                <w:lang w:eastAsia="zh-CN"/>
              </w:rPr>
              <w:t>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床垫</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rPr>
              <w:t>军</w:t>
            </w:r>
            <w:r>
              <w:rPr>
                <w:rFonts w:hint="eastAsia" w:ascii="仿宋" w:hAnsi="仿宋" w:eastAsia="仿宋" w:cs="仿宋"/>
                <w:i w:val="0"/>
                <w:iCs w:val="0"/>
                <w:color w:val="auto"/>
                <w:kern w:val="0"/>
                <w:sz w:val="24"/>
                <w:szCs w:val="24"/>
                <w:u w:val="none"/>
                <w:lang w:val="en-US" w:eastAsia="zh-CN" w:bidi="ar"/>
              </w:rPr>
              <w:t>绿色军</w:t>
            </w:r>
            <w:r>
              <w:rPr>
                <w:rFonts w:hint="eastAsia" w:ascii="仿宋" w:hAnsi="仿宋" w:eastAsia="仿宋" w:cs="仿宋"/>
                <w:i w:val="0"/>
                <w:iCs w:val="0"/>
                <w:color w:val="auto"/>
                <w:sz w:val="24"/>
                <w:szCs w:val="24"/>
                <w:u w:val="none"/>
              </w:rPr>
              <w:t>用床垫</w:t>
            </w:r>
            <w:r>
              <w:rPr>
                <w:rFonts w:hint="eastAsia" w:ascii="仿宋" w:hAnsi="仿宋" w:eastAsia="仿宋" w:cs="仿宋"/>
                <w:i w:val="0"/>
                <w:iCs w:val="0"/>
                <w:color w:val="auto"/>
                <w:sz w:val="24"/>
                <w:szCs w:val="24"/>
                <w:u w:val="none"/>
                <w:lang w:val="en-US" w:eastAsia="zh-CN"/>
              </w:rPr>
              <w:t xml:space="preserve"> 规格：0.9*2米，</w:t>
            </w:r>
            <w:r>
              <w:rPr>
                <w:rFonts w:hint="eastAsia" w:ascii="仿宋" w:hAnsi="仿宋" w:eastAsia="仿宋" w:cs="仿宋"/>
                <w:i w:val="0"/>
                <w:iCs w:val="0"/>
                <w:color w:val="auto"/>
                <w:sz w:val="24"/>
                <w:szCs w:val="24"/>
                <w:u w:val="none"/>
              </w:rPr>
              <w:t>面料：细帆布，填充物：热熔棉</w:t>
            </w: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kern w:val="0"/>
                <w:sz w:val="24"/>
                <w:szCs w:val="24"/>
                <w:u w:val="none"/>
                <w:lang w:val="en-US" w:eastAsia="zh-CN" w:bidi="ar"/>
              </w:rPr>
              <w:t>（提供检测报告）</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eastAsia="zh-CN"/>
              </w:rPr>
              <w:t>军</w:t>
            </w:r>
            <w:r>
              <w:rPr>
                <w:rFonts w:hint="eastAsia" w:ascii="仿宋" w:hAnsi="仿宋" w:eastAsia="仿宋" w:cs="仿宋"/>
                <w:i w:val="0"/>
                <w:iCs w:val="0"/>
                <w:color w:val="auto"/>
                <w:sz w:val="24"/>
                <w:szCs w:val="24"/>
                <w:u w:val="none"/>
                <w:lang w:val="en-US" w:eastAsia="zh-CN"/>
              </w:rPr>
              <w:t xml:space="preserve"> </w:t>
            </w:r>
            <w:r>
              <w:rPr>
                <w:rFonts w:hint="eastAsia" w:ascii="仿宋" w:hAnsi="仿宋" w:eastAsia="仿宋" w:cs="仿宋"/>
                <w:i w:val="0"/>
                <w:iCs w:val="0"/>
                <w:color w:val="auto"/>
                <w:sz w:val="24"/>
                <w:szCs w:val="24"/>
                <w:u w:val="none"/>
                <w:lang w:eastAsia="zh-CN"/>
              </w:rPr>
              <w:t>用正</w:t>
            </w:r>
            <w:r>
              <w:rPr>
                <w:rFonts w:hint="eastAsia" w:ascii="仿宋" w:hAnsi="仿宋" w:eastAsia="仿宋" w:cs="仿宋"/>
                <w:i w:val="0"/>
                <w:iCs w:val="0"/>
                <w:color w:val="auto"/>
                <w:sz w:val="24"/>
                <w:szCs w:val="24"/>
                <w:u w:val="none"/>
                <w:lang w:val="en-US" w:eastAsia="zh-CN"/>
              </w:rPr>
              <w:t xml:space="preserve"> </w:t>
            </w:r>
            <w:r>
              <w:rPr>
                <w:rFonts w:hint="eastAsia" w:ascii="仿宋" w:hAnsi="仿宋" w:eastAsia="仿宋" w:cs="仿宋"/>
                <w:i w:val="0"/>
                <w:iCs w:val="0"/>
                <w:color w:val="auto"/>
                <w:sz w:val="24"/>
                <w:szCs w:val="24"/>
                <w:u w:val="none"/>
                <w:lang w:eastAsia="zh-CN"/>
              </w:rPr>
              <w:t>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枕头</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产品S型设计军用枕头，尺寸：≥45cm（长）*28cm(宽）*7cm（厚），枕头套：涤棉，枕头芯：硬质定型棉。（提供检测报告）</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eastAsia="zh-CN"/>
              </w:rPr>
              <w:t>军</w:t>
            </w:r>
            <w:r>
              <w:rPr>
                <w:rFonts w:hint="eastAsia" w:ascii="仿宋" w:hAnsi="仿宋" w:eastAsia="仿宋" w:cs="仿宋"/>
                <w:i w:val="0"/>
                <w:iCs w:val="0"/>
                <w:color w:val="auto"/>
                <w:sz w:val="24"/>
                <w:szCs w:val="24"/>
                <w:u w:val="none"/>
                <w:lang w:val="en-US" w:eastAsia="zh-CN"/>
              </w:rPr>
              <w:t xml:space="preserve"> </w:t>
            </w:r>
            <w:r>
              <w:rPr>
                <w:rFonts w:hint="eastAsia" w:ascii="仿宋" w:hAnsi="仿宋" w:eastAsia="仿宋" w:cs="仿宋"/>
                <w:i w:val="0"/>
                <w:iCs w:val="0"/>
                <w:color w:val="auto"/>
                <w:sz w:val="24"/>
                <w:szCs w:val="24"/>
                <w:u w:val="none"/>
                <w:lang w:eastAsia="zh-CN"/>
              </w:rPr>
              <w:t>用正</w:t>
            </w:r>
            <w:r>
              <w:rPr>
                <w:rFonts w:hint="eastAsia" w:ascii="仿宋" w:hAnsi="仿宋" w:eastAsia="仿宋" w:cs="仿宋"/>
                <w:i w:val="0"/>
                <w:iCs w:val="0"/>
                <w:color w:val="auto"/>
                <w:sz w:val="24"/>
                <w:szCs w:val="24"/>
                <w:u w:val="none"/>
                <w:lang w:val="en-US" w:eastAsia="zh-CN"/>
              </w:rPr>
              <w:t xml:space="preserve"> </w:t>
            </w:r>
            <w:r>
              <w:rPr>
                <w:rFonts w:hint="eastAsia" w:ascii="仿宋" w:hAnsi="仿宋" w:eastAsia="仿宋" w:cs="仿宋"/>
                <w:i w:val="0"/>
                <w:iCs w:val="0"/>
                <w:color w:val="auto"/>
                <w:sz w:val="24"/>
                <w:szCs w:val="24"/>
                <w:u w:val="none"/>
                <w:lang w:eastAsia="zh-CN"/>
              </w:rPr>
              <w:t>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6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 xml:space="preserve">                                           </w:t>
            </w:r>
            <w:r>
              <w:rPr>
                <w:rFonts w:hint="eastAsia" w:ascii="仿宋" w:hAnsi="仿宋" w:eastAsia="仿宋" w:cs="仿宋"/>
                <w:b/>
                <w:bCs/>
                <w:i w:val="0"/>
                <w:iCs w:val="0"/>
                <w:color w:val="auto"/>
                <w:sz w:val="24"/>
                <w:szCs w:val="24"/>
                <w:u w:val="none"/>
                <w:lang w:eastAsia="zh-CN"/>
              </w:rPr>
              <w:t>合计</w:t>
            </w:r>
            <w:r>
              <w:rPr>
                <w:rFonts w:hint="eastAsia" w:ascii="仿宋" w:hAnsi="仿宋" w:eastAsia="仿宋" w:cs="仿宋"/>
                <w:b/>
                <w:bCs/>
                <w:i w:val="0"/>
                <w:iCs w:val="0"/>
                <w:color w:val="auto"/>
                <w:sz w:val="24"/>
                <w:szCs w:val="24"/>
                <w:u w:val="none"/>
                <w:lang w:val="en-US" w:eastAsia="zh-CN"/>
              </w:rPr>
              <w:t xml:space="preserve"> </w:t>
            </w:r>
            <w:r>
              <w:rPr>
                <w:rFonts w:hint="eastAsia" w:ascii="仿宋" w:hAnsi="仿宋" w:eastAsia="仿宋" w:cs="仿宋"/>
                <w:b/>
                <w:bCs/>
                <w:i w:val="0"/>
                <w:iCs w:val="0"/>
                <w:color w:val="auto"/>
                <w:sz w:val="24"/>
                <w:szCs w:val="24"/>
                <w:u w:val="none"/>
                <w:lang w:eastAsia="zh-CN"/>
              </w:rPr>
              <w:t>：</w:t>
            </w:r>
            <w:r>
              <w:rPr>
                <w:rFonts w:hint="eastAsia" w:ascii="仿宋" w:hAnsi="仿宋" w:eastAsia="仿宋" w:cs="仿宋"/>
                <w:b/>
                <w:bCs/>
                <w:i w:val="0"/>
                <w:iCs w:val="0"/>
                <w:color w:val="auto"/>
                <w:sz w:val="24"/>
                <w:szCs w:val="24"/>
                <w:u w:val="none"/>
                <w:lang w:val="en-US" w:eastAsia="zh-CN"/>
              </w:rPr>
              <w:t xml:space="preserve"> </w:t>
            </w:r>
          </w:p>
        </w:tc>
        <w:tc>
          <w:tcPr>
            <w:tcW w:w="2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lang w:val="en-US" w:eastAsia="zh-CN" w:bidi="en-US"/>
              </w:rPr>
            </w:pPr>
            <w:r>
              <w:rPr>
                <w:rFonts w:hint="eastAsia" w:ascii="仿宋" w:hAnsi="仿宋" w:eastAsia="仿宋" w:cs="仿宋"/>
                <w:b/>
                <w:bCs/>
                <w:i w:val="0"/>
                <w:iCs w:val="0"/>
                <w:color w:val="auto"/>
                <w:sz w:val="24"/>
                <w:szCs w:val="24"/>
                <w:u w:val="none"/>
                <w:lang w:val="en-US" w:eastAsia="zh-CN"/>
              </w:rPr>
              <w:t xml:space="preserve">   </w:t>
            </w:r>
            <w:r>
              <w:rPr>
                <w:rFonts w:hint="eastAsia" w:ascii="仿宋" w:hAnsi="仿宋" w:eastAsia="仿宋" w:cs="仿宋"/>
                <w:b/>
                <w:bCs/>
                <w:i w:val="0"/>
                <w:iCs w:val="0"/>
                <w:color w:val="auto"/>
                <w:sz w:val="24"/>
                <w:szCs w:val="24"/>
                <w:u w:val="none"/>
                <w:lang w:eastAsia="zh-CN"/>
              </w:rPr>
              <w:t>元</w:t>
            </w:r>
            <w:r>
              <w:rPr>
                <w:rFonts w:hint="eastAsia" w:ascii="仿宋" w:hAnsi="仿宋" w:eastAsia="仿宋" w:cs="仿宋"/>
                <w:b/>
                <w:bCs/>
                <w:i w:val="0"/>
                <w:iCs w:val="0"/>
                <w:color w:val="auto"/>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89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备注：1.具体采购数量跟据甲方实际需求量确定。</w:t>
            </w:r>
          </w:p>
          <w:p>
            <w:pPr>
              <w:ind w:firstLine="735" w:firstLineChars="300"/>
              <w:jc w:val="both"/>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2.成交供应商需在签订合同时携带全套样品供采购人查验。</w:t>
            </w:r>
          </w:p>
        </w:tc>
      </w:tr>
    </w:tbl>
    <w:p>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1.包装要求</w:t>
      </w:r>
    </w:p>
    <w:p>
      <w:pPr>
        <w:spacing w:line="360" w:lineRule="auto"/>
        <w:ind w:firstLine="490" w:firstLineChars="200"/>
        <w:jc w:val="both"/>
        <w:rPr>
          <w:rFonts w:ascii="仿宋" w:hAnsi="仿宋" w:eastAsia="仿宋" w:cs="仿宋"/>
          <w:b/>
          <w:bCs/>
          <w:color w:val="FF0000"/>
          <w:sz w:val="24"/>
          <w:szCs w:val="24"/>
          <w:lang w:eastAsia="zh-CN"/>
        </w:rPr>
      </w:pPr>
      <w:r>
        <w:rPr>
          <w:rFonts w:hint="eastAsia" w:ascii="仿宋" w:hAnsi="仿宋" w:eastAsia="仿宋" w:cs="仿宋"/>
          <w:color w:val="auto"/>
          <w:sz w:val="24"/>
          <w:szCs w:val="24"/>
          <w:lang w:val="en-US" w:eastAsia="zh-CN"/>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numPr>
          <w:ilvl w:val="0"/>
          <w:numId w:val="0"/>
        </w:numPr>
        <w:spacing w:line="360" w:lineRule="auto"/>
        <w:ind w:firstLine="490" w:firstLineChars="200"/>
        <w:rPr>
          <w:rFonts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（一）实施（交货）期 ：</w:t>
      </w:r>
      <w:r>
        <w:rPr>
          <w:rFonts w:hint="eastAsia" w:ascii="仿宋" w:hAnsi="仿宋" w:eastAsia="仿宋" w:cs="仿宋"/>
          <w:color w:val="000000" w:themeColor="text1"/>
          <w:sz w:val="24"/>
          <w:szCs w:val="24"/>
          <w:lang w:eastAsia="zh-CN"/>
          <w14:textFill>
            <w14:solidFill>
              <w14:schemeClr w14:val="tx1"/>
            </w14:solidFill>
          </w14:textFill>
        </w:rPr>
        <w:t>自签订合同后</w:t>
      </w:r>
      <w:r>
        <w:rPr>
          <w:rFonts w:hint="eastAsia"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lang w:eastAsia="zh-CN"/>
          <w14:textFill>
            <w14:solidFill>
              <w14:schemeClr w14:val="tx1"/>
            </w14:solidFill>
          </w14:textFill>
        </w:rPr>
        <w:t>天内完成供货。</w:t>
      </w:r>
    </w:p>
    <w:p>
      <w:pPr>
        <w:spacing w:line="360" w:lineRule="auto"/>
        <w:ind w:firstLine="49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（二）实施（交货）地点</w:t>
      </w:r>
      <w:r>
        <w:rPr>
          <w:rFonts w:hint="eastAsia" w:ascii="仿宋" w:hAnsi="仿宋" w:eastAsia="仿宋" w:cs="仿宋"/>
          <w:color w:val="000000" w:themeColor="text1"/>
          <w:sz w:val="24"/>
          <w:szCs w:val="24"/>
          <w:lang w:eastAsia="zh-CN"/>
          <w14:textFill>
            <w14:solidFill>
              <w14:schemeClr w14:val="tx1"/>
            </w14:solidFill>
          </w14:textFill>
        </w:rPr>
        <w:t xml:space="preserve"> ：甲方指定地点</w:t>
      </w:r>
    </w:p>
    <w:p>
      <w:pPr>
        <w:spacing w:line="360" w:lineRule="auto"/>
        <w:rPr>
          <w:rFonts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b/>
          <w:bCs/>
          <w:color w:val="000000" w:themeColor="text1"/>
          <w:sz w:val="24"/>
          <w:szCs w:val="24"/>
          <w:lang w:eastAsia="zh-CN"/>
          <w14:textFill>
            <w14:solidFill>
              <w14:schemeClr w14:val="tx1"/>
            </w14:solidFill>
          </w14:textFill>
        </w:rPr>
        <w:t>报价要求</w:t>
      </w:r>
    </w:p>
    <w:p>
      <w:pPr>
        <w:spacing w:line="360" w:lineRule="auto"/>
        <w:ind w:firstLine="49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3.质量要求</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1、投标人应保证用品是全新、未使用过的合格正品,并完全符合国家执行标准和行业的相关标准</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2、投标人提供伪劣假冒商品或非合格全新的，投标人应无条件更换为合格产品。给甲方造成损失的,应承担赔偿责任。</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3、所供货物质量如达不到甲方质量要求的，必须按甲方要求更换，更换至甲方满意为止。</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4.验收</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1、货物到达现场后，供应商应在使用单位人员在场情况下当面共同清点、检查，作出检查记录，双方签字确认。</w:t>
      </w:r>
    </w:p>
    <w:p>
      <w:pPr>
        <w:pStyle w:val="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2、供应商提供的货物未达到谈判文件规定要求，且对采购人造成损失的，由供应商承担一切责任，并赔偿所造成的损失。</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5、付款方式</w:t>
      </w:r>
    </w:p>
    <w:p>
      <w:pPr>
        <w:spacing w:line="360" w:lineRule="auto"/>
        <w:ind w:firstLine="490" w:firstLineChars="200"/>
        <w:rPr>
          <w:rFonts w:hint="eastAsia" w:ascii="仿宋" w:hAnsi="仿宋" w:eastAsia="仿宋" w:cs="仿宋"/>
          <w:color w:val="auto"/>
          <w:sz w:val="24"/>
          <w:szCs w:val="24"/>
          <w:lang w:val="en-US" w:eastAsia="zh-CN"/>
        </w:rPr>
      </w:pPr>
      <w:bookmarkStart w:id="38" w:name="_Toc16945"/>
      <w:bookmarkStart w:id="39" w:name="_Toc21807"/>
      <w:bookmarkStart w:id="40" w:name="_Toc8238"/>
      <w:r>
        <w:rPr>
          <w:rFonts w:hint="eastAsia" w:ascii="仿宋" w:hAnsi="仿宋" w:eastAsia="仿宋" w:cs="仿宋"/>
          <w:color w:val="auto"/>
          <w:sz w:val="24"/>
          <w:szCs w:val="24"/>
          <w:lang w:val="en-US" w:eastAsia="zh-CN"/>
        </w:rPr>
        <w:t>供货完成验收合格后一次性付款。</w:t>
      </w:r>
    </w:p>
    <w:p>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lang w:eastAsia="zh-CN"/>
        </w:rPr>
        <w:t>知识产权</w:t>
      </w:r>
      <w:bookmarkEnd w:id="38"/>
      <w:bookmarkEnd w:id="39"/>
      <w:bookmarkEnd w:id="40"/>
    </w:p>
    <w:p>
      <w:pPr>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采购方在中华人民共和国境内使用投标人提供的货物及服务时免受第三方提出的侵犯其专利权或其它知识产权的起诉。如果第三方提出侵权指控，供货服务商应承担由此而引起的一切法律责任和费用。</w:t>
      </w:r>
    </w:p>
    <w:p>
      <w:pPr>
        <w:spacing w:line="360" w:lineRule="auto"/>
        <w:rPr>
          <w:rFonts w:hint="eastAsia" w:ascii="仿宋" w:hAnsi="仿宋" w:eastAsia="仿宋" w:cs="仿宋"/>
          <w:b/>
          <w:bCs/>
          <w:color w:val="auto"/>
          <w:sz w:val="24"/>
          <w:szCs w:val="24"/>
          <w:lang w:eastAsia="zh-CN"/>
        </w:rPr>
      </w:pPr>
      <w:bookmarkStart w:id="41" w:name="_Toc7598"/>
      <w:bookmarkStart w:id="42" w:name="_Toc12239"/>
      <w:bookmarkStart w:id="43" w:name="_Toc20832"/>
      <w:bookmarkStart w:id="44" w:name="_Toc12840_WPSOffice_Level1"/>
      <w:bookmarkStart w:id="45" w:name="_Toc267320054"/>
      <w:bookmarkStart w:id="46" w:name="_Toc439255252"/>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lang w:eastAsia="zh-CN"/>
        </w:rPr>
        <w:t>其他</w:t>
      </w:r>
      <w:bookmarkEnd w:id="41"/>
      <w:bookmarkEnd w:id="42"/>
      <w:bookmarkEnd w:id="43"/>
    </w:p>
    <w:bookmarkEnd w:id="44"/>
    <w:bookmarkEnd w:id="45"/>
    <w:bookmarkEnd w:id="46"/>
    <w:p>
      <w:pPr>
        <w:shd w:val="clear" w:color="auto" w:fill="auto"/>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1、投标人必须在响应文件中对以上条款和服务承诺明确列出，承诺内容必须达到本篇及谈判文件其他条款的要求。</w:t>
      </w:r>
    </w:p>
    <w:p>
      <w:pPr>
        <w:shd w:val="clear" w:color="auto" w:fill="auto"/>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2、其他未尽事宜由供需双方在采购合同中详细约定。</w:t>
      </w:r>
    </w:p>
    <w:p>
      <w:pPr>
        <w:pStyle w:val="2"/>
        <w:rPr>
          <w:rFonts w:hint="eastAsia" w:ascii="仿宋" w:hAnsi="仿宋" w:eastAsia="仿宋" w:cs="仿宋"/>
          <w:color w:val="auto"/>
          <w:sz w:val="21"/>
          <w:szCs w:val="21"/>
          <w:lang w:eastAsia="zh-CN"/>
        </w:rPr>
      </w:pPr>
    </w:p>
    <w:p>
      <w:pPr>
        <w:pStyle w:val="3"/>
        <w:numPr>
          <w:ilvl w:val="0"/>
          <w:numId w:val="0"/>
        </w:numPr>
        <w:ind w:left="360" w:leftChars="0"/>
        <w:rPr>
          <w:rFonts w:hint="eastAsia"/>
          <w:lang w:eastAsia="zh-CN"/>
        </w:rPr>
      </w:pPr>
    </w:p>
    <w:p>
      <w:pPr>
        <w:pStyle w:val="20"/>
        <w:rPr>
          <w:rFonts w:hint="default" w:ascii="仿宋" w:hAnsi="仿宋" w:eastAsia="仿宋" w:cs="仿宋"/>
          <w:color w:val="auto"/>
          <w:sz w:val="24"/>
          <w:szCs w:val="24"/>
          <w:lang w:val="en-US" w:eastAsia="zh-CN"/>
        </w:rPr>
      </w:pPr>
    </w:p>
    <w:p>
      <w:pPr>
        <w:pStyle w:val="20"/>
        <w:rPr>
          <w:rFonts w:hint="eastAsia"/>
          <w:lang w:val="en-US" w:eastAsia="zh-CN"/>
        </w:rPr>
      </w:pPr>
    </w:p>
    <w:bookmarkEnd w:id="37"/>
    <w:p>
      <w:pPr>
        <w:keepNext w:val="0"/>
        <w:keepLines w:val="0"/>
        <w:pageBreakBefore w:val="0"/>
        <w:widowControl w:val="0"/>
        <w:numPr>
          <w:ilvl w:val="0"/>
          <w:numId w:val="0"/>
        </w:numPr>
        <w:kinsoku/>
        <w:wordWrap/>
        <w:overflowPunct/>
        <w:topLinePunct w:val="0"/>
        <w:autoSpaceDE/>
        <w:autoSpaceDN/>
        <w:bidi w:val="0"/>
        <w:adjustRightInd/>
        <w:spacing w:line="460" w:lineRule="exact"/>
        <w:ind w:leftChars="0" w:right="0" w:rightChars="0"/>
        <w:jc w:val="both"/>
        <w:textAlignment w:val="auto"/>
        <w:outlineLvl w:val="0"/>
        <w:rPr>
          <w:rFonts w:hint="eastAsia" w:ascii="仿宋" w:hAnsi="仿宋" w:eastAsia="仿宋" w:cs="仿宋"/>
          <w:b/>
          <w:bCs/>
          <w:color w:val="auto"/>
          <w:sz w:val="44"/>
          <w:szCs w:val="44"/>
          <w:lang w:eastAsia="zh-CN"/>
        </w:rPr>
      </w:pPr>
    </w:p>
    <w:p>
      <w:pPr>
        <w:pStyle w:val="2"/>
        <w:rPr>
          <w:rFonts w:hint="eastAsia" w:ascii="仿宋" w:hAnsi="仿宋" w:eastAsia="仿宋" w:cs="仿宋"/>
          <w:b/>
          <w:bCs/>
          <w:color w:val="auto"/>
          <w:sz w:val="44"/>
          <w:szCs w:val="44"/>
          <w:lang w:eastAsia="zh-CN"/>
        </w:rPr>
      </w:pPr>
    </w:p>
    <w:p>
      <w:pPr>
        <w:pStyle w:val="4"/>
        <w:numPr>
          <w:ilvl w:val="0"/>
          <w:numId w:val="0"/>
        </w:numPr>
        <w:tabs>
          <w:tab w:val="clear" w:pos="780"/>
        </w:tabs>
        <w:rPr>
          <w:rFonts w:hint="eastAsia"/>
          <w:lang w:eastAsia="zh-CN"/>
        </w:rPr>
      </w:pPr>
    </w:p>
    <w:p>
      <w:pPr>
        <w:rPr>
          <w:rFonts w:hint="eastAsia" w:ascii="仿宋" w:hAnsi="仿宋" w:eastAsia="仿宋" w:cs="仿宋"/>
          <w:b/>
          <w:bCs/>
          <w:color w:val="auto"/>
          <w:sz w:val="44"/>
          <w:szCs w:val="44"/>
          <w:lang w:eastAsia="zh-CN"/>
        </w:rPr>
      </w:pPr>
    </w:p>
    <w:p>
      <w:pPr>
        <w:pStyle w:val="2"/>
        <w:rPr>
          <w:rFonts w:hint="eastAsia"/>
          <w:lang w:eastAsia="zh-CN"/>
        </w:rPr>
      </w:pPr>
    </w:p>
    <w:p>
      <w:pPr>
        <w:pStyle w:val="3"/>
        <w:numPr>
          <w:ilvl w:val="0"/>
          <w:numId w:val="0"/>
        </w:numPr>
        <w:ind w:left="360" w:leftChars="0"/>
        <w:rPr>
          <w:rFonts w:hint="eastAsia"/>
          <w:lang w:eastAsia="zh-CN"/>
        </w:rPr>
      </w:pPr>
    </w:p>
    <w:p>
      <w:pPr>
        <w:pStyle w:val="2"/>
        <w:rPr>
          <w:rFonts w:hint="eastAsia"/>
          <w:lang w:eastAsia="zh-CN"/>
        </w:rPr>
      </w:pPr>
    </w:p>
    <w:p>
      <w:pPr>
        <w:numPr>
          <w:ilvl w:val="0"/>
          <w:numId w:val="4"/>
        </w:numPr>
        <w:jc w:val="center"/>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b/>
          <w:color w:val="000000" w:themeColor="text1"/>
          <w:sz w:val="32"/>
          <w:szCs w:val="32"/>
          <w:lang w:eastAsia="zh-CN"/>
          <w14:textFill>
            <w14:solidFill>
              <w14:schemeClr w14:val="tx1"/>
            </w14:solidFill>
          </w14:textFill>
        </w:rPr>
        <w:t>合  同</w:t>
      </w:r>
    </w:p>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（本合同为合同样稿，最终稿由供需双方协商后确定</w:t>
      </w:r>
      <w:r>
        <w:rPr>
          <w:rFonts w:hint="eastAsia" w:ascii="仿宋" w:hAnsi="仿宋" w:eastAsia="仿宋" w:cs="仿宋"/>
          <w:b/>
          <w:bCs/>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pacing w:line="46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cs="宋体"/>
          <w:sz w:val="24"/>
          <w:szCs w:val="24"/>
        </w:rPr>
      </w:pPr>
      <w:r>
        <w:rPr>
          <w:rFonts w:hint="eastAsia" w:ascii="宋体" w:hAnsi="宋体" w:eastAsia="宋体" w:cs="宋体"/>
          <w:sz w:val="24"/>
          <w:szCs w:val="24"/>
          <w:lang w:val="en-US" w:eastAsia="zh-CN"/>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合同编号：</w:t>
      </w:r>
    </w:p>
    <w:p>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需    方：</w:t>
      </w:r>
    </w:p>
    <w:p>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 应 方：</w:t>
      </w:r>
    </w:p>
    <w:p>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u w:val="single"/>
        </w:rPr>
      </w:pPr>
      <w:r>
        <w:rPr>
          <w:rFonts w:hint="eastAsia" w:ascii="仿宋" w:hAnsi="仿宋" w:eastAsia="仿宋" w:cs="仿宋"/>
          <w:b w:val="0"/>
          <w:bCs w:val="0"/>
          <w:color w:val="auto"/>
          <w:sz w:val="24"/>
          <w:szCs w:val="24"/>
        </w:rPr>
        <w:t xml:space="preserve">（代理公司名称）受有关单位委托，为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p>
    <w:p>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（下称需方）经</w:t>
      </w:r>
      <w:r>
        <w:rPr>
          <w:rFonts w:hint="eastAsia" w:ascii="仿宋" w:hAnsi="仿宋" w:eastAsia="仿宋" w:cs="仿宋"/>
          <w:b w:val="0"/>
          <w:bCs w:val="0"/>
          <w:color w:val="auto"/>
          <w:sz w:val="24"/>
          <w:szCs w:val="24"/>
          <w:lang w:eastAsia="zh-CN"/>
        </w:rPr>
        <w:t>竞争性谈判</w:t>
      </w:r>
      <w:r>
        <w:rPr>
          <w:rFonts w:hint="eastAsia" w:ascii="仿宋" w:hAnsi="仿宋" w:eastAsia="仿宋" w:cs="仿宋"/>
          <w:b w:val="0"/>
          <w:bCs w:val="0"/>
          <w:color w:val="auto"/>
          <w:sz w:val="24"/>
          <w:szCs w:val="24"/>
        </w:rPr>
        <w:t>结果确定</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为供应方。现经供需双方充分协商订立本合同。</w:t>
      </w:r>
    </w:p>
    <w:p>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一、名称、规格、数量及价款</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（名称、规格、数量及单价）                           </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合同总金额          元整（￥      元）。</w:t>
      </w:r>
    </w:p>
    <w:p>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二、质量要求及技术标准</w:t>
      </w:r>
    </w:p>
    <w:p>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490" w:firstLineChars="200"/>
        <w:jc w:val="both"/>
        <w:textAlignment w:val="auto"/>
        <w:rPr>
          <w:rFonts w:hint="eastAsia" w:ascii="仿宋" w:hAnsi="仿宋" w:eastAsia="仿宋" w:cs="仿宋"/>
          <w:b w:val="0"/>
          <w:bCs w:val="0"/>
          <w:spacing w:val="0"/>
          <w:w w:val="100"/>
          <w:kern w:val="2"/>
          <w:position w:val="0"/>
          <w:sz w:val="24"/>
          <w:szCs w:val="24"/>
          <w:shd w:val="clear"/>
          <w:lang w:val="en-US" w:eastAsia="zh-CN" w:bidi="ar-SA"/>
        </w:rPr>
      </w:pPr>
      <w:r>
        <w:rPr>
          <w:rFonts w:hint="eastAsia" w:ascii="仿宋" w:hAnsi="仿宋" w:eastAsia="仿宋" w:cs="仿宋"/>
          <w:b w:val="0"/>
          <w:bCs w:val="0"/>
          <w:color w:val="auto"/>
          <w:spacing w:val="0"/>
          <w:w w:val="100"/>
          <w:kern w:val="2"/>
          <w:position w:val="0"/>
          <w:sz w:val="24"/>
          <w:szCs w:val="24"/>
          <w:shd w:val="clear"/>
          <w:lang w:val="en-US" w:eastAsia="zh-CN" w:bidi="ar-SA"/>
        </w:rPr>
        <w:t>1</w:t>
      </w:r>
      <w:r>
        <w:rPr>
          <w:rFonts w:hint="eastAsia" w:ascii="仿宋" w:hAnsi="仿宋" w:eastAsia="仿宋" w:cs="仿宋"/>
          <w:b w:val="0"/>
          <w:bCs w:val="0"/>
          <w:spacing w:val="0"/>
          <w:w w:val="100"/>
          <w:kern w:val="2"/>
          <w:position w:val="0"/>
          <w:sz w:val="24"/>
          <w:szCs w:val="24"/>
          <w:shd w:val="clear"/>
          <w:lang w:val="en-US" w:eastAsia="zh-CN" w:bidi="ar-SA"/>
        </w:rPr>
        <w:t>、投标人应保证用品是全新、未使用过的合格正品,并完全符合国家规定的质量、规格和性能要求。</w:t>
      </w:r>
    </w:p>
    <w:p>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490" w:firstLineChars="200"/>
        <w:jc w:val="both"/>
        <w:textAlignment w:val="auto"/>
        <w:rPr>
          <w:rFonts w:hint="eastAsia" w:ascii="仿宋" w:hAnsi="仿宋" w:eastAsia="仿宋" w:cs="仿宋"/>
          <w:b w:val="0"/>
          <w:bCs w:val="0"/>
          <w:spacing w:val="0"/>
          <w:w w:val="100"/>
          <w:kern w:val="2"/>
          <w:position w:val="0"/>
          <w:sz w:val="24"/>
          <w:szCs w:val="24"/>
          <w:shd w:val="clear"/>
          <w:lang w:val="en-US" w:eastAsia="zh-CN" w:bidi="ar-SA"/>
        </w:rPr>
      </w:pPr>
      <w:r>
        <w:rPr>
          <w:rFonts w:hint="eastAsia" w:ascii="仿宋" w:hAnsi="仿宋" w:eastAsia="仿宋" w:cs="仿宋"/>
          <w:b w:val="0"/>
          <w:bCs w:val="0"/>
          <w:spacing w:val="0"/>
          <w:w w:val="100"/>
          <w:kern w:val="2"/>
          <w:position w:val="0"/>
          <w:sz w:val="24"/>
          <w:szCs w:val="24"/>
          <w:shd w:val="clear"/>
          <w:lang w:val="en-US" w:eastAsia="zh-CN" w:bidi="ar-SA"/>
        </w:rPr>
        <w:t>2、投标人提供伪劣假冒商品或非合格全新的，投标人应无条件更换为合格产品。给甲方造成损失的,应承担赔偿责任。</w:t>
      </w:r>
    </w:p>
    <w:p>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490" w:firstLineChars="200"/>
        <w:jc w:val="both"/>
        <w:textAlignment w:val="auto"/>
        <w:rPr>
          <w:rFonts w:hint="eastAsia" w:ascii="仿宋" w:hAnsi="仿宋" w:eastAsia="仿宋" w:cs="仿宋"/>
          <w:b w:val="0"/>
          <w:bCs w:val="0"/>
          <w:spacing w:val="0"/>
          <w:w w:val="100"/>
          <w:kern w:val="2"/>
          <w:position w:val="0"/>
          <w:sz w:val="24"/>
          <w:szCs w:val="24"/>
          <w:shd w:val="clear"/>
          <w:lang w:val="en-US" w:eastAsia="zh-CN" w:bidi="ar-SA"/>
        </w:rPr>
      </w:pPr>
      <w:r>
        <w:rPr>
          <w:rFonts w:hint="eastAsia" w:ascii="仿宋" w:hAnsi="仿宋" w:eastAsia="仿宋" w:cs="仿宋"/>
          <w:b w:val="0"/>
          <w:bCs w:val="0"/>
          <w:spacing w:val="0"/>
          <w:w w:val="100"/>
          <w:kern w:val="2"/>
          <w:position w:val="0"/>
          <w:sz w:val="24"/>
          <w:szCs w:val="24"/>
          <w:shd w:val="clear"/>
          <w:lang w:val="en-US" w:eastAsia="zh-CN" w:bidi="ar-SA"/>
        </w:rPr>
        <w:t>3、所供货物质量如达不到甲方质量要求的，必须按甲方要求更换，更换至甲方满意为止。</w:t>
      </w:r>
    </w:p>
    <w:p>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三、交货时间、地点</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货物供应方须在     年  月  日在    交货，并由使用方验收。</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四、</w:t>
      </w:r>
      <w:r>
        <w:rPr>
          <w:rFonts w:hint="eastAsia" w:ascii="仿宋" w:hAnsi="仿宋" w:eastAsia="仿宋" w:cs="仿宋"/>
          <w:b/>
          <w:bCs/>
          <w:color w:val="auto"/>
          <w:sz w:val="24"/>
          <w:szCs w:val="24"/>
          <w:lang w:val="en-US" w:eastAsia="zh-CN"/>
        </w:rPr>
        <w:t>质量技术及验收保证的承诺</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1、产品质量：在合同期内甲方正常使用乙方所供产品而出现质量问题时，乙方负责。产品使用：甲方在使用乙方所供产品中出现问题需乙方解决时，乙方应无偿解决（退换货）。</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2、验收</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①、货物到达现场后，供应商应在使用单位人员在场情况下当面共同清点、检查，作出检查记录，双方签字确认。</w:t>
      </w:r>
    </w:p>
    <w:p>
      <w:pPr>
        <w:spacing w:line="360" w:lineRule="auto"/>
        <w:ind w:firstLine="490" w:firstLineChars="200"/>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②</w:t>
      </w:r>
      <w:r>
        <w:rPr>
          <w:rFonts w:hint="eastAsia" w:ascii="仿宋" w:hAnsi="仿宋" w:eastAsia="仿宋" w:cs="仿宋"/>
          <w:color w:val="auto"/>
          <w:sz w:val="24"/>
          <w:szCs w:val="24"/>
          <w:lang w:val="en-US" w:eastAsia="zh-CN"/>
        </w:rPr>
        <w:t>、供应商提供的货物未达到谈判文件规定要求，且对采购人造成损失的，由供应商承担一切责任，并赔偿所造成的损失。</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五、付款方式</w:t>
      </w:r>
    </w:p>
    <w:p>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供货完成验收合格后一次性付款。</w:t>
      </w:r>
    </w:p>
    <w:p>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、违约责任</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2、如有质量问题时需方可以按照供应方</w:t>
      </w:r>
      <w:r>
        <w:rPr>
          <w:rFonts w:hint="eastAsia" w:ascii="仿宋" w:hAnsi="仿宋" w:eastAsia="仿宋" w:cs="仿宋"/>
          <w:b w:val="0"/>
          <w:bCs w:val="0"/>
          <w:color w:val="auto"/>
          <w:sz w:val="24"/>
          <w:szCs w:val="24"/>
          <w:lang w:eastAsia="zh-CN"/>
        </w:rPr>
        <w:t>响应文件</w:t>
      </w:r>
      <w:r>
        <w:rPr>
          <w:rFonts w:hint="eastAsia" w:ascii="仿宋" w:hAnsi="仿宋" w:eastAsia="仿宋" w:cs="仿宋"/>
          <w:b w:val="0"/>
          <w:bCs w:val="0"/>
          <w:color w:val="auto"/>
          <w:sz w:val="24"/>
          <w:szCs w:val="24"/>
        </w:rPr>
        <w:t>的服务承诺从质量保证金款项中扣除相关费用。</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3、其它违约，按《中华人民共和国合同法》的相关条款执行。</w:t>
      </w:r>
    </w:p>
    <w:p>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七</w:t>
      </w:r>
      <w:r>
        <w:rPr>
          <w:rFonts w:hint="eastAsia" w:ascii="仿宋" w:hAnsi="仿宋" w:eastAsia="仿宋" w:cs="仿宋"/>
          <w:b/>
          <w:bCs/>
          <w:color w:val="auto"/>
          <w:sz w:val="24"/>
          <w:szCs w:val="24"/>
        </w:rPr>
        <w:t>、解决合同纠纷的方式</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当出现纠纷时，双方协商解决；协商不成时可向当地仲裁机关申请仲裁。</w:t>
      </w:r>
    </w:p>
    <w:p>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八</w:t>
      </w:r>
      <w:r>
        <w:rPr>
          <w:rFonts w:hint="eastAsia" w:ascii="仿宋" w:hAnsi="仿宋" w:eastAsia="仿宋" w:cs="仿宋"/>
          <w:b/>
          <w:bCs/>
          <w:color w:val="auto"/>
          <w:sz w:val="24"/>
          <w:szCs w:val="24"/>
        </w:rPr>
        <w:t>、技术协议</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附技术协议（另定）</w:t>
      </w:r>
    </w:p>
    <w:p>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九</w:t>
      </w:r>
      <w:r>
        <w:rPr>
          <w:rFonts w:hint="eastAsia" w:ascii="仿宋" w:hAnsi="仿宋" w:eastAsia="仿宋" w:cs="仿宋"/>
          <w:b/>
          <w:bCs/>
          <w:color w:val="auto"/>
          <w:sz w:val="24"/>
          <w:szCs w:val="24"/>
        </w:rPr>
        <w:t>、其它约定事项</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1、本合同壹式叁份，经双方法定代表人或授权代理人</w:t>
      </w:r>
      <w:r>
        <w:rPr>
          <w:rFonts w:hint="eastAsia" w:ascii="仿宋" w:hAnsi="仿宋" w:eastAsia="仿宋" w:cs="仿宋"/>
          <w:b w:val="0"/>
          <w:bCs w:val="0"/>
          <w:color w:val="auto"/>
          <w:sz w:val="24"/>
          <w:szCs w:val="24"/>
          <w:lang w:eastAsia="zh-CN"/>
        </w:rPr>
        <w:t>签字或盖章</w:t>
      </w:r>
      <w:r>
        <w:rPr>
          <w:rFonts w:hint="eastAsia" w:ascii="仿宋" w:hAnsi="仿宋" w:eastAsia="仿宋" w:cs="仿宋"/>
          <w:b w:val="0"/>
          <w:bCs w:val="0"/>
          <w:color w:val="auto"/>
          <w:sz w:val="24"/>
          <w:szCs w:val="24"/>
        </w:rPr>
        <w:t>，州政府采购中心鉴证后生效。</w:t>
      </w:r>
    </w:p>
    <w:p>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2、本合同一式三份，供应方执一份，需方执</w:t>
      </w:r>
      <w:r>
        <w:rPr>
          <w:rFonts w:hint="eastAsia" w:ascii="仿宋" w:hAnsi="仿宋" w:eastAsia="仿宋" w:cs="仿宋"/>
          <w:b w:val="0"/>
          <w:bCs w:val="0"/>
          <w:color w:val="auto"/>
          <w:sz w:val="24"/>
          <w:szCs w:val="24"/>
          <w:lang w:eastAsia="zh-CN"/>
        </w:rPr>
        <w:t>二</w:t>
      </w:r>
      <w:r>
        <w:rPr>
          <w:rFonts w:hint="eastAsia" w:ascii="仿宋" w:hAnsi="仿宋" w:eastAsia="仿宋" w:cs="仿宋"/>
          <w:b w:val="0"/>
          <w:bCs w:val="0"/>
          <w:color w:val="auto"/>
          <w:sz w:val="24"/>
          <w:szCs w:val="24"/>
        </w:rPr>
        <w:t>份，</w:t>
      </w:r>
    </w:p>
    <w:p>
      <w:pPr>
        <w:shd w:val="clear" w:color="auto" w:fill="auto"/>
        <w:spacing w:line="360" w:lineRule="auto"/>
        <w:ind w:firstLine="490" w:firstLineChars="200"/>
        <w:jc w:val="left"/>
        <w:rPr>
          <w:rFonts w:hint="eastAsia"/>
          <w:sz w:val="24"/>
          <w:szCs w:val="24"/>
        </w:rPr>
      </w:pPr>
      <w:r>
        <w:rPr>
          <w:rFonts w:hint="eastAsia" w:ascii="仿宋" w:hAnsi="仿宋" w:eastAsia="仿宋" w:cs="仿宋"/>
          <w:b w:val="0"/>
          <w:bCs w:val="0"/>
          <w:color w:val="auto"/>
          <w:sz w:val="24"/>
          <w:szCs w:val="24"/>
        </w:rPr>
        <w:t>3、相关</w:t>
      </w:r>
      <w:r>
        <w:rPr>
          <w:rFonts w:hint="eastAsia" w:ascii="仿宋" w:hAnsi="仿宋" w:eastAsia="仿宋" w:cs="仿宋"/>
          <w:b w:val="0"/>
          <w:bCs w:val="0"/>
          <w:color w:val="auto"/>
          <w:sz w:val="24"/>
          <w:szCs w:val="24"/>
          <w:lang w:eastAsia="zh-CN"/>
        </w:rPr>
        <w:t>谈判文件</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响应文件</w:t>
      </w:r>
      <w:r>
        <w:rPr>
          <w:rFonts w:hint="eastAsia" w:ascii="仿宋" w:hAnsi="仿宋" w:eastAsia="仿宋" w:cs="仿宋"/>
          <w:b w:val="0"/>
          <w:bCs w:val="0"/>
          <w:color w:val="auto"/>
          <w:sz w:val="24"/>
          <w:szCs w:val="24"/>
        </w:rPr>
        <w:t>与本合同具有同等法律效力。</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  应  方：                               需     方：</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                               法定代表人：</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单位 地址：                                 单位 地址：</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联系 电话：                                 联系 电话：</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开户 银行：                                 开户 银行：</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账     号：                                 账     号：</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签约时间：                                   签约地点：</w:t>
      </w:r>
    </w:p>
    <w:p>
      <w:pPr>
        <w:pStyle w:val="20"/>
        <w:jc w:val="center"/>
        <w:rPr>
          <w:rFonts w:hint="eastAsia" w:ascii="仿宋" w:hAnsi="仿宋" w:eastAsia="仿宋" w:cs="仿宋"/>
          <w:b w:val="0"/>
          <w:bCs w:val="0"/>
          <w:color w:val="auto"/>
          <w:sz w:val="21"/>
          <w:szCs w:val="21"/>
        </w:rPr>
      </w:pPr>
    </w:p>
    <w:p>
      <w:pPr>
        <w:pStyle w:val="23"/>
        <w:keepNext/>
        <w:keepLines/>
        <w:spacing w:before="0" w:after="1160"/>
        <w:jc w:val="center"/>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五</w:t>
      </w:r>
      <w:r>
        <w:rPr>
          <w:rFonts w:hint="eastAsia" w:ascii="仿宋" w:hAnsi="仿宋" w:eastAsia="仿宋" w:cs="仿宋"/>
          <w:b/>
          <w:bCs/>
          <w:color w:val="auto"/>
        </w:rPr>
        <w:t>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响应文件</w:t>
      </w:r>
      <w:r>
        <w:rPr>
          <w:rFonts w:hint="eastAsia" w:ascii="仿宋" w:hAnsi="仿宋" w:eastAsia="仿宋" w:cs="仿宋"/>
          <w:b/>
          <w:bCs/>
          <w:color w:val="auto"/>
        </w:rPr>
        <w:t>格式</w:t>
      </w:r>
    </w:p>
    <w:p>
      <w:pPr>
        <w:adjustRightInd w:val="0"/>
        <w:snapToGrid w:val="0"/>
        <w:spacing w:line="360" w:lineRule="auto"/>
        <w:ind w:left="602" w:right="70" w:hanging="602"/>
        <w:jc w:val="right"/>
        <w:rPr>
          <w:rFonts w:ascii="仿宋" w:hAnsi="仿宋" w:eastAsia="仿宋" w:cs="仿宋"/>
          <w:b/>
          <w:bCs/>
          <w:color w:val="auto"/>
          <w:sz w:val="28"/>
          <w:szCs w:val="28"/>
          <w:bdr w:val="single" w:color="auto" w:sz="4" w:space="0"/>
        </w:rPr>
      </w:pPr>
      <w:bookmarkStart w:id="47" w:name="bookmark196"/>
      <w:r>
        <w:rPr>
          <w:rFonts w:hint="eastAsia" w:ascii="仿宋" w:hAnsi="仿宋" w:eastAsia="仿宋" w:cs="仿宋"/>
          <w:b/>
          <w:bCs/>
          <w:color w:val="auto"/>
          <w:sz w:val="28"/>
          <w:szCs w:val="28"/>
          <w:bdr w:val="single" w:color="auto" w:sz="4" w:space="0"/>
        </w:rPr>
        <w:t>正/副 本</w:t>
      </w:r>
    </w:p>
    <w:p>
      <w:pPr>
        <w:adjustRightInd w:val="0"/>
        <w:snapToGrid w:val="0"/>
        <w:spacing w:line="360" w:lineRule="auto"/>
        <w:jc w:val="center"/>
        <w:rPr>
          <w:rFonts w:ascii="仿宋" w:hAnsi="仿宋" w:eastAsia="仿宋" w:cs="仿宋"/>
          <w:b/>
          <w:caps/>
          <w:color w:val="auto"/>
        </w:rPr>
      </w:pPr>
    </w:p>
    <w:p>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caps/>
          <w:color w:val="auto"/>
          <w:sz w:val="32"/>
          <w:szCs w:val="32"/>
        </w:rPr>
        <w:t>（项目名称）</w:t>
      </w:r>
    </w:p>
    <w:p>
      <w:pPr>
        <w:adjustRightInd w:val="0"/>
        <w:snapToGrid w:val="0"/>
        <w:spacing w:line="360" w:lineRule="auto"/>
        <w:jc w:val="both"/>
        <w:rPr>
          <w:rFonts w:ascii="仿宋" w:hAnsi="仿宋" w:eastAsia="仿宋" w:cs="仿宋"/>
          <w:bCs/>
          <w:color w:val="auto"/>
          <w:sz w:val="32"/>
          <w:szCs w:val="32"/>
        </w:rPr>
      </w:pPr>
    </w:p>
    <w:p>
      <w:pPr>
        <w:adjustRightInd w:val="0"/>
        <w:snapToGrid w:val="0"/>
        <w:spacing w:line="360" w:lineRule="auto"/>
        <w:jc w:val="center"/>
        <w:rPr>
          <w:rFonts w:ascii="仿宋" w:hAnsi="仿宋" w:eastAsia="仿宋" w:cs="仿宋"/>
          <w:bCs/>
          <w:color w:val="auto"/>
          <w:sz w:val="32"/>
          <w:szCs w:val="32"/>
        </w:rPr>
      </w:pPr>
    </w:p>
    <w:p>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bCs/>
          <w:color w:val="auto"/>
          <w:sz w:val="44"/>
          <w:szCs w:val="44"/>
        </w:rPr>
        <w:t>响应文件</w:t>
      </w:r>
    </w:p>
    <w:p>
      <w:pPr>
        <w:adjustRightInd w:val="0"/>
        <w:snapToGrid w:val="0"/>
        <w:spacing w:line="360" w:lineRule="auto"/>
        <w:jc w:val="center"/>
        <w:rPr>
          <w:rFonts w:ascii="仿宋" w:hAnsi="仿宋" w:eastAsia="仿宋" w:cs="仿宋"/>
          <w:bCs/>
          <w:color w:val="auto"/>
          <w:sz w:val="32"/>
          <w:szCs w:val="32"/>
        </w:rPr>
      </w:pPr>
    </w:p>
    <w:p>
      <w:pPr>
        <w:adjustRightInd w:val="0"/>
        <w:snapToGrid w:val="0"/>
        <w:spacing w:line="360" w:lineRule="auto"/>
        <w:jc w:val="both"/>
        <w:rPr>
          <w:rFonts w:ascii="仿宋" w:hAnsi="仿宋" w:eastAsia="仿宋" w:cs="仿宋"/>
          <w:bCs/>
          <w:color w:val="auto"/>
          <w:sz w:val="32"/>
          <w:szCs w:val="32"/>
        </w:rPr>
      </w:pPr>
    </w:p>
    <w:p>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202655923"/>
        </w:rPr>
        <w:t>供应商名称（公章）：</w:t>
      </w:r>
    </w:p>
    <w:p>
      <w:pPr>
        <w:adjustRightInd w:val="0"/>
        <w:snapToGrid w:val="0"/>
        <w:spacing w:line="360" w:lineRule="auto"/>
        <w:ind w:right="-156" w:rightChars="-64"/>
        <w:rPr>
          <w:rFonts w:ascii="仿宋" w:hAnsi="仿宋" w:eastAsia="仿宋" w:cs="仿宋"/>
          <w:b/>
          <w:caps/>
          <w:color w:val="auto"/>
          <w:sz w:val="28"/>
          <w:szCs w:val="28"/>
        </w:rPr>
      </w:pPr>
    </w:p>
    <w:p>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签章</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pPr>
        <w:adjustRightInd w:val="0"/>
        <w:snapToGrid w:val="0"/>
        <w:spacing w:line="360" w:lineRule="auto"/>
        <w:ind w:right="-156" w:rightChars="-64"/>
        <w:rPr>
          <w:rFonts w:ascii="仿宋" w:hAnsi="仿宋" w:eastAsia="仿宋" w:cs="仿宋"/>
          <w:b/>
          <w:caps/>
          <w:color w:val="auto"/>
          <w:sz w:val="28"/>
          <w:szCs w:val="28"/>
        </w:rPr>
      </w:pPr>
    </w:p>
    <w:p>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2"/>
        </w:rPr>
        <w:t>供应商地址</w:t>
      </w:r>
      <w:r>
        <w:rPr>
          <w:rFonts w:hint="eastAsia" w:ascii="仿宋" w:hAnsi="仿宋" w:eastAsia="仿宋" w:cs="仿宋"/>
          <w:b/>
          <w:caps/>
          <w:color w:val="auto"/>
          <w:spacing w:val="0"/>
          <w:kern w:val="0"/>
          <w:sz w:val="28"/>
          <w:szCs w:val="28"/>
          <w:fitText w:val="2810" w:id="2"/>
        </w:rPr>
        <w:t>：</w:t>
      </w:r>
    </w:p>
    <w:p>
      <w:pPr>
        <w:adjustRightInd w:val="0"/>
        <w:snapToGrid w:val="0"/>
        <w:spacing w:line="360" w:lineRule="auto"/>
        <w:ind w:right="-156" w:rightChars="-64"/>
        <w:rPr>
          <w:rFonts w:ascii="仿宋" w:hAnsi="仿宋" w:eastAsia="仿宋" w:cs="仿宋"/>
          <w:b/>
          <w:caps/>
          <w:color w:val="auto"/>
          <w:sz w:val="28"/>
          <w:szCs w:val="28"/>
        </w:rPr>
      </w:pPr>
    </w:p>
    <w:p>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pPr>
        <w:adjustRightInd w:val="0"/>
        <w:snapToGrid w:val="0"/>
        <w:spacing w:line="360" w:lineRule="auto"/>
        <w:ind w:right="-156" w:rightChars="-64"/>
        <w:rPr>
          <w:rFonts w:ascii="仿宋" w:hAnsi="仿宋" w:eastAsia="仿宋" w:cs="仿宋"/>
          <w:b/>
          <w:caps/>
          <w:color w:val="auto"/>
          <w:sz w:val="28"/>
          <w:szCs w:val="28"/>
        </w:rPr>
      </w:pPr>
    </w:p>
    <w:p>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pPr>
        <w:adjustRightInd w:val="0"/>
        <w:snapToGrid w:val="0"/>
        <w:spacing w:line="360" w:lineRule="auto"/>
        <w:jc w:val="center"/>
        <w:rPr>
          <w:rFonts w:ascii="仿宋" w:hAnsi="仿宋" w:eastAsia="仿宋" w:cs="仿宋"/>
          <w:b/>
          <w:caps/>
          <w:color w:val="auto"/>
          <w:sz w:val="28"/>
          <w:szCs w:val="28"/>
        </w:rPr>
      </w:pPr>
    </w:p>
    <w:p>
      <w:pPr>
        <w:adjustRightInd w:val="0"/>
        <w:snapToGrid w:val="0"/>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p>
      <w:pPr>
        <w:pStyle w:val="25"/>
        <w:spacing w:after="340" w:line="240" w:lineRule="auto"/>
        <w:ind w:firstLine="0"/>
        <w:jc w:val="both"/>
        <w:rPr>
          <w:rFonts w:hint="eastAsia" w:ascii="仿宋" w:hAnsi="仿宋" w:eastAsia="仿宋" w:cs="仿宋"/>
          <w:b/>
          <w:color w:val="auto"/>
          <w:sz w:val="28"/>
          <w:szCs w:val="28"/>
        </w:rPr>
      </w:pPr>
    </w:p>
    <w:p>
      <w:pPr>
        <w:pStyle w:val="25"/>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资格证明文件</w:t>
      </w:r>
    </w:p>
    <w:bookmarkEnd w:id="47"/>
    <w:p>
      <w:pPr>
        <w:keepNext w:val="0"/>
        <w:keepLines w:val="0"/>
        <w:pageBreakBefore w:val="0"/>
        <w:widowControl w:val="0"/>
        <w:numPr>
          <w:ilvl w:val="0"/>
          <w:numId w:val="5"/>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具备三证合一营业执照副本</w:t>
      </w:r>
    </w:p>
    <w:p>
      <w:pPr>
        <w:keepNext w:val="0"/>
        <w:keepLines w:val="0"/>
        <w:pageBreakBefore w:val="0"/>
        <w:widowControl w:val="0"/>
        <w:numPr>
          <w:ilvl w:val="0"/>
          <w:numId w:val="0"/>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2、法定代表人资格证明书</w:t>
      </w:r>
    </w:p>
    <w:p>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3、法定代表人授权书</w:t>
      </w:r>
    </w:p>
    <w:p>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4、</w:t>
      </w:r>
      <w:r>
        <w:rPr>
          <w:rFonts w:hint="eastAsia" w:ascii="仿宋" w:hAnsi="仿宋" w:eastAsia="仿宋" w:cs="仿宋"/>
          <w:b/>
          <w:color w:val="auto"/>
          <w:lang w:val="en-US" w:eastAsia="zh-CN"/>
        </w:rPr>
        <w:t>投标保证金缴纳凭证或投标担保函</w:t>
      </w:r>
      <w:r>
        <w:rPr>
          <w:rFonts w:hint="eastAsia" w:ascii="仿宋" w:hAnsi="仿宋" w:eastAsia="仿宋" w:cs="仿宋"/>
          <w:b/>
          <w:color w:val="auto"/>
          <w:lang w:eastAsia="zh-CN"/>
        </w:rPr>
        <w:t>；</w:t>
      </w:r>
    </w:p>
    <w:p>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5、投标企业须提供投标人（被授权本单位在职人员）近期有效的社保证明;</w:t>
      </w:r>
    </w:p>
    <w:p>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6</w:t>
      </w:r>
      <w:r>
        <w:rPr>
          <w:rFonts w:hint="eastAsia" w:ascii="仿宋" w:hAnsi="仿宋" w:eastAsia="仿宋" w:cs="仿宋"/>
          <w:b/>
          <w:color w:val="auto"/>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7</w:t>
      </w:r>
      <w:r>
        <w:rPr>
          <w:rFonts w:hint="eastAsia" w:ascii="仿宋" w:hAnsi="仿宋" w:eastAsia="仿宋" w:cs="仿宋"/>
          <w:b/>
          <w:color w:val="auto"/>
          <w:lang w:eastAsia="zh-CN"/>
        </w:rPr>
        <w:t xml:space="preserve">、投标人须知资料表要求的其他资格证明文件; </w:t>
      </w:r>
    </w:p>
    <w:p>
      <w:pPr>
        <w:pStyle w:val="3"/>
        <w:keepNext w:val="0"/>
        <w:keepLines w:val="0"/>
        <w:pageBreakBefore w:val="0"/>
        <w:widowControl w:val="0"/>
        <w:numPr>
          <w:ilvl w:val="0"/>
          <w:numId w:val="0"/>
        </w:numPr>
        <w:tabs>
          <w:tab w:val="clear" w:pos="780"/>
        </w:tabs>
        <w:kinsoku w:val="0"/>
        <w:wordWrap/>
        <w:overflowPunct w:val="0"/>
        <w:topLinePunct w:val="0"/>
        <w:autoSpaceDE/>
        <w:autoSpaceDN/>
        <w:bidi w:val="0"/>
        <w:adjustRightInd/>
        <w:spacing w:before="130" w:line="480" w:lineRule="auto"/>
        <w:ind w:left="480" w:right="7"/>
        <w:jc w:val="both"/>
        <w:textAlignment w:val="auto"/>
        <w:rPr>
          <w:rFonts w:hint="eastAsia" w:ascii="仿宋" w:hAnsi="仿宋" w:eastAsia="仿宋" w:cs="仿宋"/>
          <w:b/>
          <w:bCs/>
          <w:color w:val="auto"/>
          <w:sz w:val="36"/>
          <w:szCs w:val="36"/>
        </w:rPr>
      </w:pPr>
    </w:p>
    <w:p>
      <w:pPr>
        <w:pStyle w:val="4"/>
        <w:numPr>
          <w:ilvl w:val="0"/>
          <w:numId w:val="0"/>
        </w:numPr>
        <w:tabs>
          <w:tab w:val="clear" w:pos="780"/>
        </w:tabs>
        <w:ind w:leftChars="100"/>
        <w:rPr>
          <w:rFonts w:hint="eastAsia"/>
        </w:rPr>
      </w:pPr>
    </w:p>
    <w:p>
      <w:pPr>
        <w:rPr>
          <w:rFonts w:hint="eastAsia"/>
        </w:rPr>
      </w:pPr>
    </w:p>
    <w:p>
      <w:pPr>
        <w:pStyle w:val="2"/>
        <w:rPr>
          <w:rFonts w:hint="eastAsia"/>
        </w:rPr>
      </w:pPr>
    </w:p>
    <w:p>
      <w:pPr>
        <w:rPr>
          <w:rFonts w:hint="eastAsia" w:ascii="仿宋" w:hAnsi="仿宋" w:eastAsia="仿宋" w:cs="仿宋"/>
          <w:b/>
          <w:bCs/>
          <w:color w:val="auto"/>
          <w:sz w:val="36"/>
          <w:szCs w:val="36"/>
        </w:rPr>
      </w:pPr>
    </w:p>
    <w:p>
      <w:pPr>
        <w:pStyle w:val="2"/>
        <w:rPr>
          <w:rFonts w:hint="eastAsia"/>
        </w:rPr>
      </w:pPr>
    </w:p>
    <w:p>
      <w:pPr>
        <w:pStyle w:val="3"/>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pPr>
        <w:pStyle w:val="3"/>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pPr>
        <w:pStyle w:val="3"/>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1、 具备三证合一营业执照副本；</w:t>
      </w: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pPr>
        <w:pStyle w:val="3"/>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法定代表人身份证明</w:t>
      </w:r>
    </w:p>
    <w:p>
      <w:pPr>
        <w:pStyle w:val="7"/>
        <w:rPr>
          <w:rFonts w:hint="eastAsia"/>
        </w:rPr>
      </w:pP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p>
    <w:p>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pPr>
        <w:spacing w:line="420" w:lineRule="exact"/>
        <w:ind w:firstLine="980"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pPr>
        <w:pStyle w:val="3"/>
        <w:numPr>
          <w:ilvl w:val="0"/>
          <w:numId w:val="0"/>
        </w:numPr>
        <w:kinsoku w:val="0"/>
        <w:overflowPunct w:val="0"/>
        <w:ind w:leftChars="0" w:right="0" w:rightChars="0"/>
        <w:rPr>
          <w:rFonts w:hint="eastAsia" w:ascii="仿宋" w:hAnsi="仿宋" w:eastAsia="仿宋" w:cs="仿宋"/>
          <w:color w:val="auto"/>
          <w:sz w:val="20"/>
          <w:szCs w:val="20"/>
        </w:rPr>
      </w:pPr>
    </w:p>
    <w:p>
      <w:pPr>
        <w:pStyle w:val="3"/>
        <w:numPr>
          <w:ilvl w:val="0"/>
          <w:numId w:val="0"/>
        </w:numPr>
        <w:kinsoku w:val="0"/>
        <w:overflowPunct w:val="0"/>
        <w:spacing w:before="7"/>
        <w:ind w:leftChars="0" w:right="0" w:rightChars="0"/>
        <w:rPr>
          <w:rFonts w:hint="eastAsia" w:ascii="仿宋" w:hAnsi="仿宋" w:eastAsia="仿宋" w:cs="仿宋"/>
          <w:color w:val="auto"/>
          <w:sz w:val="25"/>
          <w:szCs w:val="25"/>
        </w:rPr>
      </w:pPr>
    </w:p>
    <w:p>
      <w:pPr>
        <w:pStyle w:val="3"/>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114300" distR="114300">
                <wp:extent cx="5136515" cy="1458595"/>
                <wp:effectExtent l="635" t="635" r="6350" b="7620"/>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14" name="任意多边形 14"/>
                        <wps:cNvSpPr/>
                        <wps:spPr>
                          <a:xfrm>
                            <a:off x="4" y="9"/>
                            <a:ext cx="8079" cy="20"/>
                          </a:xfrm>
                          <a:custGeom>
                            <a:avLst/>
                            <a:gdLst/>
                            <a:ahLst/>
                            <a:cxnLst/>
                            <a:pathLst>
                              <a:path w="8079" h="20">
                                <a:moveTo>
                                  <a:pt x="0" y="0"/>
                                </a:moveTo>
                                <a:lnTo>
                                  <a:pt x="8078" y="0"/>
                                </a:lnTo>
                              </a:path>
                            </a:pathLst>
                          </a:custGeom>
                          <a:solidFill>
                            <a:srgbClr val="CCE8CF"/>
                          </a:solidFill>
                          <a:ln w="25400" cap="flat" cmpd="sng" algn="ctr">
                            <a:noFill/>
                            <a:prstDash val="solid"/>
                            <a:headEnd type="none" w="med" len="med"/>
                            <a:tailEnd type="none" w="med" len="med"/>
                          </a:ln>
                          <a:effectLst/>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solidFill>
                            <a:srgbClr val="CCE8CF"/>
                          </a:solidFill>
                          <a:ln w="25400" cap="flat" cmpd="sng" algn="ctr">
                            <a:noFill/>
                            <a:prstDash val="solid"/>
                            <a:headEnd type="none" w="med" len="med"/>
                            <a:tailEnd type="none" w="med" len="med"/>
                          </a:ln>
                          <a:effectLst/>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solidFill>
                            <a:srgbClr val="CCE8CF"/>
                          </a:solidFill>
                          <a:ln w="25400" cap="flat" cmpd="sng" algn="ctr">
                            <a:noFill/>
                            <a:prstDash val="solid"/>
                            <a:headEnd type="none" w="med" len="med"/>
                            <a:tailEnd type="none" w="med" len="med"/>
                          </a:ln>
                          <a:effectLst/>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solidFill>
                            <a:srgbClr val="CCE8CF"/>
                          </a:solidFill>
                          <a:ln w="25400" cap="flat" cmpd="sng" algn="ctr">
                            <a:noFill/>
                            <a:prstDash val="solid"/>
                            <a:headEnd type="none" w="med" len="med"/>
                            <a:tailEnd type="none" w="med" len="med"/>
                          </a:ln>
                          <a:effectLst/>
                        </wps:spPr>
                        <wps:bodyPr upright="1"/>
                      </wps:wsp>
                      <wps:wsp>
                        <wps:cNvPr id="19" name="任意多边形 19"/>
                        <wps:cNvSpPr/>
                        <wps:spPr>
                          <a:xfrm>
                            <a:off x="9" y="4"/>
                            <a:ext cx="20" cy="2287"/>
                          </a:xfrm>
                          <a:custGeom>
                            <a:avLst/>
                            <a:gdLst/>
                            <a:ahLst/>
                            <a:cxnLst/>
                            <a:pathLst>
                              <a:path w="20" h="2287">
                                <a:moveTo>
                                  <a:pt x="0" y="0"/>
                                </a:moveTo>
                                <a:lnTo>
                                  <a:pt x="0" y="2286"/>
                                </a:lnTo>
                              </a:path>
                            </a:pathLst>
                          </a:custGeom>
                          <a:solidFill>
                            <a:srgbClr val="CCE8CF"/>
                          </a:solidFill>
                          <a:ln w="25400" cap="flat" cmpd="sng" algn="ctr">
                            <a:noFill/>
                            <a:prstDash val="solid"/>
                            <a:headEnd type="none" w="med" len="med"/>
                            <a:tailEnd type="none" w="med" len="med"/>
                          </a:ln>
                          <a:effectLst/>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solidFill>
                            <a:srgbClr val="CCE8CF"/>
                          </a:solidFill>
                          <a:ln w="25400" cap="flat" cmpd="sng" algn="ctr">
                            <a:noFill/>
                            <a:prstDash val="solid"/>
                            <a:headEnd type="none" w="med" len="med"/>
                            <a:tailEnd type="none" w="med" len="med"/>
                          </a:ln>
                          <a:effectLst/>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solidFill>
                            <a:srgbClr val="CCE8CF"/>
                          </a:solidFill>
                          <a:ln w="25400" cap="flat" cmpd="sng" algn="ctr">
                            <a:noFill/>
                            <a:prstDash val="solid"/>
                            <a:headEnd type="none" w="med" len="med"/>
                            <a:tailEnd type="none" w="med" len="med"/>
                          </a:ln>
                          <a:effectLst/>
                        </wps:spPr>
                        <wps:bodyPr upright="1"/>
                      </wps:wsp>
                      <wps:wsp>
                        <wps:cNvPr id="27" name="文本框 27"/>
                        <wps:cNvSpPr txBox="1"/>
                        <wps:spPr>
                          <a:xfrm>
                            <a:off x="19" y="19"/>
                            <a:ext cx="4025" cy="2258"/>
                          </a:xfrm>
                          <a:prstGeom prst="rect">
                            <a:avLst/>
                          </a:prstGeom>
                          <a:noFill/>
                          <a:ln w="25400" cap="flat" cmpd="sng" algn="ctr">
                            <a:solidFill>
                              <a:srgbClr val="000000"/>
                            </a:solidFill>
                            <a:prstDash val="solid"/>
                          </a:ln>
                          <a:effectLst/>
                        </wps:spPr>
                        <wps:txbx>
                          <w:txbxContent>
                            <w:p>
                              <w:pPr>
                                <w:pStyle w:val="3"/>
                                <w:numPr>
                                  <w:ilvl w:val="0"/>
                                  <w:numId w:val="0"/>
                                </w:numPr>
                                <w:kinsoku w:val="0"/>
                                <w:overflowPunct w:val="0"/>
                                <w:spacing w:before="13"/>
                                <w:ind w:leftChars="0" w:right="0" w:rightChars="0"/>
                                <w:rPr>
                                  <w:rFonts w:hint="eastAsia"/>
                                  <w:sz w:val="28"/>
                                  <w:szCs w:val="28"/>
                                </w:rPr>
                              </w:pPr>
                            </w:p>
                            <w:p>
                              <w:pPr>
                                <w:pStyle w:val="3"/>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w="25400" cap="flat" cmpd="sng" algn="ctr">
                            <a:solidFill>
                              <a:srgbClr val="000000"/>
                            </a:solidFill>
                            <a:prstDash val="solid"/>
                          </a:ln>
                          <a:effectLst/>
                        </wps:spPr>
                        <wps:txbx>
                          <w:txbxContent>
                            <w:p>
                              <w:pPr>
                                <w:pStyle w:val="3"/>
                                <w:numPr>
                                  <w:ilvl w:val="0"/>
                                  <w:numId w:val="0"/>
                                </w:numPr>
                                <w:kinsoku w:val="0"/>
                                <w:overflowPunct w:val="0"/>
                                <w:spacing w:before="13"/>
                                <w:ind w:leftChars="0" w:right="0" w:rightChars="0"/>
                                <w:rPr>
                                  <w:rFonts w:hint="eastAsia"/>
                                  <w:sz w:val="28"/>
                                  <w:szCs w:val="28"/>
                                </w:rPr>
                              </w:pPr>
                            </w:p>
                            <w:p>
                              <w:pPr>
                                <w:pStyle w:val="3"/>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CX+X3P1gAAAAUBAAAPAAAAAAAAAAEAIAAAACIAAABkcnMvZG93bnJldi54bWxQ&#10;SwECFAAUAAAACACHTuJA3kKlIt4EAAAtIwAADgAAAAAAAAABACAAAAAlAQAAZHJzL2Uyb0RvYy54&#10;bWxQSwUGAAAAAAYABgBZAQAAdQgAAAAA&#10;">
                <o:lock v:ext="edit" rotation="t" aspectratio="f"/>
                <v:shape id="_x0000_s1026" o:spid="_x0000_s1026" o:spt="100" style="position:absolute;left:4;top:9;height:20;width:8079;" fillcolor="#CCE8CF" filled="t" stroked="f" coordsize="8079,20" o:gfxdata="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pfVh7sAAADb&#10;AAAADwAAAAAAAAABACAAAAAiAAAAZHJzL2Rvd25yZXYueG1sUEsBAhQAFAAAAAgAh07iQDMvBZ47&#10;AAAAOQAAABAAAAAAAAAAAQAgAAAACgEAAGRycy9zaGFwZXhtbC54bWxQSwUGAAAAAAYABgBbAQAA&#10;tAMAAAAA&#10;" path="m0,0l8078,0e">
                  <v:fill on="t" focussize="0,0"/>
                  <v:stroke on="f" weight="2pt"/>
                  <v:imagedata o:title=""/>
                  <o:lock v:ext="edit" aspectratio="f"/>
                </v:shape>
                <v:shape id="_x0000_s1026" o:spid="_x0000_s1026" o:spt="100" style="position:absolute;left:24;top:28;height:20;width:8041;" fillcolor="#CCE8CF" filled="t" stroked="f" coordsize="8041,20" o:gfxdata="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3QH+/&#10;AAAA2wAAAA8AAAAAAAAAAQAgAAAAIgAAAGRycy9kb3ducmV2LnhtbFBLAQIUABQAAAAIAIdO4kAz&#10;LwWeOwAAADkAAAAQAAAAAAAAAAEAIAAAAA4BAABkcnMvc2hhcGV4bWwueG1sUEsFBgAAAAAGAAYA&#10;WwEAALgDAAAAAA==&#10;" path="m0,0l8040,0e">
                  <v:fill on="t" focussize="0,0"/>
                  <v:stroke on="f" weight="2pt"/>
                  <v:imagedata o:title=""/>
                  <o:lock v:ext="edit" aspectratio="f"/>
                </v:shape>
                <v:shape id="_x0000_s1026" o:spid="_x0000_s1026" o:spt="100" style="position:absolute;left:24;top:2267;height:20;width:8041;" fillcolor="#CCE8CF" filled="t" stroked="f" coordsize="8041,20" o:gfxdata="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XeCL4A&#10;AADbAAAADwAAAAAAAAABACAAAAAiAAAAZHJzL2Rvd25yZXYueG1sUEsBAhQAFAAAAAgAh07iQDMv&#10;BZ47AAAAOQAAABAAAAAAAAAAAQAgAAAADQEAAGRycy9zaGFwZXhtbC54bWxQSwUGAAAAAAYABgBb&#10;AQAAtwMAAAAA&#10;" path="m0,0l8040,0e">
                  <v:fill on="t" focussize="0,0"/>
                  <v:stroke on="f" weight="2pt"/>
                  <v:imagedata o:title=""/>
                  <o:lock v:ext="edit" aspectratio="f"/>
                </v:shape>
                <v:shape id="_x0000_s1026" o:spid="_x0000_s1026" o:spt="100" style="position:absolute;left:4;top:2286;height:20;width:8079;" fillcolor="#CCE8CF" filled="t" stroked="f" coordsize="8079,20" o:gfxdata="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FS/C8AAAA&#10;2wAAAA8AAAAAAAAAAQAgAAAAIgAAAGRycy9kb3ducmV2LnhtbFBLAQIUABQAAAAIAIdO4kAzLwWe&#10;OwAAADkAAAAQAAAAAAAAAAEAIAAAAAsBAABkcnMvc2hhcGV4bWwueG1sUEsFBgAAAAAGAAYAWwEA&#10;ALUDAAAAAA==&#10;" path="m0,0l8078,0e">
                  <v:fill on="t" focussize="0,0"/>
                  <v:stroke on="f" weight="2pt"/>
                  <v:imagedata o:title=""/>
                  <o:lock v:ext="edit" aspectratio="f"/>
                </v:shape>
                <v:shape id="_x0000_s1026" o:spid="_x0000_s1026" o:spt="100" style="position:absolute;left:9;top:4;height:2287;width:20;" fillcolor="#CCE8CF" filled="t" stroked="f" coordsize="20,2287" o:gfxdata="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5kJe5AAAA2wAA&#10;AA8AAAAAAAAAAQAgAAAAIgAAAGRycy9kb3ducmV2LnhtbFBLAQIUABQAAAAIAIdO4kAzLwWeOwAA&#10;ADkAAAAQAAAAAAAAAAEAIAAAAAgBAABkcnMvc2hhcGV4bWwueG1sUEsFBgAAAAAGAAYAWwEAALID&#10;AAAAAA==&#10;" path="m0,0l0,2286e">
                  <v:fill on="t" focussize="0,0"/>
                  <v:stroke on="f" weight="2pt"/>
                  <v:imagedata o:title=""/>
                  <o:lock v:ext="edit" aspectratio="f"/>
                </v:shape>
                <v:shape id="_x0000_s1026" o:spid="_x0000_s1026" o:spt="100" style="position:absolute;left:28;top:24;height:2249;width:20;" fillcolor="#CCE8CF" filled="t" stroked="f" coordsize="20,2249" o:gfxdata="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kL4cbgAAADbAAAA&#10;DwAAAAAAAAABACAAAAAiAAAAZHJzL2Rvd25yZXYueG1sUEsBAhQAFAAAAAgAh07iQDMvBZ47AAAA&#10;OQAAABAAAAAAAAAAAQAgAAAABwEAAGRycy9zaGFwZXhtbC54bWxQSwUGAAAAAAYABgBbAQAAsQMA&#10;AAAA&#10;" path="m0,0l0,2248e">
                  <v:fill on="t" focussize="0,0"/>
                  <v:stroke on="f" weight="2pt"/>
                  <v:imagedata o:title=""/>
                  <o:lock v:ext="edit" aspectratio="f"/>
                </v:shape>
                <v:shape id="_x0000_s1026" o:spid="_x0000_s1026" o:spt="100" style="position:absolute;left:4034;top:24;height:2239;width:20;" fillcolor="#CCE8CF" filled="t" stroked="f" coordsize="20,2239" o:gfxdata="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IAxm/&#10;AAAA2wAAAA8AAAAAAAAAAQAgAAAAIgAAAGRycy9kb3ducmV2LnhtbFBLAQIUABQAAAAIAIdO4kAz&#10;LwWeOwAAADkAAAAQAAAAAAAAAAEAIAAAAA4BAABkcnMvc2hhcGV4bWwueG1sUEsFBgAAAAAGAAYA&#10;WwEAALgDAAAAAA==&#10;" path="m0,0l0,2238e">
                  <v:fill on="t" focussize="0,0"/>
                  <v:stroke on="f" weight="2pt"/>
                  <v:imagedata o:title=""/>
                  <o:lock v:ext="edit" aspectratio="f"/>
                </v:shape>
                <v:shape id="_x0000_s1026" o:spid="_x0000_s1026" o:spt="100" style="position:absolute;left:4053;top:24;height:2239;width:20;" fillcolor="#CCE8CF" filled="t" stroked="f" coordsize="20,2239" o:gfxdata="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qdbr4A&#10;AADbAAAADwAAAAAAAAABACAAAAAiAAAAZHJzL2Rvd25yZXYueG1sUEsBAhQAFAAAAAgAh07iQDMv&#10;BZ47AAAAOQAAABAAAAAAAAAAAQAgAAAADQEAAGRycy9zaGFwZXhtbC54bWxQSwUGAAAAAAYABgBb&#10;AQAAtwMAAAAA&#10;" path="m0,0l0,2238e">
                  <v:fill on="t" focussize="0,0"/>
                  <v:stroke on="f" weight="2pt"/>
                  <v:imagedata o:title=""/>
                  <o:lock v:ext="edit" aspectratio="f"/>
                </v:shape>
                <v:shape id="_x0000_s1026" o:spid="_x0000_s1026" o:spt="100" style="position:absolute;left:8059;top:33;height:2239;width:20;" fillcolor="#CCE8CF" filled="t" stroked="f" coordsize="20,2239" o:gfxdata="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Y49b4A&#10;AADbAAAADwAAAAAAAAABACAAAAAiAAAAZHJzL2Rvd25yZXYueG1sUEsBAhQAFAAAAAgAh07iQDMv&#10;BZ47AAAAOQAAABAAAAAAAAAAAQAgAAAADQEAAGRycy9zaGFwZXhtbC54bWxQSwUGAAAAAAYABgBb&#10;AQAAtwMAAAAA&#10;" path="m0,0l0,2238e">
                  <v:fill on="t" focussize="0,0"/>
                  <v:stroke on="f" weight="2pt"/>
                  <v:imagedata o:title=""/>
                  <o:lock v:ext="edit" aspectratio="f"/>
                </v:shape>
                <v:shape id="_x0000_s1026" o:spid="_x0000_s1026" o:spt="100" style="position:absolute;left:8078;top:14;height:2278;width:20;" fillcolor="#CCE8CF" filled="t" stroked="f" coordsize="20,2278" o:gfxdata="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Q9rq/&#10;AAAA2wAAAA8AAAAAAAAAAQAgAAAAIgAAAGRycy9kb3ducmV2LnhtbFBLAQIUABQAAAAIAIdO4kAz&#10;LwWeOwAAADkAAAAQAAAAAAAAAAEAIAAAAA4BAABkcnMvc2hhcGV4bWwueG1sUEsFBgAAAAAGAAYA&#10;WwEAALgDAAAAAA==&#10;" path="m0,0l0,2277e">
                  <v:fill on="t" focussize="0,0"/>
                  <v:stroke on="f" weight="2pt"/>
                  <v:imagedata o:title=""/>
                  <o:lock v:ext="edit" aspectratio="f"/>
                </v:shape>
                <v:shape id="_x0000_s1026" o:spid="_x0000_s1026" o:spt="202" type="#_x0000_t202" style="position:absolute;left:19;top:19;height:2258;width:4025;" filled="f" stroked="t" coordsize="21600,21600" o:gfxdata="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CJhP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inset="0mm,0mm,0mm,0mm">
                    <w:txbxContent>
                      <w:p>
                        <w:pPr>
                          <w:pStyle w:val="3"/>
                          <w:numPr>
                            <w:ilvl w:val="0"/>
                            <w:numId w:val="0"/>
                          </w:numPr>
                          <w:kinsoku w:val="0"/>
                          <w:overflowPunct w:val="0"/>
                          <w:spacing w:before="13"/>
                          <w:ind w:leftChars="0" w:right="0" w:rightChars="0"/>
                          <w:rPr>
                            <w:rFonts w:hint="eastAsia"/>
                            <w:sz w:val="28"/>
                            <w:szCs w:val="28"/>
                          </w:rPr>
                        </w:pPr>
                      </w:p>
                      <w:p>
                        <w:pPr>
                          <w:pStyle w:val="3"/>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法定代表人身份证复印件（正面）</w:t>
                        </w:r>
                      </w:p>
                    </w:txbxContent>
                  </v:textbox>
                </v:shape>
                <v:shape id="_x0000_s1026" o:spid="_x0000_s1026" o:spt="202" type="#_x0000_t202" style="position:absolute;left:4044;top:19;height:2258;width:4025;" filled="f" stroked="t" coordsize="21600,21600" o:gfxdata="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pq0K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inset="0mm,0mm,0mm,0mm">
                    <w:txbxContent>
                      <w:p>
                        <w:pPr>
                          <w:pStyle w:val="3"/>
                          <w:numPr>
                            <w:ilvl w:val="0"/>
                            <w:numId w:val="0"/>
                          </w:numPr>
                          <w:kinsoku w:val="0"/>
                          <w:overflowPunct w:val="0"/>
                          <w:spacing w:before="13"/>
                          <w:ind w:leftChars="0" w:right="0" w:rightChars="0"/>
                          <w:rPr>
                            <w:rFonts w:hint="eastAsia"/>
                            <w:sz w:val="28"/>
                            <w:szCs w:val="28"/>
                          </w:rPr>
                        </w:pPr>
                      </w:p>
                      <w:p>
                        <w:pPr>
                          <w:pStyle w:val="3"/>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法定代表人身份证复印件（反面）</w:t>
                        </w:r>
                      </w:p>
                    </w:txbxContent>
                  </v:textbox>
                </v:shape>
                <w10:wrap type="none"/>
                <w10:anchorlock/>
              </v:group>
            </w:pict>
          </mc:Fallback>
        </mc:AlternateContent>
      </w:r>
    </w:p>
    <w:p>
      <w:pPr>
        <w:wordWrap w:val="0"/>
        <w:spacing w:line="420" w:lineRule="exact"/>
        <w:ind w:firstLine="490" w:firstLineChars="200"/>
        <w:jc w:val="right"/>
        <w:rPr>
          <w:rFonts w:hint="eastAsia" w:ascii="仿宋" w:hAnsi="仿宋" w:eastAsia="仿宋" w:cs="仿宋"/>
          <w:color w:val="auto"/>
          <w:kern w:val="0"/>
          <w:sz w:val="24"/>
        </w:rPr>
      </w:pPr>
    </w:p>
    <w:p>
      <w:pPr>
        <w:spacing w:line="420" w:lineRule="exact"/>
        <w:ind w:firstLine="490" w:firstLineChars="200"/>
        <w:jc w:val="right"/>
        <w:rPr>
          <w:rFonts w:hint="eastAsia" w:ascii="仿宋" w:hAnsi="仿宋" w:eastAsia="仿宋" w:cs="仿宋"/>
          <w:color w:val="auto"/>
          <w:kern w:val="0"/>
          <w:sz w:val="24"/>
        </w:rPr>
      </w:pPr>
    </w:p>
    <w:p>
      <w:pPr>
        <w:pStyle w:val="2"/>
        <w:rPr>
          <w:rFonts w:hint="eastAsia" w:ascii="仿宋" w:hAnsi="仿宋" w:eastAsia="仿宋" w:cs="仿宋"/>
          <w:color w:val="auto"/>
          <w:kern w:val="0"/>
          <w:sz w:val="24"/>
        </w:rPr>
      </w:pPr>
    </w:p>
    <w:p>
      <w:pPr>
        <w:pStyle w:val="2"/>
        <w:rPr>
          <w:rFonts w:hint="eastAsia" w:ascii="仿宋" w:hAnsi="仿宋" w:eastAsia="仿宋" w:cs="仿宋"/>
          <w:color w:val="auto"/>
          <w:kern w:val="0"/>
          <w:sz w:val="24"/>
        </w:rPr>
      </w:pPr>
    </w:p>
    <w:p>
      <w:pPr>
        <w:spacing w:line="420" w:lineRule="exact"/>
        <w:ind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pPr>
        <w:wordWrap w:val="0"/>
        <w:spacing w:line="420" w:lineRule="exact"/>
        <w:ind w:right="480"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pPr>
        <w:pStyle w:val="3"/>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、授权委托书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pStyle w:val="3"/>
        <w:kinsoku w:val="0"/>
        <w:overflowPunct w:val="0"/>
        <w:adjustRightInd w:val="0"/>
        <w:snapToGrid w:val="0"/>
        <w:spacing w:before="12"/>
        <w:rPr>
          <w:rFonts w:hint="eastAsia" w:ascii="仿宋" w:hAnsi="仿宋" w:eastAsia="仿宋" w:cs="仿宋"/>
          <w:color w:val="auto"/>
          <w:sz w:val="4"/>
          <w:szCs w:val="4"/>
        </w:rPr>
      </w:pPr>
    </w:p>
    <w:p>
      <w:pPr>
        <w:pStyle w:val="3"/>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6515" cy="1458595"/>
                <wp:effectExtent l="635" t="635" r="6350" b="7620"/>
                <wp:docPr id="28" name="组合 28"/>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33"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upright="1"/>
                      </wps:wsp>
                      <wps:wsp>
                        <wps:cNvPr id="11" name="文本框 11"/>
                        <wps:cNvSpPr txBox="1"/>
                        <wps:spPr>
                          <a:xfrm>
                            <a:off x="19" y="19"/>
                            <a:ext cx="4025" cy="2258"/>
                          </a:xfrm>
                          <a:prstGeom prst="rect">
                            <a:avLst/>
                          </a:prstGeom>
                          <a:noFill/>
                          <a:ln w="25400" cap="flat" cmpd="sng" algn="ctr">
                            <a:solidFill>
                              <a:srgbClr val="000000"/>
                            </a:solidFill>
                            <a:prstDash val="solid"/>
                          </a:ln>
                          <a:effectLst/>
                        </wps:spPr>
                        <wps:txbx>
                          <w:txbxContent>
                            <w:p>
                              <w:pPr>
                                <w:pStyle w:val="3"/>
                                <w:numPr>
                                  <w:ilvl w:val="0"/>
                                  <w:numId w:val="0"/>
                                </w:numPr>
                                <w:kinsoku w:val="0"/>
                                <w:overflowPunct w:val="0"/>
                                <w:spacing w:before="12"/>
                                <w:ind w:leftChars="0" w:right="0" w:rightChars="0"/>
                                <w:rPr>
                                  <w:rFonts w:hint="eastAsia" w:ascii="仿宋" w:hAnsi="仿宋" w:eastAsia="仿宋" w:cs="仿宋"/>
                                  <w:b w:val="0"/>
                                  <w:bCs w:val="0"/>
                                  <w:sz w:val="28"/>
                                  <w:szCs w:val="28"/>
                                </w:rPr>
                              </w:pPr>
                            </w:p>
                            <w:p>
                              <w:pPr>
                                <w:pStyle w:val="3"/>
                                <w:numPr>
                                  <w:ilvl w:val="0"/>
                                  <w:numId w:val="0"/>
                                </w:numPr>
                                <w:kinsoku w:val="0"/>
                                <w:overflowPunct w:val="0"/>
                                <w:ind w:right="0" w:rightChars="0"/>
                                <w:jc w:val="center"/>
                                <w:rPr>
                                  <w:rFonts w:hint="eastAsia" w:ascii="仿宋" w:hAnsi="仿宋" w:eastAsia="仿宋" w:cs="仿宋"/>
                                </w:rPr>
                              </w:pPr>
                            </w:p>
                            <w:p>
                              <w:pPr>
                                <w:pStyle w:val="3"/>
                                <w:numPr>
                                  <w:ilvl w:val="0"/>
                                  <w:numId w:val="0"/>
                                </w:numPr>
                                <w:kinsoku w:val="0"/>
                                <w:overflowPunct w:val="0"/>
                                <w:ind w:right="0" w:rightChars="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rPr>
                                <w:t>授权人身份证复印件（正面）</w:t>
                              </w:r>
                              <w:r>
                                <w:rPr>
                                  <w:rFonts w:hint="eastAsia" w:ascii="仿宋" w:hAnsi="仿宋" w:eastAsia="仿宋" w:cs="仿宋"/>
                                  <w:b/>
                                  <w:bCs/>
                                  <w:sz w:val="24"/>
                                  <w:szCs w:val="24"/>
                                  <w:lang w:val="en-US" w:eastAsia="zh-CN"/>
                                </w:rPr>
                                <w:t xml:space="preserve">  </w:t>
                              </w:r>
                            </w:p>
                          </w:txbxContent>
                        </wps:txbx>
                        <wps:bodyPr lIns="0" tIns="0" rIns="0" bIns="0" upright="1"/>
                      </wps:wsp>
                      <wps:wsp>
                        <wps:cNvPr id="12" name="文本框 12"/>
                        <wps:cNvSpPr txBox="1"/>
                        <wps:spPr>
                          <a:xfrm>
                            <a:off x="4044" y="19"/>
                            <a:ext cx="4025" cy="2258"/>
                          </a:xfrm>
                          <a:prstGeom prst="rect">
                            <a:avLst/>
                          </a:prstGeom>
                          <a:noFill/>
                          <a:ln w="25400" cap="flat" cmpd="sng" algn="ctr">
                            <a:solidFill>
                              <a:srgbClr val="000000"/>
                            </a:solidFill>
                            <a:prstDash val="solid"/>
                          </a:ln>
                          <a:effectLst/>
                        </wps:spPr>
                        <wps:txbx>
                          <w:txbxContent>
                            <w:p>
                              <w:pPr>
                                <w:pStyle w:val="3"/>
                                <w:numPr>
                                  <w:ilvl w:val="0"/>
                                  <w:numId w:val="0"/>
                                </w:numPr>
                                <w:shd w:val="clear" w:color="auto" w:fill="auto"/>
                                <w:kinsoku w:val="0"/>
                                <w:overflowPunct w:val="0"/>
                                <w:ind w:right="0" w:rightChars="0"/>
                                <w:jc w:val="center"/>
                                <w:rPr>
                                  <w:rFonts w:hint="eastAsia" w:ascii="仿宋" w:hAnsi="仿宋" w:eastAsia="仿宋" w:cs="仿宋"/>
                                </w:rPr>
                              </w:pPr>
                            </w:p>
                            <w:p>
                              <w:pPr>
                                <w:pStyle w:val="3"/>
                                <w:numPr>
                                  <w:ilvl w:val="0"/>
                                  <w:numId w:val="0"/>
                                </w:numPr>
                                <w:shd w:val="clear" w:color="auto" w:fill="auto"/>
                                <w:kinsoku w:val="0"/>
                                <w:overflowPunct w:val="0"/>
                                <w:ind w:right="0" w:rightChars="0"/>
                                <w:jc w:val="center"/>
                                <w:rPr>
                                  <w:rFonts w:hint="eastAsia" w:ascii="仿宋" w:hAnsi="仿宋" w:eastAsia="仿宋" w:cs="仿宋"/>
                                </w:rPr>
                              </w:pPr>
                            </w:p>
                            <w:p>
                              <w:pPr>
                                <w:pStyle w:val="3"/>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3"/>
                                <w:numPr>
                                  <w:ilvl w:val="0"/>
                                  <w:numId w:val="0"/>
                                </w:numPr>
                                <w:shd w:val="clear" w:color="auto" w:fill="auto"/>
                                <w:kinsoku w:val="0"/>
                                <w:overflowPunct w:val="0"/>
                                <w:ind w:right="0" w:rightChars="0"/>
                                <w:jc w:val="center"/>
                                <w:rPr>
                                  <w:rFonts w:hint="eastAsia" w:ascii="仿宋" w:hAnsi="仿宋" w:eastAsia="仿宋" w:cs="仿宋"/>
                                  <w:sz w:val="24"/>
                                  <w:szCs w:val="24"/>
                                </w:rPr>
                              </w:pPr>
                              <w:r>
                                <w:rPr>
                                  <w:rFonts w:hint="eastAsia" w:ascii="仿宋" w:hAnsi="仿宋" w:eastAsia="仿宋" w:cs="仿宋"/>
                                  <w:b/>
                                  <w:bCs/>
                                  <w:sz w:val="24"/>
                                  <w:szCs w:val="24"/>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">
                <o:lock v:ext="edit" rotation="t" aspectratio="f"/>
                <v:shape id="任意多边形 1" o:spid="_x0000_s1026" o:spt="100" style="position:absolute;left:4;top:9;height:20;width:8079;" filled="f" stroked="t" coordsize="8079,20" o:gfxdata="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C4NG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t" coordsize="21600,21600" o:gfxdata="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8FvHb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inset="0mm,0mm,0mm,0mm">
                    <w:txbxContent>
                      <w:p>
                        <w:pPr>
                          <w:pStyle w:val="3"/>
                          <w:numPr>
                            <w:ilvl w:val="0"/>
                            <w:numId w:val="0"/>
                          </w:numPr>
                          <w:kinsoku w:val="0"/>
                          <w:overflowPunct w:val="0"/>
                          <w:spacing w:before="12"/>
                          <w:ind w:leftChars="0" w:right="0" w:rightChars="0"/>
                          <w:rPr>
                            <w:rFonts w:hint="eastAsia" w:ascii="仿宋" w:hAnsi="仿宋" w:eastAsia="仿宋" w:cs="仿宋"/>
                            <w:b w:val="0"/>
                            <w:bCs w:val="0"/>
                            <w:sz w:val="28"/>
                            <w:szCs w:val="28"/>
                          </w:rPr>
                        </w:pPr>
                      </w:p>
                      <w:p>
                        <w:pPr>
                          <w:pStyle w:val="3"/>
                          <w:numPr>
                            <w:ilvl w:val="0"/>
                            <w:numId w:val="0"/>
                          </w:numPr>
                          <w:kinsoku w:val="0"/>
                          <w:overflowPunct w:val="0"/>
                          <w:ind w:right="0" w:rightChars="0"/>
                          <w:jc w:val="center"/>
                          <w:rPr>
                            <w:rFonts w:hint="eastAsia" w:ascii="仿宋" w:hAnsi="仿宋" w:eastAsia="仿宋" w:cs="仿宋"/>
                          </w:rPr>
                        </w:pPr>
                      </w:p>
                      <w:p>
                        <w:pPr>
                          <w:pStyle w:val="3"/>
                          <w:numPr>
                            <w:ilvl w:val="0"/>
                            <w:numId w:val="0"/>
                          </w:numPr>
                          <w:kinsoku w:val="0"/>
                          <w:overflowPunct w:val="0"/>
                          <w:ind w:right="0" w:rightChars="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rPr>
                          <w:t>授权人身份证复印件（正面）</w:t>
                        </w:r>
                        <w:r>
                          <w:rPr>
                            <w:rFonts w:hint="eastAsia" w:ascii="仿宋" w:hAnsi="仿宋" w:eastAsia="仿宋" w:cs="仿宋"/>
                            <w:b/>
                            <w:bCs/>
                            <w:sz w:val="24"/>
                            <w:szCs w:val="24"/>
                            <w:lang w:val="en-US" w:eastAsia="zh-CN"/>
                          </w:rPr>
                          <w:t xml:space="preserve">  </w:t>
                        </w:r>
                      </w:p>
                    </w:txbxContent>
                  </v:textbox>
                </v:shape>
                <v:shape id="_x0000_s1026" o:spid="_x0000_s1026" o:spt="202" type="#_x0000_t202" style="position:absolute;left:4044;top:19;height:2258;width:4025;" filled="f" stroked="t" coordsize="21600,21600" o:gfxdata="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Pxar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inset="0mm,0mm,0mm,0mm">
                    <w:txbxContent>
                      <w:p>
                        <w:pPr>
                          <w:pStyle w:val="3"/>
                          <w:numPr>
                            <w:ilvl w:val="0"/>
                            <w:numId w:val="0"/>
                          </w:numPr>
                          <w:shd w:val="clear" w:color="auto" w:fill="auto"/>
                          <w:kinsoku w:val="0"/>
                          <w:overflowPunct w:val="0"/>
                          <w:ind w:right="0" w:rightChars="0"/>
                          <w:jc w:val="center"/>
                          <w:rPr>
                            <w:rFonts w:hint="eastAsia" w:ascii="仿宋" w:hAnsi="仿宋" w:eastAsia="仿宋" w:cs="仿宋"/>
                          </w:rPr>
                        </w:pPr>
                      </w:p>
                      <w:p>
                        <w:pPr>
                          <w:pStyle w:val="3"/>
                          <w:numPr>
                            <w:ilvl w:val="0"/>
                            <w:numId w:val="0"/>
                          </w:numPr>
                          <w:shd w:val="clear" w:color="auto" w:fill="auto"/>
                          <w:kinsoku w:val="0"/>
                          <w:overflowPunct w:val="0"/>
                          <w:ind w:right="0" w:rightChars="0"/>
                          <w:jc w:val="center"/>
                          <w:rPr>
                            <w:rFonts w:hint="eastAsia" w:ascii="仿宋" w:hAnsi="仿宋" w:eastAsia="仿宋" w:cs="仿宋"/>
                          </w:rPr>
                        </w:pPr>
                      </w:p>
                      <w:p>
                        <w:pPr>
                          <w:pStyle w:val="3"/>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3"/>
                          <w:numPr>
                            <w:ilvl w:val="0"/>
                            <w:numId w:val="0"/>
                          </w:numPr>
                          <w:shd w:val="clear" w:color="auto" w:fill="auto"/>
                          <w:kinsoku w:val="0"/>
                          <w:overflowPunct w:val="0"/>
                          <w:ind w:right="0" w:rightChars="0"/>
                          <w:jc w:val="center"/>
                          <w:rPr>
                            <w:rFonts w:hint="eastAsia" w:ascii="仿宋" w:hAnsi="仿宋" w:eastAsia="仿宋" w:cs="仿宋"/>
                            <w:sz w:val="24"/>
                            <w:szCs w:val="24"/>
                          </w:rPr>
                        </w:pPr>
                        <w:r>
                          <w:rPr>
                            <w:rFonts w:hint="eastAsia" w:ascii="仿宋" w:hAnsi="仿宋" w:eastAsia="仿宋" w:cs="仿宋"/>
                            <w:b/>
                            <w:bCs/>
                            <w:sz w:val="24"/>
                            <w:szCs w:val="24"/>
                          </w:rPr>
                          <w:t>授权人身份证复印件（反面）</w:t>
                        </w:r>
                      </w:p>
                    </w:txbxContent>
                  </v:textbox>
                </v:shape>
                <w10:wrap type="none"/>
                <w10:anchorlock/>
              </v:group>
            </w:pict>
          </mc:Fallback>
        </mc:AlternateContent>
      </w:r>
    </w:p>
    <w:p>
      <w:pPr>
        <w:pStyle w:val="3"/>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7150" cy="1384935"/>
                <wp:effectExtent l="635" t="635" r="5715" b="5080"/>
                <wp:docPr id="36" name="组合 36"/>
                <wp:cNvGraphicFramePr/>
                <a:graphic xmlns:a="http://schemas.openxmlformats.org/drawingml/2006/main">
                  <a:graphicData uri="http://schemas.microsoft.com/office/word/2010/wordprocessingGroup">
                    <wpg:wgp>
                      <wpg:cNvGrpSpPr>
                        <a:grpSpLocks noRot="1"/>
                      </wpg:cNvGrpSpPr>
                      <wpg:grpSpPr>
                        <a:xfrm>
                          <a:off x="0" y="0"/>
                          <a:ext cx="5137150" cy="1384935"/>
                          <a:chOff x="0" y="0"/>
                          <a:chExt cx="8089" cy="2181"/>
                        </a:xfrm>
                        <a:effectLst/>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a:effectLst/>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a:effectLst/>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a:effectLst/>
                        </wps:spPr>
                        <wps:bodyPr upright="1"/>
                      </wps:wsp>
                      <wps:wsp>
                        <wps:cNvPr id="47" name="文本框 44"/>
                        <wps:cNvSpPr txBox="1"/>
                        <wps:spPr>
                          <a:xfrm>
                            <a:off x="19" y="19"/>
                            <a:ext cx="4025" cy="2142"/>
                          </a:xfrm>
                          <a:prstGeom prst="rect">
                            <a:avLst/>
                          </a:prstGeom>
                          <a:noFill/>
                          <a:ln w="25400" cap="flat" cmpd="sng" algn="ctr">
                            <a:solidFill>
                              <a:srgbClr val="000000"/>
                            </a:solidFill>
                            <a:prstDash val="solid"/>
                          </a:ln>
                          <a:effectLst/>
                        </wps:spPr>
                        <wps:txbx>
                          <w:txbxContent>
                            <w:p>
                              <w:pPr>
                                <w:pStyle w:val="3"/>
                                <w:numPr>
                                  <w:ilvl w:val="0"/>
                                  <w:numId w:val="0"/>
                                </w:numPr>
                                <w:kinsoku w:val="0"/>
                                <w:overflowPunct w:val="0"/>
                                <w:ind w:right="0" w:rightChars="0"/>
                                <w:rPr>
                                  <w:rFonts w:hint="eastAsia"/>
                                </w:rPr>
                              </w:pPr>
                            </w:p>
                            <w:p>
                              <w:pPr>
                                <w:pStyle w:val="3"/>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3"/>
                                <w:numPr>
                                  <w:ilvl w:val="0"/>
                                  <w:numId w:val="0"/>
                                </w:numPr>
                                <w:shd w:val="clear" w:color="auto" w:fill="auto"/>
                                <w:kinsoku w:val="0"/>
                                <w:overflowPunct w:val="0"/>
                                <w:ind w:right="0" w:rightChars="0"/>
                                <w:jc w:val="center"/>
                                <w:rPr>
                                  <w:b/>
                                  <w:bCs/>
                                </w:rPr>
                              </w:pPr>
                              <w:r>
                                <w:rPr>
                                  <w:rFonts w:hint="eastAsia" w:ascii="仿宋" w:hAnsi="仿宋" w:eastAsia="仿宋" w:cs="仿宋"/>
                                  <w:b/>
                                  <w:bCs/>
                                  <w:sz w:val="24"/>
                                  <w:szCs w:val="24"/>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w="25400" cap="flat" cmpd="sng" algn="ctr">
                            <a:solidFill>
                              <a:srgbClr val="000000"/>
                            </a:solidFill>
                            <a:prstDash val="solid"/>
                          </a:ln>
                          <a:effectLst/>
                        </wps:spPr>
                        <wps:txbx>
                          <w:txbxContent>
                            <w:p>
                              <w:pPr>
                                <w:pStyle w:val="3"/>
                                <w:numPr>
                                  <w:ilvl w:val="0"/>
                                  <w:numId w:val="0"/>
                                </w:numPr>
                                <w:kinsoku w:val="0"/>
                                <w:overflowPunct w:val="0"/>
                                <w:ind w:right="0" w:rightChars="0"/>
                                <w:rPr>
                                  <w:rFonts w:hint="eastAsia"/>
                                </w:rPr>
                              </w:pPr>
                            </w:p>
                            <w:p>
                              <w:pPr>
                                <w:pStyle w:val="3"/>
                                <w:numPr>
                                  <w:ilvl w:val="0"/>
                                  <w:numId w:val="0"/>
                                </w:numPr>
                                <w:shd w:val="clear" w:color="auto" w:fill="auto"/>
                                <w:kinsoku w:val="0"/>
                                <w:overflowPunct w:val="0"/>
                                <w:ind w:right="0" w:rightChars="0"/>
                                <w:rPr>
                                  <w:rFonts w:hint="eastAsia" w:ascii="仿宋" w:hAnsi="仿宋" w:eastAsia="仿宋" w:cs="仿宋"/>
                                  <w:sz w:val="24"/>
                                  <w:szCs w:val="24"/>
                                </w:rPr>
                              </w:pPr>
                            </w:p>
                            <w:p>
                              <w:pPr>
                                <w:pStyle w:val="3"/>
                                <w:numPr>
                                  <w:ilvl w:val="0"/>
                                  <w:numId w:val="0"/>
                                </w:numPr>
                                <w:shd w:val="clear" w:color="auto" w:fill="auto"/>
                                <w:kinsoku w:val="0"/>
                                <w:overflowPunct w:val="0"/>
                                <w:ind w:right="0" w:rightChars="0" w:firstLine="241" w:firstLineChars="100"/>
                                <w:rPr>
                                  <w:b/>
                                  <w:bCs/>
                                </w:rPr>
                              </w:pPr>
                              <w:r>
                                <w:rPr>
                                  <w:rFonts w:hint="eastAsia" w:ascii="仿宋" w:hAnsi="仿宋" w:eastAsia="仿宋" w:cs="仿宋"/>
                                  <w:b/>
                                  <w:bCs/>
                                  <w:sz w:val="24"/>
                                  <w:szCs w:val="24"/>
                                </w:rPr>
                                <w:t>被授权代表身份证复印件（反面）</w:t>
                              </w:r>
                            </w:p>
                          </w:txbxContent>
                        </wps:txbx>
                        <wps:bodyPr lIns="0" tIns="0" rIns="0" bIns="0" upright="1"/>
                      </wps:wsp>
                    </wpg:wgp>
                  </a:graphicData>
                </a:graphic>
              </wp:inline>
            </w:drawing>
          </mc:Choice>
          <mc:Fallback>
            <w:pict>
              <v:group id="_x0000_s1026" o:spid="_x0000_s1026" o:spt="203" style="height:109.05pt;width:404.5pt;" coordsize="8089,2181" o:gfxdata="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t" coordsize="21600,21600" o:gfxdata="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Xfe+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inset="0mm,0mm,0mm,0mm">
                    <w:txbxContent>
                      <w:p>
                        <w:pPr>
                          <w:pStyle w:val="3"/>
                          <w:numPr>
                            <w:ilvl w:val="0"/>
                            <w:numId w:val="0"/>
                          </w:numPr>
                          <w:kinsoku w:val="0"/>
                          <w:overflowPunct w:val="0"/>
                          <w:ind w:right="0" w:rightChars="0"/>
                          <w:rPr>
                            <w:rFonts w:hint="eastAsia"/>
                          </w:rPr>
                        </w:pPr>
                      </w:p>
                      <w:p>
                        <w:pPr>
                          <w:pStyle w:val="3"/>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3"/>
                          <w:numPr>
                            <w:ilvl w:val="0"/>
                            <w:numId w:val="0"/>
                          </w:numPr>
                          <w:shd w:val="clear" w:color="auto" w:fill="auto"/>
                          <w:kinsoku w:val="0"/>
                          <w:overflowPunct w:val="0"/>
                          <w:ind w:right="0" w:rightChars="0"/>
                          <w:jc w:val="center"/>
                          <w:rPr>
                            <w:b/>
                            <w:bCs/>
                          </w:rPr>
                        </w:pPr>
                        <w:r>
                          <w:rPr>
                            <w:rFonts w:hint="eastAsia" w:ascii="仿宋" w:hAnsi="仿宋" w:eastAsia="仿宋" w:cs="仿宋"/>
                            <w:b/>
                            <w:bCs/>
                            <w:sz w:val="24"/>
                            <w:szCs w:val="24"/>
                          </w:rPr>
                          <w:t>被授权代表身份证复印件（正面）</w:t>
                        </w:r>
                      </w:p>
                    </w:txbxContent>
                  </v:textbox>
                </v:shape>
                <v:shape id="文本框 45" o:spid="_x0000_s1026" o:spt="202" type="#_x0000_t202" style="position:absolute;left:4044;top:19;height:2142;width:4025;" filled="f" stroked="t" coordsize="21600,21600" o:gfxdata="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SOmdugAAANsA&#10;AAAPAAAAAAAAAAEAIAAAACIAAABkcnMvZG93bnJldi54bWxQSwECFAAUAAAACACHTuJAMy8FnjsA&#10;AAA5AAAAEAAAAAAAAAABACAAAAAJAQAAZHJzL3NoYXBleG1sLnhtbFBLBQYAAAAABgAGAFsBAACz&#10;AwAAAAA=&#10;">
                  <v:fill on="f" focussize="0,0"/>
                  <v:stroke weight="2pt" color="#000000" joinstyle="round"/>
                  <v:imagedata o:title=""/>
                  <o:lock v:ext="edit" aspectratio="f"/>
                  <v:textbox inset="0mm,0mm,0mm,0mm">
                    <w:txbxContent>
                      <w:p>
                        <w:pPr>
                          <w:pStyle w:val="3"/>
                          <w:numPr>
                            <w:ilvl w:val="0"/>
                            <w:numId w:val="0"/>
                          </w:numPr>
                          <w:kinsoku w:val="0"/>
                          <w:overflowPunct w:val="0"/>
                          <w:ind w:right="0" w:rightChars="0"/>
                          <w:rPr>
                            <w:rFonts w:hint="eastAsia"/>
                          </w:rPr>
                        </w:pPr>
                      </w:p>
                      <w:p>
                        <w:pPr>
                          <w:pStyle w:val="3"/>
                          <w:numPr>
                            <w:ilvl w:val="0"/>
                            <w:numId w:val="0"/>
                          </w:numPr>
                          <w:shd w:val="clear" w:color="auto" w:fill="auto"/>
                          <w:kinsoku w:val="0"/>
                          <w:overflowPunct w:val="0"/>
                          <w:ind w:right="0" w:rightChars="0"/>
                          <w:rPr>
                            <w:rFonts w:hint="eastAsia" w:ascii="仿宋" w:hAnsi="仿宋" w:eastAsia="仿宋" w:cs="仿宋"/>
                            <w:sz w:val="24"/>
                            <w:szCs w:val="24"/>
                          </w:rPr>
                        </w:pPr>
                      </w:p>
                      <w:p>
                        <w:pPr>
                          <w:pStyle w:val="3"/>
                          <w:numPr>
                            <w:ilvl w:val="0"/>
                            <w:numId w:val="0"/>
                          </w:numPr>
                          <w:shd w:val="clear" w:color="auto" w:fill="auto"/>
                          <w:kinsoku w:val="0"/>
                          <w:overflowPunct w:val="0"/>
                          <w:ind w:right="0" w:rightChars="0" w:firstLine="241" w:firstLineChars="100"/>
                          <w:rPr>
                            <w:b/>
                            <w:bCs/>
                          </w:rPr>
                        </w:pPr>
                        <w:r>
                          <w:rPr>
                            <w:rFonts w:hint="eastAsia" w:ascii="仿宋" w:hAnsi="仿宋" w:eastAsia="仿宋" w:cs="仿宋"/>
                            <w:b/>
                            <w:bCs/>
                            <w:sz w:val="24"/>
                            <w:szCs w:val="24"/>
                          </w:rPr>
                          <w:t>被授权代表身份证复印件（反面）</w:t>
                        </w:r>
                      </w:p>
                    </w:txbxContent>
                  </v:textbox>
                </v:shape>
                <w10:wrap type="none"/>
                <w10:anchorlock/>
              </v:group>
            </w:pict>
          </mc:Fallback>
        </mc:AlternateContent>
      </w:r>
    </w:p>
    <w:p>
      <w:pPr>
        <w:pStyle w:val="3"/>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pPr>
        <w:pStyle w:val="3"/>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pPr>
        <w:pStyle w:val="3"/>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p>
    <w:p>
      <w:pPr>
        <w:pStyle w:val="3"/>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pPr>
        <w:pStyle w:val="3"/>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pPr>
        <w:pStyle w:val="3"/>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pPr>
        <w:pStyle w:val="3"/>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rPr>
      </w:pPr>
    </w:p>
    <w:p>
      <w:pPr>
        <w:pStyle w:val="3"/>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pPr>
        <w:pStyle w:val="3"/>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rPr>
      </w:pPr>
    </w:p>
    <w:p>
      <w:pPr>
        <w:pStyle w:val="6"/>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pPr>
        <w:pStyle w:val="6"/>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en-US" w:bidi="en-US"/>
        </w:rPr>
      </w:pPr>
      <w:r>
        <w:rPr>
          <w:rFonts w:hint="eastAsia" w:ascii="仿宋" w:hAnsi="仿宋" w:eastAsia="仿宋" w:cs="仿宋"/>
          <w:b/>
          <w:bCs/>
          <w:color w:val="auto"/>
          <w:spacing w:val="0"/>
          <w:w w:val="100"/>
          <w:position w:val="0"/>
          <w:sz w:val="36"/>
          <w:szCs w:val="36"/>
          <w:shd w:val="clear" w:color="auto" w:fill="auto"/>
          <w:lang w:val="en-US" w:eastAsia="zh-CN" w:bidi="en-US"/>
        </w:rPr>
        <w:t>4、</w:t>
      </w:r>
      <w:r>
        <w:rPr>
          <w:rFonts w:hint="eastAsia" w:ascii="仿宋" w:hAnsi="仿宋" w:eastAsia="仿宋" w:cs="仿宋"/>
          <w:b/>
          <w:bCs/>
          <w:color w:val="auto"/>
          <w:spacing w:val="0"/>
          <w:w w:val="100"/>
          <w:position w:val="0"/>
          <w:sz w:val="36"/>
          <w:szCs w:val="36"/>
          <w:shd w:val="clear" w:color="auto" w:fill="auto"/>
          <w:lang w:val="en-US" w:eastAsia="en-US" w:bidi="en-US"/>
        </w:rPr>
        <w:t>投标保证金缴纳凭证或投标担保函</w:t>
      </w:r>
    </w:p>
    <w:p>
      <w:pPr>
        <w:shd w:val="clear" w:color="auto" w:fill="auto"/>
        <w:ind w:firstLine="490" w:firstLineChars="200"/>
        <w:rPr>
          <w:rFonts w:hint="eastAsia" w:ascii="仿宋" w:hAnsi="仿宋" w:eastAsia="仿宋" w:cs="仿宋"/>
          <w:color w:val="auto"/>
          <w:sz w:val="24"/>
          <w:highlight w:val="none"/>
        </w:rPr>
      </w:pPr>
    </w:p>
    <w:p>
      <w:pPr>
        <w:pStyle w:val="8"/>
        <w:shd w:val="clear" w:color="auto" w:fill="auto"/>
        <w:rPr>
          <w:rFonts w:hint="eastAsia" w:ascii="仿宋" w:hAnsi="仿宋" w:eastAsia="仿宋" w:cs="仿宋"/>
          <w:color w:val="auto"/>
          <w:highlight w:val="none"/>
        </w:rPr>
      </w:pPr>
    </w:p>
    <w:tbl>
      <w:tblPr>
        <w:tblStyle w:val="16"/>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投标保证金收据</w:t>
            </w:r>
          </w:p>
        </w:tc>
      </w:tr>
    </w:tbl>
    <w:p>
      <w:pPr>
        <w:pStyle w:val="8"/>
        <w:shd w:val="clear" w:color="auto" w:fill="auto"/>
        <w:rPr>
          <w:rFonts w:hint="eastAsia" w:ascii="仿宋" w:hAnsi="仿宋" w:eastAsia="仿宋" w:cs="仿宋"/>
          <w:color w:val="auto"/>
          <w:highlight w:val="none"/>
        </w:rPr>
      </w:pPr>
    </w:p>
    <w:p>
      <w:pPr>
        <w:shd w:val="clear" w:color="auto" w:fill="auto"/>
        <w:spacing w:line="240" w:lineRule="atLeast"/>
        <w:ind w:left="1169" w:leftChars="257" w:hanging="540"/>
        <w:jc w:val="center"/>
        <w:rPr>
          <w:rFonts w:hint="eastAsia" w:ascii="仿宋" w:hAnsi="仿宋" w:eastAsia="仿宋" w:cs="仿宋"/>
          <w:color w:val="auto"/>
          <w:sz w:val="24"/>
          <w:highlight w:val="none"/>
        </w:rPr>
      </w:pPr>
    </w:p>
    <w:p>
      <w:pPr>
        <w:shd w:val="clear" w:color="auto" w:fill="auto"/>
        <w:rPr>
          <w:rFonts w:hint="eastAsia" w:ascii="仿宋" w:hAnsi="仿宋" w:eastAsia="仿宋" w:cs="仿宋"/>
          <w:color w:val="auto"/>
          <w:sz w:val="28"/>
          <w:szCs w:val="28"/>
          <w:highlight w:val="none"/>
        </w:rPr>
      </w:pPr>
    </w:p>
    <w:tbl>
      <w:tblPr>
        <w:tblStyle w:val="16"/>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pPr>
        <w:pStyle w:val="8"/>
        <w:shd w:val="clear" w:color="auto" w:fill="auto"/>
        <w:rPr>
          <w:rFonts w:hint="eastAsia" w:ascii="仿宋" w:hAnsi="仿宋" w:eastAsia="仿宋" w:cs="仿宋"/>
          <w:color w:val="auto"/>
          <w:highlight w:val="none"/>
        </w:rPr>
      </w:pPr>
    </w:p>
    <w:p>
      <w:pPr>
        <w:pStyle w:val="8"/>
        <w:shd w:val="clear" w:color="auto" w:fill="auto"/>
        <w:rPr>
          <w:rFonts w:hint="eastAsia" w:ascii="仿宋" w:hAnsi="仿宋" w:eastAsia="仿宋" w:cs="仿宋"/>
          <w:color w:val="auto"/>
          <w:highlight w:val="none"/>
        </w:rPr>
      </w:pPr>
    </w:p>
    <w:p>
      <w:pPr>
        <w:pStyle w:val="8"/>
        <w:shd w:val="clear" w:color="auto" w:fill="auto"/>
        <w:rPr>
          <w:rFonts w:hint="eastAsia" w:ascii="仿宋" w:hAnsi="仿宋" w:eastAsia="仿宋" w:cs="仿宋"/>
          <w:color w:val="auto"/>
          <w:highlight w:val="none"/>
        </w:rPr>
      </w:pPr>
    </w:p>
    <w:p>
      <w:pPr>
        <w:pStyle w:val="8"/>
        <w:shd w:val="clear" w:color="auto" w:fill="auto"/>
        <w:rPr>
          <w:rFonts w:hint="eastAsia" w:ascii="仿宋" w:hAnsi="仿宋" w:eastAsia="仿宋" w:cs="仿宋"/>
          <w:color w:val="auto"/>
          <w:highlight w:val="none"/>
        </w:rPr>
      </w:pPr>
    </w:p>
    <w:p>
      <w:pPr>
        <w:pStyle w:val="8"/>
        <w:shd w:val="clear" w:color="auto" w:fill="auto"/>
        <w:rPr>
          <w:rFonts w:hint="eastAsia" w:ascii="仿宋" w:hAnsi="仿宋" w:eastAsia="仿宋" w:cs="仿宋"/>
          <w:color w:val="auto"/>
          <w:highlight w:val="none"/>
        </w:rPr>
      </w:pPr>
    </w:p>
    <w:p>
      <w:pPr>
        <w:pStyle w:val="8"/>
        <w:shd w:val="clear" w:color="auto" w:fill="auto"/>
        <w:rPr>
          <w:rFonts w:hint="eastAsia" w:ascii="仿宋" w:hAnsi="仿宋" w:eastAsia="仿宋" w:cs="仿宋"/>
          <w:color w:val="auto"/>
          <w:highlight w:val="none"/>
        </w:rPr>
      </w:pPr>
    </w:p>
    <w:p>
      <w:pPr>
        <w:rPr>
          <w:rFonts w:hint="eastAsia" w:ascii="仿宋" w:hAnsi="仿宋" w:eastAsia="仿宋" w:cs="仿宋"/>
          <w:color w:val="auto"/>
        </w:rPr>
      </w:pPr>
    </w:p>
    <w:p>
      <w:pPr>
        <w:pStyle w:val="7"/>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shd w:val="clear" w:color="auto" w:fill="auto"/>
        <w:jc w:val="center"/>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ind w:left="4777" w:leftChars="200" w:hanging="4287" w:hangingChars="1750"/>
        <w:rPr>
          <w:rFonts w:hint="eastAsia" w:ascii="宋体" w:hAnsi="宋体" w:eastAsia="宋体" w:cs="宋体"/>
          <w:color w:val="auto"/>
        </w:rPr>
      </w:pPr>
    </w:p>
    <w:p>
      <w:pPr>
        <w:shd w:val="clear" w:color="auto" w:fill="auto"/>
        <w:jc w:val="center"/>
        <w:rPr>
          <w:rFonts w:hint="eastAsia" w:ascii="仿宋" w:hAnsi="仿宋" w:eastAsia="仿宋" w:cs="仿宋"/>
          <w:b/>
          <w:bCs/>
          <w:color w:val="auto"/>
          <w:sz w:val="28"/>
          <w:szCs w:val="28"/>
          <w:highlight w:val="none"/>
        </w:rPr>
      </w:pPr>
      <w:bookmarkStart w:id="48" w:name="bookmark234"/>
      <w:bookmarkStart w:id="49" w:name="bookmark228"/>
      <w:bookmarkStart w:id="50" w:name="bookmark226"/>
      <w:bookmarkStart w:id="51" w:name="bookmark233"/>
      <w:bookmarkStart w:id="52" w:name="bookmark225"/>
      <w:bookmarkStart w:id="53" w:name="bookmark235"/>
      <w:bookmarkStart w:id="54" w:name="bookmark236"/>
    </w:p>
    <w:p>
      <w:pPr>
        <w:shd w:val="clear" w:color="auto" w:fill="auto"/>
        <w:jc w:val="center"/>
        <w:rPr>
          <w:rFonts w:hint="eastAsia" w:ascii="仿宋" w:hAnsi="仿宋" w:eastAsia="仿宋" w:cs="仿宋"/>
          <w:b/>
          <w:bCs/>
          <w:color w:val="auto"/>
          <w:sz w:val="28"/>
          <w:szCs w:val="28"/>
          <w:highlight w:val="none"/>
        </w:rPr>
      </w:pPr>
    </w:p>
    <w:p>
      <w:pPr>
        <w:shd w:val="clear" w:color="auto" w:fill="auto"/>
        <w:jc w:val="center"/>
        <w:rPr>
          <w:rFonts w:hint="eastAsia" w:ascii="仿宋" w:hAnsi="仿宋" w:eastAsia="仿宋" w:cs="仿宋"/>
          <w:b/>
          <w:bCs/>
          <w:color w:val="auto"/>
          <w:sz w:val="28"/>
          <w:szCs w:val="28"/>
          <w:highlight w:val="none"/>
        </w:rPr>
      </w:pPr>
    </w:p>
    <w:p>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政府采购投标担保函 （项目用）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1．中标后投标人无正当理由不与采购人或者采购代理机构签订《政府采购合同》；</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pgSz w:w="11905" w:h="16838"/>
          <w:pgMar w:top="1440" w:right="1080" w:bottom="1440" w:left="1080" w:header="850" w:footer="992" w:gutter="0"/>
          <w:pgNumType w:fmt="decimal"/>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5、投标企业须提供投标人（被授权在职人员）近期有效的社保证明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90" w:firstLineChars="200"/>
        <w:jc w:val="left"/>
        <w:textAlignment w:val="auto"/>
        <w:rPr>
          <w:rFonts w:hint="eastAsia" w:ascii="仿宋" w:hAnsi="仿宋" w:eastAsia="仿宋" w:cs="仿宋"/>
          <w:color w:val="auto"/>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9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说明：复印件上应加盖本单位章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7、投标人须知资料表要求的其他资格证明文件</w:t>
      </w:r>
    </w:p>
    <w:p>
      <w:pPr>
        <w:snapToGrid w:val="0"/>
        <w:spacing w:line="360" w:lineRule="auto"/>
        <w:rPr>
          <w:rFonts w:hint="eastAsia" w:ascii="仿宋" w:hAnsi="仿宋" w:eastAsia="仿宋" w:cs="仿宋"/>
          <w:b/>
          <w:color w:val="FF0000"/>
          <w:lang w:val="en-US" w:eastAsia="zh-CN"/>
        </w:rPr>
      </w:pPr>
    </w:p>
    <w:p>
      <w:pPr>
        <w:snapToGrid w:val="0"/>
        <w:spacing w:line="360" w:lineRule="auto"/>
        <w:rPr>
          <w:rFonts w:hint="eastAsia" w:ascii="仿宋" w:hAnsi="仿宋" w:eastAsia="仿宋" w:cs="仿宋"/>
          <w:b/>
          <w:color w:val="FF0000"/>
          <w:lang w:val="en-US" w:eastAsia="zh-CN"/>
        </w:rPr>
      </w:pPr>
    </w:p>
    <w:p>
      <w:pPr>
        <w:snapToGrid w:val="0"/>
        <w:spacing w:line="360" w:lineRule="auto"/>
        <w:rPr>
          <w:rFonts w:hint="eastAsia" w:ascii="仿宋" w:hAnsi="仿宋" w:eastAsia="仿宋" w:cs="仿宋"/>
          <w:b/>
          <w:color w:val="FF0000"/>
          <w:lang w:val="en-US" w:eastAsia="zh-CN"/>
        </w:rPr>
      </w:pPr>
    </w:p>
    <w:p>
      <w:pPr>
        <w:snapToGrid w:val="0"/>
        <w:spacing w:line="360" w:lineRule="auto"/>
        <w:rPr>
          <w:rFonts w:hint="eastAsia" w:ascii="仿宋" w:hAnsi="仿宋" w:eastAsia="仿宋" w:cs="仿宋"/>
          <w:b/>
          <w:color w:val="FF0000"/>
          <w:lang w:val="en-US" w:eastAsia="zh-CN"/>
        </w:rPr>
      </w:pPr>
    </w:p>
    <w:p>
      <w:pPr>
        <w:snapToGrid w:val="0"/>
        <w:spacing w:line="360" w:lineRule="auto"/>
        <w:rPr>
          <w:rFonts w:hint="eastAsia" w:ascii="仿宋" w:hAnsi="仿宋" w:eastAsia="仿宋" w:cs="仿宋"/>
          <w:b/>
          <w:color w:val="FF0000"/>
          <w:lang w:val="en-US" w:eastAsia="zh-CN"/>
        </w:rPr>
      </w:pPr>
    </w:p>
    <w:p>
      <w:pPr>
        <w:snapToGrid w:val="0"/>
        <w:spacing w:line="360" w:lineRule="auto"/>
        <w:rPr>
          <w:rFonts w:hint="eastAsia" w:ascii="仿宋" w:hAnsi="仿宋" w:eastAsia="仿宋" w:cs="仿宋"/>
          <w:b/>
          <w:color w:val="FF0000"/>
          <w:lang w:val="en-US" w:eastAsia="zh-CN"/>
        </w:rPr>
      </w:pPr>
    </w:p>
    <w:p>
      <w:pPr>
        <w:snapToGrid w:val="0"/>
        <w:spacing w:line="360" w:lineRule="auto"/>
        <w:rPr>
          <w:rFonts w:hint="eastAsia" w:ascii="仿宋" w:hAnsi="仿宋" w:eastAsia="仿宋" w:cs="仿宋"/>
          <w:b/>
          <w:color w:val="FF0000"/>
          <w:lang w:val="en-US" w:eastAsia="zh-CN"/>
        </w:rPr>
      </w:pPr>
    </w:p>
    <w:p>
      <w:pPr>
        <w:snapToGrid w:val="0"/>
        <w:spacing w:line="360" w:lineRule="auto"/>
        <w:rPr>
          <w:rFonts w:hint="eastAsia" w:ascii="仿宋" w:hAnsi="仿宋" w:eastAsia="仿宋" w:cs="仿宋"/>
          <w:b/>
          <w:color w:val="FF0000"/>
          <w:lang w:val="en-US" w:eastAsia="zh-CN"/>
        </w:rPr>
      </w:pPr>
    </w:p>
    <w:p>
      <w:pPr>
        <w:snapToGrid w:val="0"/>
        <w:spacing w:line="360" w:lineRule="auto"/>
        <w:rPr>
          <w:rFonts w:hint="eastAsia" w:ascii="仿宋" w:hAnsi="仿宋" w:eastAsia="仿宋" w:cs="仿宋"/>
          <w:b/>
          <w:color w:val="FF0000"/>
          <w:lang w:val="en-US" w:eastAsia="zh-CN"/>
        </w:rPr>
      </w:pPr>
    </w:p>
    <w:p>
      <w:pPr>
        <w:snapToGrid w:val="0"/>
        <w:spacing w:line="360" w:lineRule="auto"/>
        <w:rPr>
          <w:rFonts w:hint="eastAsia" w:ascii="仿宋" w:hAnsi="仿宋" w:eastAsia="仿宋" w:cs="仿宋"/>
          <w:b/>
          <w:color w:val="FF0000"/>
          <w:lang w:val="en-US" w:eastAsia="zh-CN"/>
        </w:rPr>
      </w:pPr>
    </w:p>
    <w:p>
      <w:pPr>
        <w:snapToGrid w:val="0"/>
        <w:spacing w:line="360" w:lineRule="auto"/>
        <w:rPr>
          <w:rFonts w:hint="eastAsia" w:ascii="仿宋" w:hAnsi="仿宋" w:eastAsia="仿宋" w:cs="仿宋"/>
          <w:b/>
          <w:color w:val="FF0000"/>
          <w:lang w:val="en-US" w:eastAsia="zh-CN"/>
        </w:rPr>
      </w:pPr>
    </w:p>
    <w:p>
      <w:pPr>
        <w:snapToGrid w:val="0"/>
        <w:spacing w:line="360" w:lineRule="auto"/>
        <w:rPr>
          <w:rFonts w:hint="eastAsia" w:ascii="仿宋" w:hAnsi="仿宋" w:eastAsia="仿宋" w:cs="仿宋"/>
          <w:b/>
          <w:color w:val="FF0000"/>
          <w:lang w:val="en-US" w:eastAsia="zh-CN"/>
        </w:rPr>
      </w:pPr>
    </w:p>
    <w:p>
      <w:pPr>
        <w:snapToGrid w:val="0"/>
        <w:spacing w:line="360" w:lineRule="auto"/>
        <w:rPr>
          <w:rFonts w:hint="eastAsia" w:ascii="仿宋" w:hAnsi="仿宋" w:eastAsia="仿宋" w:cs="仿宋"/>
          <w:b/>
          <w:color w:val="FF0000"/>
          <w:lang w:val="en-US" w:eastAsia="zh-CN"/>
        </w:rPr>
      </w:pPr>
    </w:p>
    <w:p>
      <w:pPr>
        <w:snapToGrid w:val="0"/>
        <w:spacing w:line="360" w:lineRule="auto"/>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商务及技术文件</w:t>
      </w:r>
    </w:p>
    <w:p>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1、投标函</w:t>
      </w:r>
    </w:p>
    <w:p>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2、开标一览表</w:t>
      </w:r>
    </w:p>
    <w:p>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3、货物说明一览表</w:t>
      </w:r>
    </w:p>
    <w:p>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4、投标分项报价表</w:t>
      </w:r>
    </w:p>
    <w:p>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5、技术规格偏离表</w:t>
      </w:r>
    </w:p>
    <w:p>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6、商务条款偏离表</w:t>
      </w:r>
    </w:p>
    <w:p>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7、投标人基本情况表</w:t>
      </w:r>
    </w:p>
    <w:p>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8、近三年（2019年1月1日至今）类似项目业绩表</w:t>
      </w:r>
    </w:p>
    <w:p>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9、中小企业声明函(货物)</w:t>
      </w:r>
    </w:p>
    <w:p>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10、《残疾人福利性单位声明函》</w:t>
      </w:r>
    </w:p>
    <w:p>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sz w:val="24"/>
          <w:szCs w:val="24"/>
          <w:lang w:val="en-US" w:eastAsia="zh-CN" w:bidi="en-US"/>
        </w:rPr>
      </w:pPr>
      <w:r>
        <w:rPr>
          <w:rFonts w:hint="eastAsia" w:ascii="仿宋" w:hAnsi="仿宋" w:eastAsia="仿宋" w:cs="仿宋"/>
          <w:b/>
          <w:color w:val="auto"/>
          <w:sz w:val="24"/>
          <w:szCs w:val="24"/>
          <w:lang w:val="en-US" w:eastAsia="zh-CN" w:bidi="en-US"/>
        </w:rPr>
        <w:t>11、投标人认为有必要提供的其他证明材料</w:t>
      </w:r>
    </w:p>
    <w:p>
      <w:pPr>
        <w:pStyle w:val="20"/>
      </w:pPr>
    </w:p>
    <w:p>
      <w:pPr>
        <w:pStyle w:val="3"/>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3"/>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3"/>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3"/>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3"/>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3"/>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3"/>
        <w:numPr>
          <w:ilvl w:val="0"/>
          <w:numId w:val="0"/>
        </w:numPr>
        <w:kinsoku w:val="0"/>
        <w:overflowPunct w:val="0"/>
        <w:spacing w:before="130" w:line="355" w:lineRule="auto"/>
        <w:ind w:right="7" w:rightChars="0"/>
        <w:jc w:val="both"/>
        <w:rPr>
          <w:rFonts w:hint="eastAsia" w:ascii="仿宋" w:hAnsi="仿宋" w:eastAsia="仿宋" w:cs="仿宋"/>
          <w:b/>
          <w:bCs/>
          <w:color w:val="auto"/>
          <w:sz w:val="36"/>
          <w:szCs w:val="36"/>
          <w:lang w:val="en-US" w:eastAsia="zh-CN"/>
        </w:rPr>
      </w:pPr>
    </w:p>
    <w:p>
      <w:pPr>
        <w:pStyle w:val="3"/>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lang w:eastAsia="zh-CN"/>
        </w:rPr>
        <w:t>谈判文件</w:t>
      </w:r>
      <w:r>
        <w:rPr>
          <w:rFonts w:hint="eastAsia" w:ascii="仿宋" w:hAnsi="仿宋" w:eastAsia="仿宋" w:cs="仿宋"/>
          <w:color w:val="auto"/>
          <w:kern w:val="0"/>
          <w:sz w:val="24"/>
        </w:rPr>
        <w:t>的全部内容。</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的所有内容，包括澄清、修改文件（如果有）和所有已提供的参考资料以及有关附件，我方完全明白并认为此</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没有倾向性，也不存在排斥潜在报价投标人的内容，我方同意</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的相关条款，放弃对</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提出误解和质疑的一切权力。</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的所有条款要求，并申明如下：</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提供的全部货物与相关服务的投标总价详见《报价一览表》。</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的有效期为投标截止时间起</w:t>
      </w:r>
      <w:r>
        <w:rPr>
          <w:rFonts w:hint="eastAsia" w:ascii="仿宋" w:hAnsi="仿宋" w:eastAsia="仿宋" w:cs="仿宋"/>
          <w:color w:val="auto"/>
          <w:kern w:val="0"/>
          <w:sz w:val="24"/>
          <w:u w:val="single"/>
          <w:lang w:val="en-US" w:eastAsia="zh-CN"/>
        </w:rPr>
        <w:t>60</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）我方如果中标，将保证履行</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及其澄清、修改文件（如果有）中的全部责任和义务，按质、按量、按期完成《招标内容》及《合同书》中的全部任务。</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）如我方被授予合同，我方承诺支付就本次招标应支付或将支付的中标服务费（详见按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要求格式填写的《中标服务费支付承诺书》）。</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中所作的所有承诺承担法律责任。</w:t>
      </w:r>
    </w:p>
    <w:p>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pPr>
        <w:keepNext w:val="0"/>
        <w:keepLines w:val="0"/>
        <w:pageBreakBefore w:val="0"/>
        <w:widowControl w:val="0"/>
        <w:wordWrap w:val="0"/>
        <w:topLinePunct w:val="0"/>
        <w:autoSpaceDE/>
        <w:autoSpaceDN/>
        <w:bidi w:val="0"/>
        <w:adjustRightInd/>
        <w:snapToGrid/>
        <w:spacing w:line="440" w:lineRule="exact"/>
        <w:ind w:firstLine="490"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签字或盖章</w:t>
      </w:r>
      <w:r>
        <w:rPr>
          <w:rFonts w:hint="eastAsia" w:ascii="仿宋" w:hAnsi="仿宋" w:eastAsia="仿宋" w:cs="仿宋"/>
          <w:color w:val="auto"/>
          <w:kern w:val="0"/>
          <w:sz w:val="24"/>
        </w:rPr>
        <w:t xml:space="preserve">）  </w:t>
      </w:r>
    </w:p>
    <w:p>
      <w:pPr>
        <w:keepNext w:val="0"/>
        <w:keepLines w:val="0"/>
        <w:pageBreakBefore w:val="0"/>
        <w:widowControl w:val="0"/>
        <w:wordWrap w:val="0"/>
        <w:topLinePunct w:val="0"/>
        <w:autoSpaceDE/>
        <w:autoSpaceDN/>
        <w:bidi w:val="0"/>
        <w:adjustRightInd/>
        <w:snapToGrid/>
        <w:spacing w:line="440" w:lineRule="exact"/>
        <w:ind w:firstLine="490"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pStyle w:val="20"/>
        <w:rPr>
          <w:rFonts w:hint="eastAsia" w:ascii="仿宋" w:hAnsi="仿宋" w:eastAsia="仿宋" w:cs="仿宋"/>
          <w:color w:val="auto"/>
          <w:sz w:val="24"/>
          <w:highlight w:val="none"/>
        </w:rPr>
      </w:pPr>
      <w:r>
        <w:rPr>
          <w:rFonts w:hint="eastAsia" w:ascii="仿宋" w:hAnsi="仿宋" w:eastAsia="仿宋" w:cs="仿宋"/>
          <w:color w:val="auto"/>
        </w:rPr>
        <w:br w:type="page"/>
      </w:r>
    </w:p>
    <w:p>
      <w:pPr>
        <w:pStyle w:val="8"/>
        <w:shd w:val="clear" w:color="auto" w:fill="auto"/>
        <w:tabs>
          <w:tab w:val="left" w:pos="5580"/>
        </w:tabs>
        <w:spacing w:line="240" w:lineRule="atLeast"/>
        <w:ind w:firstLine="3383"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16"/>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pPr>
              <w:shd w:val="clear" w:color="auto" w:fil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pPr>
              <w:shd w:val="clear" w:color="auto" w:fill="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元</w:t>
            </w:r>
            <w:r>
              <w:rPr>
                <w:rFonts w:hint="eastAsia" w:ascii="仿宋" w:hAnsi="仿宋" w:eastAsia="仿宋" w:cs="仿宋"/>
                <w:color w:val="auto"/>
                <w:szCs w:val="21"/>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trPr>
        <w:tc>
          <w:tcPr>
            <w:tcW w:w="1621" w:type="dxa"/>
            <w:vMerge w:val="continue"/>
            <w:noWrap w:val="0"/>
            <w:vAlign w:val="center"/>
          </w:tcPr>
          <w:p>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bl>
    <w:p>
      <w:pPr>
        <w:shd w:val="clear" w:color="auto" w:fill="auto"/>
        <w:spacing w:line="500" w:lineRule="exact"/>
        <w:ind w:firstLine="479"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pPr>
        <w:shd w:val="clear" w:color="auto" w:fill="auto"/>
        <w:spacing w:line="500" w:lineRule="exact"/>
        <w:ind w:firstLine="479"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1.为方便开标唱标，投标人应将开标一览表单独密封，并在信封上标明“开标一览表”字样，然后在递交</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时单独递交</w:t>
      </w:r>
      <w:r>
        <w:rPr>
          <w:rFonts w:hint="eastAsia" w:ascii="仿宋" w:hAnsi="仿宋" w:eastAsia="仿宋" w:cs="仿宋"/>
          <w:b/>
          <w:bCs/>
          <w:color w:val="auto"/>
          <w:sz w:val="24"/>
          <w:highlight w:val="none"/>
        </w:rPr>
        <w:t>。</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4.必须在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中装订。</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Style w:val="6"/>
        <w:numPr>
          <w:ilvl w:val="0"/>
          <w:numId w:val="0"/>
        </w:numPr>
        <w:shd w:val="clear" w:color="auto" w:fill="auto"/>
        <w:spacing w:before="0" w:line="240" w:lineRule="atLeast"/>
        <w:rPr>
          <w:rFonts w:hint="eastAsia" w:ascii="宋体" w:hAnsi="宋体" w:eastAsia="宋体" w:cs="宋体"/>
          <w:b/>
          <w:bCs/>
          <w:color w:val="auto"/>
          <w:sz w:val="24"/>
          <w:highlight w:val="none"/>
        </w:rPr>
      </w:pPr>
    </w:p>
    <w:p>
      <w:pPr>
        <w:pStyle w:val="6"/>
        <w:numPr>
          <w:ilvl w:val="0"/>
          <w:numId w:val="0"/>
        </w:numPr>
        <w:shd w:val="clear" w:color="auto" w:fill="auto"/>
        <w:spacing w:before="0" w:line="240" w:lineRule="atLeast"/>
        <w:rPr>
          <w:rFonts w:hint="eastAsia" w:ascii="宋体" w:hAnsi="宋体" w:eastAsia="宋体" w:cs="宋体"/>
          <w:b/>
          <w:bCs/>
          <w:color w:val="auto"/>
          <w:sz w:val="24"/>
          <w:highlight w:val="none"/>
        </w:rPr>
      </w:pPr>
    </w:p>
    <w:p>
      <w:pPr>
        <w:pStyle w:val="23"/>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3、货物说明一览表</w:t>
      </w:r>
    </w:p>
    <w:p>
      <w:pPr>
        <w:pStyle w:val="10"/>
        <w:shd w:val="clear" w:color="auto" w:fill="auto"/>
        <w:spacing w:line="240" w:lineRule="atLeast"/>
        <w:ind w:left="1169" w:leftChars="257" w:hanging="540"/>
        <w:rPr>
          <w:rFonts w:hint="eastAsia" w:ascii="仿宋" w:hAnsi="仿宋" w:eastAsia="仿宋" w:cs="仿宋"/>
          <w:color w:val="auto"/>
          <w:sz w:val="24"/>
          <w:highlight w:val="none"/>
        </w:rPr>
      </w:pPr>
    </w:p>
    <w:p>
      <w:pPr>
        <w:pStyle w:val="10"/>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pPr>
        <w:pStyle w:val="10"/>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包号:                      </w:t>
      </w:r>
    </w:p>
    <w:p>
      <w:pPr>
        <w:pStyle w:val="10"/>
        <w:shd w:val="clear" w:color="auto" w:fill="auto"/>
        <w:spacing w:line="240" w:lineRule="atLeast"/>
        <w:ind w:left="1169" w:leftChars="257" w:hanging="540"/>
        <w:rPr>
          <w:rFonts w:hint="eastAsia" w:ascii="仿宋" w:hAnsi="仿宋" w:eastAsia="仿宋" w:cs="仿宋"/>
          <w:color w:val="auto"/>
          <w:sz w:val="24"/>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交货期</w:t>
            </w:r>
          </w:p>
        </w:tc>
        <w:tc>
          <w:tcPr>
            <w:tcW w:w="1250"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690"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bl>
    <w:p>
      <w:pPr>
        <w:pStyle w:val="10"/>
        <w:shd w:val="clear" w:color="auto" w:fill="auto"/>
        <w:spacing w:line="240" w:lineRule="atLeast"/>
        <w:ind w:left="1169" w:leftChars="257" w:hanging="540"/>
        <w:rPr>
          <w:rFonts w:hint="eastAsia" w:ascii="仿宋" w:hAnsi="仿宋" w:eastAsia="仿宋" w:cs="仿宋"/>
          <w:color w:val="auto"/>
          <w:sz w:val="24"/>
          <w:highlight w:val="none"/>
        </w:rPr>
      </w:pPr>
    </w:p>
    <w:p>
      <w:pPr>
        <w:pStyle w:val="10"/>
        <w:shd w:val="clear" w:color="auto" w:fill="auto"/>
        <w:spacing w:line="240" w:lineRule="atLeast"/>
        <w:ind w:left="1169"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p>
    <w:p>
      <w:pPr>
        <w:pStyle w:val="10"/>
        <w:shd w:val="clear" w:color="auto" w:fill="auto"/>
        <w:tabs>
          <w:tab w:val="left" w:pos="5370"/>
        </w:tabs>
        <w:spacing w:line="240" w:lineRule="atLeast"/>
        <w:ind w:left="1169" w:leftChars="257" w:hanging="540"/>
        <w:rPr>
          <w:rFonts w:hint="eastAsia" w:ascii="宋体" w:hAnsi="宋体" w:eastAsia="宋体" w:cs="宋体"/>
          <w:color w:val="auto"/>
          <w:sz w:val="24"/>
          <w:highlight w:val="none"/>
        </w:rPr>
      </w:pPr>
    </w:p>
    <w:p>
      <w:pPr>
        <w:pStyle w:val="10"/>
        <w:shd w:val="clear" w:color="auto" w:fill="auto"/>
        <w:tabs>
          <w:tab w:val="left" w:pos="5370"/>
        </w:tabs>
        <w:spacing w:line="240" w:lineRule="atLeast"/>
        <w:ind w:left="116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pPr>
        <w:pStyle w:val="10"/>
        <w:shd w:val="clear" w:color="auto" w:fill="auto"/>
        <w:spacing w:line="240" w:lineRule="atLeast"/>
        <w:ind w:left="1169" w:leftChars="257" w:hanging="540"/>
        <w:rPr>
          <w:rFonts w:hint="eastAsia" w:ascii="仿宋" w:hAnsi="仿宋" w:eastAsia="仿宋" w:cs="仿宋"/>
          <w:color w:val="auto"/>
          <w:sz w:val="24"/>
          <w:highlight w:val="none"/>
        </w:rPr>
      </w:pPr>
    </w:p>
    <w:p>
      <w:pPr>
        <w:pStyle w:val="10"/>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pPr>
        <w:pStyle w:val="10"/>
        <w:shd w:val="clear" w:color="auto" w:fill="auto"/>
        <w:spacing w:line="240" w:lineRule="atLeast"/>
        <w:ind w:left="1169" w:leftChars="257" w:hanging="540"/>
        <w:jc w:val="center"/>
        <w:rPr>
          <w:rFonts w:hint="eastAsia" w:ascii="仿宋" w:hAnsi="仿宋" w:eastAsia="仿宋" w:cs="仿宋"/>
          <w:color w:val="auto"/>
          <w:sz w:val="24"/>
          <w:highlight w:val="none"/>
        </w:rPr>
      </w:pPr>
    </w:p>
    <w:p>
      <w:pPr>
        <w:pStyle w:val="10"/>
        <w:shd w:val="clear" w:color="auto" w:fill="auto"/>
        <w:spacing w:line="240" w:lineRule="atLeast"/>
        <w:ind w:left="1169" w:leftChars="257" w:hanging="540"/>
        <w:jc w:val="center"/>
        <w:rPr>
          <w:rFonts w:hint="eastAsia" w:ascii="仿宋" w:hAnsi="仿宋" w:eastAsia="仿宋" w:cs="仿宋"/>
          <w:color w:val="auto"/>
          <w:sz w:val="24"/>
          <w:highlight w:val="none"/>
        </w:rPr>
        <w:sectPr>
          <w:footerReference r:id="rId4" w:type="default"/>
          <w:pgSz w:w="11905" w:h="16838"/>
          <w:pgMar w:top="1440" w:right="1417" w:bottom="1440" w:left="1417" w:header="850" w:footer="992" w:gutter="0"/>
          <w:pgNumType w:fmt="decimal"/>
          <w:cols w:space="0" w:num="1"/>
          <w:rtlGutter w:val="0"/>
          <w:docGrid w:type="linesAndChars" w:linePitch="332" w:charSpace="1057"/>
        </w:sectPr>
      </w:pPr>
    </w:p>
    <w:p>
      <w:pPr>
        <w:pStyle w:val="23"/>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i w:val="0"/>
          <w:iCs w:val="0"/>
          <w:color w:val="auto"/>
          <w:spacing w:val="0"/>
          <w:w w:val="100"/>
          <w:position w:val="0"/>
        </w:rPr>
      </w:pPr>
      <w:r>
        <w:rPr>
          <w:rFonts w:hint="eastAsia" w:ascii="仿宋" w:hAnsi="仿宋" w:eastAsia="仿宋" w:cs="仿宋"/>
          <w:b/>
          <w:bCs/>
          <w:i w:val="0"/>
          <w:iCs w:val="0"/>
          <w:color w:val="auto"/>
          <w:spacing w:val="0"/>
          <w:w w:val="100"/>
          <w:position w:val="0"/>
          <w:lang w:val="en-US" w:eastAsia="zh-CN"/>
        </w:rPr>
        <w:t>4</w:t>
      </w:r>
      <w:r>
        <w:rPr>
          <w:rFonts w:hint="eastAsia" w:ascii="仿宋" w:hAnsi="仿宋" w:eastAsia="仿宋" w:cs="仿宋"/>
          <w:b/>
          <w:bCs/>
          <w:i w:val="0"/>
          <w:iCs w:val="0"/>
          <w:color w:val="auto"/>
          <w:spacing w:val="0"/>
          <w:w w:val="100"/>
          <w:position w:val="0"/>
          <w:lang w:eastAsia="zh-CN"/>
        </w:rPr>
        <w:t>、</w:t>
      </w:r>
      <w:r>
        <w:rPr>
          <w:rFonts w:hint="eastAsia" w:ascii="仿宋" w:hAnsi="仿宋" w:eastAsia="仿宋" w:cs="仿宋"/>
          <w:b/>
          <w:bCs/>
          <w:i w:val="0"/>
          <w:iCs w:val="0"/>
          <w:color w:val="auto"/>
          <w:spacing w:val="0"/>
          <w:w w:val="100"/>
          <w:position w:val="0"/>
        </w:rPr>
        <w:t>投标报价明细表</w:t>
      </w:r>
    </w:p>
    <w:p>
      <w:pPr>
        <w:pStyle w:val="8"/>
        <w:tabs>
          <w:tab w:val="left" w:pos="7020"/>
        </w:tabs>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项目名称：</w:t>
      </w:r>
      <w:r>
        <w:rPr>
          <w:rFonts w:hint="eastAsia" w:ascii="仿宋" w:hAnsi="仿宋" w:eastAsia="仿宋" w:cs="仿宋"/>
          <w:color w:val="auto"/>
          <w:sz w:val="24"/>
          <w:highlight w:val="none"/>
        </w:rPr>
        <w:tab/>
      </w:r>
    </w:p>
    <w:p>
      <w:pPr>
        <w:pStyle w:val="8"/>
        <w:tabs>
          <w:tab w:val="left" w:pos="7560"/>
        </w:tabs>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项目编号</w:t>
      </w:r>
      <w:r>
        <w:rPr>
          <w:rFonts w:hint="eastAsia" w:ascii="仿宋" w:hAnsi="仿宋" w:eastAsia="仿宋" w:cs="仿宋"/>
          <w:color w:val="auto"/>
          <w:kern w:val="0"/>
          <w:sz w:val="24"/>
          <w:highlight w:val="none"/>
        </w:rPr>
        <w:t>：</w:t>
      </w:r>
    </w:p>
    <w:tbl>
      <w:tblPr>
        <w:tblStyle w:val="16"/>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15"/>
        <w:gridCol w:w="1216"/>
        <w:gridCol w:w="734"/>
        <w:gridCol w:w="825"/>
        <w:gridCol w:w="1152"/>
        <w:gridCol w:w="1190"/>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18" w:type="pct"/>
            <w:noWrap w:val="0"/>
            <w:vAlign w:val="center"/>
          </w:tcPr>
          <w:p>
            <w:pPr>
              <w:pStyle w:val="10"/>
              <w:spacing w:before="120" w:beforeLines="50"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99" w:type="pct"/>
            <w:noWrap w:val="0"/>
            <w:vAlign w:val="center"/>
          </w:tcPr>
          <w:p>
            <w:pPr>
              <w:pStyle w:val="10"/>
              <w:spacing w:before="120" w:beforeLines="50"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项目名称</w:t>
            </w:r>
          </w:p>
        </w:tc>
        <w:tc>
          <w:tcPr>
            <w:tcW w:w="739" w:type="pct"/>
            <w:noWrap w:val="0"/>
            <w:vAlign w:val="center"/>
          </w:tcPr>
          <w:p>
            <w:pPr>
              <w:pStyle w:val="10"/>
              <w:spacing w:before="120" w:beforeLines="50"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技术要求</w:t>
            </w:r>
          </w:p>
        </w:tc>
        <w:tc>
          <w:tcPr>
            <w:tcW w:w="446" w:type="pct"/>
            <w:noWrap w:val="0"/>
            <w:vAlign w:val="center"/>
          </w:tcPr>
          <w:p>
            <w:pPr>
              <w:pStyle w:val="10"/>
              <w:spacing w:before="120" w:beforeLines="50"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数量</w:t>
            </w:r>
          </w:p>
        </w:tc>
        <w:tc>
          <w:tcPr>
            <w:tcW w:w="501" w:type="pct"/>
            <w:noWrap w:val="0"/>
            <w:vAlign w:val="center"/>
          </w:tcPr>
          <w:p>
            <w:pPr>
              <w:pStyle w:val="10"/>
              <w:spacing w:before="120" w:beforeLines="50"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单位（套）</w:t>
            </w:r>
          </w:p>
        </w:tc>
        <w:tc>
          <w:tcPr>
            <w:tcW w:w="700" w:type="pct"/>
            <w:noWrap w:val="0"/>
            <w:vAlign w:val="center"/>
          </w:tcPr>
          <w:p>
            <w:pPr>
              <w:pStyle w:val="10"/>
              <w:spacing w:before="120" w:beforeLines="50" w:line="36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预算单价（元）</w:t>
            </w:r>
          </w:p>
        </w:tc>
        <w:tc>
          <w:tcPr>
            <w:tcW w:w="723" w:type="pct"/>
            <w:noWrap w:val="0"/>
            <w:vAlign w:val="center"/>
          </w:tcPr>
          <w:p>
            <w:pPr>
              <w:pStyle w:val="10"/>
              <w:spacing w:before="120" w:beforeLines="50"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投标单价（</w:t>
            </w:r>
            <w:r>
              <w:rPr>
                <w:rFonts w:hint="eastAsia" w:ascii="仿宋" w:hAnsi="仿宋" w:eastAsia="仿宋" w:cs="仿宋"/>
                <w:color w:val="auto"/>
                <w:kern w:val="0"/>
                <w:sz w:val="24"/>
                <w:szCs w:val="24"/>
                <w:highlight w:val="none"/>
              </w:rPr>
              <w:t>元）</w:t>
            </w:r>
          </w:p>
        </w:tc>
        <w:tc>
          <w:tcPr>
            <w:tcW w:w="568" w:type="pct"/>
            <w:noWrap w:val="0"/>
            <w:vAlign w:val="center"/>
          </w:tcPr>
          <w:p>
            <w:pPr>
              <w:pStyle w:val="10"/>
              <w:spacing w:before="120" w:beforeLines="50"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9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00"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23"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6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9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00"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23"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6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9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00"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23"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6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1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79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00"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23"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6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00"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23"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6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00"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23"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6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00"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23"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6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00"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23"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6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00"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23"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6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00"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23"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6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00"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723"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c>
          <w:tcPr>
            <w:tcW w:w="568" w:type="pct"/>
            <w:noWrap w:val="0"/>
            <w:vAlign w:val="center"/>
          </w:tcPr>
          <w:p>
            <w:pPr>
              <w:pStyle w:val="10"/>
              <w:spacing w:line="360" w:lineRule="auto"/>
              <w:jc w:val="center"/>
              <w:rPr>
                <w:rFonts w:hint="eastAsia" w:ascii="仿宋" w:hAnsi="仿宋" w:eastAsia="仿宋" w:cs="仿宋"/>
                <w:color w:val="auto"/>
                <w:kern w:val="0"/>
                <w:sz w:val="24"/>
                <w:szCs w:val="24"/>
                <w:highlight w:val="none"/>
              </w:rPr>
            </w:pPr>
          </w:p>
        </w:tc>
      </w:tr>
    </w:tbl>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57" w:lineRule="exact"/>
        <w:ind w:left="176"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说明：</w:t>
      </w:r>
      <w:r>
        <w:rPr>
          <w:rFonts w:hint="eastAsia" w:ascii="仿宋" w:hAnsi="仿宋" w:eastAsia="仿宋" w:cs="仿宋"/>
          <w:color w:val="auto"/>
          <w:spacing w:val="0"/>
          <w:w w:val="100"/>
          <w:position w:val="0"/>
          <w:sz w:val="24"/>
          <w:szCs w:val="24"/>
          <w:lang w:val="en-US" w:eastAsia="en-US" w:bidi="en-US"/>
        </w:rPr>
        <w:t>1.</w:t>
      </w:r>
      <w:r>
        <w:rPr>
          <w:rFonts w:hint="eastAsia" w:ascii="仿宋" w:hAnsi="仿宋" w:eastAsia="仿宋" w:cs="仿宋"/>
          <w:color w:val="auto"/>
          <w:spacing w:val="0"/>
          <w:w w:val="100"/>
          <w:position w:val="0"/>
          <w:sz w:val="24"/>
          <w:szCs w:val="24"/>
        </w:rPr>
        <w:t>所有价格均用人民币表示，单位为元。</w:t>
      </w:r>
    </w:p>
    <w:p>
      <w:pPr>
        <w:pStyle w:val="27"/>
        <w:keepNext w:val="0"/>
        <w:keepLines w:val="0"/>
        <w:pageBreakBefore w:val="0"/>
        <w:widowControl w:val="0"/>
        <w:numPr>
          <w:ilvl w:val="0"/>
          <w:numId w:val="0"/>
        </w:numPr>
        <w:shd w:val="clear" w:color="auto" w:fill="auto"/>
        <w:tabs>
          <w:tab w:val="left" w:pos="378"/>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rPr>
        <w:t>报价总计价格必须与《</w:t>
      </w:r>
      <w:r>
        <w:rPr>
          <w:rFonts w:hint="eastAsia" w:ascii="仿宋" w:hAnsi="仿宋" w:eastAsia="仿宋" w:cs="仿宋"/>
          <w:color w:val="auto"/>
          <w:spacing w:val="0"/>
          <w:w w:val="100"/>
          <w:position w:val="0"/>
          <w:sz w:val="24"/>
          <w:szCs w:val="24"/>
          <w:lang w:eastAsia="zh-CN"/>
        </w:rPr>
        <w:t>投标报价单</w:t>
      </w:r>
      <w:r>
        <w:rPr>
          <w:rFonts w:hint="eastAsia" w:ascii="仿宋" w:hAnsi="仿宋" w:eastAsia="仿宋" w:cs="仿宋"/>
          <w:color w:val="auto"/>
          <w:spacing w:val="0"/>
          <w:w w:val="100"/>
          <w:position w:val="0"/>
          <w:sz w:val="24"/>
          <w:szCs w:val="24"/>
        </w:rPr>
        <w:t>》报价一致。</w:t>
      </w:r>
    </w:p>
    <w:p>
      <w:pPr>
        <w:pStyle w:val="27"/>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3.</w:t>
      </w:r>
      <w:r>
        <w:rPr>
          <w:rFonts w:hint="eastAsia" w:ascii="仿宋" w:hAnsi="仿宋" w:eastAsia="仿宋" w:cs="仿宋"/>
          <w:color w:val="auto"/>
          <w:spacing w:val="0"/>
          <w:w w:val="100"/>
          <w:position w:val="0"/>
          <w:sz w:val="24"/>
          <w:szCs w:val="24"/>
        </w:rPr>
        <w:t>如果不提供详细的分项报价表将被视为没有实质性</w:t>
      </w:r>
      <w:r>
        <w:rPr>
          <w:rFonts w:hint="eastAsia" w:ascii="仿宋" w:hAnsi="仿宋" w:eastAsia="仿宋" w:cs="仿宋"/>
          <w:color w:val="auto"/>
          <w:spacing w:val="0"/>
          <w:w w:val="100"/>
          <w:position w:val="0"/>
          <w:sz w:val="24"/>
          <w:szCs w:val="24"/>
          <w:lang w:eastAsia="zh-CN"/>
        </w:rPr>
        <w:t>响应文件</w:t>
      </w:r>
      <w:r>
        <w:rPr>
          <w:rFonts w:hint="eastAsia" w:ascii="仿宋" w:hAnsi="仿宋" w:eastAsia="仿宋" w:cs="仿宋"/>
          <w:color w:val="auto"/>
          <w:spacing w:val="0"/>
          <w:w w:val="100"/>
          <w:position w:val="0"/>
          <w:sz w:val="24"/>
          <w:szCs w:val="24"/>
        </w:rPr>
        <w:t>。</w:t>
      </w:r>
    </w:p>
    <w:p>
      <w:pPr>
        <w:pStyle w:val="27"/>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4.</w:t>
      </w:r>
      <w:r>
        <w:rPr>
          <w:rFonts w:hint="eastAsia" w:ascii="仿宋" w:hAnsi="仿宋" w:eastAsia="仿宋" w:cs="仿宋"/>
          <w:color w:val="auto"/>
          <w:spacing w:val="0"/>
          <w:w w:val="100"/>
          <w:position w:val="0"/>
          <w:sz w:val="24"/>
          <w:szCs w:val="24"/>
        </w:rPr>
        <w:t>投标人必须按此表格式中的对应栏目内容填写，若需增加栏目，请在栏目</w:t>
      </w:r>
      <w:r>
        <w:rPr>
          <w:rFonts w:hint="eastAsia" w:ascii="仿宋" w:hAnsi="仿宋" w:eastAsia="仿宋" w:cs="仿宋"/>
          <w:color w:val="auto"/>
          <w:spacing w:val="0"/>
          <w:w w:val="100"/>
          <w:position w:val="0"/>
          <w:sz w:val="24"/>
          <w:szCs w:val="24"/>
          <w:lang w:val="zh-CN" w:eastAsia="zh-CN" w:bidi="zh-CN"/>
        </w:rPr>
        <w:t>“其</w:t>
      </w:r>
      <w:r>
        <w:rPr>
          <w:rFonts w:hint="eastAsia" w:ascii="仿宋" w:hAnsi="仿宋" w:eastAsia="仿宋" w:cs="仿宋"/>
          <w:color w:val="auto"/>
          <w:spacing w:val="0"/>
          <w:w w:val="100"/>
          <w:position w:val="0"/>
          <w:sz w:val="24"/>
          <w:szCs w:val="24"/>
        </w:rPr>
        <w:t>它”中填写，并作详细说明。</w:t>
      </w:r>
    </w:p>
    <w:p>
      <w:pPr>
        <w:pStyle w:val="27"/>
        <w:keepNext w:val="0"/>
        <w:keepLines w:val="0"/>
        <w:pageBreakBefore w:val="0"/>
        <w:widowControl w:val="0"/>
        <w:numPr>
          <w:ilvl w:val="0"/>
          <w:numId w:val="0"/>
        </w:numPr>
        <w:shd w:val="clear" w:color="auto" w:fill="auto"/>
        <w:tabs>
          <w:tab w:val="left" w:pos="493"/>
        </w:tabs>
        <w:kinsoku/>
        <w:wordWrap/>
        <w:overflowPunct/>
        <w:topLinePunct w:val="0"/>
        <w:autoSpaceDE/>
        <w:autoSpaceDN/>
        <w:bidi w:val="0"/>
        <w:adjustRightInd/>
        <w:snapToGrid/>
        <w:spacing w:before="0" w:after="0" w:line="357" w:lineRule="exact"/>
        <w:ind w:left="176" w:leftChars="0" w:right="0" w:rightChars="0"/>
        <w:jc w:val="left"/>
        <w:textAlignment w:val="auto"/>
        <w:rPr>
          <w:rFonts w:hint="eastAsia" w:ascii="仿宋" w:hAnsi="仿宋" w:eastAsia="仿宋" w:cs="仿宋"/>
          <w:color w:val="auto"/>
          <w:spacing w:val="0"/>
          <w:w w:val="100"/>
          <w:position w:val="0"/>
          <w:sz w:val="24"/>
          <w:szCs w:val="24"/>
        </w:rPr>
      </w:pPr>
    </w:p>
    <w:p>
      <w:pPr>
        <w:pStyle w:val="27"/>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0"/>
          <w:szCs w:val="20"/>
        </w:rPr>
      </w:pPr>
    </w:p>
    <w:p>
      <w:pPr>
        <w:pStyle w:val="3"/>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pPr>
        <w:pStyle w:val="3"/>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pPr>
        <w:pStyle w:val="3"/>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3"/>
        <w:numPr>
          <w:ilvl w:val="0"/>
          <w:numId w:val="0"/>
        </w:numPr>
        <w:ind w:left="360" w:leftChars="0"/>
        <w:rPr>
          <w:rFonts w:hint="eastAsia"/>
        </w:rPr>
      </w:pPr>
    </w:p>
    <w:p>
      <w:pPr>
        <w:pStyle w:val="2"/>
        <w:rPr>
          <w:rFonts w:hint="eastAsia"/>
          <w:lang w:val="en-US" w:eastAsia="zh-CN"/>
        </w:rPr>
      </w:pPr>
    </w:p>
    <w:p>
      <w:pPr>
        <w:pStyle w:val="23"/>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5、技术条款偏离表</w:t>
      </w:r>
    </w:p>
    <w:tbl>
      <w:tblPr>
        <w:tblStyle w:val="16"/>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条目号</w:t>
            </w:r>
          </w:p>
        </w:tc>
        <w:tc>
          <w:tcPr>
            <w:tcW w:w="1326"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要求规格</w:t>
            </w:r>
          </w:p>
        </w:tc>
        <w:tc>
          <w:tcPr>
            <w:tcW w:w="1326"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auto"/>
                <w:sz w:val="24"/>
                <w:szCs w:val="24"/>
              </w:rPr>
            </w:pPr>
          </w:p>
        </w:tc>
        <w:tc>
          <w:tcPr>
            <w:tcW w:w="1357"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1327" w:type="dxa"/>
            <w:noWrap w:val="0"/>
            <w:vAlign w:val="top"/>
          </w:tcPr>
          <w:p>
            <w:pPr>
              <w:jc w:val="center"/>
              <w:rPr>
                <w:rFonts w:hint="eastAsia" w:ascii="仿宋" w:hAnsi="仿宋" w:eastAsia="仿宋" w:cs="仿宋"/>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auto"/>
                <w:sz w:val="24"/>
                <w:szCs w:val="24"/>
              </w:rPr>
            </w:pPr>
          </w:p>
        </w:tc>
        <w:tc>
          <w:tcPr>
            <w:tcW w:w="1357"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auto"/>
                <w:sz w:val="24"/>
                <w:szCs w:val="24"/>
              </w:rPr>
            </w:pPr>
          </w:p>
        </w:tc>
        <w:tc>
          <w:tcPr>
            <w:tcW w:w="1357"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auto"/>
                <w:sz w:val="24"/>
                <w:szCs w:val="24"/>
              </w:rPr>
            </w:pPr>
          </w:p>
        </w:tc>
        <w:tc>
          <w:tcPr>
            <w:tcW w:w="1357"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auto"/>
                <w:sz w:val="24"/>
                <w:szCs w:val="24"/>
              </w:rPr>
            </w:pPr>
          </w:p>
        </w:tc>
        <w:tc>
          <w:tcPr>
            <w:tcW w:w="1357"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r>
    </w:tbl>
    <w:p>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第四章“技术标准和要求”中的要求，有差异的，则在此表中列明实际响应的内容提要并加以说明，以便查对。本表包括所有的技术响应及差异。无差异说明表示完全响应。</w:t>
      </w:r>
    </w:p>
    <w:p>
      <w:pPr>
        <w:pStyle w:val="10"/>
        <w:tabs>
          <w:tab w:val="left" w:pos="5580"/>
        </w:tabs>
        <w:spacing w:line="360" w:lineRule="auto"/>
        <w:ind w:firstLine="3120" w:firstLineChars="1300"/>
        <w:rPr>
          <w:rFonts w:hint="eastAsia" w:ascii="仿宋" w:hAnsi="仿宋" w:eastAsia="仿宋" w:cs="仿宋"/>
          <w:color w:val="auto"/>
          <w:sz w:val="24"/>
        </w:rPr>
      </w:pPr>
    </w:p>
    <w:p>
      <w:pPr>
        <w:pStyle w:val="10"/>
        <w:tabs>
          <w:tab w:val="left" w:pos="5580"/>
        </w:tabs>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pStyle w:val="10"/>
        <w:tabs>
          <w:tab w:val="left" w:pos="5580"/>
        </w:tabs>
        <w:spacing w:line="360" w:lineRule="auto"/>
        <w:ind w:firstLine="3120"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（签字或盖章）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pPr>
        <w:pStyle w:val="7"/>
        <w:rPr>
          <w:rFonts w:hint="eastAsia" w:ascii="仿宋" w:hAnsi="仿宋" w:eastAsia="仿宋" w:cs="仿宋"/>
          <w:b/>
          <w:bCs/>
          <w:color w:val="auto"/>
          <w:sz w:val="36"/>
          <w:szCs w:val="36"/>
        </w:rPr>
      </w:pPr>
    </w:p>
    <w:p>
      <w:pPr>
        <w:rPr>
          <w:rFonts w:hint="eastAsia" w:ascii="仿宋" w:hAnsi="仿宋" w:eastAsia="仿宋" w:cs="仿宋"/>
          <w:color w:val="auto"/>
        </w:rPr>
      </w:pPr>
    </w:p>
    <w:p>
      <w:pPr>
        <w:pStyle w:val="2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2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2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2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2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24"/>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36"/>
          <w:szCs w:val="36"/>
          <w:lang w:eastAsia="zh-CN"/>
        </w:rPr>
      </w:pPr>
    </w:p>
    <w:p>
      <w:pPr>
        <w:pStyle w:val="2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pPr>
        <w:pStyle w:val="2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6</w:t>
      </w:r>
      <w:r>
        <w:rPr>
          <w:rFonts w:hint="eastAsia" w:ascii="仿宋" w:hAnsi="仿宋" w:eastAsia="仿宋" w:cs="仿宋"/>
          <w:b/>
          <w:bCs/>
          <w:color w:val="auto"/>
          <w:spacing w:val="0"/>
          <w:w w:val="100"/>
          <w:position w:val="0"/>
          <w:sz w:val="36"/>
          <w:szCs w:val="36"/>
        </w:rPr>
        <w:t>、</w:t>
      </w:r>
      <w:r>
        <w:rPr>
          <w:rFonts w:hint="eastAsia" w:ascii="仿宋" w:hAnsi="仿宋" w:eastAsia="仿宋" w:cs="仿宋"/>
          <w:b/>
          <w:bCs/>
          <w:color w:val="auto"/>
          <w:spacing w:val="0"/>
          <w:w w:val="100"/>
          <w:position w:val="0"/>
          <w:sz w:val="36"/>
          <w:szCs w:val="36"/>
          <w:lang w:eastAsia="zh-CN"/>
        </w:rPr>
        <w:t>商务条款偏离表</w:t>
      </w:r>
    </w:p>
    <w:tbl>
      <w:tblPr>
        <w:tblStyle w:val="1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谈判文件条款号</w:t>
            </w:r>
          </w:p>
        </w:tc>
        <w:tc>
          <w:tcPr>
            <w:tcW w:w="2477"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谈判文件的商务条款</w:t>
            </w:r>
          </w:p>
        </w:tc>
        <w:tc>
          <w:tcPr>
            <w:tcW w:w="2454"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响应文件的商务条款</w:t>
            </w:r>
          </w:p>
        </w:tc>
        <w:tc>
          <w:tcPr>
            <w:tcW w:w="1130"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bl>
    <w:p>
      <w:pPr>
        <w:rPr>
          <w:rFonts w:hint="eastAsia" w:ascii="仿宋" w:hAnsi="仿宋" w:eastAsia="仿宋" w:cs="仿宋"/>
          <w:color w:val="auto"/>
          <w:spacing w:val="-1"/>
          <w:kern w:val="0"/>
          <w:sz w:val="24"/>
        </w:rPr>
      </w:pPr>
    </w:p>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pPr>
        <w:pStyle w:val="3"/>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rPr>
      </w:pPr>
    </w:p>
    <w:p>
      <w:pPr>
        <w:pStyle w:val="3"/>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rPr>
      </w:pPr>
    </w:p>
    <w:p>
      <w:pPr>
        <w:pStyle w:val="3"/>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pPr>
        <w:pStyle w:val="3"/>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pPr>
        <w:pStyle w:val="3"/>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pPr>
        <w:pStyle w:val="2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pPr>
        <w:pStyle w:val="2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2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pPr>
        <w:pStyle w:val="25"/>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pPr>
        <w:pStyle w:val="25"/>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pPr>
        <w:pStyle w:val="25"/>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pPr>
        <w:pStyle w:val="25"/>
        <w:keepNext w:val="0"/>
        <w:keepLines w:val="0"/>
        <w:widowControl w:val="0"/>
        <w:shd w:val="clear" w:color="auto" w:fill="auto"/>
        <w:tabs>
          <w:tab w:val="left" w:pos="826"/>
        </w:tabs>
        <w:bidi w:val="0"/>
        <w:spacing w:before="0" w:after="0" w:line="470" w:lineRule="exact"/>
        <w:ind w:left="0" w:leftChars="0" w:right="0" w:firstLine="0" w:firstLineChars="0"/>
        <w:jc w:val="both"/>
        <w:rPr>
          <w:rFonts w:hint="eastAsia" w:ascii="仿宋" w:hAnsi="仿宋" w:eastAsia="仿宋" w:cs="仿宋"/>
          <w:color w:val="auto"/>
          <w:spacing w:val="0"/>
          <w:w w:val="100"/>
          <w:position w:val="0"/>
          <w:sz w:val="21"/>
          <w:szCs w:val="21"/>
        </w:rPr>
      </w:pPr>
    </w:p>
    <w:p>
      <w:pPr>
        <w:pStyle w:val="2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pPr>
        <w:pStyle w:val="2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7、投标人基本情况表</w:t>
      </w:r>
    </w:p>
    <w:p>
      <w:pPr>
        <w:pStyle w:val="3"/>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16"/>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4"/>
              <w:rPr>
                <w:rFonts w:hint="eastAsia" w:ascii="仿宋" w:hAnsi="仿宋" w:eastAsia="仿宋" w:cs="仿宋"/>
                <w:b/>
                <w:bCs/>
                <w:color w:val="auto"/>
                <w:sz w:val="20"/>
                <w:szCs w:val="20"/>
              </w:rPr>
            </w:pPr>
          </w:p>
          <w:p>
            <w:pPr>
              <w:pStyle w:val="28"/>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4"/>
              <w:rPr>
                <w:rFonts w:hint="eastAsia" w:ascii="仿宋" w:hAnsi="仿宋" w:eastAsia="仿宋" w:cs="仿宋"/>
                <w:b/>
                <w:bCs/>
                <w:color w:val="auto"/>
                <w:sz w:val="20"/>
                <w:szCs w:val="20"/>
              </w:rPr>
            </w:pPr>
          </w:p>
          <w:p>
            <w:pPr>
              <w:pStyle w:val="28"/>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rPr>
                <w:rFonts w:hint="eastAsia" w:ascii="仿宋" w:hAnsi="仿宋" w:eastAsia="仿宋" w:cs="仿宋"/>
                <w:b/>
                <w:bCs/>
                <w:color w:val="auto"/>
              </w:rPr>
            </w:pPr>
          </w:p>
          <w:p>
            <w:pPr>
              <w:pStyle w:val="28"/>
              <w:kinsoku w:val="0"/>
              <w:overflowPunct w:val="0"/>
              <w:rPr>
                <w:rFonts w:hint="eastAsia" w:ascii="仿宋" w:hAnsi="仿宋" w:eastAsia="仿宋" w:cs="仿宋"/>
                <w:b/>
                <w:bCs/>
                <w:color w:val="auto"/>
              </w:rPr>
            </w:pPr>
          </w:p>
          <w:p>
            <w:pPr>
              <w:pStyle w:val="28"/>
              <w:kinsoku w:val="0"/>
              <w:overflowPunct w:val="0"/>
              <w:rPr>
                <w:rFonts w:hint="eastAsia" w:ascii="仿宋" w:hAnsi="仿宋" w:eastAsia="仿宋" w:cs="仿宋"/>
                <w:b/>
                <w:bCs/>
                <w:color w:val="auto"/>
              </w:rPr>
            </w:pPr>
          </w:p>
          <w:p>
            <w:pPr>
              <w:pStyle w:val="28"/>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28"/>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28"/>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28"/>
              <w:kinsoku w:val="0"/>
              <w:overflowPunct w:val="0"/>
              <w:spacing w:before="1"/>
              <w:rPr>
                <w:rFonts w:hint="eastAsia" w:ascii="仿宋" w:hAnsi="仿宋" w:eastAsia="仿宋" w:cs="仿宋"/>
                <w:b/>
                <w:bCs/>
                <w:color w:val="auto"/>
                <w:sz w:val="23"/>
                <w:szCs w:val="23"/>
              </w:rPr>
            </w:pPr>
          </w:p>
          <w:p>
            <w:pPr>
              <w:pStyle w:val="28"/>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bl>
    <w:p>
      <w:pPr>
        <w:pStyle w:val="25"/>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25"/>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25"/>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25"/>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25"/>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25"/>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25"/>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25"/>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pPr>
        <w:pStyle w:val="3"/>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w w:val="90"/>
          <w:lang w:eastAsia="zh-CN"/>
        </w:rPr>
      </w:pPr>
      <w:r>
        <w:rPr>
          <w:rFonts w:hint="eastAsia" w:ascii="仿宋" w:hAnsi="仿宋" w:eastAsia="仿宋" w:cs="仿宋"/>
          <w:b w:val="0"/>
          <w:bCs/>
          <w:color w:val="auto"/>
          <w:kern w:val="0"/>
          <w:sz w:val="36"/>
          <w:szCs w:val="36"/>
          <w:lang w:val="en-US" w:eastAsia="zh-CN"/>
        </w:rPr>
        <w:t>8、</w:t>
      </w:r>
      <w:r>
        <w:rPr>
          <w:rFonts w:hint="eastAsia" w:ascii="仿宋" w:hAnsi="仿宋" w:eastAsia="仿宋" w:cs="仿宋"/>
          <w:b/>
          <w:bCs/>
          <w:color w:val="auto"/>
          <w:w w:val="90"/>
          <w:sz w:val="36"/>
          <w:szCs w:val="36"/>
        </w:rPr>
        <w:t>近三年（20</w:t>
      </w:r>
      <w:r>
        <w:rPr>
          <w:rFonts w:hint="eastAsia" w:ascii="仿宋" w:hAnsi="仿宋" w:eastAsia="仿宋" w:cs="仿宋"/>
          <w:b/>
          <w:bCs/>
          <w:color w:val="auto"/>
          <w:w w:val="90"/>
          <w:sz w:val="36"/>
          <w:szCs w:val="36"/>
          <w:lang w:val="en-US" w:eastAsia="zh-CN"/>
        </w:rPr>
        <w:t>19</w:t>
      </w:r>
      <w:r>
        <w:rPr>
          <w:rFonts w:hint="eastAsia" w:ascii="仿宋" w:hAnsi="仿宋" w:eastAsia="仿宋" w:cs="仿宋"/>
          <w:b/>
          <w:bCs/>
          <w:color w:val="auto"/>
          <w:w w:val="90"/>
          <w:sz w:val="36"/>
          <w:szCs w:val="36"/>
        </w:rPr>
        <w:t>年1月1日至今）类似项目业绩</w:t>
      </w:r>
      <w:r>
        <w:rPr>
          <w:rFonts w:hint="eastAsia" w:ascii="仿宋" w:hAnsi="仿宋" w:eastAsia="仿宋" w:cs="仿宋"/>
          <w:b/>
          <w:bCs/>
          <w:color w:val="auto"/>
          <w:w w:val="90"/>
          <w:sz w:val="36"/>
          <w:szCs w:val="36"/>
          <w:lang w:eastAsia="zh-CN"/>
        </w:rPr>
        <w:t>表</w:t>
      </w:r>
    </w:p>
    <w:p>
      <w:pPr>
        <w:pStyle w:val="3"/>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16"/>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pPr>
              <w:pStyle w:val="2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shd w:val="clear" w:color="auto" w:fill="FFFFFF"/>
            <w:vAlign w:val="center"/>
          </w:tcPr>
          <w:p>
            <w:pPr>
              <w:pStyle w:val="26"/>
              <w:keepNext w:val="0"/>
              <w:keepLines w:val="0"/>
              <w:widowControl w:val="0"/>
              <w:shd w:val="clear" w:color="auto" w:fill="auto"/>
              <w:bidi w:val="0"/>
              <w:spacing w:before="120" w:after="0" w:line="240" w:lineRule="auto"/>
              <w:ind w:left="0" w:leftChars="0" w:right="0" w:firstLine="0" w:firstLineChars="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项目单位名称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shd w:val="clear" w:color="auto" w:fill="FFFFFF"/>
            <w:vAlign w:val="center"/>
          </w:tcPr>
          <w:p>
            <w:pPr>
              <w:pStyle w:val="26"/>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pPr>
              <w:pStyle w:val="2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合同金额</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center"/>
          </w:tcPr>
          <w:p>
            <w:pPr>
              <w:pStyle w:val="26"/>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center"/>
          </w:tcPr>
          <w:p>
            <w:pPr>
              <w:pStyle w:val="26"/>
              <w:keepNext w:val="0"/>
              <w:keepLines w:val="0"/>
              <w:widowControl w:val="0"/>
              <w:shd w:val="clear" w:color="auto" w:fill="auto"/>
              <w:bidi w:val="0"/>
              <w:spacing w:before="120" w:after="0" w:line="240" w:lineRule="auto"/>
              <w:ind w:left="0" w:leftChars="0" w:right="0" w:firstLine="0" w:firstLineChars="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项目实施时间</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26"/>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 w:hAnsi="仿宋" w:eastAsia="仿宋" w:cs="仿宋"/>
                <w:color w:val="auto"/>
                <w:sz w:val="10"/>
                <w:szCs w:val="10"/>
              </w:rPr>
            </w:pPr>
          </w:p>
        </w:tc>
      </w:tr>
    </w:tbl>
    <w:p>
      <w:pPr>
        <w:rPr>
          <w:rFonts w:hint="eastAsia" w:ascii="仿宋" w:hAnsi="仿宋" w:eastAsia="仿宋" w:cs="仿宋"/>
          <w:color w:val="auto"/>
          <w:spacing w:val="-1"/>
          <w:kern w:val="0"/>
          <w:sz w:val="24"/>
        </w:rPr>
      </w:pPr>
    </w:p>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注：每个</w:t>
      </w:r>
      <w:r>
        <w:rPr>
          <w:rFonts w:hint="eastAsia" w:ascii="仿宋" w:hAnsi="仿宋" w:eastAsia="仿宋" w:cs="仿宋"/>
          <w:color w:val="auto"/>
          <w:spacing w:val="-1"/>
          <w:kern w:val="0"/>
          <w:sz w:val="24"/>
          <w:lang w:eastAsia="zh-CN"/>
        </w:rPr>
        <w:t>业绩</w:t>
      </w:r>
      <w:r>
        <w:rPr>
          <w:rFonts w:hint="eastAsia" w:ascii="仿宋" w:hAnsi="仿宋" w:eastAsia="仿宋" w:cs="仿宋"/>
          <w:color w:val="auto"/>
          <w:spacing w:val="-1"/>
          <w:kern w:val="0"/>
          <w:sz w:val="24"/>
        </w:rPr>
        <w:t>须单独附表，并附上</w:t>
      </w:r>
      <w:r>
        <w:rPr>
          <w:rFonts w:hint="eastAsia" w:ascii="仿宋" w:hAnsi="仿宋" w:eastAsia="仿宋" w:cs="仿宋"/>
          <w:color w:val="auto"/>
          <w:spacing w:val="-1"/>
          <w:kern w:val="0"/>
          <w:sz w:val="24"/>
          <w:lang w:eastAsia="zh-CN"/>
        </w:rPr>
        <w:t>合同和中标通知书</w:t>
      </w:r>
      <w:r>
        <w:rPr>
          <w:rFonts w:hint="eastAsia" w:ascii="仿宋" w:hAnsi="仿宋" w:eastAsia="仿宋" w:cs="仿宋"/>
          <w:color w:val="auto"/>
          <w:spacing w:val="-1"/>
          <w:kern w:val="0"/>
          <w:sz w:val="24"/>
        </w:rPr>
        <w:t>相关证明材料，否则专家在评审时将不予采信。</w:t>
      </w:r>
    </w:p>
    <w:p>
      <w:pPr>
        <w:pStyle w:val="3"/>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pPr>
        <w:pStyle w:val="3"/>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pPr>
        <w:pStyle w:val="3"/>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pPr>
        <w:pStyle w:val="3"/>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pPr>
        <w:pStyle w:val="3"/>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pPr>
        <w:pStyle w:val="3"/>
        <w:numPr>
          <w:ilvl w:val="0"/>
          <w:numId w:val="0"/>
        </w:numPr>
        <w:tabs>
          <w:tab w:val="left" w:pos="5551"/>
          <w:tab w:val="left" w:pos="6511"/>
          <w:tab w:val="left" w:pos="7111"/>
          <w:tab w:val="left" w:pos="7711"/>
          <w:tab w:val="clear" w:pos="780"/>
        </w:tabs>
        <w:kinsoku w:val="0"/>
        <w:overflowPunct w:val="0"/>
        <w:spacing w:before="46"/>
        <w:ind w:right="0" w:rightChars="0" w:firstLine="4320" w:firstLineChars="180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24"/>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both"/>
        <w:rPr>
          <w:rFonts w:hint="default"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bCs w:val="0"/>
          <w:color w:val="auto"/>
          <w:kern w:val="0"/>
          <w:sz w:val="36"/>
          <w:szCs w:val="36"/>
          <w:lang w:val="en-US" w:eastAsia="zh-CN"/>
        </w:rPr>
      </w:pPr>
    </w:p>
    <w:p>
      <w:pPr>
        <w:shd w:val="clear" w:color="auto" w:fill="auto"/>
        <w:spacing w:line="360" w:lineRule="auto"/>
        <w:jc w:val="center"/>
        <w:rPr>
          <w:rFonts w:hint="eastAsia" w:ascii="仿宋" w:hAnsi="仿宋" w:eastAsia="仿宋" w:cs="仿宋"/>
          <w:b/>
          <w:bCs w:val="0"/>
          <w:color w:val="auto"/>
          <w:kern w:val="0"/>
          <w:sz w:val="36"/>
          <w:szCs w:val="36"/>
        </w:rPr>
      </w:pPr>
      <w:r>
        <w:rPr>
          <w:rFonts w:hint="eastAsia" w:ascii="仿宋" w:hAnsi="仿宋" w:eastAsia="仿宋" w:cs="仿宋"/>
          <w:b/>
          <w:bCs w:val="0"/>
          <w:color w:val="auto"/>
          <w:kern w:val="0"/>
          <w:sz w:val="36"/>
          <w:szCs w:val="36"/>
          <w:lang w:val="en-US" w:eastAsia="zh-CN"/>
        </w:rPr>
        <w:t>9</w:t>
      </w:r>
      <w:r>
        <w:rPr>
          <w:rFonts w:hint="eastAsia" w:ascii="仿宋" w:hAnsi="仿宋" w:eastAsia="仿宋" w:cs="仿宋"/>
          <w:b/>
          <w:bCs w:val="0"/>
          <w:color w:val="auto"/>
          <w:kern w:val="0"/>
          <w:sz w:val="36"/>
          <w:szCs w:val="36"/>
        </w:rPr>
        <w:t>、中小企业声明函(</w:t>
      </w:r>
      <w:r>
        <w:rPr>
          <w:rFonts w:hint="eastAsia" w:ascii="仿宋" w:hAnsi="仿宋" w:eastAsia="仿宋" w:cs="仿宋"/>
          <w:b/>
          <w:bCs w:val="0"/>
          <w:color w:val="auto"/>
          <w:kern w:val="0"/>
          <w:sz w:val="36"/>
          <w:szCs w:val="36"/>
          <w:lang w:eastAsia="zh-CN"/>
        </w:rPr>
        <w:t>货物</w:t>
      </w:r>
      <w:r>
        <w:rPr>
          <w:rFonts w:hint="eastAsia" w:ascii="仿宋" w:hAnsi="仿宋" w:eastAsia="仿宋" w:cs="仿宋"/>
          <w:b/>
          <w:bCs w:val="0"/>
          <w:color w:val="auto"/>
          <w:kern w:val="0"/>
          <w:sz w:val="36"/>
          <w:szCs w:val="36"/>
        </w:rPr>
        <w:t>)</w:t>
      </w:r>
    </w:p>
    <w:p>
      <w:pPr>
        <w:ind w:left="1280"/>
        <w:rPr>
          <w:rFonts w:hint="eastAsia" w:ascii="仿宋" w:hAnsi="仿宋" w:eastAsia="仿宋" w:cs="仿宋"/>
          <w:color w:val="auto"/>
          <w:sz w:val="32"/>
          <w:szCs w:val="32"/>
        </w:rPr>
      </w:pP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本公司（联合体）郑重声明，根据《政府采购促进中小企业发展管理办法》</w:t>
      </w:r>
      <w:r>
        <w:rPr>
          <w:rFonts w:hint="eastAsia" w:ascii="仿宋" w:hAnsi="仿宋" w:eastAsia="仿宋" w:cs="仿宋"/>
          <w:color w:val="auto"/>
          <w:kern w:val="0"/>
          <w:sz w:val="24"/>
          <w:szCs w:val="24"/>
          <w:lang w:eastAsia="zh-CN"/>
        </w:rPr>
        <w:t>（财库[2020]46号）</w:t>
      </w:r>
      <w:r>
        <w:rPr>
          <w:rFonts w:hint="eastAsia" w:ascii="仿宋" w:hAnsi="仿宋" w:eastAsia="仿宋" w:cs="仿宋"/>
          <w:color w:val="auto"/>
          <w:kern w:val="0"/>
          <w:sz w:val="24"/>
          <w:szCs w:val="24"/>
        </w:rPr>
        <w:t>的规定，本公司（联合体）参加（单位名称）的（项目名称）采购活动，提供的货物全部由符合政策要求的中小企业制造。相关企业（含联合体中的中小企业、签订分包意向协议的中小企业）的具体情况如下：</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1.（标的名称），属于</w:t>
      </w:r>
      <w:r>
        <w:rPr>
          <w:rFonts w:hint="eastAsia" w:ascii="仿宋" w:hAnsi="仿宋" w:eastAsia="仿宋" w:cs="仿宋"/>
          <w:color w:val="auto"/>
          <w:kern w:val="0"/>
          <w:sz w:val="24"/>
          <w:szCs w:val="24"/>
          <w:u w:val="single"/>
          <w:lang w:val="en-US" w:eastAsia="zh-CN"/>
        </w:rPr>
        <w:t xml:space="preserve"> 批发业 </w:t>
      </w:r>
      <w:r>
        <w:rPr>
          <w:rFonts w:hint="eastAsia" w:ascii="仿宋" w:hAnsi="仿宋" w:eastAsia="仿宋" w:cs="仿宋"/>
          <w:color w:val="auto"/>
          <w:kern w:val="0"/>
          <w:sz w:val="24"/>
          <w:szCs w:val="24"/>
        </w:rPr>
        <w:t>（采购文件中明确的所属行业）；制造商为</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（企业名称），从业人员</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人，营业收入为</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万元，资产总额为</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万元，属于（中型企业、小型企业、微型企业）；</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 （标的名称），属于</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（采购文件中明确的所属行业）；制造商为</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（企业名称），从业人员</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人，营业收入为</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万元，资产总额为</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万元，属于（中型企业、小型企业、微型企业）；</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以上企业，不属于大企业的分支机构，不存在控股股东为大企业的情形，也不存在与大企业的负责人为同一人的情形。</w:t>
      </w:r>
    </w:p>
    <w:p>
      <w:pPr>
        <w:shd w:val="clear" w:color="auto" w:fill="auto"/>
        <w:spacing w:line="360" w:lineRule="auto"/>
        <w:ind w:firstLine="480" w:firstLineChars="200"/>
        <w:rPr>
          <w:rFonts w:hint="eastAsia" w:ascii="仿宋" w:hAnsi="仿宋" w:eastAsia="仿宋" w:cs="仿宋"/>
          <w:color w:val="auto"/>
          <w:kern w:val="0"/>
          <w:sz w:val="24"/>
          <w:szCs w:val="24"/>
        </w:rPr>
      </w:pP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本企业对上述声明内容的真实性负责。如有虚假，将依法承担相应责任。</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pPr>
        <w:shd w:val="clear" w:color="auto" w:fill="auto"/>
        <w:spacing w:line="360" w:lineRule="auto"/>
        <w:ind w:firstLine="480" w:firstLineChars="200"/>
        <w:rPr>
          <w:rFonts w:hint="eastAsia" w:ascii="仿宋" w:hAnsi="仿宋" w:eastAsia="仿宋" w:cs="仿宋"/>
          <w:color w:val="auto"/>
          <w:kern w:val="0"/>
          <w:sz w:val="24"/>
          <w:szCs w:val="24"/>
        </w:rPr>
      </w:pPr>
    </w:p>
    <w:p>
      <w:pPr>
        <w:shd w:val="clear" w:color="auto" w:fill="auto"/>
        <w:spacing w:line="360" w:lineRule="auto"/>
        <w:ind w:firstLine="4560" w:firstLineChars="19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企业名称（盖章）：</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日期：</w:t>
      </w: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3"/>
        <w:rPr>
          <w:rFonts w:hint="eastAsia"/>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tabs>
          <w:tab w:val="left" w:pos="3600"/>
        </w:tabs>
        <w:adjustRightInd w:val="0"/>
        <w:snapToGrid w:val="0"/>
        <w:spacing w:line="440" w:lineRule="exact"/>
        <w:jc w:val="both"/>
        <w:rPr>
          <w:rFonts w:hint="eastAsia" w:ascii="仿宋" w:hAnsi="仿宋" w:eastAsia="仿宋" w:cs="仿宋"/>
          <w:color w:val="auto"/>
          <w:spacing w:val="0"/>
          <w:w w:val="100"/>
          <w:position w:val="0"/>
          <w:sz w:val="36"/>
          <w:szCs w:val="36"/>
          <w:lang w:val="en-US" w:eastAsia="zh-CN"/>
        </w:rPr>
      </w:pPr>
    </w:p>
    <w:p>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rPr>
      </w:pPr>
      <w:r>
        <w:rPr>
          <w:rFonts w:hint="eastAsia" w:ascii="仿宋" w:hAnsi="仿宋" w:eastAsia="仿宋" w:cs="仿宋"/>
          <w:color w:val="auto"/>
          <w:spacing w:val="0"/>
          <w:w w:val="100"/>
          <w:position w:val="0"/>
          <w:sz w:val="36"/>
          <w:szCs w:val="36"/>
          <w:lang w:val="en-US" w:eastAsia="zh-CN"/>
        </w:rPr>
        <w:t>10</w:t>
      </w:r>
      <w:r>
        <w:rPr>
          <w:rFonts w:hint="eastAsia" w:ascii="仿宋" w:hAnsi="仿宋" w:eastAsia="仿宋" w:cs="仿宋"/>
          <w:color w:val="auto"/>
          <w:spacing w:val="0"/>
          <w:w w:val="100"/>
          <w:position w:val="0"/>
          <w:sz w:val="36"/>
          <w:szCs w:val="36"/>
          <w:lang w:eastAsia="zh-CN"/>
        </w:rPr>
        <w:t>、</w:t>
      </w:r>
      <w:r>
        <w:rPr>
          <w:rFonts w:hint="eastAsia" w:ascii="仿宋" w:hAnsi="仿宋" w:eastAsia="仿宋" w:cs="仿宋"/>
          <w:b/>
          <w:bCs/>
          <w:color w:val="auto"/>
          <w:spacing w:val="6"/>
          <w:kern w:val="0"/>
          <w:sz w:val="36"/>
          <w:szCs w:val="36"/>
        </w:rPr>
        <w:t>残疾人福利性单位声明函</w:t>
      </w: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pPr>
        <w:pStyle w:val="6"/>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6"/>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6"/>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rPr>
          <w:rFonts w:hint="eastAsia" w:ascii="仿宋" w:hAnsi="仿宋" w:eastAsia="仿宋" w:cs="仿宋"/>
          <w:b/>
          <w:bCs/>
          <w:color w:val="auto"/>
          <w:sz w:val="24"/>
          <w:highlight w:val="none"/>
          <w:lang w:val="en-US" w:eastAsia="zh-CN"/>
        </w:rPr>
      </w:pPr>
    </w:p>
    <w:p>
      <w:pPr>
        <w:pStyle w:val="20"/>
        <w:rPr>
          <w:rFonts w:hint="eastAsia" w:ascii="仿宋" w:hAnsi="仿宋" w:eastAsia="仿宋" w:cs="仿宋"/>
          <w:b/>
          <w:bCs/>
          <w:color w:val="auto"/>
          <w:sz w:val="24"/>
          <w:highlight w:val="none"/>
          <w:lang w:val="en-US" w:eastAsia="zh-CN"/>
        </w:rPr>
      </w:pPr>
    </w:p>
    <w:p>
      <w:pPr>
        <w:pStyle w:val="23"/>
        <w:keepNext/>
        <w:keepLines/>
        <w:spacing w:before="0" w:after="660"/>
        <w:ind w:firstLine="420"/>
        <w:rPr>
          <w:rFonts w:hint="eastAsia" w:ascii="仿宋" w:hAnsi="仿宋" w:eastAsia="仿宋" w:cs="仿宋"/>
          <w:color w:val="auto"/>
          <w:lang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11、</w:t>
      </w:r>
      <w:r>
        <w:rPr>
          <w:rFonts w:hint="eastAsia" w:ascii="仿宋" w:hAnsi="仿宋" w:eastAsia="仿宋" w:cs="仿宋"/>
          <w:b/>
          <w:bCs/>
          <w:color w:val="auto"/>
          <w:spacing w:val="0"/>
          <w:w w:val="90"/>
          <w:position w:val="0"/>
          <w:sz w:val="36"/>
          <w:szCs w:val="36"/>
          <w:lang w:val="en-US" w:eastAsia="zh-CN"/>
        </w:rPr>
        <w:t>投标人认为有必要提供的其他证明材料</w:t>
      </w:r>
    </w:p>
    <w:p>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pPr>
        <w:pStyle w:val="10"/>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pPr>
        <w:pStyle w:val="11"/>
        <w:rPr>
          <w:rFonts w:hint="eastAsia"/>
          <w:color w:val="auto"/>
        </w:rPr>
      </w:pPr>
    </w:p>
    <w:p>
      <w:pPr>
        <w:pStyle w:val="23"/>
        <w:keepNext/>
        <w:keepLines/>
        <w:spacing w:before="0" w:after="660"/>
        <w:ind w:firstLine="420"/>
        <w:rPr>
          <w:rFonts w:hint="eastAsia" w:ascii="仿宋" w:hAnsi="仿宋" w:eastAsia="仿宋" w:cs="仿宋"/>
          <w:color w:val="auto"/>
          <w:lang w:eastAsia="zh-CN"/>
        </w:rPr>
      </w:pPr>
    </w:p>
    <w:p>
      <w:pPr>
        <w:pStyle w:val="23"/>
        <w:keepNext/>
        <w:keepLines/>
        <w:spacing w:before="0" w:after="660"/>
        <w:ind w:firstLine="420"/>
        <w:rPr>
          <w:rFonts w:hint="eastAsia" w:ascii="仿宋" w:hAnsi="仿宋" w:eastAsia="仿宋" w:cs="仿宋"/>
          <w:color w:val="auto"/>
          <w:lang w:eastAsia="zh-CN"/>
        </w:rPr>
      </w:pPr>
    </w:p>
    <w:p>
      <w:pPr>
        <w:pStyle w:val="23"/>
        <w:keepNext/>
        <w:keepLines/>
        <w:spacing w:before="0" w:after="660"/>
        <w:ind w:firstLine="420"/>
        <w:rPr>
          <w:rFonts w:hint="eastAsia" w:ascii="仿宋" w:hAnsi="仿宋" w:eastAsia="仿宋" w:cs="仿宋"/>
          <w:color w:val="auto"/>
          <w:lang w:eastAsia="zh-CN"/>
        </w:rPr>
      </w:pPr>
    </w:p>
    <w:bookmarkEnd w:id="48"/>
    <w:bookmarkEnd w:id="49"/>
    <w:bookmarkEnd w:id="50"/>
    <w:bookmarkEnd w:id="51"/>
    <w:bookmarkEnd w:id="52"/>
    <w:bookmarkEnd w:id="53"/>
    <w:bookmarkEnd w:id="54"/>
    <w:p>
      <w:pPr>
        <w:pStyle w:val="25"/>
        <w:spacing w:after="240" w:line="240" w:lineRule="auto"/>
        <w:ind w:firstLine="0"/>
        <w:jc w:val="center"/>
        <w:rPr>
          <w:rFonts w:ascii="仿宋" w:hAnsi="仿宋" w:eastAsia="仿宋" w:cs="仿宋"/>
          <w:b/>
          <w:bCs/>
          <w:color w:val="auto"/>
          <w:sz w:val="36"/>
          <w:szCs w:val="36"/>
          <w:lang w:eastAsia="zh-CN"/>
        </w:rPr>
      </w:pPr>
    </w:p>
    <w:p>
      <w:pPr>
        <w:pStyle w:val="25"/>
        <w:spacing w:after="240" w:line="240" w:lineRule="auto"/>
        <w:ind w:firstLine="0"/>
        <w:jc w:val="center"/>
        <w:rPr>
          <w:rFonts w:ascii="仿宋" w:hAnsi="仿宋" w:eastAsia="仿宋" w:cs="仿宋"/>
          <w:b/>
          <w:bCs/>
          <w:color w:val="auto"/>
          <w:sz w:val="36"/>
          <w:szCs w:val="36"/>
          <w:lang w:eastAsia="zh-CN"/>
        </w:rPr>
      </w:pPr>
    </w:p>
    <w:p>
      <w:pPr>
        <w:pStyle w:val="25"/>
        <w:spacing w:after="240" w:line="240" w:lineRule="auto"/>
        <w:ind w:firstLine="0"/>
        <w:jc w:val="center"/>
        <w:rPr>
          <w:rFonts w:ascii="仿宋" w:hAnsi="仿宋" w:eastAsia="仿宋" w:cs="仿宋"/>
          <w:b/>
          <w:bCs/>
          <w:color w:val="auto"/>
          <w:sz w:val="36"/>
          <w:szCs w:val="36"/>
          <w:lang w:eastAsia="zh-CN"/>
        </w:rPr>
      </w:pPr>
    </w:p>
    <w:p>
      <w:pPr>
        <w:spacing w:after="99" w:line="1" w:lineRule="exact"/>
        <w:rPr>
          <w:rFonts w:ascii="仿宋" w:hAnsi="仿宋" w:eastAsia="仿宋" w:cs="仿宋"/>
          <w:color w:val="auto"/>
        </w:rPr>
      </w:pPr>
    </w:p>
    <w:p>
      <w:pPr>
        <w:pStyle w:val="25"/>
        <w:tabs>
          <w:tab w:val="left" w:pos="2263"/>
          <w:tab w:val="left" w:pos="3102"/>
          <w:tab w:val="left" w:pos="3933"/>
        </w:tabs>
        <w:spacing w:after="180" w:line="240" w:lineRule="auto"/>
        <w:ind w:firstLine="380"/>
        <w:jc w:val="both"/>
        <w:rPr>
          <w:rFonts w:ascii="仿宋" w:hAnsi="仿宋" w:eastAsia="仿宋" w:cs="仿宋"/>
          <w:color w:val="auto"/>
        </w:rPr>
      </w:pPr>
    </w:p>
    <w:p>
      <w:pPr>
        <w:pStyle w:val="25"/>
        <w:tabs>
          <w:tab w:val="left" w:pos="826"/>
        </w:tabs>
        <w:spacing w:line="470" w:lineRule="exact"/>
        <w:ind w:firstLine="0"/>
        <w:jc w:val="both"/>
        <w:rPr>
          <w:rFonts w:ascii="仿宋" w:hAnsi="仿宋" w:eastAsia="仿宋" w:cs="仿宋"/>
          <w:color w:val="auto"/>
          <w:sz w:val="21"/>
          <w:szCs w:val="21"/>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w:rPr>
        <w:rFonts w:hint="eastAsia"/>
        <w:sz w:val="13"/>
        <w:szCs w:val="13"/>
      </w:rPr>
      <w:t xml:space="preserve"> </w:t>
    </w:r>
    <w:r>
      <w:rPr>
        <w:rFonts w:hint="eastAsia"/>
      </w:rPr>
      <w:t xml:space="preserve">  </w:t>
    </w:r>
  </w:p>
  <w:p>
    <w:pPr>
      <w:pStyle w:val="12"/>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ttzM4BAACp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5ecOWHpxS/fv11+/Lr8/Moo&#10;RgL1ASuqewhUGYc7P9DazHGkYOI9tGDTlxgxypO856u8aohMpkvr1XpdUkpSbnYIv3i8HgDjW+Ut&#10;S0bNgd4vyypO7zGOpXNJ6ub8vTYmv6FxfwUIc4yovATT7cRknDhZcdgPE729b87ErqdFqLmjvefM&#10;vHOkc9qZ2YDZ2M/GMYA+dHmpUncMt8dII+VJU4cRlhgmh14wc522La3In36uevzD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arbczOAQAAqQMAAA4AAAAAAAAAAQAgAAAAHgEAAGRycy9l&#10;Mm9Eb2MueG1sUEsFBgAAAAAGAAYAWQEAAF4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2"/>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QZEb3F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3nL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kGRG9xQEAAJEDAAAOAAAAAAAAAAEAIAAAAB8BAABkcnMvZTJvRG9jLnht&#10;bFBLBQYAAAAABgAGAFkBAABW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153A2"/>
    <w:multiLevelType w:val="singleLevel"/>
    <w:tmpl w:val="9BC153A2"/>
    <w:lvl w:ilvl="0" w:tentative="0">
      <w:start w:val="3"/>
      <w:numFmt w:val="chineseCounting"/>
      <w:suff w:val="space"/>
      <w:lvlText w:val="第%1部分"/>
      <w:lvlJc w:val="left"/>
      <w:rPr>
        <w:rFonts w:hint="eastAsia"/>
        <w:b/>
        <w:bCs/>
        <w:sz w:val="32"/>
        <w:szCs w:val="32"/>
      </w:rPr>
    </w:lvl>
  </w:abstractNum>
  <w:abstractNum w:abstractNumId="1">
    <w:nsid w:val="0000000D"/>
    <w:multiLevelType w:val="multilevel"/>
    <w:tmpl w:val="0000000D"/>
    <w:lvl w:ilvl="0" w:tentative="0">
      <w:start w:val="1"/>
      <w:numFmt w:val="decimal"/>
      <w:pStyle w:val="3"/>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18734CA6"/>
    <w:multiLevelType w:val="singleLevel"/>
    <w:tmpl w:val="18734CA6"/>
    <w:lvl w:ilvl="0" w:tentative="0">
      <w:start w:val="2"/>
      <w:numFmt w:val="chineseCounting"/>
      <w:suff w:val="nothing"/>
      <w:lvlText w:val="%1、"/>
      <w:lvlJc w:val="left"/>
      <w:rPr>
        <w:rFonts w:hint="eastAsia"/>
      </w:rPr>
    </w:lvl>
  </w:abstractNum>
  <w:abstractNum w:abstractNumId="3">
    <w:nsid w:val="3EA33E32"/>
    <w:multiLevelType w:val="singleLevel"/>
    <w:tmpl w:val="3EA33E32"/>
    <w:lvl w:ilvl="0" w:tentative="0">
      <w:start w:val="1"/>
      <w:numFmt w:val="chineseCounting"/>
      <w:suff w:val="space"/>
      <w:lvlText w:val="第%1部分"/>
      <w:lvlJc w:val="left"/>
      <w:rPr>
        <w:rFonts w:hint="eastAsia"/>
      </w:rPr>
    </w:lvl>
  </w:abstractNum>
  <w:abstractNum w:abstractNumId="4">
    <w:nsid w:val="5E5A7A00"/>
    <w:multiLevelType w:val="singleLevel"/>
    <w:tmpl w:val="5E5A7A00"/>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NWM0N2Y1MmY5YzY3MTQxMDk1MjE1ZjllZmZiNDAifQ=="/>
  </w:docVars>
  <w:rsids>
    <w:rsidRoot w:val="430832B2"/>
    <w:rsid w:val="001E462A"/>
    <w:rsid w:val="003A6B95"/>
    <w:rsid w:val="004519BB"/>
    <w:rsid w:val="006911F9"/>
    <w:rsid w:val="0098388D"/>
    <w:rsid w:val="009B0550"/>
    <w:rsid w:val="00A768E1"/>
    <w:rsid w:val="00D544C1"/>
    <w:rsid w:val="00DA7A9B"/>
    <w:rsid w:val="00DE3995"/>
    <w:rsid w:val="00E346F3"/>
    <w:rsid w:val="01311D17"/>
    <w:rsid w:val="029A0A76"/>
    <w:rsid w:val="02C12630"/>
    <w:rsid w:val="02FB136D"/>
    <w:rsid w:val="03120DC1"/>
    <w:rsid w:val="042A106A"/>
    <w:rsid w:val="04D60C9E"/>
    <w:rsid w:val="05C16796"/>
    <w:rsid w:val="05C23886"/>
    <w:rsid w:val="063B7194"/>
    <w:rsid w:val="0671176C"/>
    <w:rsid w:val="0699677B"/>
    <w:rsid w:val="07F95559"/>
    <w:rsid w:val="085D5AE7"/>
    <w:rsid w:val="09231976"/>
    <w:rsid w:val="093B78CB"/>
    <w:rsid w:val="09D059EE"/>
    <w:rsid w:val="0A7E1D45"/>
    <w:rsid w:val="0AEE1196"/>
    <w:rsid w:val="0B2F3756"/>
    <w:rsid w:val="0B446AEB"/>
    <w:rsid w:val="0B8B64C8"/>
    <w:rsid w:val="0BF26C44"/>
    <w:rsid w:val="0C4F055A"/>
    <w:rsid w:val="0D811CDB"/>
    <w:rsid w:val="0DA51639"/>
    <w:rsid w:val="0DCE3CFC"/>
    <w:rsid w:val="0EB61B3E"/>
    <w:rsid w:val="0F353C35"/>
    <w:rsid w:val="0FFC769D"/>
    <w:rsid w:val="103A670E"/>
    <w:rsid w:val="10685029"/>
    <w:rsid w:val="108B2820"/>
    <w:rsid w:val="113E6612"/>
    <w:rsid w:val="120509AC"/>
    <w:rsid w:val="12084764"/>
    <w:rsid w:val="125622C4"/>
    <w:rsid w:val="13F43A1D"/>
    <w:rsid w:val="147B69EE"/>
    <w:rsid w:val="1525173B"/>
    <w:rsid w:val="153C6A85"/>
    <w:rsid w:val="15C2342E"/>
    <w:rsid w:val="15E839EB"/>
    <w:rsid w:val="15EE5971"/>
    <w:rsid w:val="15FF3B9E"/>
    <w:rsid w:val="162905B3"/>
    <w:rsid w:val="16480AD2"/>
    <w:rsid w:val="168411C4"/>
    <w:rsid w:val="16AA639C"/>
    <w:rsid w:val="16D3103C"/>
    <w:rsid w:val="171F0B4E"/>
    <w:rsid w:val="17EB3771"/>
    <w:rsid w:val="18760552"/>
    <w:rsid w:val="18876FE4"/>
    <w:rsid w:val="18AB28D3"/>
    <w:rsid w:val="18CC2617"/>
    <w:rsid w:val="18FE29CF"/>
    <w:rsid w:val="19560639"/>
    <w:rsid w:val="19651766"/>
    <w:rsid w:val="198D3D53"/>
    <w:rsid w:val="19AE52C2"/>
    <w:rsid w:val="19D56FD4"/>
    <w:rsid w:val="1AA14F3E"/>
    <w:rsid w:val="1BE65325"/>
    <w:rsid w:val="1D4D5CD3"/>
    <w:rsid w:val="1D570900"/>
    <w:rsid w:val="1D743467"/>
    <w:rsid w:val="1E6813A9"/>
    <w:rsid w:val="1E9F3EE4"/>
    <w:rsid w:val="1F5B26D6"/>
    <w:rsid w:val="1FA567E1"/>
    <w:rsid w:val="20061318"/>
    <w:rsid w:val="21241BF2"/>
    <w:rsid w:val="224D3F2E"/>
    <w:rsid w:val="22965E6B"/>
    <w:rsid w:val="22C95DFC"/>
    <w:rsid w:val="23C35548"/>
    <w:rsid w:val="23E0129C"/>
    <w:rsid w:val="23F61FE0"/>
    <w:rsid w:val="24C421D5"/>
    <w:rsid w:val="25186BBB"/>
    <w:rsid w:val="25546BA5"/>
    <w:rsid w:val="25FB510C"/>
    <w:rsid w:val="260B3B46"/>
    <w:rsid w:val="261065A0"/>
    <w:rsid w:val="265353B0"/>
    <w:rsid w:val="269756C8"/>
    <w:rsid w:val="26E94F43"/>
    <w:rsid w:val="27D642EB"/>
    <w:rsid w:val="27E40FE2"/>
    <w:rsid w:val="27F4193C"/>
    <w:rsid w:val="28044AB8"/>
    <w:rsid w:val="281177B6"/>
    <w:rsid w:val="2826784C"/>
    <w:rsid w:val="291C049E"/>
    <w:rsid w:val="29A33DE7"/>
    <w:rsid w:val="2ACD12EC"/>
    <w:rsid w:val="2AF552B4"/>
    <w:rsid w:val="2B762634"/>
    <w:rsid w:val="2BD23019"/>
    <w:rsid w:val="2CA55697"/>
    <w:rsid w:val="2D1B0C53"/>
    <w:rsid w:val="2D8762FF"/>
    <w:rsid w:val="2DDE4B40"/>
    <w:rsid w:val="2E3708A7"/>
    <w:rsid w:val="2E5A5F56"/>
    <w:rsid w:val="2EA339A5"/>
    <w:rsid w:val="2EE10029"/>
    <w:rsid w:val="2F1A353B"/>
    <w:rsid w:val="2F7E1D1C"/>
    <w:rsid w:val="2FBE036A"/>
    <w:rsid w:val="30004E27"/>
    <w:rsid w:val="30D42619"/>
    <w:rsid w:val="30EE2FEC"/>
    <w:rsid w:val="317E6AC1"/>
    <w:rsid w:val="31A66981"/>
    <w:rsid w:val="31C54436"/>
    <w:rsid w:val="31D97301"/>
    <w:rsid w:val="328104FA"/>
    <w:rsid w:val="32CE6DC2"/>
    <w:rsid w:val="335A6787"/>
    <w:rsid w:val="335C76C1"/>
    <w:rsid w:val="337E0595"/>
    <w:rsid w:val="3454129D"/>
    <w:rsid w:val="3464452F"/>
    <w:rsid w:val="34680F1F"/>
    <w:rsid w:val="34AC63E7"/>
    <w:rsid w:val="34BF0E0C"/>
    <w:rsid w:val="34D21F37"/>
    <w:rsid w:val="34FF56AD"/>
    <w:rsid w:val="35427B0F"/>
    <w:rsid w:val="35B0680E"/>
    <w:rsid w:val="36AA5E0A"/>
    <w:rsid w:val="36CC7811"/>
    <w:rsid w:val="37094C18"/>
    <w:rsid w:val="374F411C"/>
    <w:rsid w:val="37C3244F"/>
    <w:rsid w:val="38083993"/>
    <w:rsid w:val="39120E26"/>
    <w:rsid w:val="391D07F7"/>
    <w:rsid w:val="3956224D"/>
    <w:rsid w:val="3AD117C4"/>
    <w:rsid w:val="3BAB1F76"/>
    <w:rsid w:val="3C6502BB"/>
    <w:rsid w:val="3CA827C1"/>
    <w:rsid w:val="3D08452F"/>
    <w:rsid w:val="3D2A5291"/>
    <w:rsid w:val="3D751F42"/>
    <w:rsid w:val="3D8004D0"/>
    <w:rsid w:val="3DA2751D"/>
    <w:rsid w:val="3E0F03F9"/>
    <w:rsid w:val="3E1B6F88"/>
    <w:rsid w:val="3E481E73"/>
    <w:rsid w:val="3F1E0E25"/>
    <w:rsid w:val="3F602B86"/>
    <w:rsid w:val="406F4E32"/>
    <w:rsid w:val="408E72C3"/>
    <w:rsid w:val="408E7BCF"/>
    <w:rsid w:val="40B26236"/>
    <w:rsid w:val="416F668A"/>
    <w:rsid w:val="418F7DB9"/>
    <w:rsid w:val="41ED2E2C"/>
    <w:rsid w:val="42701998"/>
    <w:rsid w:val="427042FE"/>
    <w:rsid w:val="42F70751"/>
    <w:rsid w:val="430832B2"/>
    <w:rsid w:val="43C755E8"/>
    <w:rsid w:val="44740DA7"/>
    <w:rsid w:val="44CE660D"/>
    <w:rsid w:val="45094EEC"/>
    <w:rsid w:val="451311C2"/>
    <w:rsid w:val="454815E5"/>
    <w:rsid w:val="457C2033"/>
    <w:rsid w:val="45FD2B80"/>
    <w:rsid w:val="467B17AA"/>
    <w:rsid w:val="46F77B89"/>
    <w:rsid w:val="4743767B"/>
    <w:rsid w:val="49E669E4"/>
    <w:rsid w:val="4A3B2AF5"/>
    <w:rsid w:val="4A6D4A0F"/>
    <w:rsid w:val="4B407076"/>
    <w:rsid w:val="4B577B99"/>
    <w:rsid w:val="4B78366B"/>
    <w:rsid w:val="4BB73B85"/>
    <w:rsid w:val="4C257A37"/>
    <w:rsid w:val="4C944C1F"/>
    <w:rsid w:val="4D8771D0"/>
    <w:rsid w:val="4DA40CFB"/>
    <w:rsid w:val="4DF50B78"/>
    <w:rsid w:val="4E393586"/>
    <w:rsid w:val="4E6938E7"/>
    <w:rsid w:val="4EC10539"/>
    <w:rsid w:val="4F006719"/>
    <w:rsid w:val="4F0C65CD"/>
    <w:rsid w:val="4F1F420E"/>
    <w:rsid w:val="4F2E489B"/>
    <w:rsid w:val="50080AAD"/>
    <w:rsid w:val="50827466"/>
    <w:rsid w:val="50EC43BB"/>
    <w:rsid w:val="52327518"/>
    <w:rsid w:val="533662E6"/>
    <w:rsid w:val="53443B6F"/>
    <w:rsid w:val="53D9765E"/>
    <w:rsid w:val="543C749F"/>
    <w:rsid w:val="56493792"/>
    <w:rsid w:val="564C2999"/>
    <w:rsid w:val="56C02A96"/>
    <w:rsid w:val="56DF6C95"/>
    <w:rsid w:val="57711FE2"/>
    <w:rsid w:val="57B26BF0"/>
    <w:rsid w:val="57B974E6"/>
    <w:rsid w:val="583A2931"/>
    <w:rsid w:val="58501BF8"/>
    <w:rsid w:val="5866783D"/>
    <w:rsid w:val="58725B91"/>
    <w:rsid w:val="58D573B9"/>
    <w:rsid w:val="59BD150F"/>
    <w:rsid w:val="59E05E2C"/>
    <w:rsid w:val="5A144EA7"/>
    <w:rsid w:val="5A7C4B82"/>
    <w:rsid w:val="5A871B1D"/>
    <w:rsid w:val="5D026D46"/>
    <w:rsid w:val="5D2366CB"/>
    <w:rsid w:val="5D3331A6"/>
    <w:rsid w:val="5DA57176"/>
    <w:rsid w:val="5E135BA1"/>
    <w:rsid w:val="5E1D1079"/>
    <w:rsid w:val="5EB94AF4"/>
    <w:rsid w:val="604B5D12"/>
    <w:rsid w:val="61761FA3"/>
    <w:rsid w:val="617F070E"/>
    <w:rsid w:val="61947A09"/>
    <w:rsid w:val="61E24540"/>
    <w:rsid w:val="623C3953"/>
    <w:rsid w:val="62611C41"/>
    <w:rsid w:val="62CF0F7D"/>
    <w:rsid w:val="633C08A0"/>
    <w:rsid w:val="642B45E0"/>
    <w:rsid w:val="644E1EA6"/>
    <w:rsid w:val="64677BC9"/>
    <w:rsid w:val="64966F85"/>
    <w:rsid w:val="65D4762D"/>
    <w:rsid w:val="65E60D0C"/>
    <w:rsid w:val="66A5387A"/>
    <w:rsid w:val="66F6096B"/>
    <w:rsid w:val="67160D0C"/>
    <w:rsid w:val="67656B1B"/>
    <w:rsid w:val="67AE419D"/>
    <w:rsid w:val="683769EB"/>
    <w:rsid w:val="68881DFA"/>
    <w:rsid w:val="692347F3"/>
    <w:rsid w:val="69543303"/>
    <w:rsid w:val="6ADE7537"/>
    <w:rsid w:val="6B7632CC"/>
    <w:rsid w:val="6C7543E1"/>
    <w:rsid w:val="6C9F1808"/>
    <w:rsid w:val="6CA7574F"/>
    <w:rsid w:val="6CC81EA4"/>
    <w:rsid w:val="6CD97949"/>
    <w:rsid w:val="6CED3A62"/>
    <w:rsid w:val="6D37776E"/>
    <w:rsid w:val="6D9F6AAE"/>
    <w:rsid w:val="6E7A30D3"/>
    <w:rsid w:val="6F8A763A"/>
    <w:rsid w:val="70C202DD"/>
    <w:rsid w:val="712E63F7"/>
    <w:rsid w:val="71F7318A"/>
    <w:rsid w:val="723E3676"/>
    <w:rsid w:val="724C2FD8"/>
    <w:rsid w:val="7265409A"/>
    <w:rsid w:val="727E5137"/>
    <w:rsid w:val="72B229EC"/>
    <w:rsid w:val="72DB435C"/>
    <w:rsid w:val="74B86703"/>
    <w:rsid w:val="75AB1C93"/>
    <w:rsid w:val="75C13CDD"/>
    <w:rsid w:val="76197675"/>
    <w:rsid w:val="761B163F"/>
    <w:rsid w:val="76810114"/>
    <w:rsid w:val="778A3F9B"/>
    <w:rsid w:val="77901BB9"/>
    <w:rsid w:val="77CD5C91"/>
    <w:rsid w:val="78180A1F"/>
    <w:rsid w:val="78AE679B"/>
    <w:rsid w:val="792C5912"/>
    <w:rsid w:val="798E0318"/>
    <w:rsid w:val="79E104D4"/>
    <w:rsid w:val="7A910122"/>
    <w:rsid w:val="7AD93877"/>
    <w:rsid w:val="7B1C5243"/>
    <w:rsid w:val="7B456F30"/>
    <w:rsid w:val="7BC65BA9"/>
    <w:rsid w:val="7CA431AC"/>
    <w:rsid w:val="7D423759"/>
    <w:rsid w:val="7DD956AA"/>
    <w:rsid w:val="7FE83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5">
    <w:name w:val="heading 1"/>
    <w:basedOn w:val="1"/>
    <w:next w:val="1"/>
    <w:qFormat/>
    <w:uiPriority w:val="0"/>
    <w:pPr>
      <w:keepNext/>
      <w:keepLines/>
      <w:spacing w:line="360" w:lineRule="auto"/>
      <w:jc w:val="center"/>
      <w:outlineLvl w:val="0"/>
    </w:pPr>
    <w:rPr>
      <w:b/>
      <w:bCs/>
      <w:kern w:val="44"/>
      <w:sz w:val="44"/>
      <w:szCs w:val="44"/>
    </w:rPr>
  </w:style>
  <w:style w:type="paragraph" w:styleId="6">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7">
    <w:name w:val="heading 3"/>
    <w:basedOn w:val="1"/>
    <w:next w:val="1"/>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unhideWhenUsed/>
    <w:qFormat/>
    <w:uiPriority w:val="99"/>
    <w:pPr>
      <w:snapToGrid w:val="0"/>
    </w:pPr>
    <w:rPr>
      <w:sz w:val="18"/>
      <w:szCs w:val="18"/>
    </w:rPr>
  </w:style>
  <w:style w:type="paragraph" w:styleId="3">
    <w:name w:val="Body Text"/>
    <w:basedOn w:val="1"/>
    <w:next w:val="4"/>
    <w:qFormat/>
    <w:uiPriority w:val="99"/>
    <w:pPr>
      <w:numPr>
        <w:ilvl w:val="0"/>
        <w:numId w:val="1"/>
      </w:numPr>
    </w:pPr>
    <w:rPr>
      <w:rFonts w:ascii="黑体" w:eastAsia="黑体"/>
      <w:sz w:val="22"/>
    </w:rPr>
  </w:style>
  <w:style w:type="paragraph" w:styleId="4">
    <w:name w:val="Body Text First Indent"/>
    <w:basedOn w:val="3"/>
    <w:next w:val="1"/>
    <w:unhideWhenUsed/>
    <w:qFormat/>
    <w:uiPriority w:val="99"/>
    <w:pPr>
      <w:tabs>
        <w:tab w:val="left" w:pos="567"/>
      </w:tabs>
      <w:ind w:firstLine="420" w:firstLineChars="100"/>
    </w:pPr>
  </w:style>
  <w:style w:type="paragraph" w:styleId="8">
    <w:name w:val="Normal Indent"/>
    <w:basedOn w:val="1"/>
    <w:next w:val="1"/>
    <w:qFormat/>
    <w:uiPriority w:val="0"/>
    <w:pPr>
      <w:autoSpaceDE w:val="0"/>
      <w:autoSpaceDN w:val="0"/>
      <w:adjustRightInd w:val="0"/>
      <w:ind w:firstLine="420"/>
    </w:pPr>
    <w:rPr>
      <w:rFonts w:ascii="宋体"/>
      <w:szCs w:val="20"/>
    </w:rPr>
  </w:style>
  <w:style w:type="paragraph" w:styleId="9">
    <w:name w:val="toa heading"/>
    <w:basedOn w:val="1"/>
    <w:next w:val="1"/>
    <w:qFormat/>
    <w:uiPriority w:val="0"/>
    <w:pPr>
      <w:spacing w:before="120"/>
    </w:pPr>
    <w:rPr>
      <w:rFonts w:ascii="Cambria" w:hAnsi="Cambria"/>
      <w:szCs w:val="20"/>
    </w:rPr>
  </w:style>
  <w:style w:type="paragraph" w:styleId="10">
    <w:name w:val="Plain Text"/>
    <w:basedOn w:val="1"/>
    <w:next w:val="11"/>
    <w:qFormat/>
    <w:uiPriority w:val="0"/>
    <w:rPr>
      <w:rFonts w:ascii="宋体"/>
      <w:color w:val="000000"/>
      <w:szCs w:val="20"/>
      <w:u w:val="none" w:color="000000"/>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2"/>
    <w:basedOn w:val="1"/>
    <w:qFormat/>
    <w:uiPriority w:val="0"/>
    <w:pPr>
      <w:tabs>
        <w:tab w:val="left" w:pos="0"/>
      </w:tabs>
      <w:spacing w:line="400" w:lineRule="atLeast"/>
    </w:pPr>
    <w:rPr>
      <w:rFonts w:ascii="Arial" w:hAnsi="Arial"/>
    </w:rPr>
  </w:style>
  <w:style w:type="paragraph" w:styleId="15">
    <w:name w:val="Normal (Web)"/>
    <w:basedOn w:val="1"/>
    <w:qFormat/>
    <w:uiPriority w:val="99"/>
    <w:pPr>
      <w:widowControl/>
    </w:pPr>
    <w:rPr>
      <w:rFonts w:ascii="宋体" w:hAnsi="宋体" w:eastAsia="宋体" w:cs="宋体"/>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otnote reference"/>
    <w:basedOn w:val="18"/>
    <w:unhideWhenUsed/>
    <w:qFormat/>
    <w:uiPriority w:val="99"/>
    <w:rPr>
      <w:vertAlign w:val="superscript"/>
    </w:rPr>
  </w:style>
  <w:style w:type="paragraph" w:customStyle="1" w:styleId="20">
    <w:name w:val="正文格式"/>
    <w:basedOn w:val="1"/>
    <w:qFormat/>
    <w:uiPriority w:val="99"/>
    <w:pPr>
      <w:widowControl/>
      <w:adjustRightInd w:val="0"/>
      <w:snapToGrid w:val="0"/>
      <w:spacing w:line="400" w:lineRule="atLeast"/>
      <w:ind w:firstLine="482"/>
      <w:textAlignment w:val="baseline"/>
    </w:p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_Style 2"/>
    <w:basedOn w:val="5"/>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23">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24">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25">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26">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27">
    <w:name w:val="Table caption|1"/>
    <w:basedOn w:val="1"/>
    <w:qFormat/>
    <w:uiPriority w:val="0"/>
    <w:rPr>
      <w:rFonts w:ascii="宋体" w:hAnsi="宋体" w:eastAsia="宋体" w:cs="宋体"/>
      <w:sz w:val="22"/>
      <w:szCs w:val="22"/>
      <w:lang w:val="zh-TW" w:eastAsia="zh-TW" w:bidi="zh-TW"/>
    </w:rPr>
  </w:style>
  <w:style w:type="paragraph" w:customStyle="1" w:styleId="28">
    <w:name w:val="Table Paragraph"/>
    <w:basedOn w:val="1"/>
    <w:qFormat/>
    <w:uiPriority w:val="1"/>
    <w:pPr>
      <w:autoSpaceDE w:val="0"/>
      <w:autoSpaceDN w:val="0"/>
      <w:adjustRightInd w:val="0"/>
    </w:pPr>
    <w:rPr>
      <w:rFonts w:eastAsia="宋体"/>
    </w:rPr>
  </w:style>
  <w:style w:type="paragraph" w:customStyle="1" w:styleId="29">
    <w:name w:val="BodyText"/>
    <w:basedOn w:val="1"/>
    <w:next w:val="1"/>
    <w:qFormat/>
    <w:uiPriority w:val="0"/>
    <w:pPr>
      <w:tabs>
        <w:tab w:val="left" w:pos="780"/>
      </w:tabs>
    </w:pPr>
    <w:rPr>
      <w:rFonts w:ascii="黑体" w:eastAsia="黑体"/>
      <w:sz w:val="22"/>
    </w:rPr>
  </w:style>
  <w:style w:type="character" w:customStyle="1" w:styleId="30">
    <w:name w:val="font01"/>
    <w:basedOn w:val="18"/>
    <w:qFormat/>
    <w:uiPriority w:val="0"/>
    <w:rPr>
      <w:rFonts w:hint="eastAsia" w:ascii="宋体" w:hAnsi="宋体" w:eastAsia="宋体" w:cs="宋体"/>
      <w:color w:val="000000"/>
      <w:sz w:val="22"/>
      <w:szCs w:val="22"/>
      <w:u w:val="none"/>
    </w:rPr>
  </w:style>
  <w:style w:type="character" w:customStyle="1" w:styleId="31">
    <w:name w:val="font11"/>
    <w:basedOn w:val="18"/>
    <w:qFormat/>
    <w:uiPriority w:val="0"/>
    <w:rPr>
      <w:rFonts w:ascii="Arial" w:hAnsi="Arial" w:cs="Arial"/>
      <w:color w:val="000000"/>
      <w:sz w:val="22"/>
      <w:szCs w:val="22"/>
      <w:u w:val="none"/>
    </w:rPr>
  </w:style>
  <w:style w:type="character" w:customStyle="1" w:styleId="32">
    <w:name w:val="font31"/>
    <w:basedOn w:val="18"/>
    <w:qFormat/>
    <w:uiPriority w:val="0"/>
    <w:rPr>
      <w:rFonts w:hint="eastAsia" w:ascii="宋体" w:hAnsi="宋体" w:eastAsia="宋体" w:cs="宋体"/>
      <w:color w:val="000000"/>
      <w:sz w:val="22"/>
      <w:szCs w:val="22"/>
      <w:u w:val="none"/>
    </w:rPr>
  </w:style>
  <w:style w:type="character" w:customStyle="1" w:styleId="33">
    <w:name w:val="font61"/>
    <w:basedOn w:val="18"/>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26006</Words>
  <Characters>27685</Characters>
  <Lines>216</Lines>
  <Paragraphs>61</Paragraphs>
  <TotalTime>27</TotalTime>
  <ScaleCrop>false</ScaleCrop>
  <LinksUpToDate>false</LinksUpToDate>
  <CharactersWithSpaces>30154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温柔不是我的范1388451482</cp:lastModifiedBy>
  <cp:lastPrinted>2022-12-28T04:58:00Z</cp:lastPrinted>
  <dcterms:modified xsi:type="dcterms:W3CDTF">2023-01-06T09:56:25Z</dcterms:modified>
  <dc:title>克州职工基本医疗保险基金转为定期存款项目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B20C5DC374394F39A1A598F65EB6AFDC</vt:lpwstr>
  </property>
</Properties>
</file>