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cs="Times New Roman"/>
          <w:b/>
          <w:bCs/>
          <w:sz w:val="28"/>
          <w:szCs w:val="36"/>
          <w:lang w:val="en-US" w:eastAsia="zh-CN"/>
        </w:rPr>
      </w:pPr>
      <w:r>
        <w:rPr>
          <w:rFonts w:hint="eastAsia" w:cs="Times New Roman"/>
          <w:b/>
          <w:bCs/>
          <w:sz w:val="32"/>
          <w:szCs w:val="40"/>
          <w:lang w:val="en-US" w:eastAsia="zh-CN"/>
        </w:rPr>
        <w:t>克州</w:t>
      </w:r>
      <w:bookmarkStart w:id="0" w:name="_GoBack"/>
      <w:bookmarkEnd w:id="0"/>
      <w:r>
        <w:rPr>
          <w:rFonts w:hint="eastAsia" w:cs="Times New Roman"/>
          <w:b/>
          <w:bCs/>
          <w:sz w:val="32"/>
          <w:szCs w:val="40"/>
          <w:lang w:val="en-US" w:eastAsia="zh-CN"/>
        </w:rPr>
        <w:t>乌恰县生活垃圾处理中心改扩建项目采购车辆及设备采购清单</w:t>
      </w:r>
    </w:p>
    <w:p>
      <w:pPr>
        <w:widowControl/>
        <w:shd w:val="clear" w:color="auto" w:fill="FFFFFF"/>
        <w:ind w:firstLine="3654" w:firstLineChars="1300"/>
        <w:jc w:val="both"/>
        <w:rPr>
          <w:rFonts w:hint="eastAsia" w:ascii="_4eff_5b8b_GB2312" w:hAnsi="_4eff_5b8b_GB2312" w:eastAsia="宋体" w:cs="宋体"/>
          <w:b/>
          <w:bCs/>
          <w:kern w:val="0"/>
          <w:sz w:val="28"/>
          <w:szCs w:val="40"/>
          <w:lang w:eastAsia="zh-CN"/>
        </w:rPr>
      </w:pPr>
      <w:r>
        <w:rPr>
          <w:rFonts w:hint="eastAsia" w:ascii="_4eff_5b8b_GB2312" w:hAnsi="_4eff_5b8b_GB2312" w:eastAsia="宋体" w:cs="宋体"/>
          <w:b/>
          <w:bCs/>
          <w:kern w:val="0"/>
          <w:sz w:val="28"/>
          <w:szCs w:val="40"/>
          <w:lang w:eastAsia="zh-CN"/>
        </w:rPr>
        <w:t>扫地刷</w:t>
      </w:r>
    </w:p>
    <w:tbl>
      <w:tblPr>
        <w:tblStyle w:val="3"/>
        <w:tblW w:w="8319" w:type="dxa"/>
        <w:tblInd w:w="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4661"/>
        <w:gridCol w:w="1015"/>
        <w:gridCol w:w="1004"/>
        <w:gridCol w:w="77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4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技术规格及参数要求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数量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both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扫地刷</w:t>
            </w:r>
          </w:p>
        </w:tc>
        <w:tc>
          <w:tcPr>
            <w:tcW w:w="4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全新聚丙烯原料刷丝，单片丝根数≥100根，丝粗2.2㎜，重量≥0.22公斤/片。</w:t>
            </w:r>
          </w:p>
        </w:tc>
        <w:tc>
          <w:tcPr>
            <w:tcW w:w="1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套</w:t>
            </w:r>
          </w:p>
        </w:tc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</w:tr>
    </w:tbl>
    <w:p>
      <w:pPr>
        <w:widowControl/>
        <w:shd w:val="clear" w:color="auto" w:fill="FFFFFF"/>
        <w:jc w:val="both"/>
        <w:rPr>
          <w:rFonts w:hint="eastAsia" w:ascii="_4eff_5b8b_GB2312" w:hAnsi="_4eff_5b8b_GB2312" w:cs="宋体"/>
          <w:b/>
          <w:bCs/>
          <w:kern w:val="0"/>
          <w:sz w:val="28"/>
          <w:szCs w:val="40"/>
        </w:rPr>
      </w:pPr>
    </w:p>
    <w:p>
      <w:pPr>
        <w:widowControl/>
        <w:shd w:val="clear" w:color="auto" w:fill="FFFFFF"/>
        <w:ind w:firstLine="601"/>
        <w:jc w:val="center"/>
        <w:rPr>
          <w:rFonts w:cs="宋体"/>
          <w:kern w:val="0"/>
          <w:sz w:val="28"/>
          <w:szCs w:val="40"/>
        </w:rPr>
      </w:pPr>
      <w:r>
        <w:rPr>
          <w:rFonts w:hint="eastAsia" w:ascii="_4eff_5b8b_GB2312" w:hAnsi="_4eff_5b8b_GB2312" w:cs="宋体"/>
          <w:b/>
          <w:bCs/>
          <w:kern w:val="0"/>
          <w:sz w:val="28"/>
          <w:szCs w:val="40"/>
        </w:rPr>
        <w:t>4吨</w:t>
      </w:r>
      <w:r>
        <w:rPr>
          <w:rFonts w:ascii="_4eff_5b8b_GB2312" w:hAnsi="_4eff_5b8b_GB2312" w:cs="宋体"/>
          <w:b/>
          <w:bCs/>
          <w:kern w:val="0"/>
          <w:sz w:val="28"/>
          <w:szCs w:val="40"/>
        </w:rPr>
        <w:t>纯电动</w:t>
      </w:r>
      <w:r>
        <w:rPr>
          <w:rFonts w:hint="eastAsia" w:ascii="_4eff_5b8b_GB2312" w:hAnsi="_4eff_5b8b_GB2312" w:cs="宋体"/>
          <w:b/>
          <w:bCs/>
          <w:kern w:val="0"/>
          <w:sz w:val="28"/>
          <w:szCs w:val="40"/>
        </w:rPr>
        <w:t>洗扫</w:t>
      </w:r>
      <w:r>
        <w:rPr>
          <w:rFonts w:ascii="_4eff_5b8b_GB2312" w:hAnsi="_4eff_5b8b_GB2312" w:cs="宋体"/>
          <w:b/>
          <w:bCs/>
          <w:kern w:val="0"/>
          <w:sz w:val="28"/>
          <w:szCs w:val="40"/>
        </w:rPr>
        <w:t>车</w:t>
      </w:r>
    </w:p>
    <w:p>
      <w:pPr>
        <w:widowControl/>
        <w:shd w:val="clear" w:color="auto" w:fill="FFFFFF"/>
        <w:spacing w:line="360" w:lineRule="auto"/>
        <w:rPr>
          <w:rFonts w:hint="eastAsia" w:ascii="Times New Roman" w:hAnsi="Times New Roman" w:eastAsia="宋体" w:cs="宋体"/>
          <w:b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  <w:lang w:eastAsia="zh-CN"/>
        </w:rPr>
        <w:t>（一）车辆主要参数要求</w:t>
      </w:r>
    </w:p>
    <w:tbl>
      <w:tblPr>
        <w:tblStyle w:val="3"/>
        <w:tblW w:w="8319" w:type="dxa"/>
        <w:tblInd w:w="9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3335"/>
        <w:gridCol w:w="411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项目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项目名称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技术规格及参数要求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整车参数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★长（mm）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≤5960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★宽（mm）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1720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★高（mm）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≤2500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★总质量（kg）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≥4450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★整备质量（kg）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≤4260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★额定载质量（kg）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≥110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接近角/离去角(°)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zh-CN" w:eastAsia="zh-CN"/>
              </w:rPr>
              <w:t>18/11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轴距（mm）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≥2850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★前悬/后悬（mm）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≥1090/1700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电动部分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动力电池类型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磷酸铁锂（或优于其性能）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电池电量(kWh)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驱动电机峰值功率（kW）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75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需提供证明材料）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专用部分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清扫宽度（m）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清水箱容积（m³）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≥1.5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污水箱容积（m³）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default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≥</w:t>
            </w: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val="en-US" w:eastAsia="zh-CN"/>
              </w:rPr>
              <w:t>0.8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作业速度（km/h）</w:t>
            </w:r>
          </w:p>
        </w:tc>
        <w:tc>
          <w:tcPr>
            <w:tcW w:w="4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3-15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jc w:val="center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整车性能要求</w:t>
            </w:r>
          </w:p>
        </w:tc>
        <w:tc>
          <w:tcPr>
            <w:tcW w:w="7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车辆需具备：路面冲洗、路面清扫、垃圾回收、路缘和路缘石立面洗刷等功能。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7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箱体（清水箱和垃圾箱）采用不锈钢材质（或优于其性能）。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6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92D050"/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74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napToGrid w:val="0"/>
              <w:spacing w:line="440" w:lineRule="exact"/>
              <w:ind w:firstLine="420" w:firstLineChars="200"/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color w:val="auto"/>
                <w:szCs w:val="21"/>
                <w:highlight w:val="none"/>
                <w:lang w:eastAsia="zh-CN"/>
              </w:rPr>
              <w:t>常用作业模式可在驾驶室内一键操作，配有报警装置，同时配置工作摄像头。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cs="宋体"/>
          <w:b/>
          <w:kern w:val="0"/>
          <w:sz w:val="24"/>
          <w:szCs w:val="24"/>
        </w:rPr>
      </w:pPr>
      <w:r>
        <w:rPr>
          <w:rFonts w:cs="宋体"/>
          <w:b/>
          <w:kern w:val="0"/>
          <w:sz w:val="24"/>
          <w:szCs w:val="24"/>
        </w:rPr>
        <w:t>（二）</w:t>
      </w:r>
      <w:r>
        <w:rPr>
          <w:rFonts w:hint="eastAsia" w:cs="宋体"/>
          <w:b/>
          <w:kern w:val="0"/>
          <w:sz w:val="24"/>
          <w:szCs w:val="24"/>
        </w:rPr>
        <w:t>车辆</w:t>
      </w:r>
      <w:r>
        <w:rPr>
          <w:rFonts w:cs="宋体"/>
          <w:b/>
          <w:kern w:val="0"/>
          <w:sz w:val="24"/>
          <w:szCs w:val="24"/>
        </w:rPr>
        <w:t>其他要求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1、驱动电机、整车控制器防护等级达到IP67，电池防护等级达到IP68，确保整车安全（提供相应的检测报告）；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2、一次充电，续航里程（等速法）需大于260公里（需提供《新能源汽车推广应用推荐车型目录》公示的里程参数，并提供目录批次号及对应车辆车型的批次截图）；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3、“中置两盘扫+后置宽吸嘴+外置高压主喷管+左右高压侧喷嘴” 具有多种作业模式，实现路面的清扫、清洗及洗扫。 左右扫盘具有自动避障保护及复位功能。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4、该车具有扫路作业和洗扫作业相互切换功能，能同时集扫路车和清洗车于一体，一车多用；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5、左、右高压侧喷杆与吸嘴喷杆组成 “V”型布置，水流冲击力大，能高效汇集污水；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6、为提高驾驶的舒适性，底盘驾驶室内需配备电动冷暖空调；</w:t>
      </w:r>
    </w:p>
    <w:p>
      <w:pPr>
        <w:shd w:val="clear" w:color="auto" w:fill="auto"/>
        <w:snapToGrid w:val="0"/>
        <w:spacing w:line="440" w:lineRule="exact"/>
        <w:ind w:firstLine="420" w:firstLineChars="200"/>
        <w:rPr>
          <w:rFonts w:hint="eastAsia"/>
          <w:sz w:val="36"/>
          <w:szCs w:val="44"/>
          <w:lang w:val="en-US" w:eastAsia="zh-CN"/>
        </w:rPr>
      </w:pPr>
      <w:r>
        <w:rPr>
          <w:rFonts w:hint="eastAsia" w:ascii="宋体" w:hAnsi="Times New Roman" w:eastAsia="宋体" w:cs="Times New Roman"/>
          <w:color w:val="auto"/>
          <w:szCs w:val="21"/>
          <w:highlight w:val="none"/>
          <w:lang w:eastAsia="zh-CN"/>
        </w:rPr>
        <w:t>7、高压水泵采用行业知名品牌高压水泵，有效增加使用寿命，降低故障率。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jY3YjE5Mzc4OWI4OGFmYmNhYmM0NTBiMzBjNGQifQ=="/>
  </w:docVars>
  <w:rsids>
    <w:rsidRoot w:val="417136C0"/>
    <w:rsid w:val="19B92A09"/>
    <w:rsid w:val="3038636F"/>
    <w:rsid w:val="3C7816BB"/>
    <w:rsid w:val="3D143CBF"/>
    <w:rsid w:val="417136C0"/>
    <w:rsid w:val="4A092E92"/>
    <w:rsid w:val="4CEB51F6"/>
    <w:rsid w:val="5382601B"/>
    <w:rsid w:val="5A0860D6"/>
    <w:rsid w:val="691F20F1"/>
    <w:rsid w:val="6A867E3A"/>
    <w:rsid w:val="77A15B74"/>
    <w:rsid w:val="7B1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customStyle="1" w:styleId="5">
    <w:name w:val="正文格式"/>
    <w:basedOn w:val="1"/>
    <w:qFormat/>
    <w:uiPriority w:val="99"/>
    <w:pPr>
      <w:widowControl/>
      <w:adjustRightInd w:val="0"/>
      <w:snapToGrid w:val="0"/>
      <w:spacing w:line="400" w:lineRule="atLeast"/>
      <w:ind w:firstLine="482"/>
      <w:textAlignment w:val="baseline"/>
    </w:pPr>
    <w:rPr>
      <w:rFonts w:ascii="Times New Roman" w:hAnsi="Times New Roman"/>
      <w:kern w:val="0"/>
      <w:sz w:val="24"/>
    </w:rPr>
  </w:style>
  <w:style w:type="character" w:customStyle="1" w:styleId="6">
    <w:name w:val="font6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745</Words>
  <Characters>820</Characters>
  <Lines>0</Lines>
  <Paragraphs>0</Paragraphs>
  <TotalTime>5</TotalTime>
  <ScaleCrop>false</ScaleCrop>
  <LinksUpToDate>false</LinksUpToDate>
  <CharactersWithSpaces>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2022-11-21T03:07:00Z</dcterms:created>
  <dc:creator>Administrator</dc:creator>
  <cp:lastModifiedBy>Administrator</cp:lastModifiedBy>
  <dcterms:modified xsi:type="dcterms:W3CDTF">2022-12-01T11:27:46Z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3449FB6C467B44DF9E22E216FB0023A8</vt:lpwstr>
  </property>
</Properties>
</file>