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hint="eastAsia" w:ascii="仿宋" w:hAnsi="仿宋" w:eastAsia="仿宋" w:cs="仿宋"/>
          <w:b/>
          <w:bCs/>
          <w:color w:val="auto"/>
          <w:w w:val="90"/>
          <w:sz w:val="40"/>
          <w:szCs w:val="40"/>
          <w:lang w:eastAsia="zh-CN"/>
        </w:rPr>
      </w:pPr>
    </w:p>
    <w:p>
      <w:pPr>
        <w:spacing w:line="760" w:lineRule="exact"/>
        <w:jc w:val="center"/>
        <w:rPr>
          <w:rFonts w:hint="eastAsia" w:ascii="仿宋" w:hAnsi="仿宋" w:eastAsia="仿宋" w:cs="仿宋"/>
          <w:b/>
          <w:bCs/>
          <w:color w:val="auto"/>
          <w:w w:val="90"/>
          <w:sz w:val="40"/>
          <w:szCs w:val="40"/>
          <w:lang w:eastAsia="zh-CN"/>
        </w:rPr>
      </w:pPr>
      <w:r>
        <w:rPr>
          <w:rFonts w:hint="eastAsia" w:ascii="仿宋" w:hAnsi="仿宋" w:eastAsia="仿宋" w:cs="仿宋"/>
          <w:b/>
          <w:bCs/>
          <w:color w:val="auto"/>
          <w:w w:val="90"/>
          <w:sz w:val="40"/>
          <w:szCs w:val="40"/>
          <w:lang w:eastAsia="zh-CN"/>
        </w:rPr>
        <w:t>乌恰县人民医院临床科室医疗设备采购项目</w:t>
      </w:r>
      <w:r>
        <w:rPr>
          <w:rFonts w:hint="eastAsia" w:ascii="仿宋" w:hAnsi="仿宋" w:eastAsia="仿宋" w:cs="仿宋"/>
          <w:b/>
          <w:bCs/>
          <w:color w:val="auto"/>
          <w:w w:val="90"/>
          <w:sz w:val="40"/>
          <w:szCs w:val="40"/>
          <w:lang w:val="en-US" w:eastAsia="zh-CN"/>
        </w:rPr>
        <w:t>（二次）</w:t>
      </w:r>
    </w:p>
    <w:p>
      <w:pPr>
        <w:spacing w:line="760" w:lineRule="exact"/>
        <w:jc w:val="center"/>
        <w:rPr>
          <w:rFonts w:hint="default" w:ascii="仿宋" w:hAnsi="仿宋" w:eastAsia="仿宋" w:cs="仿宋"/>
          <w:b/>
          <w:bCs/>
          <w:color w:val="auto"/>
          <w:w w:val="90"/>
          <w:sz w:val="40"/>
          <w:szCs w:val="40"/>
          <w:lang w:val="en-US" w:eastAsia="zh-CN"/>
        </w:rPr>
      </w:pPr>
      <w:r>
        <w:rPr>
          <w:rFonts w:hint="eastAsia" w:ascii="仿宋" w:hAnsi="仿宋" w:eastAsia="仿宋" w:cs="仿宋"/>
          <w:b/>
          <w:bCs/>
          <w:color w:val="auto"/>
          <w:w w:val="90"/>
          <w:sz w:val="40"/>
          <w:szCs w:val="40"/>
          <w:lang w:eastAsia="zh-CN"/>
        </w:rPr>
        <w:t>项目编号：WQZFCG(ZB)-202</w:t>
      </w:r>
      <w:r>
        <w:rPr>
          <w:rFonts w:hint="eastAsia" w:ascii="仿宋" w:hAnsi="仿宋" w:eastAsia="仿宋" w:cs="仿宋"/>
          <w:b/>
          <w:bCs/>
          <w:color w:val="auto"/>
          <w:w w:val="90"/>
          <w:sz w:val="40"/>
          <w:szCs w:val="40"/>
          <w:lang w:val="en-US" w:eastAsia="zh-CN"/>
        </w:rPr>
        <w:t>4-053-1</w:t>
      </w:r>
    </w:p>
    <w:p>
      <w:pPr>
        <w:pStyle w:val="2"/>
        <w:spacing w:line="760" w:lineRule="exact"/>
        <w:rPr>
          <w:rFonts w:hint="eastAsia" w:ascii="仿宋" w:hAnsi="仿宋" w:eastAsia="仿宋" w:cs="仿宋"/>
          <w:color w:val="auto"/>
        </w:rPr>
      </w:pPr>
    </w:p>
    <w:p>
      <w:pPr>
        <w:pStyle w:val="2"/>
        <w:rPr>
          <w:rFonts w:hint="eastAsia" w:ascii="仿宋" w:hAnsi="仿宋" w:eastAsia="仿宋" w:cs="仿宋"/>
          <w:color w:val="auto"/>
        </w:rPr>
      </w:pPr>
    </w:p>
    <w:p>
      <w:pPr>
        <w:pStyle w:val="2"/>
        <w:jc w:val="center"/>
        <w:rPr>
          <w:rFonts w:hint="eastAsia" w:ascii="仿宋" w:hAnsi="仿宋" w:eastAsia="仿宋" w:cs="仿宋"/>
          <w:b/>
          <w:color w:val="auto"/>
          <w:sz w:val="96"/>
          <w:szCs w:val="96"/>
        </w:rPr>
      </w:pPr>
      <w:r>
        <w:rPr>
          <w:rFonts w:hint="eastAsia" w:ascii="仿宋" w:hAnsi="仿宋" w:eastAsia="仿宋" w:cs="仿宋"/>
          <w:b/>
          <w:color w:val="auto"/>
          <w:sz w:val="96"/>
          <w:szCs w:val="96"/>
        </w:rPr>
        <w:drawing>
          <wp:anchor distT="0" distB="0" distL="114300" distR="114300" simplePos="0" relativeHeight="251664384" behindDoc="1" locked="0" layoutInCell="1" allowOverlap="1">
            <wp:simplePos x="0" y="0"/>
            <wp:positionH relativeFrom="column">
              <wp:posOffset>1626870</wp:posOffset>
            </wp:positionH>
            <wp:positionV relativeFrom="page">
              <wp:posOffset>3444240</wp:posOffset>
            </wp:positionV>
            <wp:extent cx="2419350" cy="2362200"/>
            <wp:effectExtent l="0" t="0" r="0" b="0"/>
            <wp:wrapNone/>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3"/>
                    <a:stretch>
                      <a:fillRect/>
                    </a:stretch>
                  </pic:blipFill>
                  <pic:spPr>
                    <a:xfrm>
                      <a:off x="0" y="0"/>
                      <a:ext cx="2419350" cy="2362200"/>
                    </a:xfrm>
                    <a:prstGeom prst="rect">
                      <a:avLst/>
                    </a:prstGeom>
                    <a:noFill/>
                    <a:ln>
                      <a:noFill/>
                    </a:ln>
                  </pic:spPr>
                </pic:pic>
              </a:graphicData>
            </a:graphic>
          </wp:anchor>
        </w:drawing>
      </w:r>
      <w:r>
        <w:rPr>
          <w:rFonts w:hint="eastAsia" w:ascii="仿宋" w:hAnsi="仿宋" w:eastAsia="仿宋" w:cs="仿宋"/>
          <w:b/>
          <w:color w:val="auto"/>
          <w:sz w:val="96"/>
          <w:szCs w:val="96"/>
        </w:rPr>
        <w:t>招</w:t>
      </w:r>
    </w:p>
    <w:p>
      <w:pPr>
        <w:pStyle w:val="2"/>
        <w:jc w:val="center"/>
        <w:rPr>
          <w:rFonts w:hint="eastAsia" w:ascii="仿宋" w:hAnsi="仿宋" w:eastAsia="仿宋" w:cs="仿宋"/>
          <w:b/>
          <w:bCs/>
          <w:color w:val="auto"/>
          <w:sz w:val="96"/>
          <w:szCs w:val="96"/>
        </w:rPr>
      </w:pPr>
      <w:r>
        <w:rPr>
          <w:rFonts w:hint="eastAsia" w:ascii="仿宋" w:hAnsi="仿宋" w:eastAsia="仿宋" w:cs="仿宋"/>
          <w:b/>
          <w:color w:val="auto"/>
          <w:sz w:val="96"/>
          <w:szCs w:val="96"/>
        </w:rPr>
        <w:t>标</w:t>
      </w:r>
    </w:p>
    <w:p>
      <w:pPr>
        <w:pStyle w:val="2"/>
        <w:jc w:val="center"/>
        <w:rPr>
          <w:rFonts w:hint="eastAsia" w:ascii="仿宋" w:hAnsi="仿宋" w:eastAsia="仿宋" w:cs="仿宋"/>
          <w:b/>
          <w:bCs/>
          <w:color w:val="auto"/>
          <w:sz w:val="96"/>
          <w:szCs w:val="96"/>
        </w:rPr>
      </w:pPr>
      <w:r>
        <w:rPr>
          <w:rFonts w:hint="eastAsia" w:ascii="仿宋" w:hAnsi="仿宋" w:eastAsia="仿宋" w:cs="仿宋"/>
          <w:b/>
          <w:bCs/>
          <w:color w:val="auto"/>
          <w:sz w:val="96"/>
          <w:szCs w:val="96"/>
        </w:rPr>
        <w:t>文</w:t>
      </w:r>
    </w:p>
    <w:p>
      <w:pPr>
        <w:pStyle w:val="2"/>
        <w:jc w:val="center"/>
        <w:rPr>
          <w:rFonts w:hint="eastAsia" w:ascii="仿宋" w:hAnsi="仿宋" w:eastAsia="仿宋" w:cs="仿宋"/>
          <w:color w:val="auto"/>
          <w:sz w:val="84"/>
          <w:szCs w:val="84"/>
        </w:rPr>
      </w:pPr>
      <w:r>
        <w:rPr>
          <w:rFonts w:hint="eastAsia" w:ascii="仿宋" w:hAnsi="仿宋" w:eastAsia="仿宋" w:cs="仿宋"/>
          <w:b/>
          <w:bCs/>
          <w:color w:val="auto"/>
          <w:sz w:val="96"/>
          <w:szCs w:val="96"/>
        </w:rPr>
        <w:t>件</w:t>
      </w:r>
    </w:p>
    <w:p>
      <w:pPr>
        <w:pStyle w:val="2"/>
        <w:rPr>
          <w:rFonts w:hint="eastAsia" w:ascii="仿宋" w:hAnsi="仿宋" w:eastAsia="仿宋" w:cs="仿宋"/>
          <w:color w:val="auto"/>
        </w:rPr>
      </w:pP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采购单位：乌恰县人民医院</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 陈女士</w:t>
      </w:r>
    </w:p>
    <w:p>
      <w:pPr>
        <w:spacing w:line="700" w:lineRule="exact"/>
        <w:ind w:firstLine="640" w:firstLineChars="200"/>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联系电话：0908</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4622757</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w:t>
      </w:r>
    </w:p>
    <w:p>
      <w:pPr>
        <w:spacing w:line="700" w:lineRule="exact"/>
        <w:ind w:firstLine="640" w:firstLineChars="200"/>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联 系 人：朱先生</w:t>
      </w:r>
    </w:p>
    <w:p>
      <w:pPr>
        <w:spacing w:line="700" w:lineRule="exact"/>
        <w:ind w:firstLine="640" w:firstLineChars="200"/>
        <w:rPr>
          <w:rFonts w:hint="eastAsia" w:ascii="仿宋" w:hAnsi="仿宋" w:eastAsia="仿宋" w:cs="仿宋"/>
          <w:b/>
          <w:color w:val="auto"/>
          <w:sz w:val="32"/>
          <w:szCs w:val="32"/>
          <w:lang w:eastAsia="zh-CN"/>
        </w:rPr>
      </w:pPr>
      <w:r>
        <w:rPr>
          <w:rFonts w:hint="eastAsia" w:ascii="仿宋" w:hAnsi="仿宋" w:eastAsia="仿宋" w:cs="仿宋"/>
          <w:color w:val="auto"/>
          <w:sz w:val="32"/>
          <w:szCs w:val="32"/>
          <w:lang w:eastAsia="zh-CN"/>
        </w:rPr>
        <w:t>联系电话: 18609088999</w:t>
      </w:r>
    </w:p>
    <w:p>
      <w:pPr>
        <w:jc w:val="center"/>
        <w:rPr>
          <w:rFonts w:hint="eastAsia" w:ascii="仿宋" w:hAnsi="仿宋" w:eastAsia="仿宋" w:cs="仿宋"/>
          <w:b/>
          <w:color w:val="auto"/>
          <w:sz w:val="36"/>
          <w:szCs w:val="36"/>
          <w:lang w:eastAsia="zh-CN"/>
        </w:rPr>
      </w:pPr>
    </w:p>
    <w:p>
      <w:pPr>
        <w:jc w:val="center"/>
        <w:rPr>
          <w:rFonts w:hint="eastAsia" w:ascii="仿宋" w:hAnsi="仿宋" w:eastAsia="仿宋" w:cs="仿宋"/>
          <w:b/>
          <w:color w:val="auto"/>
          <w:sz w:val="36"/>
          <w:szCs w:val="36"/>
          <w:lang w:eastAsia="zh-CN"/>
        </w:rPr>
      </w:pPr>
      <w:r>
        <w:rPr>
          <w:rFonts w:hint="eastAsia" w:ascii="仿宋" w:hAnsi="仿宋" w:eastAsia="仿宋" w:cs="仿宋"/>
          <w:b/>
          <w:color w:val="auto"/>
          <w:sz w:val="36"/>
          <w:szCs w:val="36"/>
          <w:lang w:eastAsia="zh-CN"/>
        </w:rPr>
        <w:t>招投标监督管理机构备案登记栏</w:t>
      </w:r>
    </w:p>
    <w:tbl>
      <w:tblPr>
        <w:tblStyle w:val="23"/>
        <w:tblW w:w="52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5" w:hRule="atLeast"/>
          <w:jc w:val="center"/>
        </w:trPr>
        <w:tc>
          <w:tcPr>
            <w:tcW w:w="5000" w:type="pct"/>
          </w:tcPr>
          <w:p>
            <w:pPr>
              <w:spacing w:line="500" w:lineRule="exact"/>
              <w:jc w:val="both"/>
              <w:rPr>
                <w:rFonts w:hint="eastAsia" w:ascii="仿宋" w:hAnsi="仿宋" w:eastAsia="仿宋" w:cs="仿宋"/>
                <w:color w:val="auto"/>
                <w:lang w:eastAsia="zh-CN"/>
              </w:rPr>
            </w:pPr>
          </w:p>
          <w:p>
            <w:pPr>
              <w:spacing w:line="500" w:lineRule="exact"/>
              <w:jc w:val="both"/>
              <w:rPr>
                <w:rFonts w:hint="eastAsia" w:ascii="仿宋" w:hAnsi="仿宋" w:eastAsia="仿宋" w:cs="仿宋"/>
                <w:color w:val="auto"/>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w w:val="95"/>
                <w:sz w:val="32"/>
                <w:szCs w:val="32"/>
                <w:lang w:eastAsia="zh-CN"/>
              </w:rPr>
            </w:pPr>
            <w:r>
              <w:rPr>
                <w:rFonts w:hint="eastAsia" w:ascii="仿宋" w:hAnsi="仿宋" w:eastAsia="仿宋" w:cs="仿宋"/>
                <w:color w:val="auto"/>
                <w:sz w:val="32"/>
                <w:szCs w:val="32"/>
                <w:lang w:eastAsia="zh-CN"/>
              </w:rPr>
              <w:t>采购单位：乌恰县人民医院</w:t>
            </w:r>
            <w:r>
              <w:rPr>
                <w:rFonts w:hint="eastAsia" w:ascii="仿宋" w:hAnsi="仿宋" w:eastAsia="仿宋" w:cs="仿宋"/>
                <w:color w:val="auto"/>
                <w:w w:val="95"/>
                <w:sz w:val="32"/>
                <w:szCs w:val="32"/>
                <w:lang w:eastAsia="zh-CN"/>
              </w:rPr>
              <w:t>（盖章）</w:t>
            </w:r>
          </w:p>
          <w:p>
            <w:pPr>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 xml:space="preserve">                                            </w:t>
            </w: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ind w:left="3520" w:hanging="3520" w:hangingChars="1100"/>
              <w:jc w:val="both"/>
              <w:rPr>
                <w:rFonts w:hint="eastAsia" w:ascii="仿宋" w:hAnsi="仿宋" w:eastAsia="仿宋" w:cs="仿宋"/>
                <w:color w:val="auto"/>
                <w:sz w:val="32"/>
                <w:szCs w:val="32"/>
                <w:lang w:eastAsia="zh-CN"/>
              </w:rPr>
            </w:pPr>
          </w:p>
          <w:p>
            <w:pPr>
              <w:spacing w:line="760" w:lineRule="exact"/>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采购项目名称：</w:t>
            </w:r>
            <w:r>
              <w:rPr>
                <w:rFonts w:hint="eastAsia" w:ascii="仿宋" w:hAnsi="仿宋" w:eastAsia="仿宋" w:cs="仿宋"/>
                <w:color w:val="auto"/>
                <w:sz w:val="32"/>
                <w:szCs w:val="32"/>
                <w:highlight w:val="none"/>
                <w:lang w:val="en-US" w:eastAsia="zh-CN"/>
              </w:rPr>
              <w:t>乌恰县人民医院临床科室医疗设备采购项目（二次）</w:t>
            </w:r>
          </w:p>
          <w:p>
            <w:pPr>
              <w:spacing w:line="760" w:lineRule="exact"/>
              <w:jc w:val="center"/>
              <w:rPr>
                <w:rFonts w:hint="eastAsia" w:ascii="仿宋" w:hAnsi="仿宋" w:eastAsia="仿宋" w:cs="仿宋"/>
                <w:b/>
                <w:bCs/>
                <w:color w:val="auto"/>
                <w:w w:val="90"/>
                <w:sz w:val="40"/>
                <w:szCs w:val="40"/>
                <w:lang w:eastAsia="zh-CN"/>
              </w:rPr>
            </w:pPr>
          </w:p>
          <w:p>
            <w:pPr>
              <w:spacing w:line="500" w:lineRule="exact"/>
              <w:ind w:left="3520" w:hanging="3520" w:hangingChars="1100"/>
              <w:jc w:val="both"/>
              <w:rPr>
                <w:rFonts w:hint="eastAsia" w:ascii="仿宋" w:hAnsi="仿宋" w:eastAsia="仿宋" w:cs="仿宋"/>
                <w:color w:val="auto"/>
                <w:sz w:val="32"/>
                <w:szCs w:val="32"/>
                <w:lang w:eastAsia="zh-CN"/>
              </w:rPr>
            </w:pPr>
          </w:p>
          <w:p>
            <w:pPr>
              <w:spacing w:line="500" w:lineRule="exact"/>
              <w:ind w:left="3520" w:hanging="3520" w:hangingChars="1100"/>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p>
          <w:p>
            <w:pPr>
              <w:spacing w:line="500" w:lineRule="exact"/>
              <w:jc w:val="both"/>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代理机构：鼎建项目管理有限公司（盖章）</w:t>
            </w:r>
          </w:p>
          <w:p>
            <w:pPr>
              <w:pStyle w:val="8"/>
              <w:jc w:val="both"/>
              <w:outlineLvl w:val="2"/>
              <w:rPr>
                <w:rFonts w:hint="eastAsia" w:ascii="仿宋" w:hAnsi="仿宋" w:eastAsia="仿宋" w:cs="仿宋"/>
                <w:color w:val="auto"/>
                <w:lang w:eastAsia="zh-CN"/>
              </w:rPr>
            </w:pPr>
          </w:p>
          <w:p>
            <w:pPr>
              <w:jc w:val="both"/>
              <w:rPr>
                <w:rFonts w:hint="eastAsia" w:ascii="仿宋" w:hAnsi="仿宋" w:eastAsia="仿宋" w:cs="仿宋"/>
                <w:color w:val="auto"/>
                <w:lang w:eastAsia="zh-CN"/>
              </w:rPr>
            </w:pPr>
          </w:p>
          <w:p>
            <w:pPr>
              <w:pStyle w:val="8"/>
              <w:jc w:val="center"/>
              <w:outlineLvl w:val="2"/>
              <w:rPr>
                <w:rFonts w:hint="eastAsia" w:ascii="仿宋" w:hAnsi="仿宋" w:eastAsia="仿宋" w:cs="仿宋"/>
                <w:color w:val="auto"/>
              </w:rPr>
            </w:pPr>
            <w:r>
              <w:rPr>
                <w:rFonts w:hint="eastAsia" w:ascii="仿宋" w:hAnsi="仿宋" w:eastAsia="仿宋" w:cs="仿宋"/>
                <w:color w:val="auto"/>
              </w:rPr>
              <w:t>日  期：20</w:t>
            </w:r>
            <w:r>
              <w:rPr>
                <w:rFonts w:hint="eastAsia" w:ascii="仿宋" w:hAnsi="仿宋" w:eastAsia="仿宋" w:cs="仿宋"/>
                <w:color w:val="auto"/>
                <w:lang w:eastAsia="zh-CN"/>
              </w:rPr>
              <w:t>2</w:t>
            </w:r>
            <w:r>
              <w:rPr>
                <w:rFonts w:hint="eastAsia" w:ascii="仿宋" w:hAnsi="仿宋" w:eastAsia="仿宋" w:cs="仿宋"/>
                <w:color w:val="auto"/>
                <w:lang w:val="en-US" w:eastAsia="zh-CN"/>
              </w:rPr>
              <w:t>4</w:t>
            </w:r>
            <w:r>
              <w:rPr>
                <w:rFonts w:hint="eastAsia" w:ascii="仿宋" w:hAnsi="仿宋" w:eastAsia="仿宋" w:cs="仿宋"/>
                <w:color w:val="auto"/>
              </w:rPr>
              <w:t>年</w:t>
            </w:r>
            <w:r>
              <w:rPr>
                <w:rFonts w:hint="eastAsia" w:ascii="仿宋" w:hAnsi="仿宋" w:eastAsia="仿宋" w:cs="仿宋"/>
                <w:color w:val="auto"/>
                <w:lang w:val="en-US" w:eastAsia="zh-CN"/>
              </w:rPr>
              <w:t xml:space="preserve"> 5</w:t>
            </w:r>
            <w:r>
              <w:rPr>
                <w:rFonts w:hint="eastAsia" w:ascii="仿宋" w:hAnsi="仿宋" w:eastAsia="仿宋" w:cs="仿宋"/>
                <w:color w:val="auto"/>
              </w:rPr>
              <w:t>月</w:t>
            </w:r>
          </w:p>
          <w:p>
            <w:pPr>
              <w:pStyle w:val="8"/>
              <w:jc w:val="both"/>
              <w:outlineLvl w:val="2"/>
              <w:rPr>
                <w:rFonts w:hint="eastAsia" w:ascii="仿宋" w:hAnsi="仿宋" w:eastAsia="仿宋" w:cs="仿宋"/>
                <w:color w:val="auto"/>
              </w:rPr>
            </w:pPr>
          </w:p>
        </w:tc>
      </w:tr>
    </w:tbl>
    <w:p>
      <w:pPr>
        <w:spacing w:line="240" w:lineRule="exact"/>
        <w:rPr>
          <w:rFonts w:hint="eastAsia" w:ascii="仿宋" w:hAnsi="仿宋" w:eastAsia="仿宋" w:cs="仿宋"/>
          <w:color w:val="auto"/>
          <w:sz w:val="44"/>
          <w:szCs w:val="44"/>
          <w:lang w:val="en-US" w:eastAsia="zh-CN"/>
        </w:rPr>
        <w:sectPr>
          <w:headerReference r:id="rId3" w:type="default"/>
          <w:footerReference r:id="rId4" w:type="default"/>
          <w:pgSz w:w="11906" w:h="16838"/>
          <w:pgMar w:top="1440" w:right="1519" w:bottom="1440" w:left="1519" w:header="851" w:footer="992" w:gutter="0"/>
          <w:pgNumType w:start="1"/>
          <w:cols w:space="720" w:num="1"/>
          <w:docGrid w:type="linesAndChars" w:linePitch="312" w:charSpace="0"/>
        </w:sectPr>
      </w:pPr>
      <w:r>
        <w:rPr>
          <w:rFonts w:hint="eastAsia" w:ascii="仿宋" w:hAnsi="仿宋" w:eastAsia="仿宋" w:cs="仿宋"/>
          <w:color w:val="auto"/>
          <w:sz w:val="44"/>
          <w:szCs w:val="44"/>
          <w:lang w:val="en-US" w:eastAsia="zh-CN"/>
        </w:rPr>
        <w:t xml:space="preserve"> </w:t>
      </w:r>
    </w:p>
    <w:p>
      <w:pPr>
        <w:pStyle w:val="31"/>
        <w:spacing w:before="0" w:line="360" w:lineRule="auto"/>
        <w:jc w:val="center"/>
        <w:rPr>
          <w:rFonts w:hint="eastAsia" w:ascii="仿宋" w:hAnsi="仿宋" w:eastAsia="仿宋" w:cs="仿宋"/>
          <w:color w:val="auto"/>
          <w:sz w:val="44"/>
          <w:szCs w:val="44"/>
          <w:lang w:val="zh-CN"/>
        </w:rPr>
      </w:pPr>
      <w:r>
        <w:rPr>
          <w:rFonts w:hint="eastAsia" w:ascii="仿宋" w:hAnsi="仿宋" w:eastAsia="仿宋" w:cs="仿宋"/>
          <w:color w:val="auto"/>
          <w:sz w:val="44"/>
          <w:szCs w:val="44"/>
          <w:lang w:val="zh-CN"/>
        </w:rPr>
        <w:t>目    录</w:t>
      </w:r>
    </w:p>
    <w:p>
      <w:pPr>
        <w:rPr>
          <w:rFonts w:hint="eastAsia" w:ascii="仿宋" w:hAnsi="仿宋" w:eastAsia="仿宋" w:cs="仿宋"/>
          <w:color w:val="auto"/>
          <w:lang w:val="zh-CN"/>
        </w:rPr>
      </w:pP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zh-CN"/>
        </w:rPr>
        <w:t>第一部分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招标公告…………………………………………1</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供应商须知………………………………………</w:t>
      </w:r>
      <w:r>
        <w:rPr>
          <w:rFonts w:hint="eastAsia" w:ascii="仿宋" w:hAnsi="仿宋" w:eastAsia="仿宋" w:cs="仿宋"/>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第三部分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评标办法…………………………………………3</w:t>
      </w:r>
      <w:r>
        <w:rPr>
          <w:rFonts w:hint="eastAsia" w:ascii="仿宋" w:hAnsi="仿宋" w:eastAsia="仿宋" w:cs="仿宋"/>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第四部分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技术规格数量及质量要求………………………</w:t>
      </w:r>
      <w:r>
        <w:rPr>
          <w:rFonts w:hint="eastAsia" w:ascii="仿宋" w:hAnsi="仿宋" w:eastAsia="仿宋" w:cs="仿宋"/>
          <w:color w:val="auto"/>
          <w:sz w:val="32"/>
          <w:szCs w:val="32"/>
          <w:lang w:val="en-US" w:eastAsia="zh-CN"/>
        </w:rPr>
        <w:t>42</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第五部分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合同（参考）……………………………………</w:t>
      </w:r>
      <w:r>
        <w:rPr>
          <w:rFonts w:hint="eastAsia" w:ascii="仿宋" w:hAnsi="仿宋" w:eastAsia="仿宋" w:cs="仿宋"/>
          <w:color w:val="auto"/>
          <w:sz w:val="32"/>
          <w:szCs w:val="32"/>
          <w:lang w:val="en-US" w:eastAsia="zh-CN"/>
        </w:rPr>
        <w:t>62</w:t>
      </w:r>
    </w:p>
    <w:p>
      <w:pPr>
        <w:keepNext w:val="0"/>
        <w:keepLines w:val="0"/>
        <w:pageBreakBefore w:val="0"/>
        <w:widowControl w:val="0"/>
        <w:kinsoku/>
        <w:wordWrap/>
        <w:overflowPunct/>
        <w:topLinePunct w:val="0"/>
        <w:autoSpaceDE/>
        <w:autoSpaceDN/>
        <w:bidi w:val="0"/>
        <w:adjustRightInd/>
        <w:snapToGrid/>
        <w:spacing w:line="1000" w:lineRule="exact"/>
        <w:ind w:firstLine="640" w:firstLineChars="200"/>
        <w:jc w:val="left"/>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第六部分</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投标文件格式……………………………………</w:t>
      </w:r>
      <w:r>
        <w:rPr>
          <w:rFonts w:hint="eastAsia" w:ascii="仿宋" w:hAnsi="仿宋" w:eastAsia="仿宋" w:cs="仿宋"/>
          <w:color w:val="auto"/>
          <w:sz w:val="32"/>
          <w:szCs w:val="32"/>
          <w:lang w:val="en-US" w:eastAsia="zh-CN"/>
        </w:rPr>
        <w:t>69</w:t>
      </w:r>
    </w:p>
    <w:p>
      <w:pPr>
        <w:rPr>
          <w:rFonts w:hint="eastAsia" w:ascii="仿宋" w:hAnsi="仿宋" w:eastAsia="仿宋" w:cs="仿宋"/>
          <w:color w:val="auto"/>
          <w:lang w:eastAsia="zh-CN"/>
        </w:rPr>
      </w:pPr>
    </w:p>
    <w:p>
      <w:pPr>
        <w:spacing w:line="480" w:lineRule="auto"/>
        <w:rPr>
          <w:rFonts w:hint="eastAsia" w:ascii="仿宋" w:hAnsi="仿宋" w:eastAsia="仿宋" w:cs="仿宋"/>
          <w:color w:val="auto"/>
          <w:lang w:eastAsia="zh-CN"/>
        </w:rPr>
      </w:pPr>
    </w:p>
    <w:p>
      <w:pPr>
        <w:pStyle w:val="8"/>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8"/>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8"/>
        <w:rPr>
          <w:rFonts w:hint="eastAsia" w:ascii="仿宋" w:hAnsi="仿宋" w:eastAsia="仿宋" w:cs="仿宋"/>
          <w:color w:val="auto"/>
          <w:lang w:eastAsia="zh-CN"/>
        </w:rPr>
      </w:pPr>
    </w:p>
    <w:p>
      <w:pPr>
        <w:rPr>
          <w:rFonts w:hint="eastAsia" w:ascii="仿宋" w:hAnsi="仿宋" w:eastAsia="仿宋" w:cs="仿宋"/>
          <w:color w:val="auto"/>
          <w:lang w:eastAsia="zh-CN"/>
        </w:rPr>
      </w:pPr>
    </w:p>
    <w:p>
      <w:pPr>
        <w:pStyle w:val="8"/>
        <w:rPr>
          <w:rFonts w:hint="eastAsia" w:ascii="仿宋" w:hAnsi="仿宋" w:eastAsia="仿宋" w:cs="仿宋"/>
          <w:color w:val="auto"/>
          <w:lang w:eastAsia="zh-CN"/>
        </w:rPr>
      </w:pPr>
    </w:p>
    <w:p>
      <w:pPr>
        <w:pStyle w:val="32"/>
        <w:keepNext/>
        <w:keepLines/>
        <w:spacing w:before="120" w:after="300"/>
        <w:jc w:val="both"/>
        <w:rPr>
          <w:rFonts w:hint="eastAsia" w:ascii="仿宋" w:hAnsi="仿宋" w:eastAsia="仿宋" w:cs="仿宋"/>
          <w:b/>
          <w:bCs/>
          <w:color w:val="auto"/>
        </w:rPr>
        <w:sectPr>
          <w:footerReference r:id="rId5" w:type="default"/>
          <w:pgSz w:w="11906" w:h="16838"/>
          <w:pgMar w:top="1440" w:right="1080" w:bottom="1440" w:left="1080" w:header="851" w:footer="992" w:gutter="0"/>
          <w:pgNumType w:start="1"/>
          <w:cols w:space="720" w:num="1"/>
          <w:docGrid w:type="linesAndChars" w:linePitch="312" w:charSpace="0"/>
        </w:sectPr>
      </w:pPr>
    </w:p>
    <w:p>
      <w:pPr>
        <w:pStyle w:val="32"/>
        <w:keepNext/>
        <w:keepLines/>
        <w:spacing w:before="120" w:after="300"/>
        <w:rPr>
          <w:rFonts w:hint="eastAsia" w:ascii="仿宋" w:hAnsi="仿宋" w:eastAsia="仿宋" w:cs="仿宋"/>
          <w:b/>
          <w:bCs/>
          <w:color w:val="auto"/>
          <w:lang w:eastAsia="zh-CN"/>
        </w:rPr>
      </w:pPr>
      <w:r>
        <w:rPr>
          <w:rFonts w:hint="eastAsia" w:ascii="仿宋" w:hAnsi="仿宋" w:eastAsia="仿宋" w:cs="仿宋"/>
          <w:b/>
          <w:bCs/>
          <w:color w:val="auto"/>
        </w:rPr>
        <w:t>第一部分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招标公告</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6"/>
          <w:szCs w:val="36"/>
          <w:highlight w:val="none"/>
          <w:lang w:val="en-US" w:eastAsia="zh-CN" w:bidi="ar"/>
        </w:rPr>
      </w:pPr>
      <w:r>
        <w:rPr>
          <w:rFonts w:hint="eastAsia" w:ascii="仿宋" w:hAnsi="仿宋" w:eastAsia="仿宋" w:cs="仿宋"/>
          <w:b/>
          <w:bCs/>
          <w:i w:val="0"/>
          <w:iCs w:val="0"/>
          <w:caps w:val="0"/>
          <w:color w:val="auto"/>
          <w:spacing w:val="0"/>
          <w:kern w:val="0"/>
          <w:sz w:val="36"/>
          <w:szCs w:val="36"/>
          <w:highlight w:val="none"/>
          <w:lang w:val="en-US" w:eastAsia="zh-CN" w:bidi="ar"/>
        </w:rPr>
        <w:t>乌恰县人民医院临床科室医疗设备采购项目（二次）</w:t>
      </w:r>
    </w:p>
    <w:p>
      <w:pPr>
        <w:pStyle w:val="6"/>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i w:val="0"/>
          <w:iCs w:val="0"/>
          <w:caps w:val="0"/>
          <w:color w:val="auto"/>
          <w:spacing w:val="0"/>
          <w:kern w:val="0"/>
          <w:sz w:val="36"/>
          <w:szCs w:val="36"/>
          <w:lang w:val="en-US" w:eastAsia="zh-CN" w:bidi="ar"/>
        </w:rPr>
      </w:pPr>
      <w:r>
        <w:rPr>
          <w:rFonts w:hint="eastAsia" w:ascii="仿宋" w:hAnsi="仿宋" w:eastAsia="仿宋" w:cs="仿宋"/>
          <w:b/>
          <w:bCs/>
          <w:i w:val="0"/>
          <w:iCs w:val="0"/>
          <w:caps w:val="0"/>
          <w:color w:val="auto"/>
          <w:spacing w:val="0"/>
          <w:kern w:val="0"/>
          <w:sz w:val="36"/>
          <w:szCs w:val="36"/>
          <w:lang w:val="en-US" w:eastAsia="zh-CN" w:bidi="ar"/>
        </w:rPr>
        <w:t>公开招标公告</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trPr>
        <w:tc>
          <w:tcPr>
            <w:tcW w:w="9743" w:type="dxa"/>
            <w:noWrap w:val="0"/>
            <w:vAlign w:val="top"/>
          </w:tcPr>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项目概况</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b w:val="0"/>
                <w:bCs w:val="0"/>
                <w:color w:val="auto"/>
                <w:sz w:val="36"/>
                <w:szCs w:val="36"/>
                <w:vertAlign w:val="baseline"/>
              </w:rPr>
            </w:pPr>
            <w:r>
              <w:rPr>
                <w:rFonts w:hint="eastAsia" w:ascii="仿宋" w:hAnsi="仿宋" w:eastAsia="仿宋" w:cs="仿宋"/>
                <w:b w:val="0"/>
                <w:bCs w:val="0"/>
                <w:i w:val="0"/>
                <w:iCs w:val="0"/>
                <w:caps w:val="0"/>
                <w:color w:val="auto"/>
                <w:spacing w:val="0"/>
                <w:sz w:val="24"/>
                <w:szCs w:val="24"/>
                <w:lang w:val="en-US" w:eastAsia="zh-CN"/>
              </w:rPr>
              <w:t>乌恰县人民医院临床科室医疗设备采购项目（二次）</w:t>
            </w:r>
            <w:r>
              <w:rPr>
                <w:rFonts w:hint="eastAsia" w:ascii="仿宋" w:hAnsi="仿宋" w:eastAsia="仿宋" w:cs="仿宋"/>
                <w:b w:val="0"/>
                <w:bCs w:val="0"/>
                <w:i w:val="0"/>
                <w:iCs w:val="0"/>
                <w:caps w:val="0"/>
                <w:color w:val="auto"/>
                <w:spacing w:val="0"/>
                <w:sz w:val="24"/>
                <w:szCs w:val="24"/>
                <w:lang w:eastAsia="zh-CN"/>
              </w:rPr>
              <w:t>招标项目的潜在投标人应在政采云平台线上获取获取招标文件，并于</w:t>
            </w:r>
            <w:r>
              <w:rPr>
                <w:rFonts w:hint="eastAsia" w:ascii="仿宋" w:hAnsi="仿宋" w:eastAsia="仿宋" w:cs="仿宋"/>
                <w:b w:val="0"/>
                <w:bCs w:val="0"/>
                <w:i w:val="0"/>
                <w:iCs w:val="0"/>
                <w:caps w:val="0"/>
                <w:color w:val="auto"/>
                <w:spacing w:val="0"/>
                <w:sz w:val="24"/>
                <w:szCs w:val="24"/>
                <w:u w:val="single"/>
                <w:lang w:eastAsia="zh-CN"/>
              </w:rPr>
              <w:t>2024年</w:t>
            </w:r>
            <w:r>
              <w:rPr>
                <w:rFonts w:hint="eastAsia" w:ascii="仿宋" w:hAnsi="仿宋" w:eastAsia="仿宋" w:cs="仿宋"/>
                <w:b w:val="0"/>
                <w:bCs w:val="0"/>
                <w:i w:val="0"/>
                <w:iCs w:val="0"/>
                <w:caps w:val="0"/>
                <w:color w:val="auto"/>
                <w:spacing w:val="0"/>
                <w:sz w:val="24"/>
                <w:szCs w:val="24"/>
                <w:u w:val="single"/>
                <w:lang w:val="en-US" w:eastAsia="zh-CN"/>
              </w:rPr>
              <w:t>6</w:t>
            </w:r>
            <w:r>
              <w:rPr>
                <w:rFonts w:hint="eastAsia" w:ascii="仿宋" w:hAnsi="仿宋" w:eastAsia="仿宋" w:cs="仿宋"/>
                <w:b w:val="0"/>
                <w:bCs w:val="0"/>
                <w:i w:val="0"/>
                <w:iCs w:val="0"/>
                <w:caps w:val="0"/>
                <w:color w:val="auto"/>
                <w:spacing w:val="0"/>
                <w:sz w:val="24"/>
                <w:szCs w:val="24"/>
                <w:u w:val="single"/>
                <w:lang w:eastAsia="zh-CN"/>
              </w:rPr>
              <w:t>月</w:t>
            </w:r>
            <w:r>
              <w:rPr>
                <w:rFonts w:hint="eastAsia" w:ascii="仿宋" w:hAnsi="仿宋" w:eastAsia="仿宋" w:cs="仿宋"/>
                <w:b w:val="0"/>
                <w:bCs w:val="0"/>
                <w:i w:val="0"/>
                <w:iCs w:val="0"/>
                <w:caps w:val="0"/>
                <w:color w:val="auto"/>
                <w:spacing w:val="0"/>
                <w:sz w:val="24"/>
                <w:szCs w:val="24"/>
                <w:u w:val="single"/>
                <w:lang w:val="en-US" w:eastAsia="zh-CN"/>
              </w:rPr>
              <w:t xml:space="preserve">13 </w:t>
            </w:r>
            <w:r>
              <w:rPr>
                <w:rFonts w:hint="eastAsia" w:ascii="仿宋" w:hAnsi="仿宋" w:eastAsia="仿宋" w:cs="仿宋"/>
                <w:b w:val="0"/>
                <w:bCs w:val="0"/>
                <w:i w:val="0"/>
                <w:iCs w:val="0"/>
                <w:caps w:val="0"/>
                <w:color w:val="auto"/>
                <w:spacing w:val="0"/>
                <w:sz w:val="24"/>
                <w:szCs w:val="24"/>
                <w:u w:val="single"/>
                <w:lang w:eastAsia="zh-CN"/>
              </w:rPr>
              <w:t>日 10:30</w:t>
            </w:r>
            <w:r>
              <w:rPr>
                <w:rFonts w:hint="eastAsia" w:ascii="仿宋" w:hAnsi="仿宋" w:eastAsia="仿宋" w:cs="仿宋"/>
                <w:b w:val="0"/>
                <w:bCs w:val="0"/>
                <w:i w:val="0"/>
                <w:iCs w:val="0"/>
                <w:caps w:val="0"/>
                <w:color w:val="auto"/>
                <w:spacing w:val="0"/>
                <w:sz w:val="24"/>
                <w:szCs w:val="24"/>
                <w:lang w:eastAsia="zh-CN"/>
              </w:rPr>
              <w:t>（北京时间）前递交投标文件。</w:t>
            </w:r>
          </w:p>
        </w:tc>
      </w:tr>
    </w:tbl>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一、项目基本情况</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rPr>
        <w:t>项目编号：</w:t>
      </w:r>
      <w:r>
        <w:rPr>
          <w:rFonts w:hint="eastAsia" w:ascii="仿宋" w:hAnsi="仿宋" w:eastAsia="仿宋" w:cs="仿宋"/>
          <w:b w:val="0"/>
          <w:bCs w:val="0"/>
          <w:i w:val="0"/>
          <w:iCs w:val="0"/>
          <w:caps w:val="0"/>
          <w:color w:val="auto"/>
          <w:spacing w:val="0"/>
          <w:sz w:val="24"/>
          <w:szCs w:val="24"/>
          <w:lang w:eastAsia="zh-CN"/>
        </w:rPr>
        <w:t>WQZFCG(ZB)-202</w:t>
      </w:r>
      <w:r>
        <w:rPr>
          <w:rFonts w:hint="eastAsia" w:ascii="仿宋" w:hAnsi="仿宋" w:eastAsia="仿宋" w:cs="仿宋"/>
          <w:b w:val="0"/>
          <w:bCs w:val="0"/>
          <w:i w:val="0"/>
          <w:iCs w:val="0"/>
          <w:caps w:val="0"/>
          <w:color w:val="auto"/>
          <w:spacing w:val="0"/>
          <w:sz w:val="24"/>
          <w:szCs w:val="24"/>
          <w:lang w:val="en-US" w:eastAsia="zh-CN"/>
        </w:rPr>
        <w:t>4-053-1</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1200" w:right="0" w:hanging="1200" w:hangingChars="500"/>
        <w:jc w:val="left"/>
        <w:textAlignment w:val="auto"/>
        <w:rPr>
          <w:rFonts w:hint="eastAsia" w:ascii="仿宋" w:hAnsi="仿宋" w:eastAsia="仿宋" w:cs="仿宋"/>
          <w:i w:val="0"/>
          <w:iCs w:val="0"/>
          <w:caps w:val="0"/>
          <w:color w:val="auto"/>
          <w:spacing w:val="0"/>
          <w:sz w:val="24"/>
          <w:szCs w:val="24"/>
          <w:lang w:eastAsia="zh-CN"/>
        </w:rPr>
      </w:pPr>
      <w:r>
        <w:rPr>
          <w:rFonts w:hint="eastAsia" w:ascii="仿宋" w:hAnsi="仿宋" w:eastAsia="仿宋" w:cs="仿宋"/>
          <w:i w:val="0"/>
          <w:iCs w:val="0"/>
          <w:caps w:val="0"/>
          <w:color w:val="auto"/>
          <w:spacing w:val="0"/>
          <w:sz w:val="24"/>
          <w:szCs w:val="24"/>
        </w:rPr>
        <w:t>项目名称：</w:t>
      </w:r>
      <w:r>
        <w:rPr>
          <w:rFonts w:hint="eastAsia" w:ascii="仿宋" w:hAnsi="仿宋" w:eastAsia="仿宋" w:cs="仿宋"/>
          <w:i w:val="0"/>
          <w:iCs w:val="0"/>
          <w:caps w:val="0"/>
          <w:color w:val="auto"/>
          <w:spacing w:val="0"/>
          <w:sz w:val="24"/>
          <w:szCs w:val="24"/>
          <w:highlight w:val="none"/>
          <w:lang w:val="en-US" w:eastAsia="zh-CN"/>
        </w:rPr>
        <w:t>乌恰县人民医院临床科室医疗设备采购项目（二次）</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采购方式：公开招标</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预算金额（元）：1100000</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i w:val="0"/>
          <w:iCs w:val="0"/>
          <w:caps w:val="0"/>
          <w:color w:val="auto"/>
          <w:spacing w:val="0"/>
          <w:sz w:val="24"/>
          <w:szCs w:val="24"/>
          <w:lang w:val="en-US" w:eastAsia="zh-CN"/>
        </w:rPr>
      </w:pPr>
      <w:r>
        <w:rPr>
          <w:rFonts w:hint="eastAsia" w:ascii="仿宋" w:hAnsi="仿宋" w:eastAsia="仿宋" w:cs="仿宋"/>
          <w:i w:val="0"/>
          <w:iCs w:val="0"/>
          <w:caps w:val="0"/>
          <w:color w:val="auto"/>
          <w:spacing w:val="0"/>
          <w:sz w:val="24"/>
          <w:szCs w:val="24"/>
        </w:rPr>
        <w:t>最高限价（元）：1100000</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sz w:val="24"/>
          <w:szCs w:val="24"/>
        </w:rPr>
        <w:t>采购需求：</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960" w:right="0" w:hanging="960" w:hangingChars="40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标项名称:</w:t>
      </w:r>
      <w:r>
        <w:rPr>
          <w:rFonts w:hint="eastAsia" w:ascii="仿宋" w:hAnsi="仿宋" w:eastAsia="仿宋" w:cs="仿宋"/>
          <w:b w:val="0"/>
          <w:bCs w:val="0"/>
          <w:i w:val="0"/>
          <w:iCs w:val="0"/>
          <w:caps w:val="0"/>
          <w:color w:val="auto"/>
          <w:spacing w:val="0"/>
          <w:sz w:val="24"/>
          <w:szCs w:val="24"/>
          <w:highlight w:val="none"/>
          <w:lang w:val="en-US" w:eastAsia="zh-CN"/>
        </w:rPr>
        <w:t>乌恰县人民医院临床科室医疗设备采购项目（二次）</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数量:1</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default" w:ascii="仿宋" w:hAnsi="仿宋" w:eastAsia="仿宋" w:cs="仿宋"/>
          <w:b w:val="0"/>
          <w:bCs w:val="0"/>
          <w:i w:val="0"/>
          <w:iCs w:val="0"/>
          <w:caps w:val="0"/>
          <w:color w:val="auto"/>
          <w:spacing w:val="0"/>
          <w:sz w:val="24"/>
          <w:szCs w:val="24"/>
          <w:lang w:val="en-US" w:eastAsia="zh-CN"/>
        </w:rPr>
      </w:pPr>
      <w:r>
        <w:rPr>
          <w:rFonts w:hint="eastAsia" w:ascii="仿宋" w:hAnsi="仿宋" w:eastAsia="仿宋" w:cs="仿宋"/>
          <w:b w:val="0"/>
          <w:bCs w:val="0"/>
          <w:i w:val="0"/>
          <w:iCs w:val="0"/>
          <w:caps w:val="0"/>
          <w:color w:val="auto"/>
          <w:spacing w:val="0"/>
          <w:sz w:val="24"/>
          <w:szCs w:val="24"/>
          <w:lang w:eastAsia="zh-CN"/>
        </w:rPr>
        <w:t>预算金额（元）:1100000</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简要规格描述或项目基本概况介绍、用途：光固化灯、恒温培养箱等医疗设备采购（</w:t>
      </w:r>
      <w:r>
        <w:rPr>
          <w:rFonts w:hint="eastAsia" w:ascii="仿宋" w:hAnsi="仿宋" w:eastAsia="仿宋" w:cs="仿宋"/>
          <w:b w:val="0"/>
          <w:bCs w:val="0"/>
          <w:i w:val="0"/>
          <w:iCs w:val="0"/>
          <w:caps w:val="0"/>
          <w:color w:val="auto"/>
          <w:spacing w:val="0"/>
          <w:sz w:val="24"/>
          <w:szCs w:val="24"/>
          <w:lang w:val="en-US" w:eastAsia="zh-CN"/>
        </w:rPr>
        <w:t>具体内容详见采购清单</w:t>
      </w:r>
      <w:r>
        <w:rPr>
          <w:rFonts w:hint="eastAsia" w:ascii="仿宋" w:hAnsi="仿宋" w:eastAsia="仿宋" w:cs="仿宋"/>
          <w:b w:val="0"/>
          <w:bCs w:val="0"/>
          <w:i w:val="0"/>
          <w:iCs w:val="0"/>
          <w:caps w:val="0"/>
          <w:color w:val="auto"/>
          <w:spacing w:val="0"/>
          <w:sz w:val="24"/>
          <w:szCs w:val="24"/>
          <w:lang w:eastAsia="zh-CN"/>
        </w:rPr>
        <w:t>)</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备注：</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合同履约期限：</w:t>
      </w:r>
      <w:r>
        <w:rPr>
          <w:rFonts w:hint="eastAsia" w:ascii="仿宋" w:hAnsi="仿宋" w:eastAsia="仿宋" w:cs="仿宋"/>
          <w:b w:val="0"/>
          <w:bCs w:val="0"/>
          <w:i w:val="0"/>
          <w:iCs w:val="0"/>
          <w:caps w:val="0"/>
          <w:color w:val="auto"/>
          <w:spacing w:val="0"/>
          <w:sz w:val="24"/>
          <w:szCs w:val="24"/>
          <w:highlight w:val="none"/>
          <w:lang w:eastAsia="zh-CN"/>
        </w:rPr>
        <w:t>自合同签订之日起</w:t>
      </w:r>
      <w:r>
        <w:rPr>
          <w:rFonts w:hint="eastAsia" w:ascii="仿宋" w:hAnsi="仿宋" w:eastAsia="仿宋" w:cs="仿宋"/>
          <w:b w:val="0"/>
          <w:bCs w:val="0"/>
          <w:i w:val="0"/>
          <w:iCs w:val="0"/>
          <w:caps w:val="0"/>
          <w:color w:val="auto"/>
          <w:spacing w:val="0"/>
          <w:sz w:val="24"/>
          <w:szCs w:val="24"/>
          <w:highlight w:val="none"/>
          <w:lang w:val="en-US" w:eastAsia="zh-CN"/>
        </w:rPr>
        <w:t>20</w:t>
      </w:r>
      <w:r>
        <w:rPr>
          <w:rFonts w:hint="eastAsia" w:ascii="仿宋" w:hAnsi="仿宋" w:eastAsia="仿宋" w:cs="仿宋"/>
          <w:b w:val="0"/>
          <w:bCs w:val="0"/>
          <w:i w:val="0"/>
          <w:iCs w:val="0"/>
          <w:caps w:val="0"/>
          <w:color w:val="auto"/>
          <w:spacing w:val="0"/>
          <w:sz w:val="24"/>
          <w:szCs w:val="24"/>
          <w:highlight w:val="none"/>
          <w:lang w:eastAsia="zh-CN"/>
        </w:rPr>
        <w:t>天内完成供货并调试安装完成，且投入使用；</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val="0"/>
          <w:bCs w:val="0"/>
          <w:i w:val="0"/>
          <w:iCs w:val="0"/>
          <w:caps w:val="0"/>
          <w:color w:val="auto"/>
          <w:spacing w:val="0"/>
          <w:sz w:val="24"/>
          <w:szCs w:val="24"/>
          <w:lang w:eastAsia="zh-CN"/>
        </w:rPr>
      </w:pPr>
      <w:r>
        <w:rPr>
          <w:rFonts w:hint="eastAsia" w:ascii="仿宋" w:hAnsi="仿宋" w:eastAsia="仿宋" w:cs="仿宋"/>
          <w:b w:val="0"/>
          <w:bCs w:val="0"/>
          <w:i w:val="0"/>
          <w:iCs w:val="0"/>
          <w:caps w:val="0"/>
          <w:color w:val="auto"/>
          <w:spacing w:val="0"/>
          <w:sz w:val="24"/>
          <w:szCs w:val="24"/>
          <w:lang w:eastAsia="zh-CN"/>
        </w:rPr>
        <w:t>本项目不接受联合体投标。</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二、申请人的资格要求：</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firstLine="240"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1.满足《中华人民共和国政府采购法》第二十二条规定；</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宋体" w:hAnsi="宋体" w:eastAsia="宋体" w:cs="宋体"/>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2.落实政府采购政策需满足的资格要求：供应商为中小企业</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240" w:firstLineChars="100"/>
        <w:jc w:val="left"/>
        <w:textAlignment w:val="auto"/>
        <w:rPr>
          <w:rFonts w:hint="eastAsia" w:ascii="仿宋" w:hAnsi="仿宋" w:eastAsia="仿宋" w:cs="仿宋"/>
          <w:b w:val="0"/>
          <w:bCs w:val="0"/>
          <w:i w:val="0"/>
          <w:iCs w:val="0"/>
          <w:caps w:val="0"/>
          <w:color w:val="auto"/>
          <w:spacing w:val="0"/>
          <w:sz w:val="24"/>
          <w:szCs w:val="24"/>
        </w:rPr>
      </w:pPr>
      <w:r>
        <w:rPr>
          <w:rFonts w:hint="eastAsia" w:ascii="仿宋" w:hAnsi="仿宋" w:eastAsia="仿宋" w:cs="仿宋"/>
          <w:b w:val="0"/>
          <w:bCs w:val="0"/>
          <w:i w:val="0"/>
          <w:iCs w:val="0"/>
          <w:caps w:val="0"/>
          <w:color w:val="auto"/>
          <w:spacing w:val="0"/>
          <w:sz w:val="24"/>
          <w:szCs w:val="24"/>
        </w:rPr>
        <w:t>3.本项目的特定资格要求：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1)具备三证合一营业执照副本；</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2)法定代表人投标须提供法定代表人资格证明书，委托代理人投标须提供法定代表人授权委托书；</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lang w:eastAsia="zh-CN"/>
        </w:rPr>
        <w:t>)投标企业须提供投标人（被授权在职人员）近</w:t>
      </w:r>
      <w:r>
        <w:rPr>
          <w:rFonts w:hint="eastAsia" w:ascii="仿宋" w:hAnsi="仿宋" w:eastAsia="仿宋" w:cs="仿宋"/>
          <w:color w:val="auto"/>
          <w:sz w:val="24"/>
          <w:szCs w:val="24"/>
          <w:lang w:val="en-US" w:eastAsia="zh-CN"/>
        </w:rPr>
        <w:t>6个月有效</w:t>
      </w:r>
      <w:r>
        <w:rPr>
          <w:rFonts w:hint="eastAsia" w:ascii="仿宋" w:hAnsi="仿宋" w:eastAsia="仿宋" w:cs="仿宋"/>
          <w:color w:val="auto"/>
          <w:sz w:val="24"/>
          <w:szCs w:val="24"/>
          <w:lang w:eastAsia="zh-CN"/>
        </w:rPr>
        <w:t>社保证明；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参加政府采购活动前三年内，在经营活动中没有重大违法记录；未被“信用中国”（www.creditchina.gov.cn）、中国政府采购网（www.ccgp.gov.cn）列入失信被执行人、税收违法黑名单、政府采购严重违法失信行为记录名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投标企业须提供有效的《医疗器械生产许可证》或《医疗器械经营许可证》复印件加盖公章；</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三、获取招标文件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时间：</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年</w:t>
      </w:r>
      <w:r>
        <w:rPr>
          <w:rFonts w:hint="eastAsia" w:ascii="仿宋" w:hAnsi="仿宋" w:eastAsia="仿宋" w:cs="仿宋"/>
          <w:color w:val="auto"/>
          <w:sz w:val="24"/>
          <w:szCs w:val="24"/>
          <w:u w:val="single"/>
          <w:lang w:val="en-US" w:eastAsia="zh-CN"/>
        </w:rPr>
        <w:t xml:space="preserve"> 5</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 xml:space="preserve">24 </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u w:val="single"/>
          <w:lang w:eastAsia="zh-CN"/>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u w:val="single"/>
          <w:lang w:eastAsia="zh-CN"/>
        </w:rPr>
        <w:t xml:space="preserve">年 </w:t>
      </w:r>
      <w:r>
        <w:rPr>
          <w:rFonts w:hint="eastAsia" w:ascii="仿宋" w:hAnsi="仿宋" w:eastAsia="仿宋" w:cs="仿宋"/>
          <w:color w:val="auto"/>
          <w:sz w:val="24"/>
          <w:szCs w:val="24"/>
          <w:u w:val="single"/>
          <w:lang w:val="en-US" w:eastAsia="zh-CN"/>
        </w:rPr>
        <w:t>5</w:t>
      </w:r>
      <w:r>
        <w:rPr>
          <w:rFonts w:hint="eastAsia" w:ascii="仿宋" w:hAnsi="仿宋" w:eastAsia="仿宋" w:cs="仿宋"/>
          <w:color w:val="auto"/>
          <w:sz w:val="24"/>
          <w:szCs w:val="24"/>
          <w:u w:val="single"/>
          <w:lang w:eastAsia="zh-CN"/>
        </w:rPr>
        <w:t>月</w:t>
      </w:r>
      <w:r>
        <w:rPr>
          <w:rFonts w:hint="eastAsia" w:ascii="仿宋" w:hAnsi="仿宋" w:eastAsia="仿宋" w:cs="仿宋"/>
          <w:color w:val="auto"/>
          <w:sz w:val="24"/>
          <w:szCs w:val="24"/>
          <w:u w:val="single"/>
          <w:lang w:val="en-US" w:eastAsia="zh-CN"/>
        </w:rPr>
        <w:t>31</w:t>
      </w:r>
      <w:r>
        <w:rPr>
          <w:rFonts w:hint="eastAsia" w:ascii="仿宋" w:hAnsi="仿宋" w:eastAsia="仿宋" w:cs="仿宋"/>
          <w:color w:val="auto"/>
          <w:sz w:val="24"/>
          <w:szCs w:val="24"/>
          <w:u w:val="single"/>
          <w:lang w:eastAsia="zh-CN"/>
        </w:rPr>
        <w:t>日</w:t>
      </w:r>
      <w:r>
        <w:rPr>
          <w:rFonts w:hint="eastAsia" w:ascii="仿宋" w:hAnsi="仿宋" w:eastAsia="仿宋" w:cs="仿宋"/>
          <w:color w:val="auto"/>
          <w:sz w:val="24"/>
          <w:szCs w:val="24"/>
          <w:lang w:eastAsia="zh-CN"/>
        </w:rPr>
        <w:t>，每天上午10:00至</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，下午16:</w:t>
      </w:r>
      <w:r>
        <w:rPr>
          <w:rFonts w:hint="eastAsia" w:ascii="仿宋" w:hAnsi="仿宋" w:eastAsia="仿宋" w:cs="仿宋"/>
          <w:color w:val="auto"/>
          <w:sz w:val="24"/>
          <w:szCs w:val="24"/>
          <w:lang w:val="en-US" w:eastAsia="zh-CN"/>
        </w:rPr>
        <w:t>30</w:t>
      </w:r>
      <w:r>
        <w:rPr>
          <w:rFonts w:hint="eastAsia" w:ascii="仿宋" w:hAnsi="仿宋" w:eastAsia="仿宋" w:cs="仿宋"/>
          <w:color w:val="auto"/>
          <w:sz w:val="24"/>
          <w:szCs w:val="24"/>
          <w:lang w:eastAsia="zh-CN"/>
        </w:rPr>
        <w:t>至</w:t>
      </w:r>
      <w:r>
        <w:rPr>
          <w:rFonts w:hint="eastAsia" w:ascii="仿宋" w:hAnsi="仿宋" w:eastAsia="仿宋" w:cs="仿宋"/>
          <w:color w:val="auto"/>
          <w:sz w:val="24"/>
          <w:szCs w:val="24"/>
          <w:lang w:val="en-US" w:eastAsia="zh-CN"/>
        </w:rPr>
        <w:t>20</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00</w:t>
      </w:r>
      <w:r>
        <w:rPr>
          <w:rFonts w:hint="eastAsia" w:ascii="仿宋" w:hAnsi="仿宋" w:eastAsia="仿宋" w:cs="仿宋"/>
          <w:color w:val="auto"/>
          <w:sz w:val="24"/>
          <w:szCs w:val="24"/>
          <w:lang w:eastAsia="zh-CN"/>
        </w:rPr>
        <w:t>（北京时间，节假日除外）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地点：政采云平台线上获取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方式：供应商登录政采云平台https://www.zcygov.cn/在线申请获取采购文件（进入“项目采购”应用，在获取采购文件菜单中选择项目，申请获取采购文件）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sz w:val="24"/>
          <w:szCs w:val="24"/>
          <w:lang w:eastAsia="zh-CN"/>
        </w:rPr>
      </w:pPr>
      <w:r>
        <w:rPr>
          <w:rFonts w:hint="eastAsia" w:ascii="仿宋" w:hAnsi="仿宋" w:eastAsia="仿宋" w:cs="仿宋"/>
          <w:color w:val="auto"/>
          <w:sz w:val="24"/>
          <w:szCs w:val="24"/>
          <w:lang w:eastAsia="zh-CN"/>
        </w:rPr>
        <w:t>售价（元）：0</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color w:val="auto"/>
          <w:sz w:val="24"/>
          <w:szCs w:val="24"/>
          <w:lang w:eastAsia="zh-CN"/>
        </w:rPr>
      </w:pPr>
      <w:r>
        <w:rPr>
          <w:rFonts w:hint="eastAsia" w:ascii="仿宋" w:hAnsi="仿宋" w:eastAsia="仿宋" w:cs="仿宋"/>
          <w:b/>
          <w:bCs/>
          <w:color w:val="auto"/>
          <w:sz w:val="24"/>
          <w:szCs w:val="24"/>
          <w:lang w:eastAsia="zh-CN"/>
        </w:rPr>
        <w:t>四、提交投标文件截止时间、开标时间和地点</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截止时间：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6</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13</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30</w:t>
      </w:r>
      <w:r>
        <w:rPr>
          <w:rFonts w:hint="eastAsia" w:ascii="仿宋" w:hAnsi="仿宋" w:eastAsia="仿宋" w:cs="仿宋"/>
          <w:color w:val="auto"/>
          <w:kern w:val="2"/>
          <w:sz w:val="24"/>
          <w:szCs w:val="24"/>
          <w:u w:val="single"/>
          <w:lang w:eastAsia="zh-CN" w:bidi="ar-SA"/>
        </w:rPr>
        <w:t xml:space="preserve"> </w:t>
      </w:r>
      <w:r>
        <w:rPr>
          <w:rFonts w:hint="eastAsia" w:ascii="仿宋" w:hAnsi="仿宋" w:eastAsia="仿宋" w:cs="仿宋"/>
          <w:color w:val="auto"/>
          <w:kern w:val="2"/>
          <w:sz w:val="24"/>
          <w:szCs w:val="24"/>
          <w:lang w:eastAsia="zh-CN" w:bidi="ar-SA"/>
        </w:rPr>
        <w:t>（北京时间）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投标地点：政府采购云平台（www.zcygov.cn）供应商应于递交投标文件截止时间之前将电子投标文件上传到“政采云”平台。</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开标时间：</w:t>
      </w:r>
      <w:r>
        <w:rPr>
          <w:rFonts w:hint="eastAsia" w:ascii="仿宋" w:hAnsi="仿宋" w:eastAsia="仿宋" w:cs="仿宋"/>
          <w:color w:val="auto"/>
          <w:kern w:val="2"/>
          <w:sz w:val="24"/>
          <w:szCs w:val="24"/>
          <w:u w:val="single"/>
          <w:lang w:eastAsia="zh-CN" w:bidi="ar-SA"/>
        </w:rPr>
        <w:t>202</w:t>
      </w:r>
      <w:r>
        <w:rPr>
          <w:rFonts w:hint="eastAsia" w:ascii="仿宋" w:hAnsi="仿宋" w:eastAsia="仿宋" w:cs="仿宋"/>
          <w:color w:val="auto"/>
          <w:kern w:val="2"/>
          <w:sz w:val="24"/>
          <w:szCs w:val="24"/>
          <w:u w:val="single"/>
          <w:lang w:val="en-US" w:eastAsia="zh-CN" w:bidi="ar-SA"/>
        </w:rPr>
        <w:t>4</w:t>
      </w:r>
      <w:r>
        <w:rPr>
          <w:rFonts w:hint="eastAsia" w:ascii="仿宋" w:hAnsi="仿宋" w:eastAsia="仿宋" w:cs="仿宋"/>
          <w:color w:val="auto"/>
          <w:kern w:val="2"/>
          <w:sz w:val="24"/>
          <w:szCs w:val="24"/>
          <w:u w:val="single"/>
          <w:lang w:eastAsia="zh-CN" w:bidi="ar-SA"/>
        </w:rPr>
        <w:t>年</w:t>
      </w:r>
      <w:r>
        <w:rPr>
          <w:rFonts w:hint="eastAsia" w:ascii="仿宋" w:hAnsi="仿宋" w:eastAsia="仿宋" w:cs="仿宋"/>
          <w:color w:val="auto"/>
          <w:kern w:val="2"/>
          <w:sz w:val="24"/>
          <w:szCs w:val="24"/>
          <w:u w:val="single"/>
          <w:lang w:val="en-US" w:eastAsia="zh-CN" w:bidi="ar-SA"/>
        </w:rPr>
        <w:t xml:space="preserve"> 6</w:t>
      </w:r>
      <w:r>
        <w:rPr>
          <w:rFonts w:hint="eastAsia" w:ascii="仿宋" w:hAnsi="仿宋" w:eastAsia="仿宋" w:cs="仿宋"/>
          <w:color w:val="auto"/>
          <w:kern w:val="2"/>
          <w:sz w:val="24"/>
          <w:szCs w:val="24"/>
          <w:u w:val="single"/>
          <w:lang w:eastAsia="zh-CN" w:bidi="ar-SA"/>
        </w:rPr>
        <w:t>月</w:t>
      </w:r>
      <w:r>
        <w:rPr>
          <w:rFonts w:hint="eastAsia" w:ascii="仿宋" w:hAnsi="仿宋" w:eastAsia="仿宋" w:cs="仿宋"/>
          <w:color w:val="auto"/>
          <w:kern w:val="2"/>
          <w:sz w:val="24"/>
          <w:szCs w:val="24"/>
          <w:u w:val="single"/>
          <w:lang w:val="en-US" w:eastAsia="zh-CN" w:bidi="ar-SA"/>
        </w:rPr>
        <w:t xml:space="preserve"> 13 </w:t>
      </w:r>
      <w:r>
        <w:rPr>
          <w:rFonts w:hint="eastAsia" w:ascii="仿宋" w:hAnsi="仿宋" w:eastAsia="仿宋" w:cs="仿宋"/>
          <w:color w:val="auto"/>
          <w:kern w:val="2"/>
          <w:sz w:val="24"/>
          <w:szCs w:val="24"/>
          <w:u w:val="single"/>
          <w:lang w:eastAsia="zh-CN" w:bidi="ar-SA"/>
        </w:rPr>
        <w:t xml:space="preserve">日 </w:t>
      </w:r>
      <w:r>
        <w:rPr>
          <w:rFonts w:hint="eastAsia" w:ascii="仿宋" w:hAnsi="仿宋" w:eastAsia="仿宋" w:cs="仿宋"/>
          <w:color w:val="auto"/>
          <w:kern w:val="2"/>
          <w:sz w:val="24"/>
          <w:szCs w:val="24"/>
          <w:u w:val="single"/>
          <w:lang w:val="en-US" w:eastAsia="zh-CN" w:bidi="ar-SA"/>
        </w:rPr>
        <w:t>10</w:t>
      </w:r>
      <w:r>
        <w:rPr>
          <w:rFonts w:hint="eastAsia" w:ascii="仿宋" w:hAnsi="仿宋" w:eastAsia="仿宋" w:cs="仿宋"/>
          <w:color w:val="auto"/>
          <w:kern w:val="2"/>
          <w:sz w:val="24"/>
          <w:szCs w:val="24"/>
          <w:u w:val="single"/>
          <w:lang w:eastAsia="zh-CN" w:bidi="ar-SA"/>
        </w:rPr>
        <w:t>：</w:t>
      </w:r>
      <w:r>
        <w:rPr>
          <w:rFonts w:hint="eastAsia" w:ascii="仿宋" w:hAnsi="仿宋" w:eastAsia="仿宋" w:cs="仿宋"/>
          <w:color w:val="auto"/>
          <w:kern w:val="2"/>
          <w:sz w:val="24"/>
          <w:szCs w:val="24"/>
          <w:u w:val="single"/>
          <w:lang w:val="en-US" w:eastAsia="zh-CN" w:bidi="ar-SA"/>
        </w:rPr>
        <w:t>30</w:t>
      </w:r>
      <w:r>
        <w:rPr>
          <w:rFonts w:hint="eastAsia" w:ascii="仿宋" w:hAnsi="仿宋" w:eastAsia="仿宋" w:cs="仿宋"/>
          <w:color w:val="auto"/>
          <w:kern w:val="2"/>
          <w:sz w:val="24"/>
          <w:szCs w:val="24"/>
          <w:u w:val="none"/>
          <w:lang w:eastAsia="zh-CN" w:bidi="ar-SA"/>
        </w:rPr>
        <w:t>（北</w:t>
      </w:r>
      <w:r>
        <w:rPr>
          <w:rFonts w:hint="eastAsia" w:ascii="仿宋" w:hAnsi="仿宋" w:eastAsia="仿宋" w:cs="仿宋"/>
          <w:color w:val="auto"/>
          <w:kern w:val="2"/>
          <w:sz w:val="24"/>
          <w:szCs w:val="24"/>
          <w:lang w:eastAsia="zh-CN" w:bidi="ar-SA"/>
        </w:rPr>
        <w:t>京时间）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开标地点：投标人登录政采云平台https://www.zcygov.cn/，进入“项目采购-开标评标-右边选择对应项目点击“进入项目”进入开标大厅。</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五、公告期限</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自本公告发布之日起5个工作日</w:t>
      </w:r>
    </w:p>
    <w:p>
      <w:pPr>
        <w:keepNext w:val="0"/>
        <w:keepLines w:val="0"/>
        <w:pageBreakBefore w:val="0"/>
        <w:kinsoku/>
        <w:wordWrap/>
        <w:overflowPunct/>
        <w:topLinePunct w:val="0"/>
        <w:autoSpaceDE/>
        <w:autoSpaceDN/>
        <w:bidi w:val="0"/>
        <w:adjustRightInd/>
        <w:snapToGrid/>
        <w:spacing w:line="400" w:lineRule="exact"/>
        <w:textAlignment w:val="auto"/>
        <w:rPr>
          <w:rFonts w:ascii="仿宋" w:hAnsi="仿宋" w:eastAsia="仿宋" w:cs="仿宋"/>
          <w:b/>
          <w:bCs/>
          <w:color w:val="auto"/>
          <w:kern w:val="2"/>
          <w:sz w:val="24"/>
          <w:szCs w:val="24"/>
          <w:lang w:eastAsia="zh-CN" w:bidi="ar-SA"/>
        </w:rPr>
      </w:pPr>
      <w:r>
        <w:rPr>
          <w:rFonts w:hint="eastAsia" w:ascii="仿宋" w:hAnsi="仿宋" w:eastAsia="仿宋" w:cs="仿宋"/>
          <w:b/>
          <w:bCs/>
          <w:color w:val="auto"/>
          <w:kern w:val="2"/>
          <w:sz w:val="24"/>
          <w:szCs w:val="24"/>
          <w:lang w:eastAsia="zh-CN" w:bidi="ar-SA"/>
        </w:rPr>
        <w:t>六、其他补充事宜</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left="0" w:right="0" w:firstLine="960" w:firstLineChars="400"/>
        <w:jc w:val="left"/>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w:t>
      </w:r>
    </w:p>
    <w:p>
      <w:pPr>
        <w:pStyle w:val="21"/>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400" w:lineRule="exact"/>
        <w:ind w:right="0"/>
        <w:jc w:val="left"/>
        <w:textAlignment w:val="auto"/>
        <w:rPr>
          <w:rFonts w:hint="eastAsia" w:ascii="仿宋" w:hAnsi="仿宋" w:eastAsia="仿宋" w:cs="仿宋"/>
          <w:b/>
          <w:bCs/>
          <w:i w:val="0"/>
          <w:iCs w:val="0"/>
          <w:caps w:val="0"/>
          <w:color w:val="auto"/>
          <w:spacing w:val="0"/>
          <w:sz w:val="24"/>
          <w:szCs w:val="24"/>
        </w:rPr>
      </w:pPr>
      <w:r>
        <w:rPr>
          <w:rFonts w:hint="eastAsia" w:ascii="仿宋" w:hAnsi="仿宋" w:eastAsia="仿宋" w:cs="仿宋"/>
          <w:b/>
          <w:bCs/>
          <w:i w:val="0"/>
          <w:iCs w:val="0"/>
          <w:caps w:val="0"/>
          <w:color w:val="auto"/>
          <w:spacing w:val="0"/>
          <w:sz w:val="24"/>
          <w:szCs w:val="24"/>
        </w:rPr>
        <w:t>七、对本次采购提出询问，请按以下方式联系</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 xml:space="preserve">名 称：乌恰县人民医院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 xml:space="preserve">地址：乌恰县健康路8号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联系方式：0908</w:t>
      </w:r>
      <w:r>
        <w:rPr>
          <w:rFonts w:hint="eastAsia"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eastAsia="zh-CN" w:bidi="ar-SA"/>
        </w:rPr>
        <w:t xml:space="preserve">4622757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2.采购代理机构信息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名 称：鼎建项目管理有限公司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eastAsia="zh-CN" w:bidi="ar-SA"/>
        </w:rPr>
      </w:pPr>
      <w:r>
        <w:rPr>
          <w:rFonts w:hint="eastAsia" w:ascii="仿宋" w:hAnsi="仿宋" w:eastAsia="仿宋" w:cs="仿宋"/>
          <w:color w:val="auto"/>
          <w:kern w:val="2"/>
          <w:sz w:val="24"/>
          <w:szCs w:val="24"/>
          <w:lang w:eastAsia="zh-CN" w:bidi="ar-SA"/>
        </w:rPr>
        <w:t>地 址：阿图什市光明北路12号博格拉A座四楼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eastAsia="zh-CN" w:bidi="ar-SA"/>
        </w:rPr>
        <w:t>联系方式：朱先生　 18609088999</w:t>
      </w:r>
    </w:p>
    <w:p>
      <w:pPr>
        <w:spacing w:line="360" w:lineRule="auto"/>
        <w:ind w:firstLine="480" w:firstLineChars="200"/>
        <w:rPr>
          <w:rFonts w:hint="eastAsia" w:ascii="仿宋" w:hAnsi="仿宋" w:eastAsia="仿宋" w:cs="仿宋"/>
          <w:color w:val="auto"/>
          <w:kern w:val="2"/>
          <w:lang w:eastAsia="zh-CN" w:bidi="ar-SA"/>
        </w:rPr>
      </w:pPr>
    </w:p>
    <w:p>
      <w:pPr>
        <w:pStyle w:val="32"/>
        <w:keepNext/>
        <w:keepLines/>
        <w:spacing w:before="0" w:after="240"/>
        <w:rPr>
          <w:rFonts w:hint="eastAsia" w:ascii="仿宋" w:hAnsi="仿宋" w:eastAsia="仿宋" w:cs="仿宋"/>
          <w:b/>
          <w:bCs/>
          <w:color w:val="auto"/>
        </w:rPr>
      </w:pPr>
      <w:r>
        <w:rPr>
          <w:rFonts w:hint="eastAsia" w:ascii="仿宋" w:hAnsi="仿宋" w:eastAsia="仿宋" w:cs="仿宋"/>
          <w:b/>
          <w:bCs/>
          <w:color w:val="auto"/>
        </w:rPr>
        <w:t>第二部分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lang w:eastAsia="zh-CN"/>
        </w:rPr>
        <w:t>供应商</w:t>
      </w:r>
      <w:r>
        <w:rPr>
          <w:rFonts w:hint="eastAsia" w:ascii="仿宋" w:hAnsi="仿宋" w:eastAsia="仿宋" w:cs="仿宋"/>
          <w:b/>
          <w:bCs/>
          <w:color w:val="auto"/>
        </w:rPr>
        <w:t>须知</w:t>
      </w:r>
    </w:p>
    <w:p>
      <w:pPr>
        <w:spacing w:line="400" w:lineRule="exact"/>
        <w:ind w:firstLine="560" w:firstLineChars="200"/>
        <w:jc w:val="center"/>
        <w:rPr>
          <w:rFonts w:hint="eastAsia" w:ascii="仿宋" w:hAnsi="仿宋" w:eastAsia="仿宋" w:cs="仿宋"/>
          <w:color w:val="auto"/>
          <w:sz w:val="28"/>
          <w:szCs w:val="28"/>
        </w:rPr>
      </w:pPr>
      <w:r>
        <w:rPr>
          <w:rFonts w:hint="eastAsia" w:ascii="仿宋" w:hAnsi="仿宋" w:eastAsia="仿宋" w:cs="仿宋"/>
          <w:b/>
          <w:bCs/>
          <w:color w:val="auto"/>
          <w:sz w:val="28"/>
          <w:szCs w:val="28"/>
          <w:lang w:eastAsia="zh-CN"/>
        </w:rPr>
        <w:t>供应商</w:t>
      </w:r>
      <w:r>
        <w:rPr>
          <w:rFonts w:hint="eastAsia" w:ascii="仿宋" w:hAnsi="仿宋" w:eastAsia="仿宋" w:cs="仿宋"/>
          <w:b/>
          <w:bCs/>
          <w:color w:val="auto"/>
          <w:sz w:val="28"/>
          <w:szCs w:val="28"/>
        </w:rPr>
        <w:t>须知前附表</w:t>
      </w:r>
    </w:p>
    <w:tbl>
      <w:tblPr>
        <w:tblStyle w:val="22"/>
        <w:tblW w:w="9365" w:type="dxa"/>
        <w:jc w:val="center"/>
        <w:tblLayout w:type="fixed"/>
        <w:tblCellMar>
          <w:top w:w="0" w:type="dxa"/>
          <w:left w:w="108" w:type="dxa"/>
          <w:bottom w:w="0" w:type="dxa"/>
          <w:right w:w="108" w:type="dxa"/>
        </w:tblCellMar>
      </w:tblPr>
      <w:tblGrid>
        <w:gridCol w:w="558"/>
        <w:gridCol w:w="1691"/>
        <w:gridCol w:w="7116"/>
      </w:tblGrid>
      <w:tr>
        <w:tblPrEx>
          <w:tblCellMar>
            <w:top w:w="0" w:type="dxa"/>
            <w:left w:w="108" w:type="dxa"/>
            <w:bottom w:w="0" w:type="dxa"/>
            <w:right w:w="108" w:type="dxa"/>
          </w:tblCellMar>
        </w:tblPrEx>
        <w:trPr>
          <w:trHeight w:val="56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序 号</w:t>
            </w:r>
          </w:p>
        </w:tc>
        <w:tc>
          <w:tcPr>
            <w:tcW w:w="1691"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名  称</w:t>
            </w:r>
          </w:p>
        </w:tc>
        <w:tc>
          <w:tcPr>
            <w:tcW w:w="7116" w:type="dxa"/>
            <w:tcBorders>
              <w:top w:val="single" w:color="auto" w:sz="4" w:space="0"/>
              <w:left w:val="single" w:color="auto" w:sz="4" w:space="0"/>
              <w:bottom w:val="single" w:color="auto" w:sz="4" w:space="0"/>
              <w:right w:val="single" w:color="auto" w:sz="4" w:space="0"/>
            </w:tcBorders>
            <w:vAlign w:val="center"/>
          </w:tcPr>
          <w:p>
            <w:pPr>
              <w:widowControl/>
              <w:spacing w:line="334" w:lineRule="exact"/>
              <w:jc w:val="center"/>
              <w:rPr>
                <w:rFonts w:hint="eastAsia" w:ascii="仿宋" w:hAnsi="仿宋" w:eastAsia="仿宋" w:cs="仿宋"/>
                <w:b/>
                <w:color w:val="auto"/>
              </w:rPr>
            </w:pPr>
            <w:r>
              <w:rPr>
                <w:rFonts w:hint="eastAsia" w:ascii="仿宋" w:hAnsi="仿宋" w:eastAsia="仿宋" w:cs="仿宋"/>
                <w:b/>
                <w:color w:val="auto"/>
              </w:rPr>
              <w:t>编  列  内  容</w:t>
            </w:r>
          </w:p>
        </w:tc>
      </w:tr>
      <w:tr>
        <w:tblPrEx>
          <w:tblCellMar>
            <w:top w:w="0" w:type="dxa"/>
            <w:left w:w="108" w:type="dxa"/>
            <w:bottom w:w="0" w:type="dxa"/>
            <w:right w:w="108" w:type="dxa"/>
          </w:tblCellMar>
        </w:tblPrEx>
        <w:trPr>
          <w:trHeight w:val="209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pStyle w:val="29"/>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项目名称：</w:t>
            </w:r>
          </w:p>
          <w:p>
            <w:pPr>
              <w:pStyle w:val="29"/>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项目编号：</w:t>
            </w:r>
          </w:p>
          <w:p>
            <w:pPr>
              <w:pStyle w:val="29"/>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采购内容：</w:t>
            </w:r>
          </w:p>
          <w:p>
            <w:pPr>
              <w:pStyle w:val="29"/>
              <w:ind w:firstLine="0"/>
              <w:jc w:val="center"/>
              <w:rPr>
                <w:rFonts w:hint="eastAsia" w:ascii="仿宋" w:hAnsi="仿宋" w:eastAsia="仿宋" w:cs="仿宋"/>
                <w:color w:val="auto"/>
                <w:lang w:eastAsia="zh-CN"/>
              </w:rPr>
            </w:pPr>
            <w:r>
              <w:rPr>
                <w:rFonts w:hint="eastAsia" w:ascii="仿宋" w:hAnsi="仿宋" w:eastAsia="仿宋" w:cs="仿宋"/>
                <w:color w:val="auto"/>
                <w:lang w:eastAsia="zh-CN"/>
              </w:rPr>
              <w:t>供货期：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项目名称：</w:t>
            </w:r>
            <w:r>
              <w:rPr>
                <w:rFonts w:hint="eastAsia" w:ascii="仿宋" w:hAnsi="仿宋" w:eastAsia="仿宋" w:cs="仿宋"/>
                <w:color w:val="auto"/>
                <w:highlight w:val="none"/>
                <w:lang w:val="en-US" w:eastAsia="zh-CN"/>
              </w:rPr>
              <w:t>乌恰县人民医院临床科室医疗设备采购项目（二次）</w:t>
            </w:r>
          </w:p>
          <w:p>
            <w:pPr>
              <w:spacing w:line="360" w:lineRule="auto"/>
              <w:rPr>
                <w:rFonts w:hint="default" w:ascii="仿宋" w:hAnsi="仿宋" w:eastAsia="仿宋" w:cs="仿宋"/>
                <w:color w:val="auto"/>
                <w:lang w:val="en-US" w:eastAsia="zh-CN"/>
              </w:rPr>
            </w:pPr>
            <w:r>
              <w:rPr>
                <w:rFonts w:hint="eastAsia" w:ascii="仿宋" w:hAnsi="仿宋" w:eastAsia="仿宋" w:cs="仿宋"/>
                <w:color w:val="auto"/>
                <w:lang w:eastAsia="zh-CN"/>
              </w:rPr>
              <w:t>项目编号：WQZFCG(ZB)-202</w:t>
            </w:r>
            <w:r>
              <w:rPr>
                <w:rFonts w:hint="eastAsia" w:ascii="仿宋" w:hAnsi="仿宋" w:eastAsia="仿宋" w:cs="仿宋"/>
                <w:color w:val="auto"/>
                <w:lang w:val="en-US" w:eastAsia="zh-CN"/>
              </w:rPr>
              <w:t>4-053-1</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采购内容：光固化灯、恒温培养箱等医疗设备采购（</w:t>
            </w:r>
            <w:r>
              <w:rPr>
                <w:rFonts w:hint="eastAsia" w:ascii="仿宋" w:hAnsi="仿宋" w:eastAsia="仿宋" w:cs="仿宋"/>
                <w:color w:val="auto"/>
                <w:lang w:val="en-US" w:eastAsia="zh-CN"/>
              </w:rPr>
              <w:t>具体内容详见采购清单</w:t>
            </w:r>
            <w:r>
              <w:rPr>
                <w:rFonts w:hint="eastAsia" w:ascii="仿宋" w:hAnsi="仿宋" w:eastAsia="仿宋" w:cs="仿宋"/>
                <w:color w:val="auto"/>
                <w:lang w:eastAsia="zh-CN"/>
              </w:rPr>
              <w:t>)</w:t>
            </w:r>
          </w:p>
          <w:p>
            <w:pPr>
              <w:spacing w:line="360" w:lineRule="auto"/>
              <w:rPr>
                <w:rFonts w:hint="eastAsia" w:ascii="仿宋" w:hAnsi="仿宋" w:eastAsia="仿宋" w:cs="仿宋"/>
                <w:color w:val="auto"/>
                <w:lang w:val="en-US" w:eastAsia="zh-CN"/>
              </w:rPr>
            </w:pPr>
            <w:r>
              <w:rPr>
                <w:rFonts w:hint="eastAsia" w:ascii="仿宋" w:hAnsi="仿宋" w:eastAsia="仿宋" w:cs="仿宋"/>
                <w:color w:val="auto"/>
                <w:lang w:eastAsia="zh-CN"/>
              </w:rPr>
              <w:t>供货期：</w:t>
            </w:r>
            <w:r>
              <w:rPr>
                <w:rFonts w:hint="eastAsia" w:ascii="仿宋" w:hAnsi="仿宋" w:eastAsia="仿宋" w:cs="仿宋"/>
                <w:color w:val="auto"/>
                <w:highlight w:val="none"/>
                <w:lang w:eastAsia="zh-CN"/>
              </w:rPr>
              <w:t>自合同签订之日起</w:t>
            </w:r>
            <w:r>
              <w:rPr>
                <w:rFonts w:hint="eastAsia" w:ascii="仿宋" w:hAnsi="仿宋" w:eastAsia="仿宋" w:cs="仿宋"/>
                <w:color w:val="auto"/>
                <w:highlight w:val="none"/>
                <w:lang w:val="en-US" w:eastAsia="zh-CN"/>
              </w:rPr>
              <w:t>20</w:t>
            </w:r>
            <w:r>
              <w:rPr>
                <w:rFonts w:hint="eastAsia" w:ascii="仿宋" w:hAnsi="仿宋" w:eastAsia="仿宋" w:cs="仿宋"/>
                <w:color w:val="auto"/>
                <w:highlight w:val="none"/>
                <w:lang w:eastAsia="zh-CN"/>
              </w:rPr>
              <w:t>天内完成供货并调试安装完成，且投入使用；</w:t>
            </w:r>
          </w:p>
        </w:tc>
      </w:tr>
      <w:tr>
        <w:tblPrEx>
          <w:tblCellMar>
            <w:top w:w="0" w:type="dxa"/>
            <w:left w:w="108" w:type="dxa"/>
            <w:bottom w:w="0" w:type="dxa"/>
            <w:right w:w="108" w:type="dxa"/>
          </w:tblCellMar>
        </w:tblPrEx>
        <w:trPr>
          <w:trHeight w:val="85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采购人信息</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名  称：乌恰县人民医院 </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联系人：陈女士       电  话：0908</w:t>
            </w:r>
            <w:r>
              <w:rPr>
                <w:rFonts w:hint="eastAsia" w:ascii="仿宋" w:hAnsi="仿宋" w:eastAsia="仿宋" w:cs="仿宋"/>
                <w:color w:val="auto"/>
                <w:lang w:val="en-US" w:eastAsia="zh-CN"/>
              </w:rPr>
              <w:t>-</w:t>
            </w:r>
            <w:r>
              <w:rPr>
                <w:rFonts w:hint="eastAsia" w:ascii="仿宋" w:hAnsi="仿宋" w:eastAsia="仿宋" w:cs="仿宋"/>
                <w:color w:val="auto"/>
                <w:lang w:eastAsia="zh-CN"/>
              </w:rPr>
              <w:t>4622757</w:t>
            </w:r>
            <w:r>
              <w:rPr>
                <w:rFonts w:hint="eastAsia" w:ascii="仿宋" w:hAnsi="仿宋" w:eastAsia="仿宋" w:cs="仿宋"/>
                <w:color w:val="auto"/>
                <w:lang w:val="en-US" w:eastAsia="zh-CN"/>
              </w:rPr>
              <w:t xml:space="preserve"> </w:t>
            </w:r>
          </w:p>
        </w:tc>
      </w:tr>
      <w:tr>
        <w:tblPrEx>
          <w:tblCellMar>
            <w:top w:w="0" w:type="dxa"/>
            <w:left w:w="108" w:type="dxa"/>
            <w:bottom w:w="0" w:type="dxa"/>
            <w:right w:w="108" w:type="dxa"/>
          </w:tblCellMar>
        </w:tblPrEx>
        <w:trPr>
          <w:trHeight w:val="128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采购代理机构</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名  称：鼎建项目管理有限公司</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  址：阿图什市光明北路12号博格拉A座四楼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联系人：朱</w:t>
            </w:r>
            <w:r>
              <w:rPr>
                <w:rFonts w:hint="eastAsia" w:ascii="仿宋" w:hAnsi="仿宋" w:eastAsia="仿宋" w:cs="仿宋"/>
                <w:color w:val="auto"/>
                <w:kern w:val="2"/>
                <w:lang w:eastAsia="zh-CN" w:bidi="ar-SA"/>
              </w:rPr>
              <w:t>先生</w:t>
            </w:r>
            <w:r>
              <w:rPr>
                <w:rFonts w:hint="eastAsia" w:ascii="仿宋" w:hAnsi="仿宋" w:eastAsia="仿宋" w:cs="仿宋"/>
                <w:color w:val="auto"/>
                <w:lang w:eastAsia="zh-CN"/>
              </w:rPr>
              <w:t xml:space="preserve">       电  话：18609088999</w:t>
            </w:r>
          </w:p>
        </w:tc>
      </w:tr>
      <w:tr>
        <w:tblPrEx>
          <w:tblCellMar>
            <w:top w:w="0" w:type="dxa"/>
            <w:left w:w="108" w:type="dxa"/>
            <w:bottom w:w="0" w:type="dxa"/>
            <w:right w:w="108" w:type="dxa"/>
          </w:tblCellMar>
        </w:tblPrEx>
        <w:trPr>
          <w:trHeight w:val="46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最终交货地点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采购单位指定地点</w:t>
            </w:r>
          </w:p>
        </w:tc>
      </w:tr>
      <w:tr>
        <w:tblPrEx>
          <w:tblCellMar>
            <w:top w:w="0" w:type="dxa"/>
            <w:left w:w="108" w:type="dxa"/>
            <w:bottom w:w="0" w:type="dxa"/>
            <w:right w:w="108" w:type="dxa"/>
          </w:tblCellMar>
        </w:tblPrEx>
        <w:trPr>
          <w:trHeight w:val="54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资格要求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1.满足《中华人民共和国政府采购法》第二十二条规定；</w:t>
            </w:r>
          </w:p>
          <w:p>
            <w:pPr>
              <w:spacing w:line="360" w:lineRule="auto"/>
              <w:rPr>
                <w:rFonts w:hint="eastAsia" w:ascii="宋体" w:hAnsi="宋体" w:eastAsia="宋体" w:cs="宋体"/>
                <w:b w:val="0"/>
                <w:bCs w:val="0"/>
                <w:i w:val="0"/>
                <w:iCs w:val="0"/>
                <w:caps w:val="0"/>
                <w:color w:val="auto"/>
                <w:spacing w:val="0"/>
                <w:sz w:val="24"/>
                <w:szCs w:val="24"/>
              </w:rPr>
            </w:pPr>
            <w:r>
              <w:rPr>
                <w:rFonts w:hint="eastAsia" w:ascii="仿宋" w:hAnsi="仿宋" w:eastAsia="仿宋" w:cs="仿宋"/>
                <w:color w:val="auto"/>
                <w:lang w:eastAsia="zh-CN"/>
              </w:rPr>
              <w:t>2.落实政府采购政策需满足的资格要求：</w:t>
            </w:r>
            <w:r>
              <w:rPr>
                <w:rFonts w:hint="eastAsia" w:ascii="仿宋" w:hAnsi="仿宋" w:eastAsia="仿宋" w:cs="仿宋"/>
                <w:b w:val="0"/>
                <w:bCs w:val="0"/>
                <w:i w:val="0"/>
                <w:iCs w:val="0"/>
                <w:caps w:val="0"/>
                <w:color w:val="auto"/>
                <w:spacing w:val="0"/>
                <w:sz w:val="24"/>
                <w:szCs w:val="24"/>
              </w:rPr>
              <w:t>供应商为中小企业</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3.本项目的特定资格要求：1)具备三证合一营业执照副本；2)法定代表人投标须提供法定代表人资格证明书，委托代理人投标须提供法定代表人授权委托书；</w:t>
            </w:r>
            <w:r>
              <w:rPr>
                <w:rFonts w:hint="eastAsia" w:ascii="仿宋" w:hAnsi="仿宋" w:eastAsia="仿宋" w:cs="仿宋"/>
                <w:color w:val="auto"/>
                <w:lang w:val="en-US" w:eastAsia="zh-CN"/>
              </w:rPr>
              <w:t>3）</w:t>
            </w:r>
            <w:r>
              <w:rPr>
                <w:rFonts w:hint="eastAsia" w:ascii="仿宋" w:hAnsi="仿宋" w:eastAsia="仿宋" w:cs="仿宋"/>
                <w:color w:val="auto"/>
                <w:sz w:val="24"/>
                <w:szCs w:val="24"/>
                <w:lang w:eastAsia="zh-CN"/>
              </w:rPr>
              <w:t>投标企业须提供投标人（被授权在职人员）近</w:t>
            </w:r>
            <w:r>
              <w:rPr>
                <w:rFonts w:hint="eastAsia" w:ascii="仿宋" w:hAnsi="仿宋" w:eastAsia="仿宋" w:cs="仿宋"/>
                <w:color w:val="auto"/>
                <w:sz w:val="24"/>
                <w:szCs w:val="24"/>
                <w:lang w:val="en-US" w:eastAsia="zh-CN"/>
              </w:rPr>
              <w:t>6个月有效</w:t>
            </w:r>
            <w:r>
              <w:rPr>
                <w:rFonts w:hint="eastAsia" w:ascii="仿宋" w:hAnsi="仿宋" w:eastAsia="仿宋" w:cs="仿宋"/>
                <w:color w:val="auto"/>
                <w:sz w:val="24"/>
                <w:szCs w:val="24"/>
                <w:lang w:eastAsia="zh-CN"/>
              </w:rPr>
              <w:t>社保证明</w:t>
            </w:r>
            <w:r>
              <w:rPr>
                <w:rFonts w:hint="eastAsia" w:ascii="仿宋" w:hAnsi="仿宋" w:eastAsia="仿宋" w:cs="仿宋"/>
                <w:color w:val="auto"/>
                <w:lang w:eastAsia="zh-CN"/>
              </w:rPr>
              <w:t>；4)参加政府采购活动前三年内，在经营活动中没有重大违法记录；未被“信用中国”（www.creditchina.gov.cn）、中国政府采购网（www.ccgp.gov.cn）列入失信被执行人、税收违法黑名单、政府采购严重违法失信行为记录名单。5)投标企业须提供有效的《医疗器械生产许可证》或《医疗器械经营许可证》复印件加盖公章；</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4.本项目不接受联合体投标；</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资金来源</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highlight w:val="none"/>
                <w:lang w:val="en-US" w:eastAsia="zh-CN"/>
              </w:rPr>
              <w:t>2024年中央医疗服务与保障能力提升（医疗卫生机构能力建设）补助资金》（高海拔地区医疗服务建设）</w:t>
            </w:r>
          </w:p>
        </w:tc>
      </w:tr>
      <w:tr>
        <w:tblPrEx>
          <w:tblCellMar>
            <w:top w:w="0" w:type="dxa"/>
            <w:left w:w="108" w:type="dxa"/>
            <w:bottom w:w="0" w:type="dxa"/>
            <w:right w:w="108" w:type="dxa"/>
          </w:tblCellMar>
        </w:tblPrEx>
        <w:trPr>
          <w:trHeight w:val="55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是否允许采购进口产品</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否</w:t>
            </w:r>
          </w:p>
        </w:tc>
      </w:tr>
      <w:tr>
        <w:tblPrEx>
          <w:tblCellMar>
            <w:top w:w="0" w:type="dxa"/>
            <w:left w:w="108" w:type="dxa"/>
            <w:bottom w:w="0" w:type="dxa"/>
            <w:right w:w="108" w:type="dxa"/>
          </w:tblCellMar>
        </w:tblPrEx>
        <w:trPr>
          <w:trHeight w:val="52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8</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招标方式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公开招标(本项目采用网上电子招投标)  </w:t>
            </w:r>
          </w:p>
        </w:tc>
      </w:tr>
      <w:tr>
        <w:tblPrEx>
          <w:tblCellMar>
            <w:top w:w="0" w:type="dxa"/>
            <w:left w:w="108" w:type="dxa"/>
            <w:bottom w:w="0" w:type="dxa"/>
            <w:right w:w="108" w:type="dxa"/>
          </w:tblCellMar>
        </w:tblPrEx>
        <w:trPr>
          <w:trHeight w:val="4847"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供应商信用查询</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1、查询渠道：信用中国（网址：http://www.creditchina.gov.cn）、中国政府采购网(网址：http://www.ccgp.gov.cn）。</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2、截止时点：开标后评标前。</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3、信用信息查询记录和证据留存的具体方式：由采购组织机构在规定查询时间内打印信用信息查询记录并归入项目档案。</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CellMar>
            <w:top w:w="0" w:type="dxa"/>
            <w:left w:w="108" w:type="dxa"/>
            <w:bottom w:w="0" w:type="dxa"/>
            <w:right w:w="108" w:type="dxa"/>
          </w:tblCellMar>
        </w:tblPrEx>
        <w:trPr>
          <w:trHeight w:val="104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是否接受联合体投标</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■不接受</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□接  受</w:t>
            </w:r>
          </w:p>
        </w:tc>
      </w:tr>
      <w:tr>
        <w:tblPrEx>
          <w:tblCellMar>
            <w:top w:w="0" w:type="dxa"/>
            <w:left w:w="108" w:type="dxa"/>
            <w:bottom w:w="0" w:type="dxa"/>
            <w:right w:w="108" w:type="dxa"/>
          </w:tblCellMar>
        </w:tblPrEx>
        <w:trPr>
          <w:trHeight w:val="110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投标截止时间 （开标时间）</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6</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13 </w:t>
            </w:r>
            <w:r>
              <w:rPr>
                <w:rFonts w:hint="eastAsia" w:ascii="仿宋" w:hAnsi="仿宋" w:eastAsia="仿宋" w:cs="仿宋"/>
                <w:color w:val="auto"/>
                <w:u w:val="single"/>
                <w:lang w:eastAsia="zh-CN"/>
              </w:rPr>
              <w:t>日上午1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时</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0分</w:t>
            </w:r>
            <w:r>
              <w:rPr>
                <w:rFonts w:hint="eastAsia" w:ascii="仿宋" w:hAnsi="仿宋" w:eastAsia="仿宋" w:cs="仿宋"/>
                <w:color w:val="auto"/>
                <w:lang w:eastAsia="zh-CN"/>
              </w:rPr>
              <w:t>（北京时间）</w:t>
            </w:r>
          </w:p>
        </w:tc>
      </w:tr>
      <w:tr>
        <w:tblPrEx>
          <w:tblCellMar>
            <w:top w:w="0" w:type="dxa"/>
            <w:left w:w="108" w:type="dxa"/>
            <w:bottom w:w="0" w:type="dxa"/>
            <w:right w:w="108" w:type="dxa"/>
          </w:tblCellMar>
        </w:tblPrEx>
        <w:trPr>
          <w:trHeight w:val="67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12</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投标有效期</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60 天</w:t>
            </w:r>
          </w:p>
        </w:tc>
      </w:tr>
      <w:tr>
        <w:tblPrEx>
          <w:tblCellMar>
            <w:top w:w="0" w:type="dxa"/>
            <w:left w:w="108" w:type="dxa"/>
            <w:bottom w:w="0" w:type="dxa"/>
            <w:right w:w="108" w:type="dxa"/>
          </w:tblCellMar>
        </w:tblPrEx>
        <w:trPr>
          <w:trHeight w:val="638"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13</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投标保证金</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投标保证金交纳方式：</w:t>
            </w:r>
            <w:r>
              <w:rPr>
                <w:rFonts w:hint="eastAsia" w:ascii="仿宋" w:hAnsi="仿宋" w:eastAsia="仿宋" w:cs="仿宋"/>
                <w:color w:val="auto"/>
                <w:lang w:eastAsia="zh-CN"/>
              </w:rPr>
              <w:t>投标保证金应当以支票、汇票、本票、网上银行支付或者金融机构、担保机构出具的保函等非现金形式交纳。</w:t>
            </w:r>
          </w:p>
          <w:p>
            <w:pPr>
              <w:spacing w:line="360" w:lineRule="auto"/>
              <w:rPr>
                <w:rFonts w:hint="eastAsia" w:ascii="仿宋" w:hAnsi="仿宋" w:eastAsia="仿宋" w:cs="仿宋"/>
                <w:color w:val="auto"/>
                <w:lang w:val="en-US" w:eastAsia="zh-CN"/>
              </w:rPr>
            </w:pPr>
            <w:r>
              <w:rPr>
                <w:rFonts w:hint="eastAsia" w:ascii="仿宋" w:hAnsi="仿宋" w:eastAsia="仿宋" w:cs="仿宋"/>
                <w:b/>
                <w:bCs/>
                <w:color w:val="auto"/>
                <w:lang w:eastAsia="zh-CN"/>
              </w:rPr>
              <w:t>投标保证金的金额：</w:t>
            </w:r>
            <w:r>
              <w:rPr>
                <w:rFonts w:hint="eastAsia" w:ascii="仿宋" w:hAnsi="仿宋" w:eastAsia="仿宋" w:cs="仿宋"/>
                <w:b w:val="0"/>
                <w:bCs w:val="0"/>
                <w:color w:val="auto"/>
                <w:lang w:val="en-US" w:eastAsia="zh-CN"/>
              </w:rPr>
              <w:t>20000.00元（贰万元整）</w:t>
            </w:r>
          </w:p>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投标保证金交纳要求：</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1、投标保证金以电汇、网银等转账形式提交的，应在投标截止时间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6</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13 日</w:t>
            </w:r>
            <w:r>
              <w:rPr>
                <w:rFonts w:hint="eastAsia" w:ascii="仿宋" w:hAnsi="仿宋" w:eastAsia="仿宋" w:cs="仿宋"/>
                <w:color w:val="auto"/>
                <w:u w:val="single"/>
                <w:lang w:eastAsia="zh-CN"/>
              </w:rPr>
              <w:t>上午1</w:t>
            </w:r>
            <w:r>
              <w:rPr>
                <w:rFonts w:hint="eastAsia" w:ascii="仿宋" w:hAnsi="仿宋" w:eastAsia="仿宋" w:cs="仿宋"/>
                <w:color w:val="auto"/>
                <w:u w:val="single"/>
                <w:lang w:val="en-US" w:eastAsia="zh-CN"/>
              </w:rPr>
              <w:t>0</w:t>
            </w:r>
            <w:r>
              <w:rPr>
                <w:rFonts w:hint="eastAsia" w:ascii="仿宋" w:hAnsi="仿宋" w:eastAsia="仿宋" w:cs="仿宋"/>
                <w:color w:val="auto"/>
                <w:u w:val="single"/>
                <w:lang w:eastAsia="zh-CN"/>
              </w:rPr>
              <w:t>：</w:t>
            </w:r>
            <w:r>
              <w:rPr>
                <w:rFonts w:hint="eastAsia" w:ascii="仿宋" w:hAnsi="仿宋" w:eastAsia="仿宋" w:cs="仿宋"/>
                <w:color w:val="auto"/>
                <w:u w:val="single"/>
                <w:lang w:val="en-US" w:eastAsia="zh-CN"/>
              </w:rPr>
              <w:t>3</w:t>
            </w:r>
            <w:r>
              <w:rPr>
                <w:rFonts w:hint="eastAsia" w:ascii="仿宋" w:hAnsi="仿宋" w:eastAsia="仿宋" w:cs="仿宋"/>
                <w:color w:val="auto"/>
                <w:u w:val="single"/>
                <w:lang w:eastAsia="zh-CN"/>
              </w:rPr>
              <w:t>0时</w:t>
            </w:r>
            <w:r>
              <w:rPr>
                <w:rFonts w:hint="eastAsia" w:ascii="仿宋" w:hAnsi="仿宋" w:eastAsia="仿宋" w:cs="仿宋"/>
                <w:color w:val="auto"/>
                <w:lang w:eastAsia="zh-CN"/>
              </w:rPr>
              <w:t>（北京时间）前以总公司的基本账户一次性汇入指定账户（以到账时间为准），不接受现金及任何个人汇款。确认到账后，持银行交款单、基本户开户许可证（基本存款账户信息</w:t>
            </w:r>
            <w:r>
              <w:rPr>
                <w:rFonts w:hint="eastAsia" w:ascii="仿宋" w:hAnsi="仿宋" w:eastAsia="仿宋" w:cs="仿宋"/>
                <w:color w:val="auto"/>
                <w:lang w:val="en-US" w:eastAsia="zh-CN"/>
              </w:rPr>
              <w:t>/开户许可证复印件</w:t>
            </w:r>
            <w:r>
              <w:rPr>
                <w:rFonts w:hint="eastAsia" w:ascii="仿宋" w:hAnsi="仿宋" w:eastAsia="仿宋" w:cs="仿宋"/>
                <w:color w:val="auto"/>
                <w:lang w:eastAsia="zh-CN"/>
              </w:rPr>
              <w:t>）和银行电子回单复印件加盖企业公章到乌恰县政务服务和公共资源交易中心二楼换取票据收据，项目开具的票据收据原件须扫描上传，标书内附有此票据收据。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2、投标保证金以保函等票据形式提交的，金融机构、担保机构出具的票据原件须扫描上传，标书内附有此票据。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3、有效投标保证金成功交纳后，截止开标时间，供应商无正当理由不参加该项目投标且不递交弃标函，投标保证金不予退还。</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户名：乌恰县政务服务和公共资源交易中心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账号：30470101040018134</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行名：中国农业银行乌恰县支行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联系人：唐先生</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电话：0908-4623359、15509080607</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（备注：必须写清楚某某公司某某项目保证金）</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投标退保证金需准备以下相关资料：</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1．本单位给投标公司开的收据原件；5日内办理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2．投标公司请给我单位反开收据原件；5日内办理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3．开户许可证复印件及联系方式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4．银行打保证金的电子回单复印件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5．中标企业需提供合同</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因供应商自身原因耽搁领取，超过退还时限，不承担延后退还责任。    </w:t>
            </w:r>
            <w:r>
              <w:rPr>
                <w:rFonts w:hint="eastAsia" w:ascii="仿宋" w:hAnsi="仿宋" w:eastAsia="仿宋" w:cs="仿宋"/>
                <w:color w:val="auto"/>
                <w:lang w:val="en-US" w:eastAsia="zh-CN"/>
              </w:rPr>
              <w:t xml:space="preserve"> </w:t>
            </w:r>
          </w:p>
        </w:tc>
      </w:tr>
      <w:tr>
        <w:tblPrEx>
          <w:tblCellMar>
            <w:top w:w="0" w:type="dxa"/>
            <w:left w:w="108" w:type="dxa"/>
            <w:bottom w:w="0" w:type="dxa"/>
            <w:right w:w="108" w:type="dxa"/>
          </w:tblCellMar>
        </w:tblPrEx>
        <w:trPr>
          <w:trHeight w:val="140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是否允许递交备选  投标方案</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■不允许</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□允  许</w:t>
            </w:r>
          </w:p>
        </w:tc>
      </w:tr>
      <w:tr>
        <w:tblPrEx>
          <w:tblCellMar>
            <w:top w:w="0" w:type="dxa"/>
            <w:left w:w="108" w:type="dxa"/>
            <w:bottom w:w="0" w:type="dxa"/>
            <w:right w:w="108" w:type="dxa"/>
          </w:tblCellMar>
        </w:tblPrEx>
        <w:trPr>
          <w:trHeight w:val="67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15</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获取招标文件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u w:val="none"/>
                <w:lang w:eastAsia="zh-CN"/>
              </w:rPr>
              <w:t>时间：</w:t>
            </w:r>
            <w:r>
              <w:rPr>
                <w:rFonts w:hint="eastAsia" w:ascii="仿宋" w:hAnsi="仿宋" w:eastAsia="仿宋" w:cs="仿宋"/>
                <w:color w:val="auto"/>
                <w:u w:val="single"/>
                <w:lang w:eastAsia="zh-CN"/>
              </w:rPr>
              <w:t>202</w:t>
            </w:r>
            <w:r>
              <w:rPr>
                <w:rFonts w:hint="eastAsia" w:ascii="仿宋" w:hAnsi="仿宋" w:eastAsia="仿宋" w:cs="仿宋"/>
                <w:color w:val="auto"/>
                <w:u w:val="single"/>
                <w:lang w:val="en-US" w:eastAsia="zh-CN"/>
              </w:rPr>
              <w:t>4</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5</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24</w:t>
            </w:r>
            <w:r>
              <w:rPr>
                <w:rFonts w:hint="eastAsia" w:ascii="仿宋" w:hAnsi="仿宋" w:eastAsia="仿宋" w:cs="仿宋"/>
                <w:color w:val="auto"/>
                <w:u w:val="single"/>
                <w:lang w:eastAsia="zh-CN"/>
              </w:rPr>
              <w:t>日至202</w:t>
            </w:r>
            <w:r>
              <w:rPr>
                <w:rFonts w:hint="eastAsia" w:ascii="仿宋" w:hAnsi="仿宋" w:eastAsia="仿宋" w:cs="仿宋"/>
                <w:color w:val="auto"/>
                <w:u w:val="single"/>
                <w:lang w:val="en-US" w:eastAsia="zh-CN"/>
              </w:rPr>
              <w:t>4</w:t>
            </w:r>
            <w:r>
              <w:rPr>
                <w:rFonts w:hint="eastAsia" w:ascii="仿宋" w:hAnsi="仿宋" w:eastAsia="仿宋" w:cs="仿宋"/>
                <w:color w:val="auto"/>
                <w:u w:val="single"/>
                <w:lang w:eastAsia="zh-CN"/>
              </w:rPr>
              <w:t>年</w:t>
            </w:r>
            <w:r>
              <w:rPr>
                <w:rFonts w:hint="eastAsia" w:ascii="仿宋" w:hAnsi="仿宋" w:eastAsia="仿宋" w:cs="仿宋"/>
                <w:color w:val="auto"/>
                <w:u w:val="single"/>
                <w:lang w:val="en-US" w:eastAsia="zh-CN"/>
              </w:rPr>
              <w:t xml:space="preserve"> 5</w:t>
            </w:r>
            <w:r>
              <w:rPr>
                <w:rFonts w:hint="eastAsia" w:ascii="仿宋" w:hAnsi="仿宋" w:eastAsia="仿宋" w:cs="仿宋"/>
                <w:color w:val="auto"/>
                <w:u w:val="single"/>
                <w:lang w:eastAsia="zh-CN"/>
              </w:rPr>
              <w:t>月</w:t>
            </w:r>
            <w:r>
              <w:rPr>
                <w:rFonts w:hint="eastAsia" w:ascii="仿宋" w:hAnsi="仿宋" w:eastAsia="仿宋" w:cs="仿宋"/>
                <w:color w:val="auto"/>
                <w:u w:val="single"/>
                <w:lang w:val="en-US" w:eastAsia="zh-CN"/>
              </w:rPr>
              <w:t xml:space="preserve"> 31</w:t>
            </w:r>
            <w:r>
              <w:rPr>
                <w:rFonts w:hint="eastAsia" w:ascii="仿宋" w:hAnsi="仿宋" w:eastAsia="仿宋" w:cs="仿宋"/>
                <w:color w:val="auto"/>
                <w:u w:val="single"/>
                <w:lang w:eastAsia="zh-CN"/>
              </w:rPr>
              <w:t>日</w:t>
            </w:r>
            <w:r>
              <w:rPr>
                <w:rFonts w:hint="eastAsia" w:ascii="仿宋" w:hAnsi="仿宋" w:eastAsia="仿宋" w:cs="仿宋"/>
                <w:color w:val="auto"/>
                <w:lang w:eastAsia="zh-CN"/>
              </w:rPr>
              <w:t>，每天上午10:00至</w:t>
            </w:r>
            <w:r>
              <w:rPr>
                <w:rFonts w:hint="eastAsia" w:ascii="仿宋" w:hAnsi="仿宋" w:eastAsia="仿宋" w:cs="仿宋"/>
                <w:color w:val="auto"/>
                <w:lang w:val="en-US" w:eastAsia="zh-CN"/>
              </w:rPr>
              <w:t>13</w:t>
            </w:r>
            <w:r>
              <w:rPr>
                <w:rFonts w:hint="eastAsia" w:ascii="仿宋" w:hAnsi="仿宋" w:eastAsia="仿宋" w:cs="仿宋"/>
                <w:color w:val="auto"/>
                <w:lang w:eastAsia="zh-CN"/>
              </w:rPr>
              <w:t>:</w:t>
            </w:r>
            <w:r>
              <w:rPr>
                <w:rFonts w:hint="eastAsia" w:ascii="仿宋" w:hAnsi="仿宋" w:eastAsia="仿宋" w:cs="仿宋"/>
                <w:color w:val="auto"/>
                <w:lang w:val="en-US" w:eastAsia="zh-CN"/>
              </w:rPr>
              <w:t>3</w:t>
            </w:r>
            <w:r>
              <w:rPr>
                <w:rFonts w:hint="eastAsia" w:ascii="仿宋" w:hAnsi="仿宋" w:eastAsia="仿宋" w:cs="仿宋"/>
                <w:color w:val="auto"/>
                <w:lang w:eastAsia="zh-CN"/>
              </w:rPr>
              <w:t>0，下午16:</w:t>
            </w:r>
            <w:r>
              <w:rPr>
                <w:rFonts w:hint="eastAsia" w:ascii="仿宋" w:hAnsi="仿宋" w:eastAsia="仿宋" w:cs="仿宋"/>
                <w:color w:val="auto"/>
                <w:lang w:val="en-US" w:eastAsia="zh-CN"/>
              </w:rPr>
              <w:t>3</w:t>
            </w:r>
            <w:r>
              <w:rPr>
                <w:rFonts w:hint="eastAsia" w:ascii="仿宋" w:hAnsi="仿宋" w:eastAsia="仿宋" w:cs="仿宋"/>
                <w:color w:val="auto"/>
                <w:lang w:eastAsia="zh-CN"/>
              </w:rPr>
              <w:t>0至</w:t>
            </w:r>
            <w:r>
              <w:rPr>
                <w:rFonts w:hint="eastAsia" w:ascii="仿宋" w:hAnsi="仿宋" w:eastAsia="仿宋" w:cs="仿宋"/>
                <w:color w:val="auto"/>
                <w:lang w:val="en-US" w:eastAsia="zh-CN"/>
              </w:rPr>
              <w:t>20</w:t>
            </w:r>
            <w:r>
              <w:rPr>
                <w:rFonts w:hint="eastAsia" w:ascii="仿宋" w:hAnsi="仿宋" w:eastAsia="仿宋" w:cs="仿宋"/>
                <w:color w:val="auto"/>
                <w:lang w:eastAsia="zh-CN"/>
              </w:rPr>
              <w:t>：</w:t>
            </w:r>
            <w:r>
              <w:rPr>
                <w:rFonts w:hint="eastAsia" w:ascii="仿宋" w:hAnsi="仿宋" w:eastAsia="仿宋" w:cs="仿宋"/>
                <w:color w:val="auto"/>
                <w:lang w:val="en-US" w:eastAsia="zh-CN"/>
              </w:rPr>
              <w:t>00</w:t>
            </w:r>
            <w:r>
              <w:rPr>
                <w:rFonts w:hint="eastAsia" w:ascii="仿宋" w:hAnsi="仿宋" w:eastAsia="仿宋" w:cs="仿宋"/>
                <w:color w:val="auto"/>
                <w:lang w:eastAsia="zh-CN"/>
              </w:rPr>
              <w:t>（北京时间，节假日除外）</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地点：政采云平台线上获取</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方式：供应商登录政采云平台https://www.zcygov.cn/在线申请获取采购文件（进入“项目采购”应用，在获取采购文件菜单中选择项目，申请获取采购文件）</w:t>
            </w:r>
          </w:p>
        </w:tc>
      </w:tr>
      <w:tr>
        <w:tblPrEx>
          <w:tblCellMar>
            <w:top w:w="0" w:type="dxa"/>
            <w:left w:w="108" w:type="dxa"/>
            <w:bottom w:w="0" w:type="dxa"/>
            <w:right w:w="108" w:type="dxa"/>
          </w:tblCellMar>
        </w:tblPrEx>
        <w:trPr>
          <w:trHeight w:val="84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16</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投标文件形式</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电子投标文件包括“电子加密投标文件”和“备份投标文件”，在投标文件编制完成后同时生成。</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1、“电子加密投标文件”是指通过“政采云电子交易客户端”完成投标文件编制后生成并加密的数据电文形式的投标文件。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2、“备份投标文件”是指与“电子加密投标文件”同时生成的数据电文形式的电子文件（备份标书，用于供应商标书解密异常时应急使用），其他方式编制的备份投标文件视为无效备份投标文件。</w:t>
            </w:r>
          </w:p>
        </w:tc>
      </w:tr>
      <w:tr>
        <w:tblPrEx>
          <w:tblCellMar>
            <w:top w:w="0" w:type="dxa"/>
            <w:left w:w="108" w:type="dxa"/>
            <w:bottom w:w="0" w:type="dxa"/>
            <w:right w:w="108" w:type="dxa"/>
          </w:tblCellMar>
        </w:tblPrEx>
        <w:trPr>
          <w:trHeight w:val="731"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17</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投标文件要求</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1、一份电子加密标书（“.jmbs”格式），一份备份标书文件（“.bfbs”格式）。</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2、每份电子投标文件应包括资格证明文件和商务及技术文件两部分。</w:t>
            </w:r>
          </w:p>
        </w:tc>
      </w:tr>
      <w:tr>
        <w:tblPrEx>
          <w:tblCellMar>
            <w:top w:w="0" w:type="dxa"/>
            <w:left w:w="108" w:type="dxa"/>
            <w:bottom w:w="0" w:type="dxa"/>
            <w:right w:w="108" w:type="dxa"/>
          </w:tblCellMar>
        </w:tblPrEx>
        <w:trPr>
          <w:trHeight w:val="3654"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8</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投标文件的上传和递交</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1.电子加密投标文件：投标文件制作完成并生成加密标书，在投标截止时间前，供应商需将加密的投标文件上传至政采云平台，在开标时间开始后，待采购组织机构发出解密通知后30分钟内解密投标文件。</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a.供应商未能在投标截止时间前成功上传电子加密投标文件的投标无效。</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b.供应商成功上传电子加密投标文件后，可自行打印投标文件接收回执。</w:t>
            </w:r>
          </w:p>
        </w:tc>
      </w:tr>
      <w:tr>
        <w:tblPrEx>
          <w:tblCellMar>
            <w:top w:w="0" w:type="dxa"/>
            <w:left w:w="108" w:type="dxa"/>
            <w:bottom w:w="0" w:type="dxa"/>
            <w:right w:w="108" w:type="dxa"/>
          </w:tblCellMar>
        </w:tblPrEx>
        <w:trPr>
          <w:trHeight w:val="731"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2.备份投标文件：供应商在投标截止时间前将加密的投标文件上传至政府采购云平台，还可以在投标截止时间前以电子邮件方式提供备份投标文件1份（接收人邮箱：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lang w:val="en-US" w:eastAsia="zh-CN"/>
              </w:rPr>
              <w:t>3265613387</w:t>
            </w:r>
            <w:r>
              <w:rPr>
                <w:rFonts w:hint="eastAsia" w:ascii="仿宋" w:hAnsi="仿宋" w:eastAsia="仿宋" w:cs="仿宋"/>
                <w:color w:val="auto"/>
                <w:lang w:eastAsia="zh-CN"/>
              </w:rPr>
              <w:t>@qq.com，接收人：朱先生，电话：18609088999），“备份投标文件”由供应商自愿提供，招标文件 不作强制性要求；如不提供或未按要求提供的，当电子投标文件无法解密时，将导致无备份投标文件而失去投标资格。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a.备份投标文件提供要求：供应商可以将备份投标文件打包压缩并加密，压缩包命名为“XX单位备份投标文件”，加密密码由供应商自行保管；送达时间以采购代理机构实际接收时间为准。“备份投标文件”逾期或未按要求提供的视为未提供，建议供应商提前1日办理邮件提供事宜。</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b.通过“政府采购云平台”成功上传递交的“电子加密投标文件”已按时解密的，“备份投标文件”自动失效。投标截止时间前，投标供应商仅提供了“备份投标文件”而未将“电子加密投标文件”成功上传至“政府采购云平台”的，投标无效。</w:t>
            </w:r>
          </w:p>
        </w:tc>
      </w:tr>
      <w:tr>
        <w:tblPrEx>
          <w:tblCellMar>
            <w:top w:w="0" w:type="dxa"/>
            <w:left w:w="108" w:type="dxa"/>
            <w:bottom w:w="0" w:type="dxa"/>
            <w:right w:w="108" w:type="dxa"/>
          </w:tblCellMar>
        </w:tblPrEx>
        <w:trPr>
          <w:trHeight w:val="823"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lang w:val="en-US" w:eastAsia="zh-CN"/>
              </w:rPr>
              <w:t>9</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评标委员会的组建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评标委员会由招标人依法组建；采购人代表1人，评审专家</w:t>
            </w:r>
            <w:r>
              <w:rPr>
                <w:rFonts w:hint="eastAsia" w:ascii="仿宋" w:hAnsi="仿宋" w:eastAsia="仿宋" w:cs="仿宋"/>
                <w:color w:val="auto"/>
                <w:lang w:val="en-US" w:eastAsia="zh-CN"/>
              </w:rPr>
              <w:t>4</w:t>
            </w:r>
            <w:r>
              <w:rPr>
                <w:rFonts w:hint="eastAsia" w:ascii="仿宋" w:hAnsi="仿宋" w:eastAsia="仿宋" w:cs="仿宋"/>
                <w:color w:val="auto"/>
                <w:lang w:val="zh-CN" w:eastAsia="zh-CN"/>
              </w:rPr>
              <w:t>人，共</w:t>
            </w:r>
            <w:r>
              <w:rPr>
                <w:rFonts w:hint="eastAsia" w:ascii="仿宋" w:hAnsi="仿宋" w:eastAsia="仿宋" w:cs="仿宋"/>
                <w:color w:val="auto"/>
                <w:lang w:val="en-US" w:eastAsia="zh-CN"/>
              </w:rPr>
              <w:t>5</w:t>
            </w:r>
            <w:r>
              <w:rPr>
                <w:rFonts w:hint="eastAsia" w:ascii="仿宋" w:hAnsi="仿宋" w:eastAsia="仿宋" w:cs="仿宋"/>
                <w:color w:val="auto"/>
                <w:lang w:val="zh-CN" w:eastAsia="zh-CN"/>
              </w:rPr>
              <w:t>人。</w:t>
            </w:r>
          </w:p>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val="zh-CN" w:eastAsia="zh-CN"/>
              </w:rPr>
              <w:t>评标专家确定方式：评标委员会由招标人在开标前从政采云专家库中随机抽取</w:t>
            </w:r>
          </w:p>
        </w:tc>
      </w:tr>
      <w:tr>
        <w:tblPrEx>
          <w:tblCellMar>
            <w:top w:w="0" w:type="dxa"/>
            <w:left w:w="108" w:type="dxa"/>
            <w:bottom w:w="0" w:type="dxa"/>
            <w:right w:w="108" w:type="dxa"/>
          </w:tblCellMar>
        </w:tblPrEx>
        <w:trPr>
          <w:trHeight w:val="130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20</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是否授权评标委员会确定中标候选人</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val="zh-CN" w:eastAsia="zh-CN"/>
              </w:rPr>
            </w:pPr>
            <w:r>
              <w:rPr>
                <w:rFonts w:hint="eastAsia" w:ascii="仿宋" w:hAnsi="仿宋" w:eastAsia="仿宋" w:cs="仿宋"/>
                <w:color w:val="auto"/>
                <w:lang w:eastAsia="zh-CN"/>
              </w:rPr>
              <w:t>是</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21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递交投标文件地点</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投标截止时间：</w:t>
            </w:r>
            <w:r>
              <w:rPr>
                <w:rFonts w:hint="eastAsia" w:ascii="仿宋" w:hAnsi="仿宋" w:eastAsia="仿宋" w:cs="仿宋"/>
                <w:color w:val="auto"/>
                <w:u w:val="none"/>
                <w:lang w:eastAsia="zh-CN"/>
              </w:rPr>
              <w:t>202</w:t>
            </w:r>
            <w:r>
              <w:rPr>
                <w:rFonts w:hint="eastAsia" w:ascii="仿宋" w:hAnsi="仿宋" w:eastAsia="仿宋" w:cs="仿宋"/>
                <w:color w:val="auto"/>
                <w:u w:val="none"/>
                <w:lang w:val="en-US" w:eastAsia="zh-CN"/>
              </w:rPr>
              <w:t>4</w:t>
            </w:r>
            <w:r>
              <w:rPr>
                <w:rFonts w:hint="eastAsia" w:ascii="仿宋" w:hAnsi="仿宋" w:eastAsia="仿宋" w:cs="仿宋"/>
                <w:color w:val="auto"/>
                <w:u w:val="none"/>
                <w:lang w:eastAsia="zh-CN"/>
              </w:rPr>
              <w:t>年</w:t>
            </w:r>
            <w:r>
              <w:rPr>
                <w:rFonts w:hint="eastAsia" w:ascii="仿宋" w:hAnsi="仿宋" w:eastAsia="仿宋" w:cs="仿宋"/>
                <w:color w:val="auto"/>
                <w:u w:val="none"/>
                <w:lang w:val="en-US" w:eastAsia="zh-CN"/>
              </w:rPr>
              <w:t>6</w:t>
            </w:r>
            <w:r>
              <w:rPr>
                <w:rFonts w:hint="eastAsia" w:ascii="仿宋" w:hAnsi="仿宋" w:eastAsia="仿宋" w:cs="仿宋"/>
                <w:color w:val="auto"/>
                <w:u w:val="none"/>
                <w:lang w:eastAsia="zh-CN"/>
              </w:rPr>
              <w:t>月</w:t>
            </w:r>
            <w:r>
              <w:rPr>
                <w:rFonts w:hint="eastAsia" w:ascii="仿宋" w:hAnsi="仿宋" w:eastAsia="仿宋" w:cs="仿宋"/>
                <w:color w:val="auto"/>
                <w:u w:val="none"/>
                <w:lang w:val="en-US" w:eastAsia="zh-CN"/>
              </w:rPr>
              <w:t>13</w:t>
            </w:r>
            <w:r>
              <w:rPr>
                <w:rFonts w:hint="eastAsia" w:ascii="仿宋" w:hAnsi="仿宋" w:eastAsia="仿宋" w:cs="仿宋"/>
                <w:color w:val="auto"/>
                <w:u w:val="none"/>
                <w:lang w:eastAsia="zh-CN"/>
              </w:rPr>
              <w:t>日上午1</w:t>
            </w:r>
            <w:r>
              <w:rPr>
                <w:rFonts w:hint="eastAsia" w:ascii="仿宋" w:hAnsi="仿宋" w:eastAsia="仿宋" w:cs="仿宋"/>
                <w:color w:val="auto"/>
                <w:u w:val="none"/>
                <w:lang w:val="en-US" w:eastAsia="zh-CN"/>
              </w:rPr>
              <w:t>0</w:t>
            </w:r>
            <w:r>
              <w:rPr>
                <w:rFonts w:hint="eastAsia" w:ascii="仿宋" w:hAnsi="仿宋" w:eastAsia="仿宋" w:cs="仿宋"/>
                <w:color w:val="auto"/>
                <w:u w:val="none"/>
                <w:lang w:eastAsia="zh-CN"/>
              </w:rPr>
              <w:t>时</w:t>
            </w:r>
            <w:r>
              <w:rPr>
                <w:rFonts w:hint="eastAsia" w:ascii="仿宋" w:hAnsi="仿宋" w:eastAsia="仿宋" w:cs="仿宋"/>
                <w:color w:val="auto"/>
                <w:u w:val="none"/>
                <w:lang w:val="en-US" w:eastAsia="zh-CN"/>
              </w:rPr>
              <w:t>3</w:t>
            </w:r>
            <w:r>
              <w:rPr>
                <w:rFonts w:hint="eastAsia" w:ascii="仿宋" w:hAnsi="仿宋" w:eastAsia="仿宋" w:cs="仿宋"/>
                <w:color w:val="auto"/>
                <w:u w:val="none"/>
                <w:lang w:eastAsia="zh-CN"/>
              </w:rPr>
              <w:t>0分</w:t>
            </w:r>
            <w:r>
              <w:rPr>
                <w:rFonts w:hint="eastAsia" w:ascii="仿宋" w:hAnsi="仿宋" w:eastAsia="仿宋" w:cs="仿宋"/>
                <w:color w:val="auto"/>
                <w:lang w:eastAsia="zh-CN"/>
              </w:rPr>
              <w:t>（北京时间）</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投标地点：政府采购云平台（www.zcygov.cn）供应商应于递交投标文件截止时间之前将电子投标文件上传到“政采云”平台。</w:t>
            </w:r>
          </w:p>
        </w:tc>
      </w:tr>
      <w:tr>
        <w:tblPrEx>
          <w:tblCellMar>
            <w:top w:w="0" w:type="dxa"/>
            <w:left w:w="108" w:type="dxa"/>
            <w:bottom w:w="0" w:type="dxa"/>
            <w:right w:w="108" w:type="dxa"/>
          </w:tblCellMar>
        </w:tblPrEx>
        <w:trPr>
          <w:trHeight w:val="866" w:hRule="atLeast"/>
          <w:jc w:val="center"/>
        </w:trPr>
        <w:tc>
          <w:tcPr>
            <w:tcW w:w="558"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2</w:t>
            </w:r>
          </w:p>
        </w:tc>
        <w:tc>
          <w:tcPr>
            <w:tcW w:w="1691" w:type="dxa"/>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开标时间和地点</w:t>
            </w:r>
          </w:p>
        </w:tc>
        <w:tc>
          <w:tcPr>
            <w:tcW w:w="7116" w:type="dxa"/>
            <w:tcBorders>
              <w:top w:val="single" w:color="auto" w:sz="4" w:space="0"/>
              <w:left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开标时间：</w:t>
            </w:r>
            <w:r>
              <w:rPr>
                <w:rFonts w:hint="eastAsia" w:ascii="仿宋" w:hAnsi="仿宋" w:eastAsia="仿宋" w:cs="仿宋"/>
                <w:color w:val="auto"/>
                <w:u w:val="none"/>
                <w:lang w:eastAsia="zh-CN"/>
              </w:rPr>
              <w:t>202</w:t>
            </w:r>
            <w:r>
              <w:rPr>
                <w:rFonts w:hint="eastAsia" w:ascii="仿宋" w:hAnsi="仿宋" w:eastAsia="仿宋" w:cs="仿宋"/>
                <w:color w:val="auto"/>
                <w:u w:val="none"/>
                <w:lang w:val="en-US" w:eastAsia="zh-CN"/>
              </w:rPr>
              <w:t>4</w:t>
            </w:r>
            <w:r>
              <w:rPr>
                <w:rFonts w:hint="eastAsia" w:ascii="仿宋" w:hAnsi="仿宋" w:eastAsia="仿宋" w:cs="仿宋"/>
                <w:color w:val="auto"/>
                <w:u w:val="none"/>
                <w:lang w:eastAsia="zh-CN"/>
              </w:rPr>
              <w:t>年</w:t>
            </w:r>
            <w:r>
              <w:rPr>
                <w:rFonts w:hint="eastAsia" w:ascii="仿宋" w:hAnsi="仿宋" w:eastAsia="仿宋" w:cs="仿宋"/>
                <w:color w:val="auto"/>
                <w:u w:val="none"/>
                <w:lang w:val="en-US" w:eastAsia="zh-CN"/>
              </w:rPr>
              <w:t xml:space="preserve"> 6</w:t>
            </w:r>
            <w:r>
              <w:rPr>
                <w:rFonts w:hint="eastAsia" w:ascii="仿宋" w:hAnsi="仿宋" w:eastAsia="仿宋" w:cs="仿宋"/>
                <w:color w:val="auto"/>
                <w:u w:val="none"/>
                <w:lang w:eastAsia="zh-CN"/>
              </w:rPr>
              <w:t>月</w:t>
            </w:r>
            <w:r>
              <w:rPr>
                <w:rFonts w:hint="eastAsia" w:ascii="仿宋" w:hAnsi="仿宋" w:eastAsia="仿宋" w:cs="仿宋"/>
                <w:color w:val="auto"/>
                <w:u w:val="none"/>
                <w:lang w:val="en-US" w:eastAsia="zh-CN"/>
              </w:rPr>
              <w:t xml:space="preserve"> 13</w:t>
            </w:r>
            <w:r>
              <w:rPr>
                <w:rFonts w:hint="eastAsia" w:ascii="仿宋" w:hAnsi="仿宋" w:eastAsia="仿宋" w:cs="仿宋"/>
                <w:color w:val="auto"/>
                <w:u w:val="none"/>
                <w:lang w:eastAsia="zh-CN"/>
              </w:rPr>
              <w:t>日上午1</w:t>
            </w:r>
            <w:r>
              <w:rPr>
                <w:rFonts w:hint="eastAsia" w:ascii="仿宋" w:hAnsi="仿宋" w:eastAsia="仿宋" w:cs="仿宋"/>
                <w:color w:val="auto"/>
                <w:u w:val="none"/>
                <w:lang w:val="en-US" w:eastAsia="zh-CN"/>
              </w:rPr>
              <w:t>0</w:t>
            </w:r>
            <w:r>
              <w:rPr>
                <w:rFonts w:hint="eastAsia" w:ascii="仿宋" w:hAnsi="仿宋" w:eastAsia="仿宋" w:cs="仿宋"/>
                <w:color w:val="auto"/>
                <w:u w:val="none"/>
                <w:lang w:eastAsia="zh-CN"/>
              </w:rPr>
              <w:t>时</w:t>
            </w:r>
            <w:r>
              <w:rPr>
                <w:rFonts w:hint="eastAsia" w:ascii="仿宋" w:hAnsi="仿宋" w:eastAsia="仿宋" w:cs="仿宋"/>
                <w:color w:val="auto"/>
                <w:u w:val="none"/>
                <w:lang w:val="en-US" w:eastAsia="zh-CN"/>
              </w:rPr>
              <w:t>3</w:t>
            </w:r>
            <w:r>
              <w:rPr>
                <w:rFonts w:hint="eastAsia" w:ascii="仿宋" w:hAnsi="仿宋" w:eastAsia="仿宋" w:cs="仿宋"/>
                <w:color w:val="auto"/>
                <w:u w:val="none"/>
                <w:lang w:eastAsia="zh-CN"/>
              </w:rPr>
              <w:t>0分</w:t>
            </w:r>
            <w:r>
              <w:rPr>
                <w:rFonts w:hint="eastAsia" w:ascii="仿宋" w:hAnsi="仿宋" w:eastAsia="仿宋" w:cs="仿宋"/>
                <w:color w:val="auto"/>
                <w:lang w:eastAsia="zh-CN"/>
              </w:rPr>
              <w:t>（北京时间）</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开标地点：投标人登录政采云平台https://www.zcygov.cn/，进入“项目采购-开标评标-右边选择对应项目点击“进入项目”进入开标大厅。         </w:t>
            </w:r>
          </w:p>
        </w:tc>
      </w:tr>
      <w:tr>
        <w:tblPrEx>
          <w:tblCellMar>
            <w:top w:w="0" w:type="dxa"/>
            <w:left w:w="108" w:type="dxa"/>
            <w:bottom w:w="0" w:type="dxa"/>
            <w:right w:w="108" w:type="dxa"/>
          </w:tblCellMar>
        </w:tblPrEx>
        <w:trPr>
          <w:trHeight w:val="710"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仿宋" w:hAnsi="仿宋" w:eastAsia="仿宋" w:cs="仿宋"/>
                <w:color w:val="auto"/>
                <w:sz w:val="21"/>
                <w:szCs w:val="21"/>
                <w:lang w:val="en-US" w:eastAsia="zh-CN"/>
              </w:rPr>
            </w:pPr>
            <w:r>
              <w:rPr>
                <w:rFonts w:hint="eastAsia" w:ascii="仿宋" w:hAnsi="仿宋" w:eastAsia="仿宋" w:cs="仿宋"/>
                <w:color w:val="auto"/>
                <w:lang w:val="en-US" w:eastAsia="zh-CN"/>
              </w:rPr>
              <w:t>23</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重要说明</w:t>
            </w:r>
          </w:p>
        </w:tc>
        <w:tc>
          <w:tcPr>
            <w:tcW w:w="7116" w:type="dxa"/>
            <w:tcBorders>
              <w:top w:val="single" w:color="auto" w:sz="4" w:space="0"/>
              <w:left w:val="single" w:color="auto" w:sz="4" w:space="0"/>
              <w:right w:val="single" w:color="auto" w:sz="4" w:space="0"/>
            </w:tcBorders>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1.本项目采用全流程不见面电子开评标，投标供应商需要使用CA加密设备，供应商可通过新疆数字证书认证中心官网（https://www.xjca.com.cn/）或下载“新疆政务通”APP自行进行申领。</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2.本项目实行网上投标，采用加密电子投标文件(供应商须使用CA加密设备通过政采云电子投标客户端制作投标文件)。若供应商参与投标，自行承担投标一切费用。</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3.各供应商在开标前应确保成为新疆维吾尔自治区政府采购网正式注册入库供应商</w:t>
            </w:r>
            <w:r>
              <w:rPr>
                <w:rFonts w:hint="eastAsia" w:ascii="仿宋" w:hAnsi="仿宋" w:eastAsia="仿宋" w:cs="仿宋"/>
                <w:color w:val="auto"/>
                <w:sz w:val="24"/>
                <w:szCs w:val="24"/>
                <w:highlight w:val="none"/>
                <w:lang w:eastAsia="zh-CN"/>
              </w:rPr>
              <w:t>(已在政采云平台其他省份入驻的供应商无须重复注册）</w:t>
            </w:r>
            <w:r>
              <w:rPr>
                <w:rFonts w:hint="eastAsia" w:ascii="仿宋" w:hAnsi="仿宋" w:eastAsia="仿宋" w:cs="仿宋"/>
                <w:color w:val="auto"/>
                <w:sz w:val="24"/>
                <w:szCs w:val="24"/>
                <w:highlight w:val="none"/>
              </w:rPr>
              <w:t>，并完成CA数字证书申领。因未注册入库、未办理CA数字证书等原因造成无法投标或投标失败等后果由供应商自行承担。</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w:t>
            </w:r>
            <w:r>
              <w:rPr>
                <w:rFonts w:hint="eastAsia" w:ascii="仿宋" w:hAnsi="仿宋" w:eastAsia="仿宋" w:cs="仿宋"/>
                <w:color w:val="auto"/>
                <w:sz w:val="24"/>
                <w:szCs w:val="24"/>
                <w:highlight w:val="none"/>
                <w:lang w:eastAsia="zh-CN"/>
              </w:rPr>
              <w:t xml:space="preserve"> 95763</w:t>
            </w:r>
            <w:r>
              <w:rPr>
                <w:rFonts w:hint="eastAsia" w:ascii="仿宋" w:hAnsi="仿宋" w:eastAsia="仿宋" w:cs="仿宋"/>
                <w:color w:val="auto"/>
                <w:sz w:val="24"/>
                <w:szCs w:val="24"/>
                <w:highlight w:val="none"/>
              </w:rPr>
              <w:t>进行咨询。</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5.供应商在开标时须使用制作加密电子投标文件所使用的CA锁及电脑，电脑须提前配置好浏览器（建议使用谷歌浏览器），以便开标时解锁。</w:t>
            </w:r>
          </w:p>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pPr>
              <w:spacing w:line="360" w:lineRule="auto"/>
              <w:rPr>
                <w:rFonts w:hint="eastAsia" w:ascii="仿宋" w:hAnsi="仿宋" w:eastAsia="仿宋" w:cs="仿宋"/>
                <w:color w:val="auto"/>
                <w:lang w:eastAsia="zh-CN"/>
              </w:rPr>
            </w:pPr>
            <w:r>
              <w:rPr>
                <w:rFonts w:hint="eastAsia" w:ascii="仿宋" w:hAnsi="仿宋" w:eastAsia="仿宋" w:cs="仿宋"/>
                <w:color w:val="auto"/>
                <w:sz w:val="24"/>
                <w:szCs w:val="24"/>
                <w:highlight w:val="none"/>
              </w:rPr>
              <w:t>7.为了保证开评标顺利进行，政采云线上开标功能完全实现，供应商开标所使用的电脑设备须具有视频及语音功能。</w:t>
            </w:r>
          </w:p>
        </w:tc>
      </w:tr>
      <w:tr>
        <w:tblPrEx>
          <w:tblCellMar>
            <w:top w:w="0" w:type="dxa"/>
            <w:left w:w="108" w:type="dxa"/>
            <w:bottom w:w="0" w:type="dxa"/>
            <w:right w:w="108" w:type="dxa"/>
          </w:tblCellMar>
        </w:tblPrEx>
        <w:trPr>
          <w:trHeight w:val="71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1、电子招投标情况说明：</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（1）电子招投标：</w:t>
            </w:r>
            <w:r>
              <w:rPr>
                <w:rFonts w:hint="eastAsia" w:ascii="仿宋" w:hAnsi="仿宋" w:eastAsia="仿宋" w:cs="仿宋"/>
                <w:color w:val="auto"/>
                <w:sz w:val="24"/>
                <w:szCs w:val="24"/>
                <w:highlight w:val="none"/>
              </w:rPr>
              <w:t>本项目以数据电文形式，依托“政府采购云平台（www.zcygov.cn）”进行招投标活动</w:t>
            </w:r>
            <w:r>
              <w:rPr>
                <w:rFonts w:hint="eastAsia" w:ascii="仿宋" w:hAnsi="仿宋" w:eastAsia="仿宋" w:cs="仿宋"/>
                <w:b/>
                <w:bCs/>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val="0"/>
                <w:bCs/>
                <w:color w:val="auto"/>
                <w:sz w:val="24"/>
                <w:szCs w:val="24"/>
                <w:highlight w:val="none"/>
              </w:rPr>
              <w:t>投标准备：</w:t>
            </w:r>
            <w:r>
              <w:rPr>
                <w:rFonts w:hint="eastAsia" w:ascii="仿宋" w:hAnsi="仿宋" w:eastAsia="仿宋" w:cs="仿宋"/>
                <w:color w:val="auto"/>
                <w:sz w:val="24"/>
                <w:szCs w:val="24"/>
                <w:highlight w:val="none"/>
              </w:rPr>
              <w:t>注册账号--点击“商家入驻”，进行政府采购供应商资料填写；申领CA数字证书---申领流程详见“</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政府采购网-下载专区-电子交易客户端-CA驱动和申领流程”；安装“政采云电子交易客户端”----前往“</w:t>
            </w:r>
            <w:r>
              <w:rPr>
                <w:rFonts w:hint="eastAsia" w:ascii="仿宋" w:hAnsi="仿宋" w:eastAsia="仿宋" w:cs="仿宋"/>
                <w:color w:val="auto"/>
                <w:sz w:val="24"/>
                <w:szCs w:val="24"/>
                <w:highlight w:val="none"/>
                <w:lang w:eastAsia="zh-CN"/>
              </w:rPr>
              <w:t>新疆</w:t>
            </w:r>
            <w:r>
              <w:rPr>
                <w:rFonts w:hint="eastAsia" w:ascii="仿宋" w:hAnsi="仿宋" w:eastAsia="仿宋" w:cs="仿宋"/>
                <w:color w:val="auto"/>
                <w:sz w:val="24"/>
                <w:szCs w:val="24"/>
                <w:highlight w:val="none"/>
              </w:rPr>
              <w:t>政府采购网-下载专区-电子交易客户端”进行下载并安装。</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b w:val="0"/>
                <w:bCs/>
                <w:color w:val="auto"/>
                <w:sz w:val="24"/>
                <w:szCs w:val="24"/>
                <w:highlight w:val="none"/>
              </w:rPr>
              <w:t>采购文件的获取：</w:t>
            </w:r>
            <w:r>
              <w:rPr>
                <w:rFonts w:hint="eastAsia" w:ascii="仿宋" w:hAnsi="仿宋" w:eastAsia="仿宋" w:cs="仿宋"/>
                <w:color w:val="auto"/>
                <w:sz w:val="24"/>
                <w:szCs w:val="24"/>
                <w:highlight w:val="none"/>
              </w:rPr>
              <w:t>使用账号登录或者</w:t>
            </w:r>
            <w:r>
              <w:rPr>
                <w:rFonts w:hint="eastAsia" w:ascii="仿宋" w:hAnsi="仿宋" w:eastAsia="仿宋" w:cs="仿宋"/>
                <w:color w:val="auto"/>
                <w:sz w:val="24"/>
                <w:szCs w:val="24"/>
                <w:highlight w:val="none"/>
                <w:lang w:bidi="zh-CN"/>
              </w:rPr>
              <w:t>短信验证码</w:t>
            </w:r>
            <w:r>
              <w:rPr>
                <w:rFonts w:hint="eastAsia" w:ascii="仿宋" w:hAnsi="仿宋" w:eastAsia="仿宋" w:cs="仿宋"/>
                <w:color w:val="auto"/>
                <w:sz w:val="24"/>
                <w:szCs w:val="24"/>
                <w:highlight w:val="none"/>
              </w:rPr>
              <w:t>或者使用CA登录政采云平台；进入“项目采购”应用，在获取采购文件菜单中选择项目，获取采购文件。</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b w:val="0"/>
                <w:bCs/>
                <w:color w:val="auto"/>
                <w:sz w:val="24"/>
                <w:szCs w:val="24"/>
                <w:highlight w:val="none"/>
              </w:rPr>
              <w:t>投标文件的制作：</w:t>
            </w:r>
            <w:r>
              <w:rPr>
                <w:rFonts w:hint="eastAsia" w:ascii="仿宋" w:hAnsi="仿宋" w:eastAsia="仿宋" w:cs="仿宋"/>
                <w:color w:val="auto"/>
                <w:sz w:val="24"/>
                <w:szCs w:val="24"/>
                <w:highlight w:val="none"/>
              </w:rPr>
              <w:t>在“政采云电子交易客户端”中完成“填写基本信息”、“导入投标文件”、“标书关联”、“标书检查”、“电子签名”、“生成电子标书”等操作。</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b w:val="0"/>
                <w:bCs/>
                <w:color w:val="auto"/>
                <w:sz w:val="24"/>
                <w:szCs w:val="24"/>
                <w:highlight w:val="none"/>
              </w:rPr>
              <w:t>投标文件的传输递交：</w:t>
            </w:r>
            <w:r>
              <w:rPr>
                <w:rFonts w:hint="eastAsia" w:ascii="仿宋" w:hAnsi="仿宋" w:eastAsia="仿宋" w:cs="仿宋"/>
                <w:color w:val="auto"/>
                <w:sz w:val="24"/>
                <w:szCs w:val="24"/>
                <w:highlight w:val="none"/>
              </w:rPr>
              <w:t>供应商在投标截止时间前将加密的投标文件上传至政府采购云平台，还可以在投标截止时间前以电子邮件方式提供备份投标文件1份（接收人邮箱：</w:t>
            </w:r>
            <w:r>
              <w:rPr>
                <w:rFonts w:hint="eastAsia" w:ascii="仿宋" w:hAnsi="仿宋" w:eastAsia="仿宋" w:cs="仿宋"/>
                <w:color w:val="auto"/>
                <w:sz w:val="24"/>
                <w:szCs w:val="24"/>
                <w:highlight w:val="none"/>
                <w:lang w:val="en-US" w:eastAsia="zh-CN"/>
              </w:rPr>
              <w:t>32656133878@qq.cpm</w:t>
            </w:r>
            <w:r>
              <w:rPr>
                <w:rFonts w:hint="eastAsia" w:ascii="仿宋" w:hAnsi="仿宋" w:eastAsia="仿宋" w:cs="仿宋"/>
                <w:color w:val="auto"/>
                <w:sz w:val="24"/>
                <w:szCs w:val="24"/>
                <w:highlight w:val="none"/>
              </w:rPr>
              <w:t>，接收人：</w:t>
            </w:r>
            <w:r>
              <w:rPr>
                <w:rFonts w:hint="eastAsia" w:ascii="仿宋" w:hAnsi="仿宋" w:eastAsia="仿宋" w:cs="仿宋"/>
                <w:color w:val="auto"/>
                <w:sz w:val="24"/>
                <w:szCs w:val="24"/>
                <w:highlight w:val="none"/>
                <w:lang w:eastAsia="zh-CN"/>
              </w:rPr>
              <w:t>朱先生</w:t>
            </w: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lang w:val="en-US" w:eastAsia="zh-CN"/>
              </w:rPr>
              <w:t>18609088999</w:t>
            </w:r>
            <w:r>
              <w:rPr>
                <w:rFonts w:hint="eastAsia" w:ascii="仿宋" w:hAnsi="仿宋" w:eastAsia="仿宋" w:cs="仿宋"/>
                <w:color w:val="auto"/>
                <w:sz w:val="24"/>
                <w:szCs w:val="24"/>
                <w:highlight w:val="none"/>
              </w:rPr>
              <w:t>）</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bidi="zh-CN"/>
              </w:rPr>
              <w:t>备份投标文件可以打包压缩并加密，压缩包命名为“XX单位备份投标文件”，加密密码由供应商自行保管（“备份投标文件”由供应商自愿提供，采购文件不作强制性要求；如不提供或未按要求提供的，当电子投标文件无法解密时，将导致无备份投标文件而失去投标资格）</w:t>
            </w:r>
            <w:r>
              <w:rPr>
                <w:rFonts w:hint="eastAsia" w:ascii="仿宋" w:hAnsi="仿宋" w:eastAsia="仿宋" w:cs="仿宋"/>
                <w:b w:val="0"/>
                <w:bCs w:val="0"/>
                <w:color w:val="auto"/>
                <w:sz w:val="24"/>
                <w:szCs w:val="24"/>
                <w:highlight w:val="none"/>
              </w:rPr>
              <w:t>。</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b w:val="0"/>
                <w:bCs/>
                <w:color w:val="auto"/>
                <w:sz w:val="24"/>
                <w:szCs w:val="24"/>
                <w:highlight w:val="none"/>
              </w:rPr>
              <w:t>投标文件的解密：</w:t>
            </w:r>
            <w:r>
              <w:rPr>
                <w:rFonts w:hint="eastAsia" w:ascii="仿宋" w:hAnsi="仿宋" w:eastAsia="仿宋" w:cs="仿宋"/>
                <w:color w:val="auto"/>
                <w:sz w:val="24"/>
                <w:szCs w:val="24"/>
                <w:highlight w:val="none"/>
              </w:rPr>
              <w:t>供应商按照平台提示和采购文件的规定在半小时内完成在线解密。通过“政府采购云平台”上传递交的投标文件无法按时解密，投标供应商提供了备份投标文件的，以备份投标文件为依据，否则视为投标文件撤回。通过“政府采购云平台”上传递交的投标文件已按时解密的，备份投标文件自动失效。供应商仅提供备份投标文件，没有在电子交易平台传输递交投标文件的，投标无效。</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r>
              <w:rPr>
                <w:rFonts w:hint="eastAsia" w:ascii="仿宋" w:hAnsi="仿宋" w:eastAsia="仿宋" w:cs="仿宋"/>
                <w:b w:val="0"/>
                <w:bCs w:val="0"/>
                <w:color w:val="auto"/>
                <w:sz w:val="24"/>
                <w:szCs w:val="24"/>
                <w:highlight w:val="none"/>
              </w:rPr>
              <w:t>）具体操作指南：</w:t>
            </w:r>
            <w:r>
              <w:rPr>
                <w:rFonts w:hint="eastAsia" w:ascii="仿宋" w:hAnsi="仿宋" w:eastAsia="仿宋" w:cs="仿宋"/>
                <w:color w:val="auto"/>
                <w:sz w:val="24"/>
                <w:szCs w:val="24"/>
                <w:highlight w:val="none"/>
              </w:rPr>
              <w:t>详见政采云平台“服务中心-帮助文档-项目采购-操作流程-电子招投标-政府采购项目电子交易管理操作指南-供应商”。</w:t>
            </w:r>
          </w:p>
          <w:p>
            <w:pPr>
              <w:keepNext w:val="0"/>
              <w:keepLines w:val="0"/>
              <w:pageBreakBefore w:val="0"/>
              <w:widowControl w:val="0"/>
              <w:shd w:val="clear" w:color="auto" w:fill="auto"/>
              <w:kinsoku/>
              <w:wordWrap/>
              <w:overflowPunct/>
              <w:topLinePunct w:val="0"/>
              <w:autoSpaceDE/>
              <w:autoSpaceDN/>
              <w:bidi w:val="0"/>
              <w:adjustRightInd/>
              <w:snapToGrid w:val="0"/>
              <w:spacing w:line="360" w:lineRule="auto"/>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（8）供应商在进行上述操作时，如遇技术问题可登录政采云（https://</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HYPERLINK "http://www.zcygov.cn/" \h</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 xml:space="preserve">），点击右侧咨询小采，获取采小蜜智能服务管家帮助，或拨打政采云服务热线 </w:t>
            </w:r>
            <w:r>
              <w:rPr>
                <w:rFonts w:hint="eastAsia" w:ascii="仿宋" w:hAnsi="仿宋" w:eastAsia="仿宋" w:cs="仿宋"/>
                <w:color w:val="auto"/>
                <w:sz w:val="24"/>
                <w:szCs w:val="24"/>
                <w:highlight w:val="none"/>
                <w:lang w:eastAsia="zh-CN"/>
              </w:rPr>
              <w:t>95763</w:t>
            </w:r>
            <w:r>
              <w:rPr>
                <w:rFonts w:hint="eastAsia" w:ascii="仿宋" w:hAnsi="仿宋" w:eastAsia="仿宋" w:cs="仿宋"/>
                <w:color w:val="auto"/>
                <w:sz w:val="24"/>
                <w:szCs w:val="24"/>
                <w:highlight w:val="none"/>
              </w:rPr>
              <w:t>获取热线服务帮助。</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温馨提醒：</w:t>
            </w:r>
          </w:p>
          <w:p>
            <w:pPr>
              <w:pStyle w:val="9"/>
              <w:keepNext w:val="0"/>
              <w:keepLines w:val="0"/>
              <w:pageBreakBefore w:val="0"/>
              <w:widowControl w:val="0"/>
              <w:shd w:val="clear" w:color="auto" w:fill="auto"/>
              <w:kinsoku/>
              <w:wordWrap/>
              <w:overflowPunct/>
              <w:topLinePunct w:val="0"/>
              <w:autoSpaceDE/>
              <w:autoSpaceDN/>
              <w:bidi w:val="0"/>
              <w:adjustRightInd/>
              <w:snapToGrid w:val="0"/>
              <w:spacing w:line="360" w:lineRule="auto"/>
              <w:ind w:left="0" w:leftChars="0" w:firstLine="0" w:firstLineChars="0"/>
              <w:textAlignment w:val="auto"/>
              <w:outlineLvl w:val="9"/>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rPr>
              <w:t>供应商应提前上传，以便在上传时遇到技术问题，有充足的时间请教平台的技术人员。</w:t>
            </w:r>
          </w:p>
          <w:p>
            <w:pPr>
              <w:spacing w:line="360" w:lineRule="auto"/>
              <w:rPr>
                <w:rFonts w:hint="eastAsia" w:ascii="仿宋" w:hAnsi="仿宋" w:eastAsia="仿宋" w:cs="仿宋"/>
                <w:color w:val="auto"/>
                <w:lang w:eastAsia="zh-CN"/>
              </w:rPr>
            </w:pPr>
            <w:r>
              <w:rPr>
                <w:rFonts w:hint="eastAsia" w:ascii="仿宋" w:hAnsi="仿宋" w:eastAsia="仿宋" w:cs="仿宋"/>
                <w:bCs/>
                <w:color w:val="auto"/>
                <w:sz w:val="24"/>
                <w:szCs w:val="24"/>
                <w:highlight w:val="none"/>
              </w:rPr>
              <w:t>2、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w:t>
            </w:r>
            <w:r>
              <w:rPr>
                <w:rFonts w:hint="eastAsia" w:ascii="仿宋" w:hAnsi="仿宋" w:eastAsia="仿宋" w:cs="仿宋"/>
                <w:color w:val="auto"/>
                <w:sz w:val="24"/>
                <w:szCs w:val="24"/>
                <w:highlight w:val="none"/>
              </w:rPr>
              <w:t>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w:t>
            </w:r>
            <w:r>
              <w:rPr>
                <w:rFonts w:hint="eastAsia" w:ascii="仿宋" w:hAnsi="仿宋" w:eastAsia="仿宋" w:cs="仿宋"/>
                <w:color w:val="auto"/>
                <w:sz w:val="24"/>
                <w:szCs w:val="24"/>
                <w:highlight w:val="none"/>
                <w:lang w:eastAsia="zh-CN"/>
              </w:rPr>
              <w:t>中国</w:t>
            </w:r>
            <w:r>
              <w:rPr>
                <w:rFonts w:hint="eastAsia" w:ascii="仿宋" w:hAnsi="仿宋" w:eastAsia="仿宋" w:cs="仿宋"/>
                <w:color w:val="auto"/>
                <w:sz w:val="24"/>
                <w:szCs w:val="24"/>
                <w:highlight w:val="none"/>
              </w:rPr>
              <w:t>政府采购网下载专区下载。</w:t>
            </w:r>
            <w:r>
              <w:rPr>
                <w:rFonts w:hint="eastAsia" w:ascii="仿宋" w:hAnsi="仿宋" w:eastAsia="仿宋" w:cs="仿宋"/>
                <w:bCs/>
                <w:color w:val="auto"/>
                <w:sz w:val="24"/>
                <w:szCs w:val="24"/>
                <w:highlight w:val="none"/>
              </w:rPr>
              <w:t>未按规定获取采购文件或逾期提出的不予受理、答复。</w:t>
            </w:r>
          </w:p>
        </w:tc>
      </w:tr>
      <w:tr>
        <w:tblPrEx>
          <w:tblCellMar>
            <w:top w:w="0" w:type="dxa"/>
            <w:left w:w="108" w:type="dxa"/>
            <w:bottom w:w="0" w:type="dxa"/>
            <w:right w:w="108" w:type="dxa"/>
          </w:tblCellMar>
        </w:tblPrEx>
        <w:trPr>
          <w:trHeight w:val="915"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4</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中标候选人公示媒介</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克州公共资源交易中心网、新疆政府采购网，公示期为一个工作日。</w:t>
            </w:r>
          </w:p>
        </w:tc>
      </w:tr>
      <w:tr>
        <w:tblPrEx>
          <w:tblCellMar>
            <w:top w:w="0" w:type="dxa"/>
            <w:left w:w="108" w:type="dxa"/>
            <w:bottom w:w="0" w:type="dxa"/>
            <w:right w:w="108" w:type="dxa"/>
          </w:tblCellMar>
        </w:tblPrEx>
        <w:trPr>
          <w:trHeight w:val="41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5</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招标代理服务费</w:t>
            </w:r>
          </w:p>
        </w:tc>
      </w:tr>
      <w:tr>
        <w:tblPrEx>
          <w:tblCellMar>
            <w:top w:w="0" w:type="dxa"/>
            <w:left w:w="108" w:type="dxa"/>
            <w:bottom w:w="0" w:type="dxa"/>
            <w:right w:w="108" w:type="dxa"/>
          </w:tblCellMar>
        </w:tblPrEx>
        <w:trPr>
          <w:trHeight w:val="7586"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中标单位在领取本项目中标通知书时，</w:t>
            </w:r>
            <w:r>
              <w:rPr>
                <w:rFonts w:hint="eastAsia" w:ascii="仿宋" w:hAnsi="仿宋" w:eastAsia="仿宋" w:cs="仿宋"/>
                <w:color w:val="auto"/>
                <w:lang w:val="en-US" w:eastAsia="zh-CN"/>
              </w:rPr>
              <w:t>根据</w:t>
            </w:r>
            <w:r>
              <w:rPr>
                <w:rFonts w:hint="eastAsia" w:ascii="仿宋" w:hAnsi="仿宋" w:eastAsia="仿宋" w:cs="仿宋"/>
                <w:color w:val="auto"/>
                <w:lang w:eastAsia="zh-CN"/>
              </w:rPr>
              <w:t>《</w:t>
            </w:r>
            <w:r>
              <w:rPr>
                <w:rFonts w:hint="eastAsia" w:ascii="仿宋" w:hAnsi="仿宋" w:eastAsia="仿宋" w:cs="仿宋"/>
                <w:color w:val="auto"/>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auto"/>
                <w:lang w:eastAsia="zh-CN"/>
              </w:rPr>
              <w:t>（</w:t>
            </w:r>
            <w:r>
              <w:rPr>
                <w:rFonts w:hint="eastAsia" w:ascii="仿宋" w:hAnsi="仿宋" w:eastAsia="仿宋" w:cs="仿宋"/>
                <w:color w:val="auto"/>
                <w:lang w:val="en-US" w:eastAsia="zh-CN"/>
              </w:rPr>
              <w:t>发改</w:t>
            </w:r>
            <w:r>
              <w:rPr>
                <w:rFonts w:hint="eastAsia" w:ascii="仿宋" w:hAnsi="仿宋" w:eastAsia="仿宋" w:cs="仿宋"/>
                <w:color w:val="auto"/>
                <w:lang w:eastAsia="zh-CN"/>
              </w:rPr>
              <w:t>价格[20</w:t>
            </w:r>
            <w:r>
              <w:rPr>
                <w:rFonts w:hint="eastAsia" w:ascii="仿宋" w:hAnsi="仿宋" w:eastAsia="仿宋" w:cs="仿宋"/>
                <w:color w:val="auto"/>
                <w:lang w:val="en-US" w:eastAsia="zh-CN"/>
              </w:rPr>
              <w:t>15</w:t>
            </w:r>
            <w:r>
              <w:rPr>
                <w:rFonts w:hint="eastAsia" w:ascii="仿宋" w:hAnsi="仿宋" w:eastAsia="仿宋" w:cs="仿宋"/>
                <w:color w:val="auto"/>
                <w:lang w:eastAsia="zh-CN"/>
              </w:rPr>
              <w:t>]</w:t>
            </w:r>
            <w:r>
              <w:rPr>
                <w:rFonts w:hint="eastAsia" w:ascii="仿宋" w:hAnsi="仿宋" w:eastAsia="仿宋" w:cs="仿宋"/>
                <w:color w:val="auto"/>
                <w:lang w:val="en-US" w:eastAsia="zh-CN"/>
              </w:rPr>
              <w:t>299</w:t>
            </w:r>
            <w:r>
              <w:rPr>
                <w:rFonts w:hint="eastAsia" w:ascii="仿宋" w:hAnsi="仿宋" w:eastAsia="仿宋" w:cs="仿宋"/>
                <w:color w:val="auto"/>
                <w:lang w:eastAsia="zh-CN"/>
              </w:rPr>
              <w:t>号）</w:t>
            </w:r>
            <w:r>
              <w:rPr>
                <w:rFonts w:hint="eastAsia" w:ascii="仿宋" w:hAnsi="仿宋" w:eastAsia="仿宋" w:cs="仿宋"/>
                <w:color w:val="auto"/>
                <w:lang w:val="en-US" w:eastAsia="zh-CN"/>
              </w:rPr>
              <w:t>及新建招协</w:t>
            </w:r>
            <w:r>
              <w:rPr>
                <w:rFonts w:hint="eastAsia" w:ascii="仿宋" w:hAnsi="仿宋" w:eastAsia="仿宋" w:cs="仿宋"/>
                <w:color w:val="auto"/>
                <w:lang w:eastAsia="zh-CN"/>
              </w:rPr>
              <w:t>[</w:t>
            </w:r>
            <w:r>
              <w:rPr>
                <w:rFonts w:hint="eastAsia" w:ascii="仿宋" w:hAnsi="仿宋" w:eastAsia="仿宋" w:cs="仿宋"/>
                <w:color w:val="auto"/>
                <w:lang w:val="en-US" w:eastAsia="zh-CN"/>
              </w:rPr>
              <w:t>2024</w:t>
            </w:r>
            <w:r>
              <w:rPr>
                <w:rFonts w:hint="eastAsia" w:ascii="仿宋" w:hAnsi="仿宋" w:eastAsia="仿宋" w:cs="仿宋"/>
                <w:color w:val="auto"/>
                <w:lang w:eastAsia="zh-CN"/>
              </w:rPr>
              <w:t>]</w:t>
            </w:r>
            <w:r>
              <w:rPr>
                <w:rFonts w:hint="eastAsia" w:ascii="仿宋" w:hAnsi="仿宋" w:eastAsia="仿宋" w:cs="仿宋"/>
                <w:color w:val="auto"/>
                <w:lang w:val="en-US" w:eastAsia="zh-CN"/>
              </w:rPr>
              <w:t>4号文件等规定</w:t>
            </w:r>
            <w:r>
              <w:rPr>
                <w:rFonts w:hint="eastAsia" w:ascii="仿宋" w:hAnsi="仿宋" w:eastAsia="仿宋" w:cs="仿宋"/>
                <w:color w:val="auto"/>
                <w:lang w:eastAsia="zh-CN"/>
              </w:rPr>
              <w:t>由中标单位向招标代理机构支付本项目代理费。收费标准如下：</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招标代理服务收费标准(费率)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1546"/>
              <w:gridCol w:w="1907"/>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953"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中标金额（万元）</w:t>
                  </w:r>
                </w:p>
              </w:tc>
              <w:tc>
                <w:tcPr>
                  <w:tcW w:w="1546"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货物招标</w:t>
                  </w:r>
                </w:p>
              </w:tc>
              <w:tc>
                <w:tcPr>
                  <w:tcW w:w="1907"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服务招标</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100以下</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1.5</w:t>
                  </w:r>
                  <w:r>
                    <w:rPr>
                      <w:rFonts w:hint="eastAsia" w:ascii="仿宋" w:hAnsi="仿宋" w:eastAsia="仿宋" w:cs="仿宋"/>
                      <w:color w:val="auto"/>
                      <w:lang w:val="en-US" w:eastAsia="zh-CN"/>
                    </w:rPr>
                    <w:t>8</w:t>
                  </w:r>
                  <w:r>
                    <w:rPr>
                      <w:rFonts w:hint="eastAsia" w:ascii="仿宋" w:hAnsi="仿宋" w:eastAsia="仿宋" w:cs="仿宋"/>
                      <w:color w:val="auto"/>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1.5</w:t>
                  </w:r>
                  <w:r>
                    <w:rPr>
                      <w:rFonts w:hint="eastAsia" w:ascii="仿宋" w:hAnsi="仿宋" w:eastAsia="仿宋" w:cs="仿宋"/>
                      <w:color w:val="auto"/>
                      <w:lang w:val="en-US" w:eastAsia="zh-CN"/>
                    </w:rPr>
                    <w:t>8</w:t>
                  </w:r>
                  <w:r>
                    <w:rPr>
                      <w:rFonts w:hint="eastAsia" w:ascii="仿宋" w:hAnsi="仿宋" w:eastAsia="仿宋" w:cs="仿宋"/>
                      <w:color w:val="auto"/>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100-500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1.1</w:t>
                  </w:r>
                  <w:r>
                    <w:rPr>
                      <w:rFonts w:hint="eastAsia" w:ascii="仿宋" w:hAnsi="仿宋" w:eastAsia="仿宋" w:cs="仿宋"/>
                      <w:color w:val="auto"/>
                      <w:lang w:val="en-US" w:eastAsia="zh-CN"/>
                    </w:rPr>
                    <w:t>6</w:t>
                  </w:r>
                  <w:r>
                    <w:rPr>
                      <w:rFonts w:hint="eastAsia" w:ascii="仿宋" w:hAnsi="仿宋" w:eastAsia="仿宋" w:cs="仿宋"/>
                      <w:color w:val="auto"/>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val="en-US" w:eastAsia="zh-CN"/>
                    </w:rPr>
                    <w:t>0.84</w:t>
                  </w:r>
                  <w:r>
                    <w:rPr>
                      <w:rFonts w:hint="eastAsia" w:ascii="仿宋" w:hAnsi="仿宋" w:eastAsia="仿宋" w:cs="仿宋"/>
                      <w:color w:val="auto"/>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500-1000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0.</w:t>
                  </w:r>
                  <w:r>
                    <w:rPr>
                      <w:rFonts w:hint="eastAsia" w:ascii="仿宋" w:hAnsi="仿宋" w:eastAsia="仿宋" w:cs="仿宋"/>
                      <w:color w:val="auto"/>
                      <w:lang w:val="en-US" w:eastAsia="zh-CN"/>
                    </w:rPr>
                    <w:t>93</w:t>
                  </w:r>
                  <w:r>
                    <w:rPr>
                      <w:rFonts w:hint="eastAsia" w:ascii="仿宋" w:hAnsi="仿宋" w:eastAsia="仿宋" w:cs="仿宋"/>
                      <w:color w:val="auto"/>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0.</w:t>
                  </w:r>
                  <w:r>
                    <w:rPr>
                      <w:rFonts w:hint="eastAsia" w:ascii="仿宋" w:hAnsi="仿宋" w:eastAsia="仿宋" w:cs="仿宋"/>
                      <w:color w:val="auto"/>
                      <w:lang w:val="en-US" w:eastAsia="zh-CN"/>
                    </w:rPr>
                    <w:t>62</w:t>
                  </w:r>
                  <w:r>
                    <w:rPr>
                      <w:rFonts w:hint="eastAsia" w:ascii="仿宋" w:hAnsi="仿宋" w:eastAsia="仿宋" w:cs="仿宋"/>
                      <w:color w:val="auto"/>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953"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1000-5000</w:t>
                  </w:r>
                </w:p>
              </w:tc>
              <w:tc>
                <w:tcPr>
                  <w:tcW w:w="1546"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0.</w:t>
                  </w:r>
                  <w:r>
                    <w:rPr>
                      <w:rFonts w:hint="eastAsia" w:ascii="仿宋" w:hAnsi="仿宋" w:eastAsia="仿宋" w:cs="仿宋"/>
                      <w:color w:val="auto"/>
                      <w:lang w:val="en-US" w:eastAsia="zh-CN"/>
                    </w:rPr>
                    <w:t>61</w:t>
                  </w:r>
                  <w:r>
                    <w:rPr>
                      <w:rFonts w:hint="eastAsia" w:ascii="仿宋" w:hAnsi="仿宋" w:eastAsia="仿宋" w:cs="仿宋"/>
                      <w:color w:val="auto"/>
                      <w:lang w:eastAsia="zh-CN"/>
                    </w:rPr>
                    <w:t>%</w:t>
                  </w:r>
                </w:p>
              </w:tc>
              <w:tc>
                <w:tcPr>
                  <w:tcW w:w="1907" w:type="dxa"/>
                  <w:noWrap w:val="0"/>
                  <w:vAlign w:val="center"/>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r>
                    <w:rPr>
                      <w:rFonts w:hint="eastAsia" w:ascii="仿宋" w:hAnsi="仿宋" w:eastAsia="仿宋" w:cs="仿宋"/>
                      <w:color w:val="auto"/>
                      <w:lang w:eastAsia="zh-CN"/>
                    </w:rPr>
                    <w:t>0.</w:t>
                  </w:r>
                  <w:r>
                    <w:rPr>
                      <w:rFonts w:hint="eastAsia" w:ascii="仿宋" w:hAnsi="仿宋" w:eastAsia="仿宋" w:cs="仿宋"/>
                      <w:color w:val="auto"/>
                      <w:lang w:val="en-US" w:eastAsia="zh-CN"/>
                    </w:rPr>
                    <w:t>35</w:t>
                  </w:r>
                  <w:r>
                    <w:rPr>
                      <w:rFonts w:hint="eastAsia" w:ascii="仿宋" w:hAnsi="仿宋" w:eastAsia="仿宋" w:cs="仿宋"/>
                      <w:color w:val="auto"/>
                      <w:lang w:eastAsia="zh-CN"/>
                    </w:rPr>
                    <w:t>%</w:t>
                  </w:r>
                </w:p>
              </w:tc>
              <w:tc>
                <w:tcPr>
                  <w:tcW w:w="1292" w:type="dxa"/>
                  <w:noWrap w:val="0"/>
                  <w:vAlign w:val="top"/>
                </w:tcPr>
                <w:p>
                  <w:pPr>
                    <w:keepNext w:val="0"/>
                    <w:keepLines w:val="0"/>
                    <w:pageBreakBefore w:val="0"/>
                    <w:kinsoku/>
                    <w:wordWrap/>
                    <w:overflowPunct/>
                    <w:topLinePunct w:val="0"/>
                    <w:autoSpaceDE/>
                    <w:autoSpaceDN/>
                    <w:bidi w:val="0"/>
                    <w:spacing w:line="312" w:lineRule="auto"/>
                    <w:rPr>
                      <w:rFonts w:hint="eastAsia" w:ascii="仿宋" w:hAnsi="仿宋" w:eastAsia="仿宋" w:cs="仿宋"/>
                      <w:color w:val="auto"/>
                      <w:lang w:eastAsia="zh-CN"/>
                    </w:rPr>
                  </w:pPr>
                </w:p>
              </w:tc>
            </w:tr>
          </w:tbl>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招标代理服务收费按差额定率累进法计算。例如：某项目招标代理业务中标金额为</w:t>
            </w:r>
            <w:r>
              <w:rPr>
                <w:rFonts w:hint="eastAsia" w:ascii="仿宋" w:hAnsi="仿宋" w:eastAsia="仿宋" w:cs="仿宋"/>
                <w:color w:val="auto"/>
                <w:lang w:val="en-US" w:eastAsia="zh-CN"/>
              </w:rPr>
              <w:t>5</w:t>
            </w:r>
            <w:r>
              <w:rPr>
                <w:rFonts w:hint="eastAsia" w:ascii="仿宋" w:hAnsi="仿宋" w:eastAsia="仿宋" w:cs="仿宋"/>
                <w:color w:val="auto"/>
                <w:lang w:eastAsia="zh-CN"/>
              </w:rPr>
              <w:t>000万元，计算招标代理服务收费额如下：</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 100万元×1.</w:t>
            </w:r>
            <w:r>
              <w:rPr>
                <w:rFonts w:hint="eastAsia" w:ascii="仿宋" w:hAnsi="仿宋" w:eastAsia="仿宋" w:cs="仿宋"/>
                <w:color w:val="auto"/>
                <w:lang w:val="en-US" w:eastAsia="zh-CN"/>
              </w:rPr>
              <w:t>58</w:t>
            </w:r>
            <w:r>
              <w:rPr>
                <w:rFonts w:hint="eastAsia" w:ascii="仿宋" w:hAnsi="仿宋" w:eastAsia="仿宋" w:cs="仿宋"/>
                <w:color w:val="auto"/>
                <w:lang w:eastAsia="zh-CN"/>
              </w:rPr>
              <w:t>%=1.5</w:t>
            </w:r>
            <w:r>
              <w:rPr>
                <w:rFonts w:hint="eastAsia" w:ascii="仿宋" w:hAnsi="仿宋" w:eastAsia="仿宋" w:cs="仿宋"/>
                <w:color w:val="auto"/>
                <w:lang w:val="en-US" w:eastAsia="zh-CN"/>
              </w:rPr>
              <w:t>8</w:t>
            </w:r>
            <w:r>
              <w:rPr>
                <w:rFonts w:hint="eastAsia" w:ascii="仿宋" w:hAnsi="仿宋" w:eastAsia="仿宋" w:cs="仿宋"/>
                <w:color w:val="auto"/>
                <w:lang w:eastAsia="zh-CN"/>
              </w:rPr>
              <w:t>（万元）；</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00-</w:t>
            </w:r>
            <w:r>
              <w:rPr>
                <w:rFonts w:hint="eastAsia" w:ascii="仿宋" w:hAnsi="仿宋" w:eastAsia="仿宋" w:cs="仿宋"/>
                <w:color w:val="auto"/>
                <w:lang w:val="en-US" w:eastAsia="zh-CN"/>
              </w:rPr>
              <w:t>5</w:t>
            </w:r>
            <w:r>
              <w:rPr>
                <w:rFonts w:hint="eastAsia" w:ascii="仿宋" w:hAnsi="仿宋" w:eastAsia="仿宋" w:cs="仿宋"/>
                <w:color w:val="auto"/>
                <w:lang w:eastAsia="zh-CN"/>
              </w:rPr>
              <w:t>00）万元×1.1</w:t>
            </w:r>
            <w:r>
              <w:rPr>
                <w:rFonts w:hint="eastAsia" w:ascii="仿宋" w:hAnsi="仿宋" w:eastAsia="仿宋" w:cs="仿宋"/>
                <w:color w:val="auto"/>
                <w:lang w:val="en-US" w:eastAsia="zh-CN"/>
              </w:rPr>
              <w:t>6</w:t>
            </w:r>
            <w:r>
              <w:rPr>
                <w:rFonts w:hint="eastAsia" w:ascii="仿宋" w:hAnsi="仿宋" w:eastAsia="仿宋" w:cs="仿宋"/>
                <w:color w:val="auto"/>
                <w:lang w:eastAsia="zh-CN"/>
              </w:rPr>
              <w:t>%=</w:t>
            </w:r>
            <w:r>
              <w:rPr>
                <w:rFonts w:hint="eastAsia" w:ascii="仿宋" w:hAnsi="仿宋" w:eastAsia="仿宋" w:cs="仿宋"/>
                <w:color w:val="auto"/>
                <w:lang w:val="en-US" w:eastAsia="zh-CN"/>
              </w:rPr>
              <w:t>4.64</w:t>
            </w:r>
            <w:r>
              <w:rPr>
                <w:rFonts w:hint="eastAsia" w:ascii="仿宋" w:hAnsi="仿宋" w:eastAsia="仿宋" w:cs="仿宋"/>
                <w:color w:val="auto"/>
                <w:lang w:eastAsia="zh-CN"/>
              </w:rPr>
              <w:t>（万元）</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5</w:t>
            </w:r>
            <w:r>
              <w:rPr>
                <w:rFonts w:hint="eastAsia" w:ascii="仿宋" w:hAnsi="仿宋" w:eastAsia="仿宋" w:cs="仿宋"/>
                <w:color w:val="auto"/>
                <w:lang w:eastAsia="zh-CN"/>
              </w:rPr>
              <w:t>00-</w:t>
            </w:r>
            <w:r>
              <w:rPr>
                <w:rFonts w:hint="eastAsia" w:ascii="仿宋" w:hAnsi="仿宋" w:eastAsia="仿宋" w:cs="仿宋"/>
                <w:color w:val="auto"/>
                <w:lang w:val="en-US" w:eastAsia="zh-CN"/>
              </w:rPr>
              <w:t>1</w:t>
            </w:r>
            <w:r>
              <w:rPr>
                <w:rFonts w:hint="eastAsia" w:ascii="仿宋" w:hAnsi="仿宋" w:eastAsia="仿宋" w:cs="仿宋"/>
                <w:color w:val="auto"/>
                <w:lang w:eastAsia="zh-CN"/>
              </w:rPr>
              <w:t>0</w:t>
            </w:r>
            <w:r>
              <w:rPr>
                <w:rFonts w:hint="eastAsia" w:ascii="仿宋" w:hAnsi="仿宋" w:eastAsia="仿宋" w:cs="仿宋"/>
                <w:color w:val="auto"/>
                <w:lang w:val="en-US" w:eastAsia="zh-CN"/>
              </w:rPr>
              <w:t>0</w:t>
            </w:r>
            <w:r>
              <w:rPr>
                <w:rFonts w:hint="eastAsia" w:ascii="仿宋" w:hAnsi="仿宋" w:eastAsia="仿宋" w:cs="仿宋"/>
                <w:color w:val="auto"/>
                <w:lang w:eastAsia="zh-CN"/>
              </w:rPr>
              <w:t>0）万元×0.</w:t>
            </w:r>
            <w:r>
              <w:rPr>
                <w:rFonts w:hint="eastAsia" w:ascii="仿宋" w:hAnsi="仿宋" w:eastAsia="仿宋" w:cs="仿宋"/>
                <w:color w:val="auto"/>
                <w:lang w:val="en-US" w:eastAsia="zh-CN"/>
              </w:rPr>
              <w:t>93</w:t>
            </w:r>
            <w:r>
              <w:rPr>
                <w:rFonts w:hint="eastAsia" w:ascii="仿宋" w:hAnsi="仿宋" w:eastAsia="仿宋" w:cs="仿宋"/>
                <w:color w:val="auto"/>
                <w:lang w:eastAsia="zh-CN"/>
              </w:rPr>
              <w:t>%=</w:t>
            </w:r>
            <w:r>
              <w:rPr>
                <w:rFonts w:hint="eastAsia" w:ascii="仿宋" w:hAnsi="仿宋" w:eastAsia="仿宋" w:cs="仿宋"/>
                <w:color w:val="auto"/>
                <w:lang w:val="en-US" w:eastAsia="zh-CN"/>
              </w:rPr>
              <w:t>4.65</w:t>
            </w:r>
            <w:r>
              <w:rPr>
                <w:rFonts w:hint="eastAsia" w:ascii="仿宋" w:hAnsi="仿宋" w:eastAsia="仿宋" w:cs="仿宋"/>
                <w:color w:val="auto"/>
                <w:lang w:eastAsia="zh-CN"/>
              </w:rPr>
              <w:t>（万元）</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r>
              <w:rPr>
                <w:rFonts w:hint="eastAsia" w:ascii="仿宋" w:hAnsi="仿宋" w:eastAsia="仿宋" w:cs="仿宋"/>
                <w:color w:val="auto"/>
                <w:lang w:val="en-US" w:eastAsia="zh-CN"/>
              </w:rPr>
              <w:t>1</w:t>
            </w:r>
            <w:r>
              <w:rPr>
                <w:rFonts w:hint="eastAsia" w:ascii="仿宋" w:hAnsi="仿宋" w:eastAsia="仿宋" w:cs="仿宋"/>
                <w:color w:val="auto"/>
                <w:lang w:eastAsia="zh-CN"/>
              </w:rPr>
              <w:t>000-</w:t>
            </w:r>
            <w:r>
              <w:rPr>
                <w:rFonts w:hint="eastAsia" w:ascii="仿宋" w:hAnsi="仿宋" w:eastAsia="仿宋" w:cs="仿宋"/>
                <w:color w:val="auto"/>
                <w:lang w:val="en-US" w:eastAsia="zh-CN"/>
              </w:rPr>
              <w:t>5</w:t>
            </w:r>
            <w:r>
              <w:rPr>
                <w:rFonts w:hint="eastAsia" w:ascii="仿宋" w:hAnsi="仿宋" w:eastAsia="仿宋" w:cs="仿宋"/>
                <w:color w:val="auto"/>
                <w:lang w:eastAsia="zh-CN"/>
              </w:rPr>
              <w:t>000）万元×0.</w:t>
            </w:r>
            <w:r>
              <w:rPr>
                <w:rFonts w:hint="eastAsia" w:ascii="仿宋" w:hAnsi="仿宋" w:eastAsia="仿宋" w:cs="仿宋"/>
                <w:color w:val="auto"/>
                <w:lang w:val="en-US" w:eastAsia="zh-CN"/>
              </w:rPr>
              <w:t>61</w:t>
            </w:r>
            <w:r>
              <w:rPr>
                <w:rFonts w:hint="eastAsia" w:ascii="仿宋" w:hAnsi="仿宋" w:eastAsia="仿宋" w:cs="仿宋"/>
                <w:color w:val="auto"/>
                <w:lang w:eastAsia="zh-CN"/>
              </w:rPr>
              <w:t>%=</w:t>
            </w:r>
            <w:r>
              <w:rPr>
                <w:rFonts w:hint="eastAsia" w:ascii="仿宋" w:hAnsi="仿宋" w:eastAsia="仿宋" w:cs="仿宋"/>
                <w:color w:val="auto"/>
                <w:lang w:val="en-US" w:eastAsia="zh-CN"/>
              </w:rPr>
              <w:t>24.4</w:t>
            </w:r>
            <w:r>
              <w:rPr>
                <w:rFonts w:hint="eastAsia" w:ascii="仿宋" w:hAnsi="仿宋" w:eastAsia="仿宋" w:cs="仿宋"/>
                <w:color w:val="auto"/>
                <w:lang w:eastAsia="zh-CN"/>
              </w:rPr>
              <w:t>（万元）</w:t>
            </w:r>
          </w:p>
          <w:p>
            <w:pPr>
              <w:spacing w:line="360" w:lineRule="auto"/>
              <w:ind w:firstLine="480" w:firstLineChars="200"/>
              <w:rPr>
                <w:rFonts w:hint="default" w:ascii="仿宋" w:hAnsi="仿宋" w:eastAsia="仿宋" w:cs="仿宋"/>
                <w:color w:val="auto"/>
                <w:sz w:val="21"/>
                <w:szCs w:val="21"/>
                <w:lang w:val="en-US" w:eastAsia="zh-CN"/>
              </w:rPr>
            </w:pPr>
            <w:r>
              <w:rPr>
                <w:rFonts w:hint="eastAsia" w:ascii="仿宋" w:hAnsi="仿宋" w:eastAsia="仿宋" w:cs="仿宋"/>
                <w:color w:val="auto"/>
                <w:lang w:eastAsia="zh-CN"/>
              </w:rPr>
              <w:t>合计收费：</w:t>
            </w:r>
            <w:r>
              <w:rPr>
                <w:rFonts w:hint="eastAsia" w:ascii="仿宋" w:hAnsi="仿宋" w:eastAsia="仿宋" w:cs="仿宋"/>
                <w:color w:val="auto"/>
                <w:lang w:val="en-US" w:eastAsia="zh-CN"/>
              </w:rPr>
              <w:t>=1.58+4.64+4.65+24.4=35.27</w:t>
            </w:r>
            <w:r>
              <w:rPr>
                <w:rFonts w:hint="eastAsia" w:ascii="仿宋" w:hAnsi="仿宋" w:eastAsia="仿宋" w:cs="仿宋"/>
                <w:color w:val="auto"/>
                <w:lang w:eastAsia="zh-CN"/>
              </w:rPr>
              <w:t>（万元）</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6</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评标办法：本项目采用综合评分法</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7</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不管投标结果如何，投标人均应承担自己投标所需一切费用。</w:t>
            </w:r>
          </w:p>
        </w:tc>
      </w:tr>
      <w:tr>
        <w:tblPrEx>
          <w:tblCellMar>
            <w:top w:w="0" w:type="dxa"/>
            <w:left w:w="108" w:type="dxa"/>
            <w:bottom w:w="0" w:type="dxa"/>
            <w:right w:w="108" w:type="dxa"/>
          </w:tblCellMar>
        </w:tblPrEx>
        <w:trPr>
          <w:trHeight w:val="84"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r>
              <w:rPr>
                <w:rFonts w:hint="eastAsia" w:ascii="仿宋" w:hAnsi="仿宋" w:eastAsia="仿宋" w:cs="仿宋"/>
                <w:color w:val="auto"/>
                <w:lang w:eastAsia="zh-CN"/>
              </w:rPr>
              <w:t>2</w:t>
            </w:r>
            <w:r>
              <w:rPr>
                <w:rFonts w:hint="eastAsia" w:ascii="仿宋" w:hAnsi="仿宋" w:eastAsia="仿宋" w:cs="仿宋"/>
                <w:color w:val="auto"/>
                <w:lang w:val="en-US" w:eastAsia="zh-CN"/>
              </w:rPr>
              <w:t>8</w:t>
            </w:r>
          </w:p>
        </w:tc>
        <w:tc>
          <w:tcPr>
            <w:tcW w:w="880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本次招标预算价：1100000</w:t>
            </w:r>
            <w:r>
              <w:rPr>
                <w:rFonts w:hint="eastAsia" w:ascii="仿宋" w:hAnsi="仿宋" w:eastAsia="仿宋" w:cs="仿宋"/>
                <w:color w:val="auto"/>
                <w:lang w:val="en-US" w:eastAsia="zh-CN"/>
              </w:rPr>
              <w:t>.00</w:t>
            </w:r>
            <w:r>
              <w:rPr>
                <w:rFonts w:hint="eastAsia" w:ascii="仿宋" w:hAnsi="仿宋" w:eastAsia="仿宋" w:cs="仿宋"/>
                <w:color w:val="auto"/>
                <w:lang w:eastAsia="zh-CN"/>
              </w:rPr>
              <w:t>，投标总报价超过采购预算价的按废标处理。</w:t>
            </w:r>
          </w:p>
        </w:tc>
      </w:tr>
      <w:tr>
        <w:tblPrEx>
          <w:tblCellMar>
            <w:top w:w="0" w:type="dxa"/>
            <w:left w:w="108" w:type="dxa"/>
            <w:bottom w:w="0" w:type="dxa"/>
            <w:right w:w="108" w:type="dxa"/>
          </w:tblCellMar>
        </w:tblPrEx>
        <w:trPr>
          <w:trHeight w:val="84" w:hRule="atLeast"/>
          <w:jc w:val="center"/>
        </w:trPr>
        <w:tc>
          <w:tcPr>
            <w:tcW w:w="55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29</w:t>
            </w:r>
          </w:p>
        </w:tc>
        <w:tc>
          <w:tcPr>
            <w:tcW w:w="1691"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中小微企业政策文件</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（1）根据财政部、工业和信息化部关于印发《政府采购促进中小企业发展管理办法》的通知（财库[2020]46号）和（新财购[202</w:t>
            </w:r>
            <w:r>
              <w:rPr>
                <w:rFonts w:hint="eastAsia" w:ascii="仿宋" w:hAnsi="仿宋" w:eastAsia="仿宋" w:cs="仿宋"/>
                <w:color w:val="auto"/>
                <w:lang w:val="en-US" w:eastAsia="zh-CN"/>
              </w:rPr>
              <w:t>2</w:t>
            </w:r>
            <w:r>
              <w:rPr>
                <w:rFonts w:hint="eastAsia" w:ascii="仿宋" w:hAnsi="仿宋" w:eastAsia="仿宋" w:cs="仿宋"/>
                <w:color w:val="auto"/>
                <w:lang w:eastAsia="zh-CN"/>
              </w:rPr>
              <w:t>]</w:t>
            </w:r>
            <w:r>
              <w:rPr>
                <w:rFonts w:hint="eastAsia" w:ascii="仿宋" w:hAnsi="仿宋" w:eastAsia="仿宋" w:cs="仿宋"/>
                <w:color w:val="auto"/>
                <w:lang w:val="en-US" w:eastAsia="zh-CN"/>
              </w:rPr>
              <w:t>22</w:t>
            </w:r>
            <w:r>
              <w:rPr>
                <w:rFonts w:hint="eastAsia" w:ascii="仿宋" w:hAnsi="仿宋" w:eastAsia="仿宋" w:cs="仿宋"/>
                <w:color w:val="auto"/>
                <w:lang w:eastAsia="zh-CN"/>
              </w:rPr>
              <w:t>号），投标人及其所投产品的制造商均属于《工业和信息化部、国家统计局、国家发展和改革委员会、财政部关于印发中小企业划型标准规定的通知》（工信部联企业[2011]300号）中规定的小型、微型企业标准的，按招标文件格式提供《中小企业声明函》。</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CellMar>
            <w:top w:w="0" w:type="dxa"/>
            <w:left w:w="108" w:type="dxa"/>
            <w:bottom w:w="0" w:type="dxa"/>
            <w:right w:w="108" w:type="dxa"/>
          </w:tblCellMar>
        </w:tblPrEx>
        <w:trPr>
          <w:trHeight w:val="84" w:hRule="atLeast"/>
          <w:jc w:val="center"/>
        </w:trPr>
        <w:tc>
          <w:tcPr>
            <w:tcW w:w="558"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1691"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CellMar>
            <w:top w:w="0" w:type="dxa"/>
            <w:left w:w="108" w:type="dxa"/>
            <w:bottom w:w="0" w:type="dxa"/>
            <w:right w:w="108" w:type="dxa"/>
          </w:tblCellMar>
        </w:tblPrEx>
        <w:trPr>
          <w:trHeight w:val="1075" w:hRule="atLeast"/>
          <w:jc w:val="center"/>
        </w:trPr>
        <w:tc>
          <w:tcPr>
            <w:tcW w:w="558" w:type="dxa"/>
            <w:vMerge w:val="restart"/>
            <w:tcBorders>
              <w:top w:val="single" w:color="auto" w:sz="4" w:space="0"/>
              <w:left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en-US" w:eastAsia="zh-CN"/>
              </w:rPr>
              <w:t>30</w:t>
            </w:r>
          </w:p>
        </w:tc>
        <w:tc>
          <w:tcPr>
            <w:tcW w:w="1691"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中小微企业政策文件说明</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val="zh-CN" w:eastAsia="zh-CN"/>
              </w:rPr>
              <w:t>（</w:t>
            </w:r>
            <w:r>
              <w:rPr>
                <w:rFonts w:hint="eastAsia" w:ascii="仿宋" w:hAnsi="仿宋" w:eastAsia="仿宋" w:cs="仿宋"/>
                <w:color w:val="auto"/>
                <w:lang w:val="en-US" w:eastAsia="zh-CN"/>
              </w:rPr>
              <w:t>1</w:t>
            </w:r>
            <w:r>
              <w:rPr>
                <w:rFonts w:hint="eastAsia" w:ascii="仿宋" w:hAnsi="仿宋" w:eastAsia="仿宋" w:cs="仿宋"/>
                <w:color w:val="auto"/>
                <w:lang w:val="zh-CN" w:eastAsia="zh-CN"/>
              </w:rPr>
              <w:t>）本项目专门面向中小企业，资金为全部预留。必须提供上述《中小企业声明函》，不再执行价格评审优惠扶持政策。</w:t>
            </w:r>
          </w:p>
        </w:tc>
      </w:tr>
      <w:tr>
        <w:tblPrEx>
          <w:tblCellMar>
            <w:top w:w="0" w:type="dxa"/>
            <w:left w:w="108" w:type="dxa"/>
            <w:bottom w:w="0" w:type="dxa"/>
            <w:right w:w="108" w:type="dxa"/>
          </w:tblCellMar>
        </w:tblPrEx>
        <w:trPr>
          <w:trHeight w:val="516" w:hRule="atLeast"/>
          <w:jc w:val="center"/>
        </w:trPr>
        <w:tc>
          <w:tcPr>
            <w:tcW w:w="558" w:type="dxa"/>
            <w:vMerge w:val="continue"/>
            <w:tcBorders>
              <w:left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p>
        </w:tc>
        <w:tc>
          <w:tcPr>
            <w:tcW w:w="1691" w:type="dxa"/>
            <w:vMerge w:val="continue"/>
            <w:tcBorders>
              <w:left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2</w:t>
            </w:r>
            <w:r>
              <w:rPr>
                <w:rFonts w:hint="eastAsia" w:ascii="仿宋" w:hAnsi="仿宋" w:eastAsia="仿宋" w:cs="仿宋"/>
                <w:b/>
                <w:bCs/>
                <w:color w:val="auto"/>
                <w:lang w:eastAsia="zh-CN"/>
              </w:rPr>
              <w:t>）本项目货物所属行业：工业</w:t>
            </w:r>
          </w:p>
        </w:tc>
      </w:tr>
      <w:tr>
        <w:tblPrEx>
          <w:tblCellMar>
            <w:top w:w="0" w:type="dxa"/>
            <w:left w:w="108" w:type="dxa"/>
            <w:bottom w:w="0" w:type="dxa"/>
            <w:right w:w="108" w:type="dxa"/>
          </w:tblCellMar>
        </w:tblPrEx>
        <w:trPr>
          <w:trHeight w:val="380" w:hRule="atLeast"/>
          <w:jc w:val="center"/>
        </w:trPr>
        <w:tc>
          <w:tcPr>
            <w:tcW w:w="558" w:type="dxa"/>
            <w:vMerge w:val="continue"/>
            <w:tcBorders>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sz w:val="21"/>
                <w:szCs w:val="21"/>
                <w:lang w:eastAsia="zh-CN"/>
              </w:rPr>
            </w:pPr>
          </w:p>
        </w:tc>
        <w:tc>
          <w:tcPr>
            <w:tcW w:w="1691" w:type="dxa"/>
            <w:vMerge w:val="continue"/>
            <w:tcBorders>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sz w:val="21"/>
                <w:szCs w:val="21"/>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val="zh-CN" w:eastAsia="zh-CN"/>
              </w:rPr>
              <w:t>着重提醒：投标供应商在提供《中小企业声明函》时，必须将招标文件采购标的物全部列入《中小企业声明函》，否则专门面向中小企业的项目做废标处理。</w:t>
            </w:r>
          </w:p>
        </w:tc>
      </w:tr>
      <w:tr>
        <w:tblPrEx>
          <w:tblCellMar>
            <w:top w:w="0" w:type="dxa"/>
            <w:left w:w="108" w:type="dxa"/>
            <w:bottom w:w="0" w:type="dxa"/>
            <w:right w:w="108" w:type="dxa"/>
          </w:tblCellMar>
        </w:tblPrEx>
        <w:trPr>
          <w:trHeight w:val="90" w:hRule="atLeast"/>
          <w:jc w:val="center"/>
        </w:trPr>
        <w:tc>
          <w:tcPr>
            <w:tcW w:w="558"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lang w:val="en-US" w:eastAsia="zh-CN"/>
              </w:rPr>
              <w:t>1</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val="zh-CN" w:eastAsia="zh-CN"/>
              </w:rPr>
            </w:pPr>
          </w:p>
          <w:p>
            <w:pPr>
              <w:spacing w:line="360" w:lineRule="auto"/>
              <w:jc w:val="center"/>
              <w:rPr>
                <w:rFonts w:hint="eastAsia" w:ascii="仿宋" w:hAnsi="仿宋" w:eastAsia="仿宋" w:cs="仿宋"/>
                <w:color w:val="auto"/>
                <w:lang w:val="zh-CN" w:eastAsia="zh-CN"/>
              </w:rPr>
            </w:pPr>
            <w:r>
              <w:rPr>
                <w:rFonts w:hint="eastAsia" w:ascii="仿宋" w:hAnsi="仿宋" w:eastAsia="仿宋" w:cs="仿宋"/>
                <w:color w:val="auto"/>
                <w:lang w:val="zh-CN" w:eastAsia="zh-CN"/>
              </w:rPr>
              <w:t>履约保</w:t>
            </w:r>
            <w:r>
              <w:rPr>
                <w:rFonts w:hint="eastAsia" w:ascii="仿宋" w:hAnsi="仿宋" w:eastAsia="仿宋" w:cs="仿宋"/>
                <w:color w:val="auto"/>
                <w:lang w:val="en-US" w:eastAsia="zh-CN"/>
              </w:rPr>
              <w:t>函</w:t>
            </w:r>
          </w:p>
          <w:p>
            <w:pPr>
              <w:spacing w:line="360" w:lineRule="auto"/>
              <w:jc w:val="center"/>
              <w:rPr>
                <w:rFonts w:hint="eastAsia" w:ascii="仿宋" w:hAnsi="仿宋" w:eastAsia="仿宋" w:cs="仿宋"/>
                <w:color w:val="auto"/>
                <w:lang w:eastAsia="zh-CN"/>
              </w:rPr>
            </w:pP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仿宋" w:hAnsi="仿宋" w:eastAsia="仿宋" w:cs="仿宋"/>
                <w:color w:val="auto"/>
                <w:lang w:val="en-US" w:eastAsia="zh-CN"/>
              </w:rPr>
            </w:pPr>
            <w:r>
              <w:rPr>
                <w:rFonts w:hint="eastAsia" w:ascii="仿宋" w:hAnsi="仿宋" w:eastAsia="仿宋" w:cs="仿宋"/>
                <w:color w:val="auto"/>
                <w:lang w:val="zh-CN" w:eastAsia="zh-CN"/>
              </w:rPr>
              <w:t>中标人</w:t>
            </w:r>
            <w:r>
              <w:rPr>
                <w:rFonts w:hint="eastAsia" w:ascii="仿宋" w:hAnsi="仿宋" w:eastAsia="仿宋" w:cs="仿宋"/>
                <w:color w:val="auto"/>
                <w:lang w:eastAsia="zh-CN"/>
              </w:rPr>
              <w:t>应在领取《中标通知书》后的十个日历日内，办理履约</w:t>
            </w:r>
            <w:r>
              <w:rPr>
                <w:rFonts w:hint="eastAsia" w:ascii="仿宋" w:hAnsi="仿宋" w:eastAsia="仿宋" w:cs="仿宋"/>
                <w:color w:val="auto"/>
                <w:lang w:val="en-US" w:eastAsia="zh-CN"/>
              </w:rPr>
              <w:t>保函</w:t>
            </w:r>
            <w:r>
              <w:rPr>
                <w:rFonts w:hint="eastAsia" w:ascii="仿宋" w:hAnsi="仿宋" w:eastAsia="仿宋" w:cs="仿宋"/>
                <w:color w:val="auto"/>
                <w:lang w:eastAsia="zh-CN"/>
              </w:rPr>
              <w:t>，</w:t>
            </w:r>
            <w:r>
              <w:rPr>
                <w:rFonts w:hint="eastAsia" w:ascii="仿宋" w:hAnsi="仿宋" w:eastAsia="仿宋" w:cs="仿宋"/>
                <w:color w:val="auto"/>
                <w:lang w:val="en-US" w:eastAsia="zh-CN"/>
              </w:rPr>
              <w:t>以保函形式。</w:t>
            </w:r>
            <w:r>
              <w:rPr>
                <w:rFonts w:hint="eastAsia" w:ascii="仿宋" w:hAnsi="仿宋" w:eastAsia="仿宋" w:cs="仿宋"/>
                <w:color w:val="auto"/>
                <w:u w:val="single"/>
                <w:lang w:val="zh-CN" w:eastAsia="zh-CN"/>
              </w:rPr>
              <w:t>金额不超过合同总价的10%</w:t>
            </w:r>
            <w:r>
              <w:rPr>
                <w:rFonts w:hint="eastAsia" w:ascii="仿宋" w:hAnsi="仿宋" w:eastAsia="仿宋" w:cs="仿宋"/>
                <w:color w:val="auto"/>
                <w:lang w:val="zh-CN" w:eastAsia="zh-CN"/>
              </w:rPr>
              <w:t>，</w:t>
            </w:r>
            <w:r>
              <w:rPr>
                <w:rFonts w:hint="eastAsia" w:ascii="仿宋" w:hAnsi="仿宋" w:eastAsia="仿宋" w:cs="仿宋"/>
                <w:color w:val="auto"/>
                <w:lang w:eastAsia="zh-CN"/>
              </w:rPr>
              <w:t>否则招标人可取消</w:t>
            </w:r>
            <w:r>
              <w:rPr>
                <w:rFonts w:hint="eastAsia" w:ascii="仿宋" w:hAnsi="仿宋" w:eastAsia="仿宋" w:cs="仿宋"/>
                <w:color w:val="auto"/>
                <w:lang w:val="zh-CN" w:eastAsia="zh-CN"/>
              </w:rPr>
              <w:t>成交人</w:t>
            </w:r>
            <w:r>
              <w:rPr>
                <w:rFonts w:hint="eastAsia" w:ascii="仿宋" w:hAnsi="仿宋" w:eastAsia="仿宋" w:cs="仿宋"/>
                <w:color w:val="auto"/>
                <w:lang w:eastAsia="zh-CN"/>
              </w:rPr>
              <w:t>的</w:t>
            </w:r>
            <w:r>
              <w:rPr>
                <w:rFonts w:hint="eastAsia" w:ascii="仿宋" w:hAnsi="仿宋" w:eastAsia="仿宋" w:cs="仿宋"/>
                <w:color w:val="auto"/>
                <w:lang w:val="zh-CN" w:eastAsia="zh-CN"/>
              </w:rPr>
              <w:t>成交</w:t>
            </w:r>
            <w:r>
              <w:rPr>
                <w:rFonts w:hint="eastAsia" w:ascii="仿宋" w:hAnsi="仿宋" w:eastAsia="仿宋" w:cs="仿宋"/>
                <w:color w:val="auto"/>
                <w:lang w:eastAsia="zh-CN"/>
              </w:rPr>
              <w:t>资格，并没收其投标保证金。</w:t>
            </w:r>
          </w:p>
        </w:tc>
      </w:tr>
      <w:tr>
        <w:tblPrEx>
          <w:tblCellMar>
            <w:top w:w="0" w:type="dxa"/>
            <w:left w:w="108" w:type="dxa"/>
            <w:bottom w:w="0" w:type="dxa"/>
            <w:right w:w="108" w:type="dxa"/>
          </w:tblCellMar>
        </w:tblPrEx>
        <w:trPr>
          <w:trHeight w:val="84" w:hRule="atLeast"/>
          <w:jc w:val="center"/>
        </w:trPr>
        <w:tc>
          <w:tcPr>
            <w:tcW w:w="22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仿宋" w:hAnsi="仿宋" w:eastAsia="仿宋" w:cs="仿宋"/>
                <w:color w:val="auto"/>
                <w:lang w:eastAsia="zh-CN"/>
              </w:rPr>
            </w:pPr>
            <w:r>
              <w:rPr>
                <w:rFonts w:hint="eastAsia" w:ascii="仿宋" w:hAnsi="仿宋" w:eastAsia="仿宋" w:cs="仿宋"/>
                <w:color w:val="auto"/>
                <w:lang w:eastAsia="zh-CN"/>
              </w:rPr>
              <w:t>备注</w:t>
            </w:r>
          </w:p>
        </w:tc>
        <w:tc>
          <w:tcPr>
            <w:tcW w:w="711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1、着重提醒各投标人注意，并认真查看招标文件中的每一个条款及要求，因误读招标文件而造成的后果，招标人概不负责。</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2、投标人使用相同IP地址的，一经发现，相关部门将进一步核实，查实后按串通投标处理。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3、为保证本项目质量，良好的售后服务，最低报价不作为中标的唯一依据。</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4、采购人若发现成交候选供应商在投标过程中提供虚假证明文件，故意隐瞒公司不良信誉和财务状况，以及其他可能对合同圆满履行造成风险的因素等，则按规定取消其成交资格，监管部门依法进行处理。</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5、其它：</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（1）投标企业严格遵守国家的法律法规及招标纪律，无违法违纪及商业贿赂行为。</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（2）不管投标结果如何，供应商均应自行承担投标所需一切费用。</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（3）供应商应以书面形式保证中标后由本公司组织实施，不得以任何理由将项目转包给其他机构。</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（4）中标人务必按照招标文件规定的时间供货，如出现不能按时供货的，采购人有权取消中标资格。</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（5）招标文件中如出现前后不一致情况，均以前附表内容为准。</w:t>
            </w:r>
          </w:p>
        </w:tc>
      </w:tr>
    </w:tbl>
    <w:p>
      <w:pPr>
        <w:spacing w:line="360" w:lineRule="auto"/>
        <w:rPr>
          <w:rFonts w:hint="eastAsia" w:ascii="仿宋" w:hAnsi="仿宋" w:eastAsia="仿宋" w:cs="仿宋"/>
          <w:color w:val="auto"/>
          <w:lang w:eastAsia="zh-CN"/>
        </w:rPr>
      </w:pPr>
    </w:p>
    <w:p>
      <w:pPr>
        <w:pageBreakBefore/>
        <w:spacing w:before="312" w:beforeLines="100" w:after="312" w:afterLines="100" w:line="340" w:lineRule="exact"/>
        <w:jc w:val="center"/>
        <w:outlineLvl w:val="1"/>
        <w:rPr>
          <w:rFonts w:hint="eastAsia" w:ascii="仿宋" w:hAnsi="仿宋" w:eastAsia="仿宋" w:cs="仿宋"/>
          <w:b/>
          <w:color w:val="auto"/>
          <w:sz w:val="28"/>
          <w:szCs w:val="32"/>
          <w:lang w:eastAsia="zh-CN"/>
        </w:rPr>
      </w:pPr>
      <w:r>
        <w:rPr>
          <w:rFonts w:hint="eastAsia" w:ascii="仿宋" w:hAnsi="仿宋" w:eastAsia="仿宋" w:cs="仿宋"/>
          <w:b/>
          <w:color w:val="auto"/>
          <w:sz w:val="28"/>
          <w:szCs w:val="28"/>
          <w:lang w:eastAsia="zh-CN"/>
        </w:rPr>
        <w:t>二、供应商须知</w:t>
      </w:r>
    </w:p>
    <w:p>
      <w:pPr>
        <w:spacing w:line="340" w:lineRule="exact"/>
        <w:jc w:val="center"/>
        <w:outlineLvl w:val="2"/>
        <w:rPr>
          <w:rFonts w:hint="eastAsia" w:ascii="仿宋" w:hAnsi="仿宋" w:eastAsia="仿宋" w:cs="仿宋"/>
          <w:color w:val="auto"/>
          <w:sz w:val="28"/>
          <w:szCs w:val="28"/>
          <w:lang w:eastAsia="zh-CN"/>
        </w:rPr>
      </w:pPr>
      <w:bookmarkStart w:id="0" w:name="_Toc469495724"/>
      <w:r>
        <w:rPr>
          <w:rFonts w:hint="eastAsia" w:ascii="仿宋" w:hAnsi="仿宋" w:eastAsia="仿宋" w:cs="仿宋"/>
          <w:b/>
          <w:color w:val="auto"/>
          <w:sz w:val="28"/>
          <w:szCs w:val="28"/>
          <w:lang w:eastAsia="zh-CN"/>
        </w:rPr>
        <w:t>（一）</w:t>
      </w:r>
      <w:r>
        <w:rPr>
          <w:rFonts w:hint="eastAsia" w:ascii="仿宋" w:hAnsi="仿宋" w:eastAsia="仿宋" w:cs="仿宋"/>
          <w:b/>
          <w:color w:val="auto"/>
          <w:sz w:val="28"/>
          <w:szCs w:val="32"/>
          <w:lang w:eastAsia="zh-CN"/>
        </w:rPr>
        <w:t>总  则</w:t>
      </w:r>
      <w:bookmarkEnd w:id="0"/>
    </w:p>
    <w:p>
      <w:pPr>
        <w:snapToGrid w:val="0"/>
        <w:spacing w:line="3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1.项目概况</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1.1本次招标采购项目名称：见供应商须知前附表。</w:t>
      </w:r>
    </w:p>
    <w:p>
      <w:pPr>
        <w:snapToGrid w:val="0"/>
        <w:spacing w:line="440" w:lineRule="exact"/>
        <w:ind w:firstLine="2400" w:firstLineChars="10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项目编号：见供应商须知前附表。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招标人：见供应商须知前附表。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供货期：见供应商须知前附表。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供货地点：见供应商须知前附表。</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1.2招标人及联系人: 见供应商须知前附表。</w:t>
      </w:r>
    </w:p>
    <w:p>
      <w:pPr>
        <w:snapToGrid w:val="0"/>
        <w:spacing w:line="440" w:lineRule="exact"/>
        <w:ind w:firstLine="600" w:firstLineChars="25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 代理机构及联系人: 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1.3资金来源：见供应商须知前附表。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1.4本项目预算：见供应商须知前附表。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1.5本项目控制价：见供应商须知前附表。</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2.招标范围：</w:t>
      </w:r>
    </w:p>
    <w:p>
      <w:pPr>
        <w:snapToGrid w:val="0"/>
        <w:spacing w:line="440" w:lineRule="exact"/>
        <w:ind w:firstLine="480" w:firstLineChars="200"/>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2.1 采购内容：见供应商须知前附表。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 技术要求：详见采购文件第四章采购内容及技术要求。</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3.标包划分：</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3.1本项目划分：</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u w:val="single"/>
          <w:lang w:val="en-US" w:eastAsia="zh-CN"/>
        </w:rPr>
        <w:t>1</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个包。</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4.招标方式：</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4.1本项目招标方式：见供应商须知前附表。</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5.计价方式：</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5.1本次招标项目合同采用</w:t>
      </w:r>
      <w:r>
        <w:rPr>
          <w:rFonts w:hint="eastAsia" w:ascii="仿宋" w:hAnsi="仿宋" w:eastAsia="仿宋" w:cs="仿宋"/>
          <w:color w:val="auto"/>
          <w:szCs w:val="21"/>
          <w:u w:val="single"/>
          <w:lang w:eastAsia="zh-CN"/>
        </w:rPr>
        <w:t xml:space="preserve">   固定总价 。</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6.评标办法：</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6.1本次招标评标采用</w:t>
      </w:r>
      <w:r>
        <w:rPr>
          <w:rFonts w:hint="eastAsia" w:ascii="仿宋" w:hAnsi="仿宋" w:eastAsia="仿宋" w:cs="仿宋"/>
          <w:color w:val="auto"/>
          <w:szCs w:val="21"/>
          <w:u w:val="single"/>
          <w:lang w:eastAsia="zh-CN"/>
        </w:rPr>
        <w:t xml:space="preserve">  综合评分法 </w:t>
      </w:r>
      <w:r>
        <w:rPr>
          <w:rFonts w:hint="eastAsia" w:ascii="仿宋" w:hAnsi="仿宋" w:eastAsia="仿宋" w:cs="仿宋"/>
          <w:color w:val="auto"/>
          <w:szCs w:val="21"/>
          <w:lang w:eastAsia="zh-CN"/>
        </w:rPr>
        <w:t>（详见第三章评标办法）</w:t>
      </w:r>
    </w:p>
    <w:p>
      <w:pPr>
        <w:snapToGrid w:val="0"/>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7.投标人资格：</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7.1参与采购活动的供应商必须是满足《中华人民共和国政府采购法》规定条件的法人、其他组织或者自然人：</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7.2由于政府采购项目的差异性，供应商在参与具体政府采购项目活动时，应仔细阅读该项目的资质要求,具体见供应商须知前附表。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7.4供应商必须确保自己在信息库中注册的信息真实、准确，并保证投标文件中的有关信息与库中的信息相一致。否则，投标人因此蒙受损失，招标人概不负责。</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8. 投标费用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8.1供应商准备和参加投标活动发生的费用自理。</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9.</w:t>
      </w:r>
      <w:bookmarkStart w:id="1" w:name="_Toc247527563"/>
      <w:bookmarkStart w:id="2" w:name="_Toc247513962"/>
      <w:bookmarkStart w:id="3" w:name="_Toc144974507"/>
      <w:bookmarkStart w:id="4" w:name="_Toc296602429"/>
      <w:bookmarkStart w:id="5" w:name="_Toc152042315"/>
      <w:bookmarkStart w:id="6" w:name="_Toc247592876"/>
      <w:bookmarkStart w:id="7" w:name="_Toc152045539"/>
      <w:r>
        <w:rPr>
          <w:rFonts w:hint="eastAsia" w:ascii="仿宋" w:hAnsi="仿宋" w:eastAsia="仿宋" w:cs="仿宋"/>
          <w:b/>
          <w:color w:val="auto"/>
          <w:szCs w:val="21"/>
          <w:lang w:eastAsia="zh-CN"/>
        </w:rPr>
        <w:t xml:space="preserve"> 踏勘现场</w:t>
      </w:r>
      <w:bookmarkEnd w:id="1"/>
      <w:bookmarkEnd w:id="2"/>
      <w:bookmarkEnd w:id="3"/>
      <w:bookmarkEnd w:id="4"/>
      <w:bookmarkEnd w:id="5"/>
      <w:bookmarkEnd w:id="6"/>
      <w:bookmarkEnd w:id="7"/>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9.1 供应商须知前附表规定组织踏勘现场的，招标人按供应商须知前附表规定的时间、地点组织供应商踏勘项目现场。如需踏勘现场，供应商</w:t>
      </w:r>
      <w:r>
        <w:rPr>
          <w:rFonts w:hint="eastAsia" w:ascii="仿宋" w:hAnsi="仿宋" w:eastAsia="仿宋" w:cs="仿宋"/>
          <w:color w:val="auto"/>
          <w:lang w:eastAsia="zh-CN"/>
        </w:rPr>
        <w:t>自行踏勘现场的，可咨询本项目采购人或采购代理机构联系人。</w:t>
      </w:r>
      <w:r>
        <w:rPr>
          <w:rFonts w:hint="eastAsia" w:ascii="仿宋" w:hAnsi="仿宋" w:eastAsia="仿宋" w:cs="仿宋"/>
          <w:b/>
          <w:bCs/>
          <w:color w:val="auto"/>
          <w:lang w:eastAsia="zh-CN"/>
        </w:rPr>
        <w:t>投标人自行踏勘现场的，可咨询本项目采购人或采购代理机构联系人。</w:t>
      </w:r>
      <w:r>
        <w:rPr>
          <w:rFonts w:hint="eastAsia" w:ascii="仿宋" w:hAnsi="仿宋" w:eastAsia="仿宋" w:cs="仿宋"/>
          <w:b/>
          <w:bCs/>
          <w:color w:val="auto"/>
          <w:szCs w:val="21"/>
          <w:lang w:eastAsia="zh-CN"/>
        </w:rPr>
        <w:t xml:space="preserve"> </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9.2 供应商踏勘现场发生的费用自理。</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9.3 除招标人的原因外，供应商自行负责在踏勘现场中所发生的人员伤亡和财产损失。</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9.4 招标人在踏勘现场中介绍的场地和相关的周边环境情况，供供应商在编制投标文件时参考，招标人不对投标人据此作出的判断和决策负责。</w:t>
      </w:r>
      <w:bookmarkStart w:id="8" w:name="_Toc152042316"/>
      <w:bookmarkStart w:id="9" w:name="_Toc144974508"/>
      <w:bookmarkStart w:id="10" w:name="_Toc152045540"/>
      <w:bookmarkStart w:id="11" w:name="_Toc247592877"/>
      <w:bookmarkStart w:id="12" w:name="_Toc247527564"/>
      <w:bookmarkStart w:id="13" w:name="_Toc247513963"/>
      <w:bookmarkStart w:id="14" w:name="_Toc296602430"/>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10. 投标预备会</w:t>
      </w:r>
      <w:bookmarkEnd w:id="8"/>
      <w:bookmarkEnd w:id="9"/>
      <w:bookmarkEnd w:id="10"/>
      <w:bookmarkEnd w:id="11"/>
      <w:bookmarkEnd w:id="12"/>
      <w:bookmarkEnd w:id="13"/>
      <w:bookmarkEnd w:id="14"/>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10.1供应商须知前附表规定召开投标预备会的，招标人按供应商须知前附表规定的时间和地点召开投标预备会，澄清投标人提出的问题。</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10.2供应商应在供应商须知前附表规定的时间前，将提出的问题送达招标人，以便招标人澄清。</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10.3招标人在供应商须知前附表规定的时间，将对供应商所提的问题进行澄清。该澄清内容为采购文件的组成部分。</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11. 联合投标</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11.1 两个以上供应商可以组成一个投标联合体，以一个供应商的身份投标。以联合体形式参加投标的，联合体各方均应当符合《政府采购法》第二十二条规定的条件。招标人根据采购项目的特殊要求规定供应商特定条件的，联合体各方中至少应当有一方符合招标人规定的特定条件。</w:t>
      </w:r>
    </w:p>
    <w:p>
      <w:pPr>
        <w:spacing w:line="40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pacing w:line="400" w:lineRule="exact"/>
        <w:ind w:firstLine="470" w:firstLineChars="196"/>
        <w:rPr>
          <w:rFonts w:hint="eastAsia" w:ascii="仿宋" w:hAnsi="仿宋" w:eastAsia="仿宋" w:cs="仿宋"/>
          <w:color w:val="auto"/>
          <w:szCs w:val="21"/>
          <w:lang w:eastAsia="zh-CN"/>
        </w:rPr>
      </w:pPr>
      <w:r>
        <w:rPr>
          <w:rFonts w:hint="eastAsia" w:ascii="仿宋" w:hAnsi="仿宋" w:eastAsia="仿宋" w:cs="仿宋"/>
          <w:color w:val="auto"/>
          <w:szCs w:val="21"/>
          <w:lang w:eastAsia="zh-CN"/>
        </w:rPr>
        <w:t>11.3 联合体应当确定其中一个单位为投标的全权代表，负责参加投标的一切事务，并承担投标及履约中应承担的全部责任与义务。</w:t>
      </w:r>
    </w:p>
    <w:p>
      <w:pPr>
        <w:pStyle w:val="5"/>
        <w:spacing w:after="0" w:line="400" w:lineRule="exact"/>
        <w:ind w:left="0" w:leftChars="0" w:firstLine="484" w:firstLineChars="202"/>
        <w:rPr>
          <w:rFonts w:hint="eastAsia" w:ascii="仿宋" w:hAnsi="仿宋" w:eastAsia="仿宋" w:cs="仿宋"/>
          <w:color w:val="auto"/>
          <w:szCs w:val="21"/>
          <w:lang w:eastAsia="zh-CN"/>
        </w:rPr>
      </w:pPr>
      <w:r>
        <w:rPr>
          <w:rFonts w:hint="eastAsia" w:ascii="仿宋" w:hAnsi="仿宋" w:eastAsia="仿宋" w:cs="仿宋"/>
          <w:color w:val="auto"/>
          <w:szCs w:val="21"/>
          <w:lang w:eastAsia="zh-CN"/>
        </w:rPr>
        <w:t>11.4 联合体各方应当共同与招标人签订采购合同，就采购合同约定的事项对招标人承担连带责任。</w:t>
      </w:r>
    </w:p>
    <w:p>
      <w:pPr>
        <w:spacing w:line="440" w:lineRule="exact"/>
        <w:ind w:firstLine="470" w:firstLineChars="196"/>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12.招标代理费</w:t>
      </w:r>
    </w:p>
    <w:p>
      <w:pPr>
        <w:spacing w:line="440" w:lineRule="exact"/>
        <w:ind w:firstLine="468" w:firstLineChars="195"/>
        <w:rPr>
          <w:rFonts w:hint="eastAsia" w:ascii="仿宋" w:hAnsi="仿宋" w:eastAsia="仿宋" w:cs="仿宋"/>
          <w:color w:val="auto"/>
          <w:szCs w:val="21"/>
          <w:lang w:eastAsia="zh-CN"/>
        </w:rPr>
      </w:pPr>
      <w:r>
        <w:rPr>
          <w:rFonts w:hint="eastAsia" w:ascii="仿宋" w:hAnsi="仿宋" w:eastAsia="仿宋" w:cs="仿宋"/>
          <w:color w:val="auto"/>
          <w:szCs w:val="21"/>
          <w:lang w:eastAsia="zh-CN"/>
        </w:rPr>
        <w:t>12.1中标单位在领取本项目中标通知书时，</w:t>
      </w:r>
      <w:r>
        <w:rPr>
          <w:rFonts w:hint="eastAsia" w:ascii="仿宋" w:hAnsi="仿宋" w:eastAsia="仿宋" w:cs="仿宋"/>
          <w:color w:val="auto"/>
          <w:szCs w:val="21"/>
          <w:lang w:val="en-US" w:eastAsia="zh-CN"/>
        </w:rPr>
        <w:t>根据</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中华人民共和国招标投标法》《中华人民共和国招标投标法实施条例》《国家发展改革委关于进一步放开建设项目专业服务价格的通知》</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发改</w:t>
      </w:r>
      <w:r>
        <w:rPr>
          <w:rFonts w:hint="eastAsia" w:ascii="仿宋" w:hAnsi="仿宋" w:eastAsia="仿宋" w:cs="仿宋"/>
          <w:color w:val="auto"/>
          <w:szCs w:val="21"/>
          <w:lang w:eastAsia="zh-CN"/>
        </w:rPr>
        <w:t>价格[20</w:t>
      </w:r>
      <w:r>
        <w:rPr>
          <w:rFonts w:hint="eastAsia" w:ascii="仿宋" w:hAnsi="仿宋" w:eastAsia="仿宋" w:cs="仿宋"/>
          <w:color w:val="auto"/>
          <w:szCs w:val="21"/>
          <w:lang w:val="en-US" w:eastAsia="zh-CN"/>
        </w:rPr>
        <w:t>15</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299</w:t>
      </w:r>
      <w:r>
        <w:rPr>
          <w:rFonts w:hint="eastAsia" w:ascii="仿宋" w:hAnsi="仿宋" w:eastAsia="仿宋" w:cs="仿宋"/>
          <w:color w:val="auto"/>
          <w:szCs w:val="21"/>
          <w:lang w:eastAsia="zh-CN"/>
        </w:rPr>
        <w:t>号）</w:t>
      </w:r>
      <w:r>
        <w:rPr>
          <w:rFonts w:hint="eastAsia" w:ascii="仿宋" w:hAnsi="仿宋" w:eastAsia="仿宋" w:cs="仿宋"/>
          <w:color w:val="auto"/>
          <w:szCs w:val="21"/>
          <w:lang w:val="en-US" w:eastAsia="zh-CN"/>
        </w:rPr>
        <w:t>及新建招协</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2024</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4号文件等规定</w:t>
      </w:r>
      <w:r>
        <w:rPr>
          <w:rFonts w:hint="eastAsia" w:ascii="仿宋" w:hAnsi="仿宋" w:eastAsia="仿宋" w:cs="仿宋"/>
          <w:color w:val="auto"/>
          <w:szCs w:val="21"/>
          <w:lang w:eastAsia="zh-CN"/>
        </w:rPr>
        <w:t>由中标单位向招标代理机构支付本项目代理费；具体详见供应商须知前附表。</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13.投标人应注意的事项</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color w:val="auto"/>
          <w:szCs w:val="21"/>
          <w:lang w:eastAsia="zh-CN"/>
        </w:rPr>
        <w:t>13.1投标人一旦按规定缴纳了投标保证金并参加投标，即被认为接受了本采购文件中的所有条件和规定。投标人必须严格按采购文件的要求编制投标文件，投标文件宜编制页码和目录，以便评委审核。否则，由此产生的一切后果由投标人承担。</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13.2 投标人对采购内容中规定的技术参数、规格等要求必须完全响应或优于采购文件中的要求。</w:t>
      </w:r>
    </w:p>
    <w:p>
      <w:pPr>
        <w:spacing w:line="440" w:lineRule="exact"/>
        <w:ind w:firstLine="470" w:firstLineChars="196"/>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13.3所有投标人的投标保证金都应在采购文件规定的投标保证金缴纳截止日期前缴纳。</w:t>
      </w:r>
    </w:p>
    <w:p>
      <w:pPr>
        <w:spacing w:line="440" w:lineRule="exact"/>
        <w:ind w:firstLine="470" w:firstLineChars="196"/>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13.4单位负责人为同一人或者存在直接控股、管理关系的不同供应商，不得参加同一合同项下的政府采购活动。</w:t>
      </w:r>
      <w:r>
        <w:rPr>
          <w:rFonts w:hint="eastAsia" w:ascii="仿宋" w:hAnsi="仿宋" w:eastAsia="仿宋" w:cs="仿宋"/>
          <w:color w:val="auto"/>
          <w:szCs w:val="21"/>
          <w:lang w:eastAsia="zh-CN"/>
        </w:rPr>
        <w:t>为采购项目提供整体设计、规范编制或者项目管理、监理、检测等服务的供应商，不得再参加该采购项目的其他采购活动。</w:t>
      </w:r>
    </w:p>
    <w:p>
      <w:pPr>
        <w:snapToGrid w:val="0"/>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13.5本项目只接受</w:t>
      </w:r>
      <w:r>
        <w:rPr>
          <w:rFonts w:hint="eastAsia" w:ascii="仿宋" w:hAnsi="仿宋" w:eastAsia="仿宋" w:cs="仿宋"/>
          <w:color w:val="auto"/>
          <w:szCs w:val="21"/>
          <w:lang w:eastAsia="zh-CN"/>
        </w:rPr>
        <w:t>成为新疆维吾尔自治区政府采购网正式注册入库并完成CA数字证书申领供应商参与投标。因未注册入库、未办理CA数字证书等原因造成无法投标或投标失败等后果由供应商自行承担。</w:t>
      </w:r>
    </w:p>
    <w:p>
      <w:pPr>
        <w:wordWrap w:val="0"/>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13.6  投标人被视为充分熟悉本招标项目所在地的与履行合同有关的各种情况，包括但不限于：</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（1）国家对本次投标货物和服务的生产、安装调试、验收、维修等有关法律、法规及行业管理标准；</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（2）本地区有关管理部门的相关规定；</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（3）招标人的相关场地情况、基础建设、电力供应情况及相关设计标准。</w:t>
      </w:r>
    </w:p>
    <w:p>
      <w:pPr>
        <w:spacing w:line="400" w:lineRule="exact"/>
        <w:ind w:firstLine="360" w:firstLineChars="15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本采购文件不再对上述情况进行描述。</w:t>
      </w:r>
      <w:bookmarkStart w:id="15" w:name="_Toc469495725"/>
    </w:p>
    <w:p>
      <w:pPr>
        <w:spacing w:line="400" w:lineRule="exact"/>
        <w:ind w:firstLine="420" w:firstLineChars="150"/>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w:t>
      </w:r>
      <w:bookmarkEnd w:id="15"/>
      <w:r>
        <w:rPr>
          <w:rFonts w:hint="eastAsia" w:ascii="仿宋" w:hAnsi="仿宋" w:eastAsia="仿宋" w:cs="仿宋"/>
          <w:b/>
          <w:color w:val="auto"/>
          <w:sz w:val="28"/>
          <w:szCs w:val="28"/>
          <w:lang w:eastAsia="zh-CN"/>
        </w:rPr>
        <w:t>招标文件</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15. 采购文件的编制依据</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根据《中华人民共和国政府采购法》、《政府采购货物和服务招标投标管理办法》和《中华人民共和国合同法》</w:t>
      </w:r>
      <w:r>
        <w:rPr>
          <w:rFonts w:hint="eastAsia" w:ascii="仿宋" w:hAnsi="仿宋" w:eastAsia="仿宋" w:cs="仿宋"/>
          <w:color w:val="auto"/>
          <w:spacing w:val="-2"/>
          <w:szCs w:val="21"/>
          <w:lang w:eastAsia="zh-CN"/>
        </w:rPr>
        <w:t>等相关法律法规和规章及部、省、市级规范性文件的规定，编制本采购文件。</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16. 采购文件的组成</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16.1 采购文件包括内容：</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第一章  招标公告</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第二章  投标须知</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第三章  评标办法</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第四章  采购内容及技术要求</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第五章  合同条款及格式</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第六章  投标文件格式文本</w:t>
      </w:r>
    </w:p>
    <w:p>
      <w:pPr>
        <w:spacing w:line="440" w:lineRule="exact"/>
        <w:ind w:firstLine="1680" w:firstLineChars="7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第七章  招标单位、招标代理机构对本文件的确认</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16.2 除16.1内容外，招标答疑亦为采购文件的组成部分，对招标人和投标人起约束作用。</w:t>
      </w:r>
    </w:p>
    <w:p>
      <w:pPr>
        <w:pStyle w:val="12"/>
        <w:wordWrap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16.3投标人应仔细阅读和检查采购文件的全部内容。如发现缺页或附件不全，应及时向招标人提出，以便补齐。如有疑问，投标人应在以书面形式一次性向采购人和采购代理机构提出同一环节的质疑。</w:t>
      </w:r>
    </w:p>
    <w:p>
      <w:pPr>
        <w:wordWrap w:val="0"/>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16.4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新疆政府采购网下载专区下载。采购文件的澄清将在政采云平台“更正公告”栏目予以公告，但不指明澄清问题的来源。如果澄清内容影响投标文件编制的，将相应延长投标截止时间。</w:t>
      </w:r>
    </w:p>
    <w:p>
      <w:pPr>
        <w:spacing w:line="440" w:lineRule="exact"/>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17. 采购文件的修改、补充、解释</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17.1采购文件发出后，招标人在规定的投标截止时间前可对采购文件进行必要的修改和补充，并以更正公告形式在政采云平台 “更正公告”栏目予以公告，请各位投标人注意查看有关澄清内容，如不及时查看造成后果由投标人自负。采购文件的修改、补充等内容作为采购文件的组成部分，具有约束作用。</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17.2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wordWrap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 xml:space="preserve">17.3 </w:t>
      </w:r>
      <w:r>
        <w:rPr>
          <w:rFonts w:hint="eastAsia" w:ascii="仿宋" w:hAnsi="仿宋" w:eastAsia="仿宋" w:cs="仿宋"/>
          <w:color w:val="auto"/>
          <w:szCs w:val="21"/>
          <w:lang w:eastAsia="zh-CN"/>
        </w:rPr>
        <w:t>供应商在规定的时间内未对采购文件提出疑问、质疑或要求澄清的，将视其为无异议。</w:t>
      </w:r>
    </w:p>
    <w:p>
      <w:pPr>
        <w:spacing w:line="400" w:lineRule="exact"/>
        <w:ind w:firstLine="240" w:firstLineChars="1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17.4 采购文件的解释</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本采购文件由委托的招标代理机构（或其招标人）负责解释。</w:t>
      </w:r>
    </w:p>
    <w:p>
      <w:pPr>
        <w:spacing w:line="400" w:lineRule="exact"/>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 18. 采购文件的发出</w:t>
      </w:r>
    </w:p>
    <w:p>
      <w:pPr>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18.1  采购文件、采购文件的澄清、修改、补充及招标答疑等均应报相关部门备案后，方可发出。</w:t>
      </w:r>
    </w:p>
    <w:p>
      <w:pPr>
        <w:spacing w:line="440" w:lineRule="exact"/>
        <w:ind w:firstLine="240" w:firstLineChars="100"/>
        <w:rPr>
          <w:rFonts w:hint="eastAsia" w:ascii="仿宋" w:hAnsi="仿宋" w:eastAsia="仿宋" w:cs="仿宋"/>
          <w:color w:val="auto"/>
          <w:szCs w:val="21"/>
          <w:lang w:eastAsia="zh-CN"/>
        </w:rPr>
      </w:pPr>
      <w:bookmarkStart w:id="16" w:name="_Toc469495726"/>
      <w:r>
        <w:rPr>
          <w:rFonts w:hint="eastAsia" w:ascii="仿宋" w:hAnsi="仿宋" w:eastAsia="仿宋" w:cs="仿宋"/>
          <w:b/>
          <w:color w:val="auto"/>
          <w:szCs w:val="21"/>
          <w:lang w:eastAsia="zh-CN"/>
        </w:rPr>
        <w:t xml:space="preserve">19. </w:t>
      </w:r>
      <w:r>
        <w:rPr>
          <w:rFonts w:hint="eastAsia" w:ascii="仿宋" w:hAnsi="仿宋" w:eastAsia="仿宋" w:cs="仿宋"/>
          <w:color w:val="auto"/>
          <w:szCs w:val="21"/>
          <w:lang w:eastAsia="zh-CN"/>
        </w:rPr>
        <w:t>凡需要设置样品情形时，必须明确是否需要随样品提交检测报告，并明确检测机构的要求、检测内容、中标样品封存等事项。（评标委员会无法判断样品是否合格且样品需要提供给第三方权威检测机构检测的,在投标人提供招标人认可的第三方权威检测机构检测报告后，评标委员会推荐的中标候选人方可生效，采购人或代理机构发布中标（成交）结果公告。</w:t>
      </w:r>
    </w:p>
    <w:p>
      <w:pPr>
        <w:spacing w:line="440" w:lineRule="exact"/>
        <w:ind w:firstLine="42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采购文件中应明确样品送检方式、检测费用支付方法、投标人在规定时间内无法提供第三方权威检测机构检测报告的处理方式。（采购人根据项目需求按上述要求自行描述）</w:t>
      </w:r>
    </w:p>
    <w:p>
      <w:pPr>
        <w:spacing w:before="312" w:beforeLines="100" w:after="312" w:afterLines="100" w:line="440" w:lineRule="exact"/>
        <w:jc w:val="center"/>
        <w:outlineLvl w:val="2"/>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（三）投标文件的编制</w:t>
      </w:r>
      <w:bookmarkEnd w:id="16"/>
    </w:p>
    <w:p>
      <w:pPr>
        <w:spacing w:line="440" w:lineRule="exact"/>
        <w:ind w:firstLine="348" w:firstLineChars="145"/>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20. 投标的语言及度量衡单位</w:t>
      </w:r>
    </w:p>
    <w:p>
      <w:pPr>
        <w:spacing w:line="440" w:lineRule="exact"/>
        <w:ind w:firstLine="324" w:firstLineChars="135"/>
        <w:rPr>
          <w:rFonts w:hint="eastAsia" w:ascii="仿宋" w:hAnsi="仿宋" w:eastAsia="仿宋" w:cs="仿宋"/>
          <w:color w:val="auto"/>
          <w:szCs w:val="21"/>
          <w:lang w:eastAsia="zh-CN"/>
        </w:rPr>
      </w:pPr>
      <w:r>
        <w:rPr>
          <w:rFonts w:hint="eastAsia" w:ascii="仿宋" w:hAnsi="仿宋" w:eastAsia="仿宋" w:cs="仿宋"/>
          <w:color w:val="auto"/>
          <w:szCs w:val="21"/>
          <w:lang w:eastAsia="zh-CN"/>
        </w:rPr>
        <w:t>20.1投标人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20.2除采购文件中另有规定外，投标书所使用的度量衡均须采用法定计量单位。</w:t>
      </w:r>
    </w:p>
    <w:p>
      <w:pPr>
        <w:spacing w:line="400" w:lineRule="exact"/>
        <w:ind w:firstLine="235" w:firstLineChars="98"/>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21. 投标文件的组成</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资格证明文件和商务及技术文件两部分。</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21.1资格证明文件（包括但不限于）</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资格证明文件是证明投标人有资格参加投标和中标后有能力履行合同的文件，这些文件应能满足招标的要求，否则作无效投标处理。</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1、法人或者非法人组织的营业执照等证明文件复印件（须加盖本单位章）或自然人的身份证明复印件;</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2、法定代表人资格证明书</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3、法定代表人授权书</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4、投标保证金收据或投标担保函；</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5、</w:t>
      </w:r>
      <w:r>
        <w:rPr>
          <w:rFonts w:hint="eastAsia" w:ascii="仿宋" w:hAnsi="仿宋" w:eastAsia="仿宋" w:cs="仿宋"/>
          <w:color w:val="auto"/>
          <w:sz w:val="24"/>
          <w:szCs w:val="24"/>
          <w:lang w:eastAsia="zh-CN"/>
        </w:rPr>
        <w:t>投标企业须提供投标人（被授权在职人员）近</w:t>
      </w:r>
      <w:r>
        <w:rPr>
          <w:rFonts w:hint="eastAsia" w:ascii="仿宋" w:hAnsi="仿宋" w:eastAsia="仿宋" w:cs="仿宋"/>
          <w:color w:val="auto"/>
          <w:sz w:val="24"/>
          <w:szCs w:val="24"/>
          <w:lang w:val="en-US" w:eastAsia="zh-CN"/>
        </w:rPr>
        <w:t>6个月有效</w:t>
      </w:r>
      <w:r>
        <w:rPr>
          <w:rFonts w:hint="eastAsia" w:ascii="仿宋" w:hAnsi="仿宋" w:eastAsia="仿宋" w:cs="仿宋"/>
          <w:color w:val="auto"/>
          <w:sz w:val="24"/>
          <w:szCs w:val="24"/>
          <w:lang w:eastAsia="zh-CN"/>
        </w:rPr>
        <w:t>社保证明</w:t>
      </w:r>
      <w:r>
        <w:rPr>
          <w:rFonts w:hint="eastAsia" w:ascii="仿宋" w:hAnsi="仿宋" w:eastAsia="仿宋" w:cs="仿宋"/>
          <w:color w:val="auto"/>
          <w:szCs w:val="21"/>
          <w:lang w:eastAsia="zh-CN"/>
        </w:rPr>
        <w:t>；</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6、</w:t>
      </w: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r>
        <w:rPr>
          <w:rFonts w:hint="eastAsia" w:ascii="仿宋" w:hAnsi="仿宋" w:eastAsia="仿宋" w:cs="仿宋"/>
          <w:color w:val="auto"/>
          <w:szCs w:val="21"/>
          <w:lang w:eastAsia="zh-CN"/>
        </w:rPr>
        <w:t>；</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lang w:val="en-US" w:eastAsia="zh-CN"/>
        </w:rPr>
        <w:t>参加政府采购活动前三年内，在经营活动中没有重大违法记录；</w:t>
      </w:r>
      <w:r>
        <w:rPr>
          <w:rFonts w:hint="eastAsia" w:ascii="仿宋" w:hAnsi="仿宋" w:eastAsia="仿宋" w:cs="仿宋"/>
          <w:color w:val="auto"/>
          <w:szCs w:val="21"/>
          <w:lang w:eastAsia="zh-CN"/>
        </w:rPr>
        <w:t>未被“信用中国”（www.creditchina.gov.cn）、中国政府采购网（www.ccgp.gov.cn）列入失信被执行人、税收违法黑名单、政府采购严重违法失信行为记录名单；</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8、</w:t>
      </w:r>
      <w:r>
        <w:rPr>
          <w:rFonts w:hint="eastAsia" w:ascii="仿宋" w:hAnsi="仿宋" w:eastAsia="仿宋" w:cs="仿宋"/>
          <w:color w:val="auto"/>
          <w:szCs w:val="21"/>
          <w:lang w:eastAsia="zh-CN"/>
        </w:rPr>
        <w:t xml:space="preserve">投标人须知资料表要求的其他资格证明文件; </w:t>
      </w:r>
    </w:p>
    <w:p>
      <w:pPr>
        <w:spacing w:line="440" w:lineRule="exact"/>
        <w:ind w:firstLine="352" w:firstLineChars="147"/>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21.2 商务及技术文件（包括但不限于）</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1、投标函</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2、开标一览表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3、货物说明一览表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4、投标分项报价表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5、技术规格偏离表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6、商务条款偏离表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7、投标人基本情况表</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8、中小企业声明函(货物)</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9</w:t>
      </w:r>
      <w:r>
        <w:rPr>
          <w:rFonts w:hint="eastAsia" w:ascii="仿宋" w:hAnsi="仿宋" w:eastAsia="仿宋" w:cs="仿宋"/>
          <w:bCs/>
          <w:color w:val="auto"/>
          <w:szCs w:val="21"/>
          <w:lang w:eastAsia="zh-CN"/>
        </w:rPr>
        <w:t>、《残疾人福利性单位声明函》</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10</w:t>
      </w:r>
      <w:r>
        <w:rPr>
          <w:rFonts w:hint="eastAsia" w:ascii="仿宋" w:hAnsi="仿宋" w:eastAsia="仿宋" w:cs="仿宋"/>
          <w:bCs/>
          <w:color w:val="auto"/>
          <w:szCs w:val="21"/>
          <w:lang w:eastAsia="zh-CN"/>
        </w:rPr>
        <w:t>、评分标准和细则中技术部分证明材料</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11</w:t>
      </w:r>
      <w:r>
        <w:rPr>
          <w:rFonts w:hint="eastAsia" w:ascii="仿宋" w:hAnsi="仿宋" w:eastAsia="仿宋" w:cs="仿宋"/>
          <w:bCs/>
          <w:color w:val="auto"/>
          <w:szCs w:val="21"/>
          <w:lang w:eastAsia="zh-CN"/>
        </w:rPr>
        <w:t>、评分标准和细则中技术部分证明材料（格式自拟）</w:t>
      </w:r>
    </w:p>
    <w:p>
      <w:pPr>
        <w:spacing w:line="400" w:lineRule="exact"/>
        <w:ind w:firstLine="477" w:firstLineChars="199"/>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12</w:t>
      </w:r>
      <w:r>
        <w:rPr>
          <w:rFonts w:hint="eastAsia" w:ascii="仿宋" w:hAnsi="仿宋" w:eastAsia="仿宋" w:cs="仿宋"/>
          <w:bCs/>
          <w:color w:val="auto"/>
          <w:szCs w:val="21"/>
          <w:lang w:eastAsia="zh-CN"/>
        </w:rPr>
        <w:t>、投标人认为有必要提供的其他证明材料（格式自拟）</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b/>
          <w:color w:val="auto"/>
          <w:szCs w:val="21"/>
          <w:u w:val="single"/>
          <w:lang w:eastAsia="zh-CN"/>
        </w:rPr>
        <w:t>注：以上材料须逐页加盖单位公章。</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21.3投标文件的要求</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1）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（2）投标文件格式应按本采购文件第六章格式要求编制，不得对采购文件格式进行增删更改，否则按无效标处理。</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（3）对采购文件格式可更改的例外情况：采购文件第六章附件格式要求中明确规定表格中行数不够用时可按相同格式增加行数，其他一切内容和格式不得更改。 </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（4）投标文件为电子投标文件，电子投标文件按“政采云供应商项目采购-电子招投标操作指南”及本采购文件要求制作、加密传输。</w:t>
      </w:r>
    </w:p>
    <w:p>
      <w:pPr>
        <w:spacing w:line="400" w:lineRule="exact"/>
        <w:ind w:firstLine="477" w:firstLineChars="199"/>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（5）投标文件未在投标截止时间前完成传输的，视为投标文件撤回；投标文件未按时解密也未提供备份投标文件的，亦视为投标文件撤回。</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22</w:t>
      </w:r>
      <w:r>
        <w:rPr>
          <w:rFonts w:hint="eastAsia" w:ascii="仿宋" w:hAnsi="仿宋" w:eastAsia="仿宋" w:cs="仿宋"/>
          <w:color w:val="auto"/>
          <w:szCs w:val="21"/>
          <w:lang w:eastAsia="zh-CN"/>
        </w:rPr>
        <w:t>.</w:t>
      </w:r>
      <w:r>
        <w:rPr>
          <w:rFonts w:hint="eastAsia" w:ascii="仿宋" w:hAnsi="仿宋" w:eastAsia="仿宋" w:cs="仿宋"/>
          <w:b/>
          <w:color w:val="auto"/>
          <w:szCs w:val="21"/>
          <w:lang w:eastAsia="zh-CN"/>
        </w:rPr>
        <w:t>投标报价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22.1投标报价文件中的单价和总价全部采用人民币表示。</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22.2投标报价表上应清楚地标明投标人拟提供货物的名称、</w:t>
      </w:r>
      <w:r>
        <w:rPr>
          <w:rFonts w:hint="eastAsia" w:ascii="仿宋" w:hAnsi="仿宋" w:eastAsia="仿宋" w:cs="仿宋"/>
          <w:color w:val="auto"/>
          <w:szCs w:val="21"/>
          <w:lang w:val="en-US" w:eastAsia="zh-CN"/>
        </w:rPr>
        <w:t>品牌/</w:t>
      </w:r>
      <w:r>
        <w:rPr>
          <w:rFonts w:hint="eastAsia" w:ascii="仿宋" w:hAnsi="仿宋" w:eastAsia="仿宋" w:cs="仿宋"/>
          <w:color w:val="auto"/>
          <w:szCs w:val="21"/>
          <w:lang w:eastAsia="zh-CN"/>
        </w:rPr>
        <w:t>型号、生产厂家、数量、单价和总价。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22.3投标人只允许有一个方案、一个报价。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22.4投标人应按“采购内容及技术参数要求”所列货物逐项进行单价报价，并最终按货物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22.5投标报价的价格是货物交货地验收价格，其总价即为履行合同的固定总价。</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22.6技术要求中规定的安装、调试和培训费用应包括在投标价格中。投标文件报价为含税价，招标人不再为此次招标支付任何费用。</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22.7投标报价应由法定代表人或被授权人签署。</w:t>
      </w:r>
    </w:p>
    <w:p>
      <w:pPr>
        <w:spacing w:line="440" w:lineRule="exact"/>
        <w:ind w:firstLine="480" w:firstLineChars="200"/>
        <w:rPr>
          <w:rFonts w:hint="eastAsia" w:ascii="仿宋" w:hAnsi="仿宋" w:eastAsia="仿宋" w:cs="仿宋"/>
          <w:bCs/>
          <w:color w:val="auto"/>
          <w:szCs w:val="21"/>
          <w:lang w:eastAsia="zh-CN"/>
        </w:rPr>
      </w:pPr>
      <w:r>
        <w:rPr>
          <w:rFonts w:hint="eastAsia" w:ascii="仿宋" w:hAnsi="仿宋" w:eastAsia="仿宋" w:cs="仿宋"/>
          <w:bCs/>
          <w:color w:val="auto"/>
          <w:szCs w:val="21"/>
          <w:lang w:eastAsia="zh-CN"/>
        </w:rPr>
        <w:t>22.8</w:t>
      </w:r>
      <w:r>
        <w:rPr>
          <w:rFonts w:hint="eastAsia" w:ascii="仿宋" w:hAnsi="仿宋" w:eastAsia="仿宋" w:cs="仿宋"/>
          <w:b/>
          <w:color w:val="auto"/>
          <w:szCs w:val="21"/>
          <w:lang w:eastAsia="zh-CN"/>
        </w:rPr>
        <w:t>投标人投标总报价，不得高于本次招标设置的最高限价，</w:t>
      </w:r>
      <w:r>
        <w:rPr>
          <w:rFonts w:hint="eastAsia" w:ascii="仿宋" w:hAnsi="仿宋" w:eastAsia="仿宋" w:cs="仿宋"/>
          <w:b/>
          <w:bCs/>
          <w:color w:val="auto"/>
          <w:szCs w:val="21"/>
          <w:lang w:eastAsia="zh-CN"/>
        </w:rPr>
        <w:t>否则将作为无效投标处理。</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22.9如投标文件中未列明全面实现投标货物功能而必须配置的配套或辅助设施及相应技术措施的费用，这些费用将被视为已包含在总投标价中。</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22.10总投标价中不得包含采购文件要求以外的内容，否则，在评标时不予核减，但在授予合同时，招标人有权将这部分价格从其中标价格中扣除。</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22.11总投标价中不得缺漏采购文件所要求的内容，否则，评标时将有效投标中该项内容的最高价计入其评标总价，但在授予合同时，缺漏项目的报价视作已含在其他项目的报价中，这些项目将作为免费赠送而包含在合同内。    </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22.12投标人不得对从第三方采购货物的随机备品、备件另行收费，否则在计算评标价时这部分费用将不予扣除，在授予合同时将从中标价格中扣除该部分费用。</w:t>
      </w:r>
    </w:p>
    <w:p>
      <w:pPr>
        <w:spacing w:line="440" w:lineRule="exact"/>
        <w:ind w:firstLine="460" w:firstLineChars="192"/>
        <w:rPr>
          <w:rFonts w:hint="eastAsia" w:ascii="仿宋" w:hAnsi="仿宋" w:eastAsia="仿宋" w:cs="仿宋"/>
          <w:color w:val="auto"/>
          <w:szCs w:val="21"/>
          <w:lang w:eastAsia="zh-CN"/>
        </w:rPr>
      </w:pPr>
      <w:r>
        <w:rPr>
          <w:rFonts w:hint="eastAsia" w:ascii="仿宋" w:hAnsi="仿宋" w:eastAsia="仿宋" w:cs="仿宋"/>
          <w:color w:val="auto"/>
          <w:szCs w:val="21"/>
          <w:lang w:eastAsia="zh-CN"/>
        </w:rPr>
        <w:t>22.13投标人应根据货物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pacing w:line="44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23. 投标有效期</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23.1 除投标人须知前附表另有规定外，投标有效期为60天。</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23.2在投标有效期内，投标人撤销或修改其投标文件的，应承担采购文件和法律规定的责任。</w:t>
      </w:r>
    </w:p>
    <w:p>
      <w:pPr>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440" w:lineRule="exact"/>
        <w:ind w:firstLine="460" w:firstLineChars="192"/>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24. 投标保证金</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24.1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24.2自中标通知书发出之日起5个工作日内退还未中标投标人的投标保证金，自政府采购合同签订之日起5个工作日内退还中标人的投标保证金。</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24.3有下列情形之一的，投标保证金将不予退还： </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（1）投标人在规定的投标有效期内撤回或修改其投标文件；</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（2）中标通知书发出后三十天内，中标人无正当理由拒签合同协议书或未按采购文件规定提交履约担保。</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（3）提供虚假材料谋取中标的；</w:t>
      </w:r>
    </w:p>
    <w:p>
      <w:pPr>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（4）经查实属于陪标、串通投标的等。</w:t>
      </w:r>
    </w:p>
    <w:p>
      <w:pPr>
        <w:spacing w:line="400" w:lineRule="exact"/>
        <w:ind w:firstLine="480" w:firstLineChars="200"/>
        <w:rPr>
          <w:rFonts w:hint="eastAsia" w:ascii="仿宋" w:hAnsi="仿宋" w:eastAsia="仿宋" w:cs="仿宋"/>
          <w:color w:val="auto"/>
          <w:szCs w:val="21"/>
          <w:lang w:eastAsia="zh-CN"/>
        </w:rPr>
      </w:pPr>
      <w:bookmarkStart w:id="17" w:name="_Toc469495727"/>
      <w:r>
        <w:rPr>
          <w:rFonts w:hint="eastAsia" w:ascii="仿宋" w:hAnsi="仿宋" w:eastAsia="仿宋" w:cs="仿宋"/>
          <w:color w:val="auto"/>
          <w:szCs w:val="21"/>
          <w:lang w:eastAsia="zh-CN"/>
        </w:rPr>
        <w:t>24.4投标保证金按投标人须知前附表第24条规定执行。</w:t>
      </w:r>
    </w:p>
    <w:p>
      <w:pPr>
        <w:pStyle w:val="6"/>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w:t>
      </w:r>
      <w:bookmarkEnd w:id="17"/>
      <w:r>
        <w:rPr>
          <w:rFonts w:hint="eastAsia" w:ascii="仿宋" w:hAnsi="仿宋" w:eastAsia="仿宋" w:cs="仿宋"/>
          <w:color w:val="auto"/>
          <w:sz w:val="28"/>
          <w:szCs w:val="28"/>
          <w:lang w:eastAsia="zh-CN"/>
        </w:rPr>
        <w:t>投标文件的制作、上传及递交要求</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25.投标文件的制作要求</w:t>
      </w:r>
    </w:p>
    <w:p>
      <w:pPr>
        <w:pStyle w:val="9"/>
        <w:snapToGrid w:val="0"/>
        <w:spacing w:line="360" w:lineRule="auto"/>
        <w:rPr>
          <w:rFonts w:hint="eastAsia" w:ascii="仿宋" w:hAnsi="仿宋" w:eastAsia="仿宋" w:cs="仿宋"/>
          <w:color w:val="auto"/>
          <w:szCs w:val="24"/>
          <w:lang w:eastAsia="zh-CN"/>
        </w:rPr>
      </w:pPr>
      <w:r>
        <w:rPr>
          <w:rFonts w:hint="eastAsia" w:ascii="仿宋" w:hAnsi="仿宋" w:eastAsia="仿宋" w:cs="仿宋"/>
          <w:bCs/>
          <w:color w:val="auto"/>
          <w:szCs w:val="24"/>
          <w:lang w:eastAsia="zh-CN"/>
        </w:rPr>
        <w:t>（1）供应商应按照投标文件组成内容及项目招标需求和新疆政府采购云平台要求制作投标文件，不按采购文件和新疆政府采购云平台要求制作投标文件的将视情况处理（拒收等），由此产生的责任由供应商自行承担。</w:t>
      </w:r>
    </w:p>
    <w:p>
      <w:pPr>
        <w:pStyle w:val="9"/>
        <w:snapToGrid w:val="0"/>
        <w:spacing w:line="360" w:lineRule="auto"/>
        <w:ind w:firstLine="480" w:firstLineChars="200"/>
        <w:rPr>
          <w:rFonts w:hint="eastAsia" w:ascii="仿宋" w:hAnsi="仿宋" w:eastAsia="仿宋" w:cs="仿宋"/>
          <w:color w:val="auto"/>
          <w:szCs w:val="24"/>
          <w:lang w:eastAsia="zh-CN"/>
        </w:rPr>
      </w:pPr>
      <w:r>
        <w:rPr>
          <w:rFonts w:hint="eastAsia" w:ascii="仿宋" w:hAnsi="仿宋" w:eastAsia="仿宋" w:cs="仿宋"/>
          <w:bCs/>
          <w:color w:val="auto"/>
          <w:szCs w:val="24"/>
          <w:lang w:eastAsia="zh-CN"/>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9"/>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备份电子投标文件：通过“政采云”平台电子投标工具制作投标文件所产生的备份文件。</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（2）供应商应对所提供的全部资料的真实性、有效性承担法律责任，电子投标文件中所须加盖公章部分均采用CA签章。</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（3）投标文件以及供应商与采购组织机构就有关投标事宜的所有来往函电，均应以中文汉语书写。除签章、盖章、专用名称等特殊情形外，以中文汉语以外的文字表述的投标文件视同未提供。</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（4）投标计量单位，采购文件已有明确规定的，使用采购文件规定的计量单位；采购文件没有规定的，应采用中华人民共和国法定计量单位（货币单位：人民币元）。</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（5）若供应商不按采购文件的要求提供资格审查材料，其风险由供应商自行承担。</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（6）与本次投标无关的内容请不要制作在内，确保投标文件有针对性、简洁明了。</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26.投标文件的上传</w:t>
      </w:r>
    </w:p>
    <w:p>
      <w:pPr>
        <w:pStyle w:val="9"/>
        <w:snapToGrid w:val="0"/>
        <w:spacing w:line="360" w:lineRule="auto"/>
        <w:rPr>
          <w:rFonts w:hint="eastAsia" w:ascii="仿宋" w:hAnsi="仿宋" w:eastAsia="仿宋" w:cs="仿宋"/>
          <w:b/>
          <w:bCs/>
          <w:color w:val="auto"/>
          <w:szCs w:val="24"/>
          <w:lang w:eastAsia="zh-CN"/>
        </w:rPr>
      </w:pPr>
      <w:r>
        <w:rPr>
          <w:rFonts w:hint="eastAsia" w:ascii="仿宋" w:hAnsi="仿宋" w:eastAsia="仿宋" w:cs="仿宋"/>
          <w:b/>
          <w:bCs/>
          <w:color w:val="auto"/>
          <w:szCs w:val="24"/>
          <w:lang w:eastAsia="zh-CN"/>
        </w:rPr>
        <w:t>（1）</w:t>
      </w:r>
      <w:r>
        <w:rPr>
          <w:rFonts w:hint="eastAsia" w:ascii="仿宋" w:hAnsi="仿宋" w:eastAsia="仿宋" w:cs="仿宋"/>
          <w:b/>
          <w:bCs/>
          <w:color w:val="auto"/>
          <w:szCs w:val="24"/>
          <w:lang w:eastAsia="zh-CN" w:bidi="zh-CN"/>
        </w:rPr>
        <w:t>电子加密投标文件（“.jmbs”格式）</w:t>
      </w:r>
      <w:r>
        <w:rPr>
          <w:rFonts w:hint="eastAsia" w:ascii="仿宋" w:hAnsi="仿宋" w:eastAsia="仿宋" w:cs="仿宋"/>
          <w:b/>
          <w:bCs/>
          <w:color w:val="auto"/>
          <w:szCs w:val="24"/>
          <w:lang w:eastAsia="zh-CN"/>
        </w:rPr>
        <w:t>：</w:t>
      </w:r>
    </w:p>
    <w:p>
      <w:pPr>
        <w:pStyle w:val="9"/>
        <w:snapToGrid w:val="0"/>
        <w:spacing w:line="360" w:lineRule="auto"/>
        <w:ind w:firstLine="600" w:firstLineChars="250"/>
        <w:rPr>
          <w:rFonts w:hint="eastAsia"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a.</w:t>
      </w:r>
      <w:r>
        <w:rPr>
          <w:rFonts w:hint="eastAsia" w:ascii="仿宋" w:hAnsi="仿宋" w:eastAsia="仿宋" w:cs="仿宋"/>
          <w:bCs/>
          <w:color w:val="auto"/>
          <w:szCs w:val="24"/>
          <w:lang w:eastAsia="zh-CN"/>
        </w:rPr>
        <w:t xml:space="preserve"> </w:t>
      </w:r>
      <w:r>
        <w:rPr>
          <w:rFonts w:hint="eastAsia" w:ascii="仿宋" w:hAnsi="仿宋" w:eastAsia="仿宋" w:cs="仿宋"/>
          <w:bCs/>
          <w:color w:val="auto"/>
          <w:szCs w:val="24"/>
          <w:lang w:eastAsia="zh-CN" w:bidi="zh-CN"/>
        </w:rPr>
        <w:t>供应商应在投标截止时间前将电子加密投标文件成功上传递交至新疆政府采购云平台，否则投标无效；</w:t>
      </w:r>
    </w:p>
    <w:p>
      <w:pPr>
        <w:pStyle w:val="9"/>
        <w:snapToGrid w:val="0"/>
        <w:spacing w:line="360" w:lineRule="auto"/>
        <w:ind w:firstLine="600" w:firstLineChars="25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bidi="zh-CN"/>
        </w:rPr>
        <w:t>b.供应商成功上传电子加密投标文件后，可自行打印投标文件接收回执。</w:t>
      </w:r>
    </w:p>
    <w:p>
      <w:pPr>
        <w:pStyle w:val="9"/>
        <w:snapToGrid w:val="0"/>
        <w:spacing w:line="360" w:lineRule="auto"/>
        <w:rPr>
          <w:rFonts w:hint="eastAsia" w:ascii="仿宋" w:hAnsi="仿宋" w:eastAsia="仿宋" w:cs="仿宋"/>
          <w:b/>
          <w:bCs/>
          <w:color w:val="auto"/>
          <w:szCs w:val="24"/>
          <w:lang w:eastAsia="zh-CN" w:bidi="zh-CN"/>
        </w:rPr>
      </w:pPr>
      <w:r>
        <w:rPr>
          <w:rFonts w:hint="eastAsia" w:ascii="仿宋" w:hAnsi="仿宋" w:eastAsia="仿宋" w:cs="仿宋"/>
          <w:b/>
          <w:bCs/>
          <w:color w:val="auto"/>
          <w:szCs w:val="24"/>
          <w:lang w:eastAsia="zh-CN"/>
        </w:rPr>
        <w:t>（2）</w:t>
      </w:r>
      <w:r>
        <w:rPr>
          <w:rFonts w:hint="eastAsia" w:ascii="仿宋" w:hAnsi="仿宋" w:eastAsia="仿宋" w:cs="仿宋"/>
          <w:b/>
          <w:bCs/>
          <w:color w:val="auto"/>
          <w:szCs w:val="24"/>
          <w:lang w:eastAsia="zh-CN" w:bidi="zh-CN"/>
        </w:rPr>
        <w:t>备份投标文件（“.bfbs”格式）：</w:t>
      </w:r>
    </w:p>
    <w:p>
      <w:pPr>
        <w:pStyle w:val="9"/>
        <w:snapToGrid w:val="0"/>
        <w:spacing w:line="360" w:lineRule="auto"/>
        <w:ind w:firstLine="600" w:firstLineChars="250"/>
        <w:rPr>
          <w:rFonts w:hint="eastAsia" w:ascii="仿宋" w:hAnsi="仿宋" w:eastAsia="仿宋" w:cs="仿宋"/>
          <w:color w:val="auto"/>
          <w:szCs w:val="24"/>
          <w:lang w:eastAsia="zh-CN" w:bidi="zh-CN"/>
        </w:rPr>
      </w:pPr>
      <w:r>
        <w:rPr>
          <w:rFonts w:hint="eastAsia" w:ascii="仿宋" w:hAnsi="仿宋" w:eastAsia="仿宋" w:cs="仿宋"/>
          <w:bCs/>
          <w:color w:val="auto"/>
          <w:szCs w:val="24"/>
          <w:lang w:eastAsia="zh-CN" w:bidi="zh-CN"/>
        </w:rPr>
        <w:t>a.供应商可以将备份投标文件打包压缩并加密，压缩包命名为“XX单位备份投标文件”，加密密码由供应商自行保管；送达时间以采购代理机构实际接收时间为准。</w:t>
      </w:r>
      <w:r>
        <w:rPr>
          <w:rFonts w:hint="eastAsia" w:ascii="仿宋" w:hAnsi="仿宋" w:eastAsia="仿宋" w:cs="仿宋"/>
          <w:color w:val="auto"/>
          <w:szCs w:val="24"/>
          <w:lang w:eastAsia="zh-CN" w:bidi="zh-CN"/>
        </w:rPr>
        <w:t>“备份投标文件”以投标截止时间前指定接收邮箱最终收到的文件为准，逾期或未按要求提供的视为未提供，建议供应商提前1日办理邮件提供事宜（接收人邮箱：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"mailto:1207446769@qq.com，接收人：陈加轲，电话：15157655122" </w:instrText>
      </w:r>
      <w:r>
        <w:rPr>
          <w:rFonts w:hint="eastAsia" w:ascii="仿宋" w:hAnsi="仿宋" w:eastAsia="仿宋" w:cs="仿宋"/>
          <w:color w:val="auto"/>
        </w:rPr>
        <w:fldChar w:fldCharType="separate"/>
      </w:r>
      <w:r>
        <w:rPr>
          <w:rFonts w:hint="eastAsia" w:ascii="仿宋" w:hAnsi="仿宋" w:eastAsia="仿宋" w:cs="仿宋"/>
          <w:color w:val="auto"/>
          <w:szCs w:val="24"/>
          <w:u w:val="single"/>
          <w:lang w:val="en-US" w:eastAsia="zh-CN" w:bidi="zh-CN"/>
        </w:rPr>
        <w:t>3265613387</w:t>
      </w:r>
      <w:r>
        <w:rPr>
          <w:rFonts w:hint="eastAsia" w:ascii="仿宋" w:hAnsi="仿宋" w:eastAsia="仿宋" w:cs="仿宋"/>
          <w:color w:val="auto"/>
          <w:szCs w:val="24"/>
          <w:u w:val="single"/>
          <w:lang w:eastAsia="zh-CN" w:bidi="zh-CN"/>
        </w:rPr>
        <w:t>@qq.com</w:t>
      </w:r>
      <w:r>
        <w:rPr>
          <w:rStyle w:val="26"/>
          <w:rFonts w:hint="eastAsia" w:ascii="仿宋" w:hAnsi="仿宋" w:eastAsia="仿宋" w:cs="仿宋"/>
          <w:color w:val="auto"/>
          <w:szCs w:val="24"/>
          <w:lang w:eastAsia="zh-CN" w:bidi="zh-CN"/>
        </w:rPr>
        <w:t>，接收人：</w:t>
      </w:r>
      <w:r>
        <w:rPr>
          <w:rFonts w:hint="eastAsia" w:ascii="仿宋" w:hAnsi="仿宋" w:eastAsia="仿宋" w:cs="仿宋"/>
          <w:color w:val="auto"/>
          <w:szCs w:val="24"/>
          <w:u w:val="single"/>
          <w:lang w:eastAsia="zh-CN" w:bidi="zh-CN"/>
        </w:rPr>
        <w:t>朱先生</w:t>
      </w:r>
      <w:r>
        <w:rPr>
          <w:rStyle w:val="26"/>
          <w:rFonts w:hint="eastAsia" w:ascii="仿宋" w:hAnsi="仿宋" w:eastAsia="仿宋" w:cs="仿宋"/>
          <w:color w:val="auto"/>
          <w:szCs w:val="24"/>
          <w:lang w:eastAsia="zh-CN" w:bidi="zh-CN"/>
        </w:rPr>
        <w:t>，电话：</w:t>
      </w:r>
      <w:r>
        <w:rPr>
          <w:rFonts w:hint="eastAsia" w:ascii="仿宋" w:hAnsi="仿宋" w:eastAsia="仿宋" w:cs="仿宋"/>
          <w:color w:val="auto"/>
          <w:szCs w:val="24"/>
          <w:u w:val="single"/>
          <w:lang w:eastAsia="zh-CN" w:bidi="zh-CN"/>
        </w:rPr>
        <w:t>1</w:t>
      </w:r>
      <w:r>
        <w:rPr>
          <w:rFonts w:hint="eastAsia" w:ascii="仿宋" w:hAnsi="仿宋" w:eastAsia="仿宋" w:cs="仿宋"/>
          <w:color w:val="auto"/>
          <w:szCs w:val="24"/>
          <w:u w:val="single"/>
          <w:lang w:eastAsia="zh-CN" w:bidi="zh-CN"/>
        </w:rPr>
        <w:fldChar w:fldCharType="end"/>
      </w:r>
      <w:r>
        <w:rPr>
          <w:rFonts w:hint="eastAsia" w:ascii="仿宋" w:hAnsi="仿宋" w:eastAsia="仿宋" w:cs="仿宋"/>
          <w:color w:val="auto"/>
          <w:szCs w:val="24"/>
          <w:u w:val="single"/>
          <w:lang w:eastAsia="zh-CN" w:bidi="zh-CN"/>
        </w:rPr>
        <w:t>8609088999</w:t>
      </w:r>
      <w:r>
        <w:rPr>
          <w:rFonts w:hint="eastAsia" w:ascii="仿宋" w:hAnsi="仿宋" w:eastAsia="仿宋" w:cs="仿宋"/>
          <w:color w:val="auto"/>
          <w:szCs w:val="24"/>
          <w:lang w:eastAsia="zh-CN" w:bidi="zh-CN"/>
        </w:rPr>
        <w:t>）；</w:t>
      </w:r>
    </w:p>
    <w:p>
      <w:pPr>
        <w:pStyle w:val="9"/>
        <w:snapToGrid w:val="0"/>
        <w:spacing w:line="360" w:lineRule="auto"/>
        <w:ind w:firstLine="600" w:firstLineChars="250"/>
        <w:rPr>
          <w:rFonts w:hint="eastAsia" w:ascii="仿宋" w:hAnsi="仿宋" w:eastAsia="仿宋" w:cs="仿宋"/>
          <w:bCs/>
          <w:color w:val="auto"/>
          <w:szCs w:val="24"/>
          <w:lang w:eastAsia="zh-CN" w:bidi="zh-CN"/>
        </w:rPr>
      </w:pPr>
      <w:r>
        <w:rPr>
          <w:rFonts w:hint="eastAsia" w:ascii="仿宋" w:hAnsi="仿宋" w:eastAsia="仿宋" w:cs="仿宋"/>
          <w:bCs/>
          <w:color w:val="auto"/>
          <w:szCs w:val="24"/>
          <w:lang w:eastAsia="zh-CN"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bCs/>
          <w:color w:val="auto"/>
          <w:lang w:eastAsia="zh-CN"/>
        </w:rPr>
        <w:t>27.</w:t>
      </w:r>
      <w:r>
        <w:rPr>
          <w:rFonts w:hint="eastAsia" w:ascii="仿宋" w:hAnsi="仿宋" w:eastAsia="仿宋" w:cs="仿宋"/>
          <w:b/>
          <w:color w:val="auto"/>
          <w:lang w:eastAsia="zh-CN"/>
        </w:rPr>
        <w:t>投标文件的递交要求</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（1）供应商须按照采购文件和政采云平台的要求编制并加密投标文件。在投标文件递交截止时间以前完成投标文件的传输递交，截止时间后递交的投标文件，将被拒收。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（2）备份电子投标文件必须在投标截止时间前送达指定的投标地点。备份电子投标文件在截止时间后提交，采购组织机构将拒绝接收。</w:t>
      </w:r>
    </w:p>
    <w:p>
      <w:pPr>
        <w:tabs>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（3）如有特殊情况，采购组织机构延长截止时间和开标时间，采购组织机构和供应商的权利和义务将受到新的截止时间和开标时间的约束。</w:t>
      </w:r>
    </w:p>
    <w:p>
      <w:pPr>
        <w:snapToGrid w:val="0"/>
        <w:spacing w:line="360" w:lineRule="auto"/>
        <w:ind w:firstLine="480"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28．投标文件的补充、修改与撤回</w:t>
      </w:r>
    </w:p>
    <w:p>
      <w:pPr>
        <w:tabs>
          <w:tab w:val="left" w:pos="960"/>
          <w:tab w:val="left" w:pos="1418"/>
        </w:tabs>
        <w:autoSpaceDE w:val="0"/>
        <w:autoSpaceDN w:val="0"/>
        <w:adjustRightInd w:val="0"/>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bookmarkStart w:id="18" w:name="_Toc469495728"/>
    </w:p>
    <w:p>
      <w:pPr>
        <w:tabs>
          <w:tab w:val="left" w:pos="960"/>
          <w:tab w:val="left" w:pos="1418"/>
        </w:tabs>
        <w:autoSpaceDE w:val="0"/>
        <w:autoSpaceDN w:val="0"/>
        <w:adjustRightInd w:val="0"/>
        <w:snapToGrid w:val="0"/>
        <w:spacing w:line="360" w:lineRule="auto"/>
        <w:ind w:firstLine="560" w:firstLineChars="200"/>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（五）开标、评标和定标</w:t>
      </w:r>
      <w:bookmarkEnd w:id="18"/>
    </w:p>
    <w:p>
      <w:pPr>
        <w:snapToGrid w:val="0"/>
        <w:spacing w:line="360" w:lineRule="auto"/>
        <w:ind w:firstLine="480"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29. 开标</w:t>
      </w:r>
    </w:p>
    <w:p>
      <w:pPr>
        <w:snapToGrid w:val="0"/>
        <w:spacing w:line="360" w:lineRule="auto"/>
        <w:ind w:firstLine="480" w:firstLineChars="200"/>
        <w:rPr>
          <w:rFonts w:hint="eastAsia" w:ascii="仿宋" w:hAnsi="仿宋" w:eastAsia="仿宋" w:cs="仿宋"/>
          <w:b/>
          <w:bCs/>
          <w:color w:val="auto"/>
          <w:lang w:eastAsia="zh-CN"/>
        </w:rPr>
      </w:pPr>
      <w:bookmarkStart w:id="19" w:name="_Toc73975822"/>
      <w:r>
        <w:rPr>
          <w:rFonts w:hint="eastAsia" w:ascii="仿宋" w:hAnsi="仿宋" w:eastAsia="仿宋" w:cs="仿宋"/>
          <w:b/>
          <w:bCs/>
          <w:color w:val="auto"/>
          <w:lang w:eastAsia="zh-CN"/>
        </w:rPr>
        <w:t>29.1开标邀请</w:t>
      </w:r>
      <w:bookmarkEnd w:id="19"/>
    </w:p>
    <w:p>
      <w:pPr>
        <w:pStyle w:val="12"/>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（1）开标准备：本项目开标的准备工作由采购组织机构负责落实，开标过程由采购组织机构负责记录；</w:t>
      </w:r>
    </w:p>
    <w:p>
      <w:pPr>
        <w:pStyle w:val="12"/>
        <w:snapToGrid w:val="0"/>
        <w:spacing w:line="360" w:lineRule="auto"/>
        <w:ind w:firstLine="480" w:firstLineChars="200"/>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（2）开标主持</w:t>
      </w:r>
      <w:r>
        <w:rPr>
          <w:rFonts w:hint="eastAsia" w:ascii="仿宋" w:hAnsi="仿宋" w:eastAsia="仿宋" w:cs="仿宋"/>
          <w:bCs/>
          <w:color w:val="auto"/>
          <w:szCs w:val="24"/>
          <w:lang w:val="en-US" w:eastAsia="zh-CN"/>
        </w:rPr>
        <w:t>:</w:t>
      </w:r>
      <w:r>
        <w:rPr>
          <w:rFonts w:hint="eastAsia" w:ascii="仿宋" w:hAnsi="仿宋" w:eastAsia="仿宋" w:cs="仿宋"/>
          <w:bCs/>
          <w:color w:val="auto"/>
          <w:szCs w:val="24"/>
          <w:lang w:eastAsia="zh-CN"/>
        </w:rPr>
        <w:t>本项目开标由采购人或者采购代理机构主持；</w:t>
      </w:r>
    </w:p>
    <w:p>
      <w:pPr>
        <w:pStyle w:val="12"/>
        <w:snapToGrid w:val="0"/>
        <w:spacing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lang w:eastAsia="zh-CN"/>
        </w:rPr>
        <w:t>（3）</w:t>
      </w:r>
      <w:r>
        <w:rPr>
          <w:rFonts w:hint="eastAsia" w:ascii="仿宋" w:hAnsi="仿宋" w:eastAsia="仿宋" w:cs="仿宋"/>
          <w:color w:val="auto"/>
          <w:szCs w:val="24"/>
        </w:rPr>
        <w:t>开标邀请：本项目采用电子交易，采购组织机构将按照采购文件规定的时间通过“</w:t>
      </w:r>
      <w:r>
        <w:rPr>
          <w:rFonts w:hint="eastAsia" w:ascii="仿宋" w:hAnsi="仿宋" w:eastAsia="仿宋" w:cs="仿宋"/>
          <w:color w:val="auto"/>
          <w:szCs w:val="24"/>
          <w:lang w:eastAsia="zh-CN"/>
        </w:rPr>
        <w:t>新疆</w:t>
      </w:r>
      <w:r>
        <w:rPr>
          <w:rFonts w:hint="eastAsia" w:ascii="仿宋" w:hAnsi="仿宋" w:eastAsia="仿宋" w:cs="仿宋"/>
          <w:color w:val="auto"/>
          <w:szCs w:val="24"/>
        </w:rPr>
        <w:t>政府采购云平台，网址：</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"http://www.zcygov.cn" </w:instrText>
      </w:r>
      <w:r>
        <w:rPr>
          <w:rFonts w:hint="eastAsia" w:ascii="仿宋" w:hAnsi="仿宋" w:eastAsia="仿宋" w:cs="仿宋"/>
          <w:color w:val="auto"/>
        </w:rPr>
        <w:fldChar w:fldCharType="separate"/>
      </w:r>
      <w:r>
        <w:rPr>
          <w:rStyle w:val="26"/>
          <w:rFonts w:hint="eastAsia" w:ascii="仿宋" w:hAnsi="仿宋" w:eastAsia="仿宋" w:cs="仿宋"/>
          <w:color w:val="auto"/>
          <w:szCs w:val="24"/>
          <w:u w:val="none"/>
        </w:rPr>
        <w:t>www.zcygov.cn</w:t>
      </w:r>
      <w:r>
        <w:rPr>
          <w:rStyle w:val="26"/>
          <w:rFonts w:hint="eastAsia" w:ascii="仿宋" w:hAnsi="仿宋" w:eastAsia="仿宋" w:cs="仿宋"/>
          <w:color w:val="auto"/>
          <w:szCs w:val="24"/>
          <w:u w:val="none"/>
        </w:rPr>
        <w:fldChar w:fldCharType="end"/>
      </w:r>
      <w:r>
        <w:rPr>
          <w:rFonts w:hint="eastAsia" w:ascii="仿宋" w:hAnsi="仿宋" w:eastAsia="仿宋" w:cs="仿宋"/>
          <w:color w:val="auto"/>
          <w:szCs w:val="24"/>
        </w:rPr>
        <w:t>”组织开标、开启投标响应文件，所有供应商均应当准时在线参加。</w:t>
      </w:r>
    </w:p>
    <w:p>
      <w:pPr>
        <w:pStyle w:val="12"/>
        <w:snapToGrid w:val="0"/>
        <w:spacing w:line="360" w:lineRule="auto"/>
        <w:ind w:firstLine="480" w:firstLineChars="200"/>
        <w:rPr>
          <w:rFonts w:hint="eastAsia" w:ascii="仿宋" w:hAnsi="仿宋" w:eastAsia="仿宋" w:cs="仿宋"/>
          <w:color w:val="auto"/>
          <w:szCs w:val="24"/>
          <w:lang w:eastAsia="zh-CN"/>
        </w:rPr>
      </w:pPr>
      <w:r>
        <w:rPr>
          <w:rFonts w:hint="eastAsia" w:ascii="仿宋" w:hAnsi="仿宋" w:eastAsia="仿宋" w:cs="仿宋"/>
          <w:color w:val="auto"/>
          <w:szCs w:val="24"/>
          <w:lang w:eastAsia="zh-CN"/>
        </w:rPr>
        <w:t>（4）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napToGrid w:val="0"/>
        <w:spacing w:line="360" w:lineRule="auto"/>
        <w:ind w:firstLine="480" w:firstLineChars="200"/>
        <w:outlineLvl w:val="2"/>
        <w:rPr>
          <w:rFonts w:hint="eastAsia" w:ascii="仿宋" w:hAnsi="仿宋" w:eastAsia="仿宋" w:cs="仿宋"/>
          <w:b/>
          <w:color w:val="auto"/>
          <w:lang w:eastAsia="zh-CN"/>
        </w:rPr>
      </w:pPr>
      <w:bookmarkStart w:id="20" w:name="_Toc73975823"/>
      <w:r>
        <w:rPr>
          <w:rFonts w:hint="eastAsia" w:ascii="仿宋" w:hAnsi="仿宋" w:eastAsia="仿宋" w:cs="仿宋"/>
          <w:b/>
          <w:color w:val="auto"/>
          <w:lang w:eastAsia="zh-CN"/>
        </w:rPr>
        <w:t>29.2</w:t>
      </w:r>
      <w:r>
        <w:rPr>
          <w:rFonts w:hint="eastAsia" w:ascii="仿宋" w:hAnsi="仿宋" w:eastAsia="仿宋" w:cs="仿宋"/>
          <w:b/>
          <w:bCs/>
          <w:color w:val="auto"/>
          <w:lang w:eastAsia="zh-CN"/>
        </w:rPr>
        <w:t>开标程序（先资格、商务技术后报价）</w:t>
      </w:r>
      <w:bookmarkEnd w:id="20"/>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（1）开标时间到后，主持人宣布开标会议开始。</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（2）投标文件解密（</w:t>
      </w:r>
      <w:r>
        <w:rPr>
          <w:rFonts w:hint="eastAsia" w:ascii="仿宋" w:hAnsi="仿宋" w:eastAsia="仿宋" w:cs="仿宋"/>
          <w:b/>
          <w:color w:val="auto"/>
          <w:lang w:eastAsia="zh-CN"/>
        </w:rPr>
        <w:t>解密规定见《供应商须知前附表》</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（3）投标文件解密异常情况处理（</w:t>
      </w:r>
      <w:r>
        <w:rPr>
          <w:rFonts w:hint="eastAsia" w:ascii="仿宋" w:hAnsi="仿宋" w:eastAsia="仿宋" w:cs="仿宋"/>
          <w:b/>
          <w:color w:val="auto"/>
          <w:lang w:eastAsia="zh-CN"/>
        </w:rPr>
        <w:t>处理办法见《供应商须知前附表》</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（4）公布投标文件解密情况（投标文件成功解密的供应商名单等信息），组织签署</w:t>
      </w:r>
      <w:r>
        <w:rPr>
          <w:rFonts w:hint="eastAsia" w:ascii="仿宋" w:hAnsi="仿宋" w:eastAsia="仿宋" w:cs="仿宋"/>
          <w:b/>
          <w:bCs/>
          <w:color w:val="auto"/>
          <w:lang w:eastAsia="zh-CN"/>
        </w:rPr>
        <w:t>《政府采购活动现场确认声明书》（疫情防控期间，将通过电子邮件形式组织签署），供应商应在20分钟内通过邮件形式将经签署的《政府采购活动现场确认声明书》发送至采购代理机构指定邮箱</w:t>
      </w:r>
      <w:r>
        <w:rPr>
          <w:rFonts w:hint="eastAsia" w:ascii="仿宋" w:hAnsi="仿宋" w:eastAsia="仿宋" w:cs="仿宋"/>
          <w:b/>
          <w:bCs/>
          <w:color w:val="auto"/>
          <w:lang w:val="en-US" w:eastAsia="zh-CN"/>
        </w:rPr>
        <w:t>3265613387</w:t>
      </w:r>
      <w:r>
        <w:rPr>
          <w:rFonts w:hint="eastAsia" w:ascii="仿宋" w:hAnsi="仿宋" w:eastAsia="仿宋" w:cs="仿宋"/>
          <w:b/>
          <w:bCs/>
          <w:color w:val="auto"/>
          <w:lang w:eastAsia="zh-CN"/>
        </w:rPr>
        <w:t>@qq.com ，逾期发送或未发送的视为无异议</w:t>
      </w:r>
      <w:r>
        <w:rPr>
          <w:rFonts w:hint="eastAsia" w:ascii="仿宋" w:hAnsi="仿宋" w:eastAsia="仿宋" w:cs="仿宋"/>
          <w:color w:val="auto"/>
          <w:lang w:eastAsia="zh-CN"/>
        </w:rPr>
        <w:t>。</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（5）开启标书信息（资格证明文件、商务技术文件）。标书信息开启后，首先由采购人或采购代理机构或评审小组依法对投标供应商的资格证明文件进行审查（具体见本章“29.3 投标供应商资格审查”）， 审查结束公布投标供应商的资格符合情况。资格审查未获通过的供应商，其商务技术文件及报价文件不再进入评审。</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（6）商务技术评审结束后，主持人公布商务技术评审无效投标供应商名单和商务技术评审有效投标供应商名单及其商务技术得分情况。商务技术评审无效的供应商，其报价不再进入评审。</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（7）开启有效投标供应商的报价，公布开标一览表有关内容，</w:t>
      </w:r>
      <w:r>
        <w:rPr>
          <w:rFonts w:hint="eastAsia" w:ascii="仿宋" w:hAnsi="仿宋" w:eastAsia="仿宋" w:cs="仿宋"/>
          <w:color w:val="auto"/>
          <w:lang w:eastAsia="zh-CN" w:bidi="zh-CN"/>
        </w:rPr>
        <w:t>并【开启签章时段】，供应商对开标记录进行在线签章确认（不予确认的应说明理由，否则视为无异议）</w:t>
      </w:r>
      <w:r>
        <w:rPr>
          <w:rFonts w:hint="eastAsia" w:ascii="仿宋" w:hAnsi="仿宋" w:eastAsia="仿宋" w:cs="仿宋"/>
          <w:color w:val="auto"/>
          <w:lang w:eastAsia="zh-CN"/>
        </w:rPr>
        <w:t>。开标结束后，由评标委员会对报价的合理性、准确性等进行审查核实。</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（8）评审结束后，采购代理机构在系统上公布评审结果。</w:t>
      </w:r>
    </w:p>
    <w:p>
      <w:pPr>
        <w:snapToGrid w:val="0"/>
        <w:spacing w:line="360" w:lineRule="auto"/>
        <w:ind w:left="480"/>
        <w:rPr>
          <w:rFonts w:hint="eastAsia" w:ascii="仿宋" w:hAnsi="仿宋" w:eastAsia="仿宋" w:cs="仿宋"/>
          <w:b/>
          <w:color w:val="auto"/>
          <w:lang w:eastAsia="zh-CN"/>
        </w:rPr>
      </w:pPr>
      <w:r>
        <w:rPr>
          <w:rFonts w:hint="eastAsia" w:ascii="仿宋" w:hAnsi="仿宋" w:eastAsia="仿宋" w:cs="仿宋"/>
          <w:b/>
          <w:color w:val="auto"/>
          <w:lang w:eastAsia="zh-CN"/>
        </w:rPr>
        <w:t>特别情况说明：</w:t>
      </w:r>
    </w:p>
    <w:p>
      <w:pPr>
        <w:snapToGrid w:val="0"/>
        <w:spacing w:line="360" w:lineRule="auto"/>
        <w:ind w:firstLine="424" w:firstLineChars="177"/>
        <w:rPr>
          <w:rFonts w:hint="eastAsia" w:ascii="仿宋" w:hAnsi="仿宋" w:eastAsia="仿宋" w:cs="仿宋"/>
          <w:b/>
          <w:color w:val="auto"/>
          <w:lang w:eastAsia="zh-CN"/>
        </w:rPr>
      </w:pPr>
      <w:r>
        <w:rPr>
          <w:rFonts w:hint="eastAsia" w:ascii="仿宋" w:hAnsi="仿宋" w:eastAsia="仿宋" w:cs="仿宋"/>
          <w:b/>
          <w:color w:val="auto"/>
          <w:lang w:eastAsia="zh-CN"/>
        </w:rPr>
        <w:t>（1）本项目采用电子交易，如遇“新疆政府采购云平台”电子化开标或评审程序调整的，按调整后程序执行。</w:t>
      </w:r>
    </w:p>
    <w:p>
      <w:pPr>
        <w:snapToGrid w:val="0"/>
        <w:spacing w:line="360" w:lineRule="auto"/>
        <w:ind w:firstLine="424" w:firstLineChars="177"/>
        <w:rPr>
          <w:rFonts w:hint="eastAsia" w:ascii="仿宋" w:hAnsi="仿宋" w:eastAsia="仿宋" w:cs="仿宋"/>
          <w:b/>
          <w:color w:val="auto"/>
          <w:lang w:eastAsia="zh-CN"/>
        </w:rPr>
      </w:pPr>
      <w:r>
        <w:rPr>
          <w:rFonts w:hint="eastAsia" w:ascii="仿宋" w:hAnsi="仿宋" w:eastAsia="仿宋" w:cs="仿宋"/>
          <w:b/>
          <w:color w:val="auto"/>
          <w:lang w:eastAsia="zh-CN"/>
        </w:rPr>
        <w:t>（2）开标过程中需要相关当事人进行签章或盖章确认的材料将通过“政府采购云平台”进行，若因“政府采购云平台”技术问题无法进行签章或盖章确认的，采购组织机构将通过电子邮件等形式予以确认，</w:t>
      </w:r>
      <w:r>
        <w:rPr>
          <w:rFonts w:hint="eastAsia" w:ascii="仿宋" w:hAnsi="仿宋" w:eastAsia="仿宋" w:cs="仿宋"/>
          <w:b/>
          <w:color w:val="auto"/>
          <w:u w:val="single"/>
          <w:lang w:eastAsia="zh-CN"/>
        </w:rPr>
        <w:t>请供应商保证办理投标事宜人员电话畅通、网络在线，签章或盖章确认的时间为20分钟。如未及时签章或盖章确认的，视为无异议</w:t>
      </w:r>
      <w:r>
        <w:rPr>
          <w:rFonts w:hint="eastAsia" w:ascii="仿宋" w:hAnsi="仿宋" w:eastAsia="仿宋" w:cs="仿宋"/>
          <w:b/>
          <w:color w:val="auto"/>
          <w:lang w:eastAsia="zh-CN"/>
        </w:rPr>
        <w:t>。</w:t>
      </w:r>
    </w:p>
    <w:p>
      <w:pPr>
        <w:snapToGrid w:val="0"/>
        <w:spacing w:line="360" w:lineRule="auto"/>
        <w:ind w:firstLine="480" w:firstLineChars="200"/>
        <w:rPr>
          <w:rFonts w:hint="eastAsia" w:ascii="仿宋" w:hAnsi="仿宋" w:eastAsia="仿宋" w:cs="仿宋"/>
          <w:b/>
          <w:color w:val="auto"/>
          <w:lang w:eastAsia="zh-CN"/>
        </w:rPr>
      </w:pPr>
      <w:r>
        <w:rPr>
          <w:rFonts w:hint="eastAsia" w:ascii="仿宋" w:hAnsi="仿宋" w:eastAsia="仿宋" w:cs="仿宋"/>
          <w:b/>
          <w:color w:val="auto"/>
          <w:lang w:eastAsia="zh-CN"/>
        </w:rPr>
        <w:t>29.3 投标供应商资格审查：</w:t>
      </w:r>
    </w:p>
    <w:p>
      <w:pPr>
        <w:snapToGrid w:val="0"/>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bCs/>
          <w:color w:val="auto"/>
          <w:lang w:eastAsia="zh-CN"/>
        </w:rPr>
        <w:t>开标（标书信息开启）后，采购人或采购代理机构或</w:t>
      </w:r>
      <w:r>
        <w:rPr>
          <w:rFonts w:hint="eastAsia" w:ascii="仿宋" w:hAnsi="仿宋" w:eastAsia="仿宋" w:cs="仿宋"/>
          <w:color w:val="auto"/>
          <w:lang w:eastAsia="zh-CN"/>
        </w:rPr>
        <w:t>评审小组</w:t>
      </w:r>
      <w:r>
        <w:rPr>
          <w:rFonts w:hint="eastAsia" w:ascii="仿宋" w:hAnsi="仿宋" w:eastAsia="仿宋" w:cs="仿宋"/>
          <w:bCs/>
          <w:color w:val="auto"/>
          <w:lang w:eastAsia="zh-CN"/>
        </w:rPr>
        <w:t>首先依法对投标供应商的资格文件进行审查，审查各投标供应商的资格符合情况。</w:t>
      </w:r>
      <w:r>
        <w:rPr>
          <w:rFonts w:hint="eastAsia" w:ascii="仿宋" w:hAnsi="仿宋" w:eastAsia="仿宋" w:cs="仿宋"/>
          <w:color w:val="auto"/>
          <w:lang w:eastAsia="zh-CN"/>
        </w:rPr>
        <w:t>采购人或采购代理机构</w:t>
      </w:r>
      <w:r>
        <w:rPr>
          <w:rFonts w:hint="eastAsia" w:ascii="仿宋" w:hAnsi="仿宋" w:eastAsia="仿宋" w:cs="仿宋"/>
          <w:bCs/>
          <w:color w:val="auto"/>
          <w:lang w:eastAsia="zh-CN"/>
        </w:rPr>
        <w:t>或</w:t>
      </w:r>
      <w:r>
        <w:rPr>
          <w:rFonts w:hint="eastAsia" w:ascii="仿宋" w:hAnsi="仿宋" w:eastAsia="仿宋" w:cs="仿宋"/>
          <w:color w:val="auto"/>
          <w:lang w:eastAsia="zh-CN"/>
        </w:rPr>
        <w:t>评审小组对投标供应商所提交的资格证明材料仅负审核的责任。如发现投标供应商所提交的资格证明材料不合法或与事实不符，采购人可取消其中标资格并追究投标供应商的法律责任。</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2）投标供应商提交的资格证明材料无法证明其符合采购文件规定的“投标供应商资格要求”的，采购人或采购代理机构将对其作“资格审查不合格”处理（无效投标），并不再将其投标提交评标委员会进行后续评审。</w:t>
      </w:r>
    </w:p>
    <w:p>
      <w:pPr>
        <w:pStyle w:val="9"/>
        <w:snapToGrid w:val="0"/>
        <w:spacing w:line="360" w:lineRule="auto"/>
        <w:rPr>
          <w:rFonts w:hint="eastAsia" w:ascii="仿宋" w:hAnsi="仿宋" w:eastAsia="仿宋" w:cs="仿宋"/>
          <w:bCs/>
          <w:color w:val="auto"/>
          <w:szCs w:val="24"/>
          <w:lang w:eastAsia="zh-CN"/>
        </w:rPr>
      </w:pPr>
      <w:r>
        <w:rPr>
          <w:rFonts w:hint="eastAsia" w:ascii="仿宋" w:hAnsi="仿宋" w:eastAsia="仿宋" w:cs="仿宋"/>
          <w:bCs/>
          <w:color w:val="auto"/>
          <w:szCs w:val="24"/>
          <w:lang w:eastAsia="zh-CN"/>
        </w:rPr>
        <w:t>（3）供应商信用记录查询与使用：见《供应商须知前附表》。</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30.评审工作的组织</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采购人或采购代理机构负责组织本项目的评审工作，并依据《政府采购货物和服务招标投标管理办法（财政部第87号令）》第四十五条的相关规定履行职责。</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 评标委员会的组建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31.1评标委员会由采购人或采购代理机构依法组建，成员由采购人代表和评审专家组成，成员人数为五人或以上单数，其中评审专家不少于成员总数的三分之二。</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31.2评审专家从新疆政府采购云平台专家库中通过随机方式抽取产生。评标委员会成员名单在采购结果公告前保密。</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32.评标委员会的职责</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32.1审查、评价投标文件是否符合采购文件的商务、技术等实质性要求。</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32.2要求供应商对投标文件有关事项作出澄清或者说明。</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32.3对投标文件进行比较和评价。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32.4确定中标候选人名单，以及根据采购人委托直接确定中标人。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32.5向采购人、采购代理机构或者有关部门报告评审中发现的违法行为。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 评标原则</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33.1评标委员会将遵循公平、公正、科学的原则，对供应商提交的投标文件进行综合评审，评标委员会按照采购文件规定的评标细则进行评分。</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33.2客观公正对待所有供应商，对所有投标评价均采用相同的程序和标准。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33.3评标委员会成员对需要共同认定的事项存在争议的，按照少数服从多数的原则作出结论。持不同意见的评标委员会成员应当在评审报告上签署不同意见及理由，否则视为同意评审报告。</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33.4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非单一产品采购项目，采购人应当根据采购项目技术构成、产品价格比重等合理确定核心产品，并在采购文件中载明。多家供应商提供的核心产品品牌相同的，按前款规定处理。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34. 评委纪律</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委员会成员必须严格遵守保密规定，不得泄露评审的有关情况，任何单位和个人不得干扰、影响评标的正常进行，评标委员会成员不得私下与投标供应商接触，不得出现政府采购活动现场组织管理办法中规定的其他禁止行为。</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35.评标程序</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35.1 在评审专家中推选评标委员会组长，采购人代表不得担任评标委员会组长。</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35.3 评审人员对符合资格的供应商的投标文件的有效性、符合性、完整性和响应程度进行审查，确定是否对采购文件作出实质性响应。</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35.4 评审人员按采购文件规定的评审方法和评审标准，依法独立对供应商投标文件进行评估、比较，并给予评价或打分，不受任何单位和个人的干预。</w:t>
      </w:r>
    </w:p>
    <w:p>
      <w:pPr>
        <w:widowControl/>
        <w:spacing w:line="44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综合评分法货物项目的价格分值占总分值的比重(即权值)为3</w:t>
      </w:r>
      <w:r>
        <w:rPr>
          <w:rFonts w:hint="eastAsia" w:ascii="仿宋" w:hAnsi="仿宋" w:eastAsia="仿宋" w:cs="仿宋"/>
          <w:color w:val="auto"/>
          <w:szCs w:val="21"/>
          <w:lang w:val="en-US" w:eastAsia="zh-CN"/>
        </w:rPr>
        <w:t>0</w:t>
      </w:r>
      <w:r>
        <w:rPr>
          <w:rFonts w:hint="eastAsia" w:ascii="仿宋" w:hAnsi="仿宋" w:eastAsia="仿宋" w:cs="仿宋"/>
          <w:color w:val="auto"/>
          <w:szCs w:val="21"/>
          <w:lang w:eastAsia="zh-CN"/>
        </w:rPr>
        <w:t>％，采购项目中含不同采购对象的，以占项目资金比例最高的采购对象确定其项目属性。其价格不列为评分因素，有特殊情况需要在上述规定范围外设定价格分权重的。</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综合评分法中的价格分统一采用低价优先法计算，即满足招标文件要求且最后报价最低的供应商的价格为招标基准价，其价格分为满分。其他供应商的价格分统一按照下列公式计算：</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投标报价得分=（基准价/投标报价）×价格权值×100</w:t>
      </w:r>
    </w:p>
    <w:p>
      <w:pPr>
        <w:widowControl/>
        <w:spacing w:line="440" w:lineRule="exact"/>
        <w:ind w:firstLine="480"/>
        <w:rPr>
          <w:rFonts w:hint="eastAsia" w:ascii="仿宋" w:hAnsi="仿宋" w:eastAsia="仿宋" w:cs="仿宋"/>
          <w:color w:val="auto"/>
          <w:szCs w:val="21"/>
          <w:lang w:eastAsia="zh-CN"/>
        </w:rPr>
      </w:pPr>
      <w:r>
        <w:rPr>
          <w:rFonts w:hint="eastAsia" w:ascii="仿宋" w:hAnsi="仿宋" w:eastAsia="仿宋" w:cs="仿宋"/>
          <w:color w:val="auto"/>
          <w:szCs w:val="21"/>
          <w:lang w:eastAsia="zh-CN"/>
        </w:rPr>
        <w:t>项目评审过程中，不得去掉最后报价中的最高报价和最低报价。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30%以上的）情形的，应由相关人员当场改正或作出书面说明；拒不改正又不作书面说明的，由现场监督员如实记载后存入项目档案资料。</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35.7 评标委员会根据评审汇总情况和采购文件规定确定中标候选供应商排序名单。</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35.8 起草评审报告，所有评审人员须在评审报告上签章确认，对自己的评审意见承担法律责任。 </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35.9 采购组织机构对评标委员会评审专家进行评价。</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35.10 修改评审结果</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评标结果汇总完成后，除下列情形外，任何人不得修改评标结果：</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（1）分值汇总计算错误的；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（2）分项评分超出评分标准范围的；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（3）评标委员会成员对客观评审因素评分不一致的；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（4）经评标委员会认定评分畸高、畸低的。</w:t>
      </w:r>
    </w:p>
    <w:p>
      <w:pPr>
        <w:widowControl/>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36．澄清、说明或补正的形式</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仿宋" w:hAnsi="仿宋" w:eastAsia="仿宋" w:cs="仿宋"/>
          <w:b/>
          <w:bCs/>
          <w:color w:val="auto"/>
          <w:szCs w:val="21"/>
          <w:lang w:eastAsia="zh-CN"/>
        </w:rPr>
        <w:t>投标供应商澄清、说明或补正时间为20分钟</w:t>
      </w:r>
      <w:r>
        <w:rPr>
          <w:rFonts w:hint="eastAsia" w:ascii="仿宋" w:hAnsi="仿宋" w:eastAsia="仿宋" w:cs="仿宋"/>
          <w:color w:val="auto"/>
          <w:szCs w:val="21"/>
          <w:lang w:eastAsia="zh-CN"/>
        </w:rPr>
        <w:t>。</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36.3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37．错误修正的原则</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37.1 投标函中表述的内容与报价表中不一致的，以报价表为准；报价表中的内容与报价明细表不一致的，以报价表为准；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37.2 投标文件中的大写金额和小写金额不一致的，以大写金额为准；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37.3 单价金额小数点或者百分比有明显错位的，以开标一览表的总价为准，并修改单价；</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37.4 总价金额与按单价汇总金额不一致的，以单价金额计算结果为准；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37.5 若用文字表示的数值与用数字表示的数值不一致，以文字表示的数值为准；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37.6 如有多报（指数量超出采购文件需求）、重报（指同一货物重复报价），其投标总价在评标过程中不予调整，如其中标，其合同价按其投标单价予以调整；</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37.7 对不同文字文本投标文件的解释发生异议的，以中文文本为准；</w:t>
      </w:r>
    </w:p>
    <w:p>
      <w:pPr>
        <w:spacing w:line="440" w:lineRule="exact"/>
        <w:ind w:firstLine="240" w:firstLineChars="100"/>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仿宋" w:hAnsi="仿宋" w:eastAsia="仿宋" w:cs="仿宋"/>
          <w:b/>
          <w:bCs/>
          <w:color w:val="auto"/>
          <w:szCs w:val="21"/>
          <w:lang w:eastAsia="zh-CN"/>
        </w:rPr>
        <w:t>修正应当采用电子询标的形式，并加盖公章（电子印章）。</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38．无效投标文件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有下列情形之一的，投标文件按无效标处理：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 报名的投标人与参加投标的投标人发生实质性变更的且未提供有效证明的；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38.2</w:t>
      </w:r>
      <w:r>
        <w:rPr>
          <w:rFonts w:hint="eastAsia" w:ascii="仿宋" w:hAnsi="仿宋" w:eastAsia="仿宋" w:cs="仿宋"/>
          <w:color w:val="auto"/>
          <w:szCs w:val="21"/>
          <w:lang w:val="en-US" w:eastAsia="zh-CN"/>
        </w:rPr>
        <w:t xml:space="preserve"> </w:t>
      </w:r>
      <w:r>
        <w:rPr>
          <w:rFonts w:hint="eastAsia" w:ascii="仿宋" w:hAnsi="仿宋" w:eastAsia="仿宋" w:cs="仿宋"/>
          <w:color w:val="auto"/>
          <w:szCs w:val="21"/>
          <w:lang w:eastAsia="zh-CN"/>
        </w:rPr>
        <w:t>投标人提交两份或两份以上内容不同的投标文件，未声明哪一份有效的；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38.3 投标文件非投标人法定代表人签署的，未提供或提供无效的法定代表人授权书；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38.4 未按招标文件规定装订；</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38.5 投标文件内容未按招标文件规定签章或盖章的；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38.6 投标文件组成漏项或未按规定的格式编制或投标文件正、副本份数不足或内容不全或内容字迹模糊辨认不清的等而导致评标活动无法正常进行；</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38.7 投标人未按招标文件变更通知更改投标文件的；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38.8 《开标一览表》和《投标分项报价表》内容不完整且不接受修正意见或字迹不能辨认的或未提供；</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38.9 标项投标报价超过招标文件规定的预算金额或最高限价</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38.10 因投标人原因编制错误造成经评标委员会修正后的报价达到或超过投标报价的0.5%；</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38.11 投标人的报价明显低于其他通过符合性审查投标人的报价，有可能影响产品质量或者不能诚信履约的，且在规定时间内不能合理说明原因并提供证明材料的；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38.12 未实质性响应招标文件中条款要求的投标文件；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38.13 不符合招标范围、技术规格、技术标准的要求无法满足采购人使用要求；</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38.14 投标文件附有采购人不能接受的条款；</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38.15 投标文件中提供了赠品或者与本项目采购无关的其他商品、服务；</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38.16 投标文件中承诺的投标有效期少于招标文件中载明的投标有效期；</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38.17投标人串通投标，妨碍其他投标人的竞争行为，损害采购人或者其他投标人的合法权益；</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38.18违反国家及政府部门相关法律、法规、文件规定或经评标委员会认定的其他属于重大偏离；</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39．废标</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39.1 符合招标文件规定废标情形的；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39.2 出现影响采购公正的违法、违规行为的；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39.3 供应商的报价均超过了采购预算（或最高限价），采购人不能支付的;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39.4 因重大变故，采购任务取消的。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40．突发情况处理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40.1 采购过程中出现以下情形，导致电子交易平台无法正常运行，或者无法保证电子交易的公平、公正和安全时，采购组织机构可中止电子交易活动：</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（1）电子交易平台发生故障而无法登录访问的；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（2）电子交易平台应用或数据库出现错误，不能进行正常操作的；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（3）电子交易平台发现严重安全漏洞，有潜在泄密危险的；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（4）病毒发作导致不能进行正常操作的；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（5）其他无法保证电子交易的公平、公正和安全的情况。</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40.2 采购代理机构或评审小组因不可抗力（不可抗力包括但不限于自然灾害、断电、传播疫病等）原因造成电子交易活动无法正常运行的，将采取以下措施：</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（1）短时间内能消除不可抗力因素的，采购代理机构或评审小组在消除不可抗力因素后继续组织电子交易活动； </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（2）长时间内无法消除不可抗力因素的，采购代理机构或评审小组将中止电子交易活动。中止电子交易活动的，采购人应当重新组织政府采购活动。</w:t>
      </w:r>
    </w:p>
    <w:p>
      <w:pPr>
        <w:snapToGrid w:val="0"/>
        <w:spacing w:line="360" w:lineRule="exact"/>
        <w:ind w:firstLine="421"/>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41. 定标</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w:t>
      </w:r>
      <w:bookmarkStart w:id="21" w:name="_Toc469495729"/>
      <w:r>
        <w:rPr>
          <w:rFonts w:hint="eastAsia" w:ascii="仿宋" w:hAnsi="仿宋" w:eastAsia="仿宋" w:cs="仿宋"/>
          <w:color w:val="auto"/>
          <w:szCs w:val="21"/>
          <w:lang w:eastAsia="zh-CN"/>
        </w:rPr>
        <w:t>41.1采购结果确认（确定中标供应商）</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采购结果确认（确定中标供应商）：本项目由采购人根据评标委员会提交的《评审报告》，通过“政府采购云平台”依法确认采购结果、确定中标供应商。具体流程如下：</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（1）采购代理机构将在评审结束后2个工作日内将评审报告送采购人。</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（2）采购人将在收到评审报告之日起5个工作日内，在评审报告推荐的中标候选供应商名单中按顺序确定中标供应商，并将确认意见以书面形式回复采购代理机构。 </w:t>
      </w:r>
    </w:p>
    <w:p>
      <w:pPr>
        <w:spacing w:line="440" w:lineRule="exact"/>
        <w:ind w:firstLine="240" w:firstLineChars="100"/>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41.2采购结果经采购人确认后2个工作日内，采购代理机构将在</w:t>
      </w:r>
      <w:r>
        <w:rPr>
          <w:rFonts w:hint="eastAsia" w:ascii="仿宋" w:hAnsi="仿宋" w:eastAsia="仿宋" w:cs="仿宋"/>
          <w:b/>
          <w:bCs/>
          <w:color w:val="auto"/>
          <w:szCs w:val="21"/>
          <w:lang w:eastAsia="zh-CN"/>
        </w:rPr>
        <w:t>克州公共资源交易中心网、新疆政府采购网（www.zjzfcg.gov.cn）上公告采购结果，中标公告期限为1个工作日。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 中标通知书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42.1在中标通知书发出前，招标人将中标侯选人的情况在克州公共资源交易中心网、新疆政府采购网予以公示，</w:t>
      </w:r>
      <w:r>
        <w:rPr>
          <w:rFonts w:hint="eastAsia" w:ascii="仿宋" w:hAnsi="仿宋" w:eastAsia="仿宋" w:cs="仿宋"/>
          <w:b/>
          <w:bCs/>
          <w:color w:val="auto"/>
          <w:szCs w:val="21"/>
          <w:lang w:eastAsia="zh-CN"/>
        </w:rPr>
        <w:t>公示期为一个工作日。待公示期结束后，</w:t>
      </w:r>
      <w:r>
        <w:rPr>
          <w:rFonts w:hint="eastAsia" w:ascii="仿宋" w:hAnsi="仿宋" w:eastAsia="仿宋" w:cs="仿宋"/>
          <w:color w:val="auto"/>
          <w:szCs w:val="21"/>
          <w:lang w:eastAsia="zh-CN"/>
        </w:rPr>
        <w:t>采购组织机构向中标人发出中标通知书。</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42.2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pacing w:before="156" w:beforeLines="50" w:line="440" w:lineRule="exact"/>
        <w:jc w:val="center"/>
        <w:outlineLvl w:val="2"/>
        <w:rPr>
          <w:rFonts w:hint="eastAsia" w:ascii="仿宋" w:hAnsi="仿宋" w:eastAsia="仿宋" w:cs="仿宋"/>
          <w:b/>
          <w:bCs/>
          <w:color w:val="auto"/>
          <w:lang w:eastAsia="zh-CN"/>
        </w:rPr>
      </w:pPr>
      <w:r>
        <w:rPr>
          <w:rFonts w:hint="eastAsia" w:ascii="仿宋" w:hAnsi="仿宋" w:eastAsia="仿宋" w:cs="仿宋"/>
          <w:b/>
          <w:bCs/>
          <w:color w:val="auto"/>
          <w:sz w:val="28"/>
          <w:szCs w:val="28"/>
          <w:lang w:eastAsia="zh-CN"/>
        </w:rPr>
        <w:t>（六）合同的授予</w:t>
      </w:r>
      <w:bookmarkEnd w:id="21"/>
    </w:p>
    <w:p>
      <w:pPr>
        <w:spacing w:line="440" w:lineRule="exact"/>
        <w:ind w:firstLine="240" w:firstLineChars="100"/>
        <w:rPr>
          <w:rFonts w:hint="eastAsia" w:ascii="仿宋" w:hAnsi="仿宋" w:eastAsia="仿宋" w:cs="仿宋"/>
          <w:color w:val="auto"/>
          <w:szCs w:val="21"/>
          <w:lang w:eastAsia="zh-CN"/>
        </w:rPr>
      </w:pPr>
      <w:bookmarkStart w:id="22" w:name="_Toc73975842"/>
      <w:bookmarkStart w:id="23" w:name="_Toc469495730"/>
      <w:r>
        <w:rPr>
          <w:rFonts w:hint="eastAsia" w:ascii="仿宋" w:hAnsi="仿宋" w:eastAsia="仿宋" w:cs="仿宋"/>
          <w:color w:val="auto"/>
          <w:szCs w:val="21"/>
          <w:lang w:eastAsia="zh-CN"/>
        </w:rPr>
        <w:t>43．履约保证金</w:t>
      </w:r>
      <w:bookmarkEnd w:id="22"/>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43.1 中标供应商在签订合同后</w:t>
      </w:r>
      <w:r>
        <w:rPr>
          <w:rFonts w:hint="eastAsia" w:ascii="仿宋" w:hAnsi="仿宋" w:eastAsia="仿宋" w:cs="仿宋"/>
          <w:color w:val="auto"/>
          <w:szCs w:val="21"/>
          <w:lang w:val="en-US" w:eastAsia="zh-CN"/>
        </w:rPr>
        <w:t>10</w:t>
      </w:r>
      <w:r>
        <w:rPr>
          <w:rFonts w:hint="eastAsia" w:ascii="仿宋" w:hAnsi="仿宋" w:eastAsia="仿宋" w:cs="仿宋"/>
          <w:color w:val="auto"/>
          <w:szCs w:val="21"/>
          <w:lang w:eastAsia="zh-CN"/>
        </w:rPr>
        <w:t>个工作日内向采购人交纳不超过中标价10%的履约保证金（鼓励以银行、保险公司出具的履约保函形式提交。</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43.2 签订合同后，如中标供应商不按合同约定履约的，履约保</w:t>
      </w:r>
      <w:r>
        <w:rPr>
          <w:rFonts w:hint="eastAsia" w:ascii="仿宋" w:hAnsi="仿宋" w:eastAsia="仿宋" w:cs="仿宋"/>
          <w:color w:val="auto"/>
          <w:szCs w:val="21"/>
          <w:lang w:val="en-US" w:eastAsia="zh-CN"/>
        </w:rPr>
        <w:t>函</w:t>
      </w:r>
      <w:r>
        <w:rPr>
          <w:rFonts w:hint="eastAsia" w:ascii="仿宋" w:hAnsi="仿宋" w:eastAsia="仿宋" w:cs="仿宋"/>
          <w:color w:val="auto"/>
          <w:szCs w:val="21"/>
          <w:lang w:eastAsia="zh-CN"/>
        </w:rPr>
        <w:t>不予退还，履约保</w:t>
      </w:r>
      <w:r>
        <w:rPr>
          <w:rFonts w:hint="eastAsia" w:ascii="仿宋" w:hAnsi="仿宋" w:eastAsia="仿宋" w:cs="仿宋"/>
          <w:color w:val="auto"/>
          <w:szCs w:val="21"/>
          <w:lang w:val="en-US" w:eastAsia="zh-CN"/>
        </w:rPr>
        <w:t>函</w:t>
      </w:r>
      <w:r>
        <w:rPr>
          <w:rFonts w:hint="eastAsia" w:ascii="仿宋" w:hAnsi="仿宋" w:eastAsia="仿宋" w:cs="仿宋"/>
          <w:color w:val="auto"/>
          <w:szCs w:val="21"/>
          <w:lang w:eastAsia="zh-CN"/>
        </w:rPr>
        <w:t>不足以赔偿损失的，按实际损失赔偿。</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43.3 如果中标供应商在建设期内没有涉及采购人的应付而未付金额或违约行为，采购人在项目验收合格后或提前终止合同后全额无息退还履约保证金。</w:t>
      </w:r>
    </w:p>
    <w:p>
      <w:pPr>
        <w:spacing w:line="440" w:lineRule="exact"/>
        <w:ind w:firstLine="240" w:firstLineChars="100"/>
        <w:rPr>
          <w:rFonts w:hint="eastAsia" w:ascii="仿宋" w:hAnsi="仿宋" w:eastAsia="仿宋" w:cs="仿宋"/>
          <w:color w:val="auto"/>
          <w:szCs w:val="21"/>
          <w:lang w:eastAsia="zh-CN"/>
        </w:rPr>
      </w:pPr>
      <w:bookmarkStart w:id="24" w:name="_Toc73975843"/>
      <w:r>
        <w:rPr>
          <w:rFonts w:hint="eastAsia" w:ascii="仿宋" w:hAnsi="仿宋" w:eastAsia="仿宋" w:cs="仿宋"/>
          <w:color w:val="auto"/>
          <w:szCs w:val="21"/>
          <w:lang w:eastAsia="zh-CN"/>
        </w:rPr>
        <w:t>44．签订合同及公告</w:t>
      </w:r>
      <w:bookmarkEnd w:id="24"/>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44.1采购人在中标通知书发出之日起30日内与中标供应商签订合同。</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44.2中标供应商拖延、拒签合同的,取消中标资格。</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44.3 采购文件、中标供应商的投标文件及评标过程中有关澄清文件等均作为签订合同的依据。所签订的合同不得对采购文件和中标供应商的投标文件的内容作实质性修改。</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44.4采购人应当自政府采购合同签订之日起2个工作日内，在省级以上财政部门指定的政府采购信息发布媒体及相关网站上公告。</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44.5采购人应当自政府采购合同签订之日起7个工作日内，将政府采购合同副本报同级人民政府财政部门备案以及采购代理机构存档。</w:t>
      </w:r>
    </w:p>
    <w:p>
      <w:pPr>
        <w:adjustRightInd w:val="0"/>
        <w:snapToGrid w:val="0"/>
        <w:spacing w:line="440" w:lineRule="exact"/>
        <w:jc w:val="center"/>
        <w:outlineLvl w:val="2"/>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（七）纪律和监督</w:t>
      </w:r>
      <w:bookmarkEnd w:id="23"/>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45. 对招标人的纪律要求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45.1招标人不得泄漏招标投标活动中应当保密的情况和资料，不得与投标人串通损害国家利益，社会公共利益或者他人合法权益。 </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46. 对投标人的纪律要求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46.1投标人不得相互串通投标或者与招标人串通投标，不得向招标人或者评标委员会成员行贿谋取中标，不得以他人名义投标或者以其他方式弄虚作假骗取中标；投标人不得以任何方式干扰、影响评标工作。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47. 对评标委员会成员的纪律要求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47.1评标委员会成员不得收受他人的财物或者其他好处，不得向他人透漏对投标文件的评审和比较、中标候选人的推荐情况以及评标有关的其他情况。</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 xml:space="preserve">47.2在评标活动中，评标委员会成员不得擅离职守，影响评标程序正常进行，不得使用第三章“评标办法”没有规定的评审因素和标准进行评标。 </w:t>
      </w:r>
    </w:p>
    <w:p>
      <w:pPr>
        <w:spacing w:line="44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 xml:space="preserve">48. 对与评标活动有关的工作人员的纪律要求 </w:t>
      </w:r>
    </w:p>
    <w:p>
      <w:pPr>
        <w:adjustRightInd w:val="0"/>
        <w:snapToGrid w:val="0"/>
        <w:spacing w:line="440" w:lineRule="exact"/>
        <w:ind w:firstLine="360" w:firstLineChars="150"/>
        <w:rPr>
          <w:rFonts w:hint="eastAsia" w:ascii="仿宋" w:hAnsi="仿宋" w:eastAsia="仿宋" w:cs="仿宋"/>
          <w:color w:val="auto"/>
          <w:kern w:val="10"/>
          <w:szCs w:val="21"/>
          <w:lang w:eastAsia="zh-CN"/>
        </w:rPr>
      </w:pPr>
      <w:r>
        <w:rPr>
          <w:rFonts w:hint="eastAsia" w:ascii="仿宋" w:hAnsi="仿宋" w:eastAsia="仿宋" w:cs="仿宋"/>
          <w:color w:val="auto"/>
          <w:kern w:val="10"/>
          <w:szCs w:val="21"/>
          <w:lang w:eastAsia="zh-CN"/>
        </w:rPr>
        <w:t>48.1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56" w:beforeLines="50" w:after="156" w:afterLines="50" w:line="320" w:lineRule="exact"/>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（八）质疑与投诉</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49．质疑和投诉</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49.1.供应商认为采购文件、采购过程和中标、成交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pacing w:line="36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（一）对可以质疑的采购文件提出质疑的，为收到采购文件之日或者采购文件公告期限届满之日；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（二）对采购过程提出质疑的，为各采购程序环节结束之日；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（三）对中标或者成交结果提出质疑的，为中标或者成交结果公告期限届满之日。</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供应商为自然人的，应当由本人签章；供应商为法人或者其他组织的，应当由法定代表人、主要负责人，或者其授权代表签章或者盖章，并加盖公章。</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49.3供应商质疑、投诉应当有明确的请求和必要的证明材料。供应商投诉的事项不得超出已质疑事项的范围。采购人及采购代理机构按《政府采购质疑和投诉办法》进行处理供应商质疑事项。</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49.4质疑供应商对采购人、采购代理机构的质疑答复不满意，或者采购人、采购代理机构未在规定期限内作出答复的，供应商可以在答复期满后15个工作日内向同级财政部门提起投诉。</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49.5供应商有下列情形之一的，采购代理机构将报告乌恰县财政局，将其列入不良行为记录名单：</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（一）一年内三次以上质疑均查无实据的；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（二）捏造事实或者提供虚假质疑材料的。</w:t>
      </w:r>
    </w:p>
    <w:p>
      <w:pPr>
        <w:spacing w:line="440" w:lineRule="exact"/>
        <w:ind w:firstLine="240" w:firstLineChars="100"/>
        <w:rPr>
          <w:rFonts w:hint="eastAsia" w:ascii="仿宋" w:hAnsi="仿宋" w:eastAsia="仿宋" w:cs="仿宋"/>
          <w:color w:val="auto"/>
          <w:szCs w:val="21"/>
          <w:lang w:eastAsia="zh-CN"/>
        </w:rPr>
      </w:pPr>
      <w:r>
        <w:rPr>
          <w:rFonts w:hint="eastAsia" w:ascii="仿宋" w:hAnsi="仿宋" w:eastAsia="仿宋" w:cs="仿宋"/>
          <w:color w:val="auto"/>
          <w:szCs w:val="21"/>
          <w:lang w:eastAsia="zh-CN"/>
        </w:rPr>
        <w:t>（三）以非法手段取得证明材料。证据来源的合法性存在明显疑问，质疑人无法证明其取得方式合法的，视为以非法手段取得证明材料。</w:t>
      </w:r>
    </w:p>
    <w:p>
      <w:pPr>
        <w:spacing w:line="360" w:lineRule="exact"/>
        <w:jc w:val="center"/>
        <w:rPr>
          <w:rFonts w:hint="eastAsia" w:ascii="仿宋" w:hAnsi="仿宋" w:eastAsia="仿宋" w:cs="仿宋"/>
          <w:color w:val="auto"/>
          <w:sz w:val="30"/>
          <w:szCs w:val="30"/>
          <w:lang w:eastAsia="zh-CN"/>
        </w:rPr>
      </w:pPr>
    </w:p>
    <w:p>
      <w:pPr>
        <w:rPr>
          <w:rFonts w:hint="eastAsia" w:ascii="仿宋" w:hAnsi="仿宋" w:eastAsia="仿宋" w:cs="仿宋"/>
          <w:b/>
          <w:bCs/>
          <w:color w:val="auto"/>
          <w:sz w:val="21"/>
          <w:szCs w:val="21"/>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r>
        <w:rPr>
          <w:rFonts w:hint="eastAsia" w:ascii="仿宋" w:hAnsi="仿宋" w:eastAsia="仿宋" w:cs="仿宋"/>
          <w:b/>
          <w:bCs/>
          <w:color w:val="auto"/>
          <w:lang w:eastAsia="zh-CN"/>
        </w:rPr>
        <w:t>附件：</w:t>
      </w:r>
    </w:p>
    <w:p>
      <w:pPr>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32"/>
          <w:szCs w:val="32"/>
          <w:lang w:eastAsia="zh-CN"/>
        </w:rPr>
        <w:t>政府采购投诉书（范本）、质疑函范本</w:t>
      </w:r>
    </w:p>
    <w:p>
      <w:pPr>
        <w:spacing w:line="400" w:lineRule="exact"/>
        <w:jc w:val="center"/>
        <w:rPr>
          <w:rFonts w:hint="eastAsia" w:ascii="仿宋" w:hAnsi="仿宋" w:eastAsia="仿宋" w:cs="仿宋"/>
          <w:color w:val="auto"/>
          <w:u w:val="single"/>
          <w:lang w:eastAsia="zh-CN"/>
        </w:rPr>
      </w:pPr>
      <w:r>
        <w:rPr>
          <w:rFonts w:hint="eastAsia" w:ascii="仿宋" w:hAnsi="仿宋" w:eastAsia="仿宋" w:cs="仿宋"/>
          <w:b/>
          <w:bCs/>
          <w:color w:val="auto"/>
          <w:sz w:val="28"/>
          <w:szCs w:val="28"/>
          <w:lang w:eastAsia="zh-CN"/>
        </w:rPr>
        <w:t>政府采购投诉书（范本）</w:t>
      </w:r>
    </w:p>
    <w:p>
      <w:pPr>
        <w:spacing w:line="400" w:lineRule="exact"/>
        <w:rPr>
          <w:rFonts w:hint="eastAsia" w:ascii="仿宋" w:hAnsi="仿宋" w:eastAsia="仿宋" w:cs="仿宋"/>
          <w:color w:val="auto"/>
          <w:lang w:eastAsia="zh-CN"/>
        </w:rPr>
      </w:pP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委托代理人姓名：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住址：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联系电话：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被投诉人：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法定代表人：</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电话：</w:t>
      </w:r>
      <w:r>
        <w:rPr>
          <w:rFonts w:hint="eastAsia" w:ascii="仿宋" w:hAnsi="仿宋" w:eastAsia="仿宋" w:cs="仿宋"/>
          <w:color w:val="auto"/>
          <w:u w:val="single"/>
          <w:lang w:eastAsia="zh-CN"/>
        </w:rPr>
        <w:t xml:space="preserve">               </w:t>
      </w:r>
    </w:p>
    <w:p>
      <w:pPr>
        <w:spacing w:line="400" w:lineRule="exact"/>
        <w:ind w:firstLine="480" w:firstLineChars="200"/>
        <w:rPr>
          <w:rFonts w:hint="eastAsia" w:ascii="仿宋" w:hAnsi="仿宋" w:eastAsia="仿宋" w:cs="仿宋"/>
          <w:color w:val="auto"/>
          <w:lang w:eastAsia="zh-CN"/>
        </w:rPr>
      </w:pP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我公司参加了</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年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日被投诉人组织的</w:t>
      </w:r>
      <w:r>
        <w:rPr>
          <w:rFonts w:hint="eastAsia" w:ascii="仿宋" w:hAnsi="仿宋" w:eastAsia="仿宋" w:cs="仿宋"/>
          <w:color w:val="auto"/>
          <w:u w:val="single"/>
          <w:lang w:eastAsia="zh-CN"/>
        </w:rPr>
        <w:t>（采购人）（项目名称）（项目编号）</w:t>
      </w:r>
      <w:r>
        <w:rPr>
          <w:rFonts w:hint="eastAsia" w:ascii="仿宋" w:hAnsi="仿宋" w:eastAsia="仿宋" w:cs="仿宋"/>
          <w:color w:val="auto"/>
          <w:lang w:eastAsia="zh-CN"/>
        </w:rPr>
        <w:t>的采购活动，我公司认为该项目的</w:t>
      </w:r>
      <w:r>
        <w:rPr>
          <w:rFonts w:hint="eastAsia" w:ascii="仿宋" w:hAnsi="仿宋" w:eastAsia="仿宋" w:cs="仿宋"/>
          <w:color w:val="auto"/>
          <w:u w:val="single"/>
          <w:lang w:eastAsia="zh-CN"/>
        </w:rPr>
        <w:t>（采购文件/采购过程/中标（中标）结果）</w:t>
      </w:r>
      <w:r>
        <w:rPr>
          <w:rFonts w:hint="eastAsia" w:ascii="仿宋" w:hAnsi="仿宋" w:eastAsia="仿宋" w:cs="仿宋"/>
          <w:color w:val="auto"/>
          <w:lang w:eastAsia="zh-CN"/>
        </w:rPr>
        <w:t>损害了我公司权益，对此，我公司于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日向</w:t>
      </w:r>
      <w:r>
        <w:rPr>
          <w:rFonts w:hint="eastAsia" w:ascii="仿宋" w:hAnsi="仿宋" w:eastAsia="仿宋" w:cs="仿宋"/>
          <w:color w:val="auto"/>
          <w:u w:val="single"/>
          <w:lang w:eastAsia="zh-CN"/>
        </w:rPr>
        <w:t>（采购人或者政府采购代理机构）</w:t>
      </w:r>
      <w:r>
        <w:rPr>
          <w:rFonts w:hint="eastAsia" w:ascii="仿宋" w:hAnsi="仿宋" w:eastAsia="仿宋" w:cs="仿宋"/>
          <w:color w:val="auto"/>
          <w:lang w:eastAsia="zh-CN"/>
        </w:rPr>
        <w:t>提出了质疑，</w:t>
      </w:r>
      <w:r>
        <w:rPr>
          <w:rFonts w:hint="eastAsia" w:ascii="仿宋" w:hAnsi="仿宋" w:eastAsia="仿宋" w:cs="仿宋"/>
          <w:color w:val="auto"/>
          <w:u w:val="single"/>
          <w:lang w:eastAsia="zh-CN"/>
        </w:rPr>
        <w:t>（其于    年  月  日作出书面答复，因对其作出的答复不满意）/（被质疑人未在法定期内予以答复，按照政府采购有关规定）</w:t>
      </w:r>
      <w:r>
        <w:rPr>
          <w:rFonts w:hint="eastAsia" w:ascii="仿宋" w:hAnsi="仿宋" w:eastAsia="仿宋" w:cs="仿宋"/>
          <w:color w:val="auto"/>
          <w:lang w:eastAsia="zh-CN"/>
        </w:rPr>
        <w:t>，现向贵机关提起投诉：</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1.</w:t>
      </w:r>
      <w:r>
        <w:rPr>
          <w:rFonts w:hint="eastAsia" w:ascii="仿宋" w:hAnsi="仿宋" w:eastAsia="仿宋" w:cs="仿宋"/>
          <w:color w:val="auto"/>
          <w:u w:val="single"/>
          <w:lang w:eastAsia="zh-CN"/>
        </w:rPr>
        <w:t>具体的投诉事项及事实依据；</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w:t>
      </w:r>
      <w:r>
        <w:rPr>
          <w:rFonts w:hint="eastAsia" w:ascii="仿宋" w:hAnsi="仿宋" w:eastAsia="仿宋" w:cs="仿宋"/>
          <w:color w:val="auto"/>
          <w:u w:val="single"/>
          <w:lang w:eastAsia="zh-CN"/>
        </w:rPr>
        <w:t>质疑和质疑答复情况简要描述；</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3.</w:t>
      </w:r>
      <w:r>
        <w:rPr>
          <w:rFonts w:hint="eastAsia" w:ascii="仿宋" w:hAnsi="仿宋" w:eastAsia="仿宋" w:cs="仿宋"/>
          <w:color w:val="auto"/>
          <w:u w:val="single"/>
          <w:lang w:eastAsia="zh-CN"/>
        </w:rPr>
        <w:t>投诉请求。</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附件：</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1.质疑书和质疑答复书；</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2.证据材料（需注明证据来源），证人的姓名、住址和联系方式等；</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3.营业执照；</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4.法定代表人身份证明函</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5.法定代表人授权委托书（包含法定代表人和委托代理人的身份证复印件）；</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6.政府采购监管部门认为应当提供的其它材料。</w:t>
      </w:r>
    </w:p>
    <w:p>
      <w:pPr>
        <w:spacing w:line="400" w:lineRule="exact"/>
        <w:jc w:val="center"/>
        <w:rPr>
          <w:rFonts w:hint="eastAsia" w:ascii="仿宋" w:hAnsi="仿宋" w:eastAsia="仿宋" w:cs="仿宋"/>
          <w:color w:val="auto"/>
          <w:lang w:eastAsia="zh-CN"/>
        </w:rPr>
      </w:pPr>
    </w:p>
    <w:p>
      <w:pPr>
        <w:spacing w:line="40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投诉供应商：（盖章）</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法定代表人（或主要负责人）：（签章）</w:t>
      </w:r>
    </w:p>
    <w:p>
      <w:pPr>
        <w:spacing w:line="400" w:lineRule="exact"/>
        <w:ind w:firstLine="3840" w:firstLineChars="1600"/>
        <w:rPr>
          <w:rFonts w:hint="eastAsia" w:ascii="仿宋" w:hAnsi="仿宋" w:eastAsia="仿宋" w:cs="仿宋"/>
          <w:color w:val="auto"/>
          <w:lang w:eastAsia="zh-CN"/>
        </w:rPr>
      </w:pP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00" w:lineRule="exact"/>
        <w:rPr>
          <w:rFonts w:hint="eastAsia" w:ascii="仿宋" w:hAnsi="仿宋" w:eastAsia="仿宋" w:cs="仿宋"/>
          <w:color w:val="auto"/>
          <w:lang w:eastAsia="zh-CN"/>
        </w:rPr>
      </w:pPr>
    </w:p>
    <w:p>
      <w:pPr>
        <w:spacing w:line="400" w:lineRule="exact"/>
        <w:jc w:val="right"/>
        <w:rPr>
          <w:rFonts w:hint="eastAsia" w:ascii="仿宋" w:hAnsi="仿宋" w:eastAsia="仿宋" w:cs="仿宋"/>
          <w:color w:val="auto"/>
          <w:lang w:eastAsia="zh-CN"/>
        </w:rPr>
      </w:pPr>
      <w:r>
        <w:rPr>
          <w:rFonts w:hint="eastAsia" w:ascii="仿宋" w:hAnsi="仿宋" w:eastAsia="仿宋" w:cs="仿宋"/>
          <w:color w:val="auto"/>
          <w:lang w:eastAsia="zh-CN"/>
        </w:rPr>
        <w:t>本投诉书正本叁份，副本</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份并附电子文档。</w:t>
      </w:r>
    </w:p>
    <w:p>
      <w:pPr>
        <w:jc w:val="both"/>
        <w:outlineLvl w:val="0"/>
        <w:rPr>
          <w:rFonts w:hint="eastAsia" w:ascii="仿宋" w:hAnsi="仿宋" w:eastAsia="仿宋" w:cs="仿宋"/>
          <w:b/>
          <w:bCs/>
          <w:color w:val="auto"/>
          <w:lang w:eastAsia="zh-CN"/>
        </w:rPr>
      </w:pPr>
      <w:bookmarkStart w:id="25" w:name="_Toc17515"/>
    </w:p>
    <w:p>
      <w:pPr>
        <w:ind w:left="5783" w:hanging="5760" w:hangingChars="1800"/>
        <w:jc w:val="center"/>
        <w:outlineLvl w:val="0"/>
        <w:rPr>
          <w:rFonts w:hint="eastAsia" w:ascii="仿宋" w:hAnsi="仿宋" w:eastAsia="仿宋" w:cs="仿宋"/>
          <w:b/>
          <w:bCs/>
          <w:color w:val="auto"/>
          <w:sz w:val="32"/>
          <w:szCs w:val="32"/>
          <w:lang w:eastAsia="zh-CN"/>
        </w:rPr>
      </w:pPr>
    </w:p>
    <w:p>
      <w:pPr>
        <w:ind w:left="5783" w:hanging="5760" w:hangingChars="1800"/>
        <w:jc w:val="center"/>
        <w:outlineLvl w:val="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投诉相关说明</w:t>
      </w:r>
      <w:bookmarkEnd w:id="25"/>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lang w:eastAsia="zh-CN"/>
        </w:rPr>
        <w:t>投诉人应当满足《政府采购法》、《政府采购法实施条例》和《政府采购供应商投诉处理办法》的相关规定。</w:t>
      </w:r>
    </w:p>
    <w:p>
      <w:pPr>
        <w:numPr>
          <w:ilvl w:val="0"/>
          <w:numId w:val="2"/>
        </w:numPr>
        <w:spacing w:line="400" w:lineRule="exact"/>
        <w:ind w:left="4089" w:leftChars="304" w:hanging="3360" w:hangingChars="1600"/>
        <w:outlineLvl w:val="0"/>
        <w:rPr>
          <w:rFonts w:hint="eastAsia" w:ascii="仿宋" w:hAnsi="仿宋" w:eastAsia="仿宋" w:cs="仿宋"/>
          <w:b/>
          <w:bCs/>
          <w:color w:val="auto"/>
          <w:sz w:val="21"/>
          <w:szCs w:val="21"/>
        </w:rPr>
      </w:pPr>
      <w:bookmarkStart w:id="26" w:name="_Toc11499"/>
      <w:r>
        <w:rPr>
          <w:rFonts w:hint="eastAsia" w:ascii="仿宋" w:hAnsi="仿宋" w:eastAsia="仿宋" w:cs="仿宋"/>
          <w:b/>
          <w:bCs/>
          <w:color w:val="auto"/>
          <w:sz w:val="21"/>
          <w:szCs w:val="21"/>
        </w:rPr>
        <w:t>质疑前置及时间要求</w:t>
      </w:r>
      <w:bookmarkEnd w:id="26"/>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lang w:eastAsia="zh-CN"/>
        </w:rPr>
        <w:t>《中华人民共和国政府采购法》</w:t>
      </w:r>
      <w:r>
        <w:rPr>
          <w:rFonts w:hint="eastAsia" w:ascii="仿宋" w:hAnsi="仿宋" w:eastAsia="仿宋" w:cs="仿宋"/>
          <w:color w:val="auto"/>
          <w:shd w:val="clear" w:color="auto" w:fill="FFFFFF"/>
          <w:lang w:eastAsia="zh-CN"/>
        </w:rPr>
        <w:t>第五十一条：供应商对政府采购活动事项有疑问的，可以向采购人提出询问，采购人应当及时作出答复，但答复的内容不得涉及商业秘密。</w:t>
      </w:r>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第五十二条：供应商认为采购文件、采购过程和中标、中标结果使自己的权益受到损害的，可以在知道或者应知其权益受到损害之日起七个工作日内，以书面形式向采购人提出质疑。</w:t>
      </w:r>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第五十三条：采购人应当在收到供应商的书面质疑后七个工作日内作出答复，并以书面形式通知质疑供应商和其他有关供应商，但答复的内容不得涉及商业秘密。</w:t>
      </w:r>
    </w:p>
    <w:p>
      <w:pPr>
        <w:widowControl/>
        <w:spacing w:line="400" w:lineRule="exact"/>
        <w:ind w:firstLine="420"/>
        <w:rPr>
          <w:rFonts w:hint="eastAsia" w:ascii="仿宋" w:hAnsi="仿宋" w:eastAsia="仿宋" w:cs="仿宋"/>
          <w:color w:val="auto"/>
          <w:shd w:val="clear" w:color="auto" w:fill="FFFFFF"/>
          <w:lang w:eastAsia="zh-CN"/>
        </w:rPr>
      </w:pPr>
      <w:r>
        <w:rPr>
          <w:rFonts w:hint="eastAsia" w:ascii="仿宋" w:hAnsi="仿宋" w:eastAsia="仿宋" w:cs="仿宋"/>
          <w:color w:val="auto"/>
          <w:shd w:val="clear" w:color="auto" w:fill="FFFFFF"/>
          <w:lang w:eastAsia="zh-CN"/>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widowControl/>
        <w:spacing w:line="400" w:lineRule="exact"/>
        <w:ind w:firstLine="420"/>
        <w:rPr>
          <w:rFonts w:hint="eastAsia" w:ascii="仿宋" w:hAnsi="仿宋" w:eastAsia="仿宋" w:cs="仿宋"/>
          <w:color w:val="auto"/>
          <w:lang w:eastAsia="zh-CN"/>
        </w:rPr>
      </w:pPr>
      <w:r>
        <w:rPr>
          <w:rFonts w:hint="eastAsia" w:ascii="仿宋" w:hAnsi="仿宋" w:eastAsia="仿宋" w:cs="仿宋"/>
          <w:color w:val="auto"/>
          <w:shd w:val="clear" w:color="auto" w:fill="FFFFFF"/>
          <w:lang w:eastAsia="zh-CN"/>
        </w:rPr>
        <w:t xml:space="preserve">  《政府采购实施条例》第五十五条：供应商质疑、投诉应当有明确的请求和必要的证明材料。供应商投诉的事项不得超出质疑事项的范围。</w:t>
      </w:r>
    </w:p>
    <w:p>
      <w:pPr>
        <w:spacing w:line="400" w:lineRule="exact"/>
        <w:ind w:left="3780" w:hanging="3780" w:hangingChars="1800"/>
        <w:outlineLvl w:val="0"/>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b/>
          <w:bCs/>
          <w:color w:val="auto"/>
          <w:sz w:val="21"/>
          <w:szCs w:val="21"/>
          <w:lang w:eastAsia="zh-CN"/>
        </w:rPr>
        <w:t xml:space="preserve">   </w:t>
      </w:r>
      <w:bookmarkStart w:id="27" w:name="_Toc13508"/>
      <w:r>
        <w:rPr>
          <w:rFonts w:hint="eastAsia" w:ascii="仿宋" w:hAnsi="仿宋" w:eastAsia="仿宋" w:cs="仿宋"/>
          <w:b/>
          <w:bCs/>
          <w:color w:val="auto"/>
          <w:sz w:val="21"/>
          <w:szCs w:val="21"/>
          <w:lang w:eastAsia="zh-CN"/>
        </w:rPr>
        <w:t>二、书面方式</w:t>
      </w:r>
      <w:bookmarkEnd w:id="27"/>
    </w:p>
    <w:p>
      <w:pPr>
        <w:spacing w:line="400" w:lineRule="exact"/>
        <w:ind w:left="3780" w:hanging="3780" w:hangingChars="1800"/>
        <w:rPr>
          <w:rFonts w:hint="eastAsia" w:ascii="仿宋" w:hAnsi="仿宋" w:eastAsia="仿宋" w:cs="仿宋"/>
          <w:color w:val="auto"/>
          <w:lang w:eastAsia="zh-CN"/>
        </w:rPr>
      </w:pPr>
      <w:r>
        <w:rPr>
          <w:rFonts w:hint="eastAsia" w:ascii="仿宋" w:hAnsi="仿宋" w:eastAsia="仿宋" w:cs="仿宋"/>
          <w:color w:val="auto"/>
          <w:sz w:val="21"/>
          <w:szCs w:val="21"/>
          <w:lang w:eastAsia="zh-CN"/>
        </w:rPr>
        <w:t xml:space="preserve">    《</w:t>
      </w:r>
      <w:r>
        <w:rPr>
          <w:rFonts w:hint="eastAsia" w:ascii="仿宋" w:hAnsi="仿宋" w:eastAsia="仿宋" w:cs="仿宋"/>
          <w:color w:val="auto"/>
          <w:lang w:eastAsia="zh-CN"/>
        </w:rPr>
        <w:t>政府采购供应商投诉处理办法》第八条：投诉人投诉</w:t>
      </w:r>
    </w:p>
    <w:p>
      <w:p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时，应当提交投诉书，并按照被投诉人以及与投诉事项有关的供应商数量提供投诉书的副本。</w:t>
      </w:r>
    </w:p>
    <w:p>
      <w:pPr>
        <w:spacing w:line="400" w:lineRule="exact"/>
        <w:ind w:left="4320" w:hanging="4320" w:hangingChars="1800"/>
        <w:rPr>
          <w:rFonts w:hint="eastAsia" w:ascii="仿宋" w:hAnsi="仿宋" w:eastAsia="仿宋" w:cs="仿宋"/>
          <w:color w:val="auto"/>
          <w:lang w:eastAsia="zh-CN"/>
        </w:rPr>
      </w:pPr>
      <w:r>
        <w:rPr>
          <w:rFonts w:hint="eastAsia" w:ascii="仿宋" w:hAnsi="仿宋" w:eastAsia="仿宋" w:cs="仿宋"/>
          <w:color w:val="auto"/>
          <w:lang w:eastAsia="zh-CN"/>
        </w:rPr>
        <w:t xml:space="preserve">   投诉书应当包括下列主要内容：</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投诉人和被投诉人的名称、地址、电话等；</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具体的投诉事项及事实依据；</w:t>
      </w:r>
    </w:p>
    <w:p>
      <w:pPr>
        <w:numPr>
          <w:ilvl w:val="0"/>
          <w:numId w:val="3"/>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质疑和质疑答复情况及相关证明材料；</w:t>
      </w:r>
    </w:p>
    <w:p>
      <w:pPr>
        <w:numPr>
          <w:ilvl w:val="0"/>
          <w:numId w:val="3"/>
        </w:numPr>
        <w:spacing w:line="400" w:lineRule="exact"/>
        <w:rPr>
          <w:rFonts w:hint="eastAsia" w:ascii="仿宋" w:hAnsi="仿宋" w:eastAsia="仿宋" w:cs="仿宋"/>
          <w:color w:val="auto"/>
        </w:rPr>
      </w:pPr>
      <w:r>
        <w:rPr>
          <w:rFonts w:hint="eastAsia" w:ascii="仿宋" w:hAnsi="仿宋" w:eastAsia="仿宋" w:cs="仿宋"/>
          <w:color w:val="auto"/>
        </w:rPr>
        <w:t>提起投诉的日期。</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投诉书应当署名。投诉人为自然人，应当由本人签章；投诉人为法人或者其他组织的，应当由法定代表人或者主要负责人签章并加盖公章。</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spacing w:line="400" w:lineRule="exact"/>
        <w:ind w:firstLine="645"/>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《政府采购供应商投诉处理办法》第十条：投诉人提起投诉应当符合下列条件：</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投诉人是参与所投诉政府采购活动的供应商；</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提起投诉诉前已依法进行质疑；</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投诉书内容符合本办法的规定；</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在投诉有效期内提起投诉；</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属于本级财政部门管辖；</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同一投诉事项未经财政部门投诉处理；</w:t>
      </w:r>
    </w:p>
    <w:p>
      <w:pPr>
        <w:numPr>
          <w:ilvl w:val="0"/>
          <w:numId w:val="4"/>
        </w:numPr>
        <w:spacing w:line="400" w:lineRule="exact"/>
        <w:rPr>
          <w:rFonts w:hint="eastAsia" w:ascii="仿宋" w:hAnsi="仿宋" w:eastAsia="仿宋" w:cs="仿宋"/>
          <w:color w:val="auto"/>
          <w:lang w:eastAsia="zh-CN"/>
        </w:rPr>
      </w:pPr>
      <w:r>
        <w:rPr>
          <w:rFonts w:hint="eastAsia" w:ascii="仿宋" w:hAnsi="仿宋" w:eastAsia="仿宋" w:cs="仿宋"/>
          <w:color w:val="auto"/>
          <w:lang w:eastAsia="zh-CN"/>
        </w:rPr>
        <w:t>国务院财政部门规定的其他条件。</w:t>
      </w:r>
    </w:p>
    <w:p>
      <w:pPr>
        <w:spacing w:line="400" w:lineRule="exact"/>
        <w:ind w:left="4320" w:hanging="4320" w:hangingChars="180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outlineLvl w:val="0"/>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b/>
          <w:bCs/>
          <w:color w:val="auto"/>
          <w:lang w:eastAsia="zh-CN"/>
        </w:rPr>
        <w:t xml:space="preserve">   </w:t>
      </w:r>
      <w:bookmarkStart w:id="28" w:name="_Toc5978"/>
      <w:r>
        <w:rPr>
          <w:rFonts w:hint="eastAsia" w:ascii="仿宋" w:hAnsi="仿宋" w:eastAsia="仿宋" w:cs="仿宋"/>
          <w:b/>
          <w:bCs/>
          <w:color w:val="auto"/>
          <w:lang w:eastAsia="zh-CN"/>
        </w:rPr>
        <w:t>三、虚假、恶意投诉法律责任</w:t>
      </w:r>
      <w:bookmarkEnd w:id="28"/>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第七十三条：供应商捏造实施、提供虚假材料或者以非法手段取得证明材料进行投诉的，由财政部门列入不良行为记录名单，禁止其1至3年内参加政府采购活动。</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《政府采购供应商投诉处理办法》第二十六条：投诉人有下列情形之一的，属于虚假、恶意投诉，财政部门应当驳回投诉，将其列入不良行为记录名单，并依法予以处罚：</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（一）1年内3次以上投诉均查无实据的；</w:t>
      </w:r>
    </w:p>
    <w:p>
      <w:pPr>
        <w:spacing w:line="40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（二）捏造事实或者提供虚假投诉材料的。</w:t>
      </w:r>
    </w:p>
    <w:p>
      <w:pPr>
        <w:spacing w:line="400" w:lineRule="exact"/>
        <w:rPr>
          <w:rFonts w:hint="eastAsia" w:ascii="仿宋" w:hAnsi="仿宋" w:eastAsia="仿宋" w:cs="仿宋"/>
          <w:color w:val="auto"/>
          <w:sz w:val="21"/>
          <w:szCs w:val="21"/>
          <w:lang w:eastAsia="zh-CN"/>
        </w:rPr>
      </w:pPr>
    </w:p>
    <w:p>
      <w:pPr>
        <w:spacing w:line="400" w:lineRule="exact"/>
        <w:rPr>
          <w:rFonts w:hint="eastAsia" w:ascii="仿宋" w:hAnsi="仿宋" w:eastAsia="仿宋" w:cs="仿宋"/>
          <w:color w:val="auto"/>
          <w:sz w:val="21"/>
          <w:szCs w:val="21"/>
          <w:lang w:eastAsia="zh-CN"/>
        </w:rPr>
      </w:pPr>
    </w:p>
    <w:p>
      <w:pPr>
        <w:jc w:val="both"/>
        <w:rPr>
          <w:rFonts w:hint="eastAsia" w:ascii="仿宋" w:hAnsi="仿宋" w:eastAsia="仿宋" w:cs="仿宋"/>
          <w:color w:val="auto"/>
          <w:lang w:eastAsia="zh-CN"/>
        </w:rPr>
      </w:pPr>
      <w:r>
        <w:rPr>
          <w:rFonts w:hint="eastAsia" w:ascii="仿宋" w:hAnsi="仿宋" w:eastAsia="仿宋" w:cs="仿宋"/>
          <w:color w:val="auto"/>
          <w:lang w:eastAsia="zh-CN"/>
        </w:rPr>
        <w:t>递交投诉书地址：乌恰县政府采购办监管办公室</w:t>
      </w:r>
    </w:p>
    <w:p>
      <w:pPr>
        <w:jc w:val="right"/>
        <w:rPr>
          <w:rFonts w:hint="eastAsia" w:ascii="仿宋" w:hAnsi="仿宋" w:eastAsia="仿宋" w:cs="仿宋"/>
          <w:color w:val="auto"/>
          <w:sz w:val="32"/>
          <w:szCs w:val="32"/>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spacing w:line="540" w:lineRule="exact"/>
        <w:jc w:val="center"/>
        <w:rPr>
          <w:rFonts w:hint="eastAsia" w:ascii="仿宋" w:hAnsi="仿宋" w:eastAsia="仿宋" w:cs="仿宋"/>
          <w:b/>
          <w:bCs/>
          <w:color w:val="auto"/>
          <w:sz w:val="44"/>
          <w:szCs w:val="44"/>
          <w:lang w:eastAsia="zh-CN"/>
        </w:rPr>
      </w:pPr>
    </w:p>
    <w:p>
      <w:pPr>
        <w:pStyle w:val="29"/>
        <w:rPr>
          <w:rFonts w:hint="eastAsia" w:ascii="仿宋" w:hAnsi="仿宋" w:eastAsia="仿宋" w:cs="仿宋"/>
          <w:b/>
          <w:bCs/>
          <w:color w:val="auto"/>
          <w:sz w:val="44"/>
          <w:szCs w:val="44"/>
          <w:lang w:eastAsia="zh-CN"/>
        </w:rPr>
      </w:pPr>
    </w:p>
    <w:p>
      <w:pPr>
        <w:pStyle w:val="29"/>
        <w:rPr>
          <w:rFonts w:hint="eastAsia" w:ascii="仿宋" w:hAnsi="仿宋" w:eastAsia="仿宋" w:cs="仿宋"/>
          <w:b/>
          <w:bCs/>
          <w:color w:val="auto"/>
          <w:sz w:val="44"/>
          <w:szCs w:val="44"/>
          <w:lang w:eastAsia="zh-CN"/>
        </w:rPr>
      </w:pPr>
    </w:p>
    <w:p>
      <w:pPr>
        <w:spacing w:line="540" w:lineRule="exact"/>
        <w:jc w:val="both"/>
        <w:outlineLvl w:val="0"/>
        <w:rPr>
          <w:rFonts w:hint="eastAsia" w:ascii="仿宋" w:hAnsi="仿宋" w:eastAsia="仿宋" w:cs="仿宋"/>
          <w:b/>
          <w:bCs/>
          <w:color w:val="auto"/>
          <w:sz w:val="32"/>
          <w:szCs w:val="32"/>
          <w:lang w:eastAsia="zh-CN"/>
        </w:rPr>
      </w:pPr>
      <w:bookmarkStart w:id="29" w:name="_Toc1697"/>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p>
    <w:p>
      <w:pPr>
        <w:spacing w:line="540" w:lineRule="exact"/>
        <w:jc w:val="center"/>
        <w:outlineLvl w:val="0"/>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质疑函范本</w:t>
      </w:r>
      <w:bookmarkEnd w:id="29"/>
    </w:p>
    <w:p>
      <w:pPr>
        <w:adjustRightInd w:val="0"/>
        <w:snapToGrid w:val="0"/>
        <w:spacing w:before="312" w:beforeLines="100" w:line="540" w:lineRule="exact"/>
        <w:ind w:firstLine="480" w:firstLineChars="200"/>
        <w:outlineLvl w:val="0"/>
        <w:rPr>
          <w:rFonts w:hint="eastAsia" w:ascii="仿宋" w:hAnsi="仿宋" w:eastAsia="仿宋" w:cs="仿宋"/>
          <w:bCs/>
          <w:color w:val="auto"/>
          <w:lang w:eastAsia="zh-CN"/>
        </w:rPr>
      </w:pPr>
      <w:bookmarkStart w:id="30" w:name="_Toc9061"/>
      <w:r>
        <w:rPr>
          <w:rFonts w:hint="eastAsia" w:ascii="仿宋" w:hAnsi="仿宋" w:eastAsia="仿宋" w:cs="仿宋"/>
          <w:bCs/>
          <w:color w:val="auto"/>
          <w:lang w:eastAsia="zh-CN"/>
        </w:rPr>
        <w:t>一、质疑供应商基本信息</w:t>
      </w:r>
      <w:bookmarkEnd w:id="30"/>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质疑供应商：</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地址：</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联系人：</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授权代表：</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联系电话：</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地址： </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邮编：</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1" w:name="_Toc15938"/>
      <w:r>
        <w:rPr>
          <w:rFonts w:hint="eastAsia" w:ascii="仿宋" w:hAnsi="仿宋" w:eastAsia="仿宋" w:cs="仿宋"/>
          <w:bCs/>
          <w:color w:val="auto"/>
          <w:lang w:eastAsia="zh-CN"/>
        </w:rPr>
        <w:t>二、质疑项目基本情况</w:t>
      </w:r>
      <w:bookmarkEnd w:id="31"/>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质疑项目的名称：</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质疑项目的编号：</w:t>
      </w:r>
      <w:r>
        <w:rPr>
          <w:rFonts w:hint="eastAsia" w:ascii="仿宋" w:hAnsi="仿宋" w:eastAsia="仿宋" w:cs="仿宋"/>
          <w:color w:val="auto"/>
          <w:u w:val="dotted"/>
          <w:lang w:eastAsia="zh-CN"/>
        </w:rPr>
        <w:t xml:space="preserve">               </w:t>
      </w:r>
      <w:r>
        <w:rPr>
          <w:rFonts w:hint="eastAsia" w:ascii="仿宋" w:hAnsi="仿宋" w:eastAsia="仿宋" w:cs="仿宋"/>
          <w:color w:val="auto"/>
          <w:lang w:eastAsia="zh-CN"/>
        </w:rPr>
        <w:t>包号：</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采购人名称：</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采购文件获取日期：</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2" w:name="_Toc18271"/>
      <w:r>
        <w:rPr>
          <w:rFonts w:hint="eastAsia" w:ascii="仿宋" w:hAnsi="仿宋" w:eastAsia="仿宋" w:cs="仿宋"/>
          <w:bCs/>
          <w:color w:val="auto"/>
          <w:lang w:eastAsia="zh-CN"/>
        </w:rPr>
        <w:t>三、质疑事项具体内容</w:t>
      </w:r>
      <w:bookmarkEnd w:id="32"/>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质疑事项1：</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事实依据：</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法律依据：</w:t>
      </w:r>
      <w:r>
        <w:rPr>
          <w:rFonts w:hint="eastAsia" w:ascii="仿宋" w:hAnsi="仿宋" w:eastAsia="仿宋" w:cs="仿宋"/>
          <w:color w:val="auto"/>
          <w:u w:val="dotted"/>
          <w:lang w:eastAsia="zh-CN"/>
        </w:rPr>
        <w:t xml:space="preserve">                                           </w:t>
      </w:r>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质疑事项2</w:t>
      </w:r>
    </w:p>
    <w:p>
      <w:pPr>
        <w:adjustRightInd w:val="0"/>
        <w:snapToGrid w:val="0"/>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p>
    <w:p>
      <w:pPr>
        <w:adjustRightInd w:val="0"/>
        <w:snapToGrid w:val="0"/>
        <w:spacing w:line="540" w:lineRule="exact"/>
        <w:ind w:firstLine="480" w:firstLineChars="200"/>
        <w:outlineLvl w:val="0"/>
        <w:rPr>
          <w:rFonts w:hint="eastAsia" w:ascii="仿宋" w:hAnsi="仿宋" w:eastAsia="仿宋" w:cs="仿宋"/>
          <w:bCs/>
          <w:color w:val="auto"/>
          <w:lang w:eastAsia="zh-CN"/>
        </w:rPr>
      </w:pPr>
      <w:bookmarkStart w:id="33" w:name="_Toc22365"/>
      <w:r>
        <w:rPr>
          <w:rFonts w:hint="eastAsia" w:ascii="仿宋" w:hAnsi="仿宋" w:eastAsia="仿宋" w:cs="仿宋"/>
          <w:bCs/>
          <w:color w:val="auto"/>
          <w:lang w:eastAsia="zh-CN"/>
        </w:rPr>
        <w:t>四、与质疑事项相关的质疑请求</w:t>
      </w:r>
      <w:bookmarkEnd w:id="33"/>
    </w:p>
    <w:p>
      <w:pPr>
        <w:adjustRightInd w:val="0"/>
        <w:snapToGrid w:val="0"/>
        <w:spacing w:line="540" w:lineRule="exact"/>
        <w:ind w:firstLine="480" w:firstLineChars="200"/>
        <w:rPr>
          <w:rFonts w:hint="eastAsia" w:ascii="仿宋" w:hAnsi="仿宋" w:eastAsia="仿宋" w:cs="仿宋"/>
          <w:color w:val="auto"/>
          <w:u w:val="dotted"/>
          <w:lang w:eastAsia="zh-CN"/>
        </w:rPr>
      </w:pPr>
      <w:r>
        <w:rPr>
          <w:rFonts w:hint="eastAsia" w:ascii="仿宋" w:hAnsi="仿宋" w:eastAsia="仿宋" w:cs="仿宋"/>
          <w:color w:val="auto"/>
          <w:lang w:eastAsia="zh-CN"/>
        </w:rPr>
        <w:t>请求：</w:t>
      </w:r>
      <w:r>
        <w:rPr>
          <w:rFonts w:hint="eastAsia" w:ascii="仿宋" w:hAnsi="仿宋" w:eastAsia="仿宋" w:cs="仿宋"/>
          <w:color w:val="auto"/>
          <w:u w:val="dotted"/>
          <w:lang w:eastAsia="zh-CN"/>
        </w:rPr>
        <w:t xml:space="preserve">                                               </w:t>
      </w:r>
    </w:p>
    <w:p>
      <w:pPr>
        <w:spacing w:line="540" w:lineRule="exac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签章(签章)：                   公章：                      </w:t>
      </w:r>
    </w:p>
    <w:p>
      <w:pPr>
        <w:spacing w:line="540" w:lineRule="exact"/>
        <w:ind w:firstLine="480" w:firstLineChars="200"/>
        <w:rPr>
          <w:rFonts w:hint="eastAsia" w:ascii="仿宋" w:hAnsi="仿宋" w:eastAsia="仿宋" w:cs="仿宋"/>
          <w:b/>
          <w:bCs/>
          <w:color w:val="auto"/>
          <w:lang w:eastAsia="zh-CN"/>
        </w:rPr>
      </w:pPr>
      <w:r>
        <w:rPr>
          <w:rFonts w:hint="eastAsia" w:ascii="仿宋" w:hAnsi="仿宋" w:eastAsia="仿宋" w:cs="仿宋"/>
          <w:color w:val="auto"/>
          <w:lang w:eastAsia="zh-CN"/>
        </w:rPr>
        <w:t xml:space="preserve">日期：    </w:t>
      </w:r>
    </w:p>
    <w:p>
      <w:pPr>
        <w:spacing w:line="540" w:lineRule="exact"/>
        <w:ind w:firstLine="420" w:firstLineChars="200"/>
        <w:rPr>
          <w:rFonts w:hint="eastAsia" w:ascii="仿宋" w:hAnsi="仿宋" w:eastAsia="仿宋" w:cs="仿宋"/>
          <w:b/>
          <w:bCs/>
          <w:color w:val="auto"/>
          <w:sz w:val="21"/>
          <w:szCs w:val="21"/>
          <w:lang w:eastAsia="zh-CN"/>
        </w:rPr>
      </w:pPr>
    </w:p>
    <w:p>
      <w:pPr>
        <w:pageBreakBefore/>
        <w:spacing w:line="440" w:lineRule="exact"/>
        <w:jc w:val="center"/>
        <w:outlineLvl w:val="0"/>
        <w:rPr>
          <w:rFonts w:hint="eastAsia" w:ascii="仿宋" w:hAnsi="仿宋" w:eastAsia="仿宋" w:cs="仿宋"/>
          <w:b/>
          <w:bCs/>
          <w:color w:val="auto"/>
          <w:sz w:val="30"/>
          <w:szCs w:val="30"/>
          <w:lang w:eastAsia="zh-CN"/>
        </w:rPr>
      </w:pPr>
      <w:bookmarkStart w:id="34" w:name="_Toc469495731"/>
      <w:r>
        <w:rPr>
          <w:rFonts w:hint="eastAsia" w:ascii="仿宋" w:hAnsi="仿宋" w:eastAsia="仿宋" w:cs="仿宋"/>
          <w:b/>
          <w:bCs/>
          <w:color w:val="auto"/>
          <w:sz w:val="30"/>
          <w:szCs w:val="30"/>
          <w:lang w:eastAsia="zh-CN"/>
        </w:rPr>
        <w:t>第三部分  评标办法</w:t>
      </w:r>
      <w:bookmarkEnd w:id="34"/>
    </w:p>
    <w:p>
      <w:pPr>
        <w:jc w:val="center"/>
        <w:outlineLvl w:val="1"/>
        <w:rPr>
          <w:rFonts w:hint="eastAsia" w:ascii="仿宋" w:hAnsi="仿宋" w:eastAsia="仿宋" w:cs="仿宋"/>
          <w:b/>
          <w:color w:val="auto"/>
          <w:sz w:val="28"/>
          <w:szCs w:val="28"/>
          <w:lang w:eastAsia="zh-CN"/>
        </w:rPr>
      </w:pPr>
      <w:bookmarkStart w:id="35" w:name="_Toc469495733"/>
      <w:bookmarkStart w:id="36" w:name="_Toc362983802"/>
      <w:bookmarkStart w:id="37" w:name="_Toc267320058"/>
      <w:bookmarkStart w:id="38" w:name="_Toc363135205"/>
      <w:r>
        <w:rPr>
          <w:rFonts w:hint="eastAsia" w:ascii="仿宋" w:hAnsi="仿宋" w:eastAsia="仿宋" w:cs="仿宋"/>
          <w:b/>
          <w:color w:val="auto"/>
          <w:sz w:val="28"/>
          <w:szCs w:val="28"/>
          <w:lang w:eastAsia="zh-CN"/>
        </w:rPr>
        <w:t>一  总  则</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1、一般规定</w:t>
      </w:r>
    </w:p>
    <w:p>
      <w:pPr>
        <w:keepNext w:val="0"/>
        <w:keepLines w:val="0"/>
        <w:pageBreakBefore w:val="0"/>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1.1本项目的招标按照《中华人民共和国政府采购法》、《政府采购货物和服务招标投标管理办法》及政府采购的有关规定进行。</w:t>
      </w:r>
    </w:p>
    <w:p>
      <w:pPr>
        <w:keepNext w:val="0"/>
        <w:keepLines w:val="0"/>
        <w:pageBreakBefore w:val="0"/>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1.2评标必须遵循邀请、公平、公正、诚实信用的原则。</w:t>
      </w:r>
    </w:p>
    <w:p>
      <w:pPr>
        <w:keepNext w:val="0"/>
        <w:keepLines w:val="0"/>
        <w:pageBreakBefore w:val="0"/>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1.3招标代理机构组织招标、开标、评标工作，全过程接受政府采购有关部门的监督、管理和指导。</w:t>
      </w:r>
    </w:p>
    <w:p>
      <w:pPr>
        <w:keepNext w:val="0"/>
        <w:keepLines w:val="0"/>
        <w:pageBreakBefore w:val="0"/>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1.4评标按照招标文件规定的内容进行，采取符合招标文件要求的最低评标价法；</w:t>
      </w:r>
    </w:p>
    <w:p>
      <w:pPr>
        <w:keepNext w:val="0"/>
        <w:keepLines w:val="0"/>
        <w:pageBreakBefore w:val="0"/>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1.5本办法的评标对象是指投标人按照招标文件要求提供的有效投标文件，包括投标人应评标委员会要求对原投标文件作出的正式书面澄清文件。</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2、评标组织机构的组成</w:t>
      </w:r>
    </w:p>
    <w:p>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2.1</w:t>
      </w:r>
      <w:r>
        <w:rPr>
          <w:rFonts w:hint="eastAsia" w:ascii="仿宋" w:hAnsi="仿宋" w:eastAsia="仿宋" w:cs="仿宋"/>
          <w:color w:val="auto"/>
          <w:spacing w:val="-2"/>
          <w:lang w:eastAsia="zh-CN"/>
        </w:rPr>
        <w:t xml:space="preserve"> 评标委员会由采购人代表</w:t>
      </w:r>
      <w:r>
        <w:rPr>
          <w:rFonts w:hint="eastAsia" w:ascii="仿宋" w:hAnsi="仿宋" w:eastAsia="仿宋" w:cs="仿宋"/>
          <w:color w:val="auto"/>
          <w:spacing w:val="-2"/>
          <w:lang w:val="en-US" w:eastAsia="zh-CN"/>
        </w:rPr>
        <w:t>1人</w:t>
      </w:r>
      <w:r>
        <w:rPr>
          <w:rFonts w:hint="eastAsia" w:ascii="仿宋" w:hAnsi="仿宋" w:eastAsia="仿宋" w:cs="仿宋"/>
          <w:color w:val="auto"/>
          <w:spacing w:val="-2"/>
          <w:lang w:eastAsia="zh-CN"/>
        </w:rPr>
        <w:t>和有关技术、经济等方面的专家</w:t>
      </w:r>
      <w:r>
        <w:rPr>
          <w:rFonts w:hint="eastAsia" w:ascii="仿宋" w:hAnsi="仿宋" w:eastAsia="仿宋" w:cs="仿宋"/>
          <w:color w:val="auto"/>
          <w:spacing w:val="-2"/>
          <w:lang w:val="en-US" w:eastAsia="zh-CN"/>
        </w:rPr>
        <w:t>4人</w:t>
      </w:r>
      <w:r>
        <w:rPr>
          <w:rFonts w:hint="eastAsia" w:ascii="仿宋" w:hAnsi="仿宋" w:eastAsia="仿宋" w:cs="仿宋"/>
          <w:color w:val="auto"/>
          <w:spacing w:val="-2"/>
          <w:lang w:eastAsia="zh-CN"/>
        </w:rPr>
        <w:t>组成，成员人数为</w:t>
      </w:r>
      <w:r>
        <w:rPr>
          <w:rFonts w:hint="eastAsia" w:ascii="仿宋" w:hAnsi="仿宋" w:eastAsia="仿宋" w:cs="仿宋"/>
          <w:color w:val="auto"/>
          <w:spacing w:val="-2"/>
          <w:lang w:val="en-US" w:eastAsia="zh-CN"/>
        </w:rPr>
        <w:t>5</w:t>
      </w:r>
      <w:r>
        <w:rPr>
          <w:rFonts w:hint="eastAsia" w:ascii="仿宋" w:hAnsi="仿宋" w:eastAsia="仿宋" w:cs="仿宋"/>
          <w:color w:val="auto"/>
          <w:spacing w:val="-2"/>
          <w:lang w:eastAsia="zh-CN"/>
        </w:rPr>
        <w:t>人。</w:t>
      </w:r>
      <w:r>
        <w:rPr>
          <w:rFonts w:hint="eastAsia" w:ascii="仿宋" w:hAnsi="仿宋" w:eastAsia="仿宋" w:cs="仿宋"/>
          <w:color w:val="auto"/>
          <w:szCs w:val="21"/>
          <w:lang w:eastAsia="zh-CN" w:bidi="ar-SA"/>
        </w:rPr>
        <w:t>其中，技术、经济等方面的专家不得少于成员总数的三分之二。采购数额在1000万元以上、技术复杂的项目，评标委员会中技术、经济方面的专家人数应当为七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2.2评标工作组由招标人及有关专家组成，由评标委员会确认，并接受其领导。</w:t>
      </w:r>
    </w:p>
    <w:p>
      <w:pPr>
        <w:keepNext w:val="0"/>
        <w:keepLines w:val="0"/>
        <w:pageBreakBefore w:val="0"/>
        <w:tabs>
          <w:tab w:val="left" w:pos="567"/>
          <w:tab w:val="left" w:pos="1145"/>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2.3评标委员会应相对独立工作，负责评标、撰写技术、商务评标报告。采购代理机构负责评标过程中资料的保管、发放、回收，整理、汇总评标资料。</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3、评标委员会职责</w:t>
      </w:r>
    </w:p>
    <w:p>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3.1审查投标文件是否符合招标文件要求，并作出评价；</w:t>
      </w:r>
    </w:p>
    <w:p>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3.2要求投标人对投标文件有关事项作出解释或者澄清；</w:t>
      </w:r>
    </w:p>
    <w:p>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3.3推荐中标候选人名单；</w:t>
      </w:r>
    </w:p>
    <w:p>
      <w:pPr>
        <w:pStyle w:val="38"/>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12" w:firstLineChars="255"/>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3.4向招标人、招标代理机构或者有关部门报告非法干预评标工作的行为。</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4、评标委员会义务</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4.1遵纪守法，客观、公正、廉洁地履行职责；</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4.2按照招标文件规定的评标方法和评标标准进行评标，对评审意见承担个人责任；</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4.3对评标过程和结果，以及投标人的商业秘密保密；</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4.4参与评标报告的起草；</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4.5配合有关部门的投诉处理工作；</w:t>
      </w:r>
    </w:p>
    <w:p>
      <w:pPr>
        <w:keepNext w:val="0"/>
        <w:keepLines w:val="0"/>
        <w:pageBreakBefore w:val="0"/>
        <w:tabs>
          <w:tab w:val="left" w:pos="567"/>
          <w:tab w:val="left" w:pos="60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4.6配合招标人、招标代理机构答复投标供应商提出的质疑。</w:t>
      </w:r>
    </w:p>
    <w:p>
      <w:pPr>
        <w:keepNext w:val="0"/>
        <w:keepLines w:val="0"/>
        <w:pageBreakBefore w:val="0"/>
        <w:tabs>
          <w:tab w:val="left" w:pos="1547"/>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 评标程序</w:t>
      </w:r>
    </w:p>
    <w:p>
      <w:pPr>
        <w:pStyle w:val="20"/>
        <w:keepNext w:val="0"/>
        <w:keepLines w:val="0"/>
        <w:pageBreakBefore w:val="0"/>
        <w:tabs>
          <w:tab w:val="left" w:pos="720"/>
          <w:tab w:val="clear" w:pos="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bCs/>
          <w:color w:val="auto"/>
          <w:szCs w:val="21"/>
          <w:lang w:eastAsia="zh-CN" w:bidi="ar-SA"/>
        </w:rPr>
      </w:pPr>
      <w:r>
        <w:rPr>
          <w:rFonts w:hint="eastAsia" w:ascii="仿宋" w:hAnsi="仿宋" w:eastAsia="仿宋" w:cs="仿宋"/>
          <w:bCs/>
          <w:color w:val="auto"/>
          <w:szCs w:val="21"/>
          <w:lang w:eastAsia="zh-CN" w:bidi="ar-SA"/>
        </w:rPr>
        <w:t>5.1本次评标首先由评标委员会对投标人的投标文件进行初审，对未能通过初审的投标文件作无效标处理；</w:t>
      </w:r>
    </w:p>
    <w:p>
      <w:pPr>
        <w:keepNext w:val="0"/>
        <w:keepLines w:val="0"/>
        <w:pageBreakBefore w:val="0"/>
        <w:tabs>
          <w:tab w:val="left" w:pos="720"/>
        </w:tabs>
        <w:kinsoku/>
        <w:wordWrap/>
        <w:overflowPunct/>
        <w:topLinePunct w:val="0"/>
        <w:autoSpaceDE/>
        <w:autoSpaceDN/>
        <w:bidi w:val="0"/>
        <w:adjustRightInd/>
        <w:snapToGrid/>
        <w:spacing w:line="360" w:lineRule="auto"/>
        <w:ind w:firstLine="612" w:firstLineChars="255"/>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5.2对通过初审的投标人的投标文件进行详细的比较和评价。如需要，进行必要的澄清工作；</w:t>
      </w:r>
    </w:p>
    <w:p>
      <w:pPr>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color w:val="auto"/>
          <w:sz w:val="36"/>
          <w:szCs w:val="36"/>
          <w:lang w:eastAsia="zh-CN" w:bidi="ar-SA"/>
        </w:rPr>
      </w:pPr>
      <w:r>
        <w:rPr>
          <w:rFonts w:hint="eastAsia" w:ascii="仿宋" w:hAnsi="仿宋" w:eastAsia="仿宋" w:cs="仿宋"/>
          <w:color w:val="auto"/>
          <w:szCs w:val="21"/>
          <w:lang w:eastAsia="zh-CN" w:bidi="ar-SA"/>
        </w:rPr>
        <w:t>5.3依据评分标准以及各项权值，各位评委单独就每个投标人的投标文件进行价格、技术、</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"http://zhidao.baidu.com/search?word=%E8%B4%A2%E5%8A%A1%E7%8A%B6%E5%86%B5&amp;fr=qb_search_exp&amp;ie=utf8&amp;eid_gfrom=151" </w:instrText>
      </w:r>
      <w:r>
        <w:rPr>
          <w:rFonts w:hint="eastAsia" w:ascii="仿宋" w:hAnsi="仿宋" w:eastAsia="仿宋" w:cs="仿宋"/>
          <w:color w:val="auto"/>
        </w:rPr>
        <w:fldChar w:fldCharType="separate"/>
      </w:r>
      <w:r>
        <w:rPr>
          <w:rFonts w:hint="eastAsia" w:ascii="仿宋" w:hAnsi="仿宋" w:eastAsia="仿宋" w:cs="仿宋"/>
          <w:color w:val="auto"/>
          <w:szCs w:val="21"/>
          <w:lang w:eastAsia="zh-CN" w:bidi="ar-SA"/>
        </w:rPr>
        <w:t>财务状况</w:t>
      </w:r>
      <w:r>
        <w:rPr>
          <w:rFonts w:hint="eastAsia" w:ascii="仿宋" w:hAnsi="仿宋" w:eastAsia="仿宋" w:cs="仿宋"/>
          <w:color w:val="auto"/>
          <w:szCs w:val="21"/>
          <w:lang w:eastAsia="zh-CN" w:bidi="ar-SA"/>
        </w:rPr>
        <w:fldChar w:fldCharType="end"/>
      </w:r>
      <w:r>
        <w:rPr>
          <w:rFonts w:hint="eastAsia" w:ascii="仿宋" w:hAnsi="仿宋" w:eastAsia="仿宋" w:cs="仿宋"/>
          <w:color w:val="auto"/>
          <w:szCs w:val="21"/>
          <w:lang w:eastAsia="zh-CN" w:bidi="ar-SA"/>
        </w:rPr>
        <w:t>、信誉、业绩、服务、对招标文件的响应程度，以及相应的比重或者权值等各项因素进行综合评审后，按最终综合得分由高向低排序，由评标委员会推荐综合得分最高的投标人为第一中标候选人，综合得分第二名的投标人为第二中标候选人，综合得分第三名的投标人为第三中标候选人。</w:t>
      </w:r>
    </w:p>
    <w:p>
      <w:pPr>
        <w:jc w:val="center"/>
        <w:outlineLvl w:val="1"/>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二  投标文件初审</w:t>
      </w:r>
      <w:bookmarkEnd w:id="35"/>
      <w:bookmarkEnd w:id="36"/>
    </w:p>
    <w:p>
      <w:pPr>
        <w:spacing w:line="400" w:lineRule="exact"/>
        <w:ind w:firstLine="352" w:firstLineChars="147"/>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6.资格性审查:</w:t>
      </w:r>
    </w:p>
    <w:p>
      <w:pPr>
        <w:spacing w:line="400" w:lineRule="exact"/>
        <w:ind w:firstLine="352" w:firstLineChars="147"/>
        <w:rPr>
          <w:rFonts w:hint="eastAsia" w:ascii="仿宋" w:hAnsi="仿宋" w:eastAsia="仿宋" w:cs="仿宋"/>
          <w:color w:val="auto"/>
          <w:szCs w:val="21"/>
        </w:rPr>
      </w:pPr>
      <w:r>
        <w:rPr>
          <w:rFonts w:hint="eastAsia" w:ascii="仿宋" w:hAnsi="仿宋" w:eastAsia="仿宋" w:cs="仿宋"/>
          <w:color w:val="auto"/>
          <w:szCs w:val="21"/>
          <w:lang w:eastAsia="zh-CN"/>
        </w:rPr>
        <w:t>6</w:t>
      </w:r>
      <w:r>
        <w:rPr>
          <w:rFonts w:hint="eastAsia" w:ascii="仿宋" w:hAnsi="仿宋" w:eastAsia="仿宋" w:cs="仿宋"/>
          <w:color w:val="auto"/>
          <w:szCs w:val="21"/>
        </w:rPr>
        <w:t>.1评审细则</w:t>
      </w:r>
    </w:p>
    <w:tbl>
      <w:tblPr>
        <w:tblStyle w:val="2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547"/>
        <w:gridCol w:w="6649"/>
        <w:gridCol w:w="555"/>
        <w:gridCol w:w="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881" w:type="dxa"/>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项目</w:t>
            </w:r>
          </w:p>
        </w:tc>
        <w:tc>
          <w:tcPr>
            <w:tcW w:w="7196" w:type="dxa"/>
            <w:gridSpan w:val="2"/>
            <w:vMerge w:val="restart"/>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评审内容</w:t>
            </w:r>
          </w:p>
        </w:tc>
        <w:tc>
          <w:tcPr>
            <w:tcW w:w="1209" w:type="dxa"/>
            <w:gridSpan w:val="2"/>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881" w:type="dxa"/>
            <w:vMerge w:val="continue"/>
            <w:vAlign w:val="center"/>
          </w:tcPr>
          <w:p>
            <w:pPr>
              <w:rPr>
                <w:rFonts w:hint="eastAsia" w:ascii="仿宋" w:hAnsi="仿宋" w:eastAsia="仿宋" w:cs="仿宋"/>
                <w:color w:val="auto"/>
                <w:sz w:val="18"/>
                <w:szCs w:val="21"/>
              </w:rPr>
            </w:pPr>
          </w:p>
        </w:tc>
        <w:tc>
          <w:tcPr>
            <w:tcW w:w="7196" w:type="dxa"/>
            <w:gridSpan w:val="2"/>
            <w:vMerge w:val="continue"/>
          </w:tcPr>
          <w:p>
            <w:pPr>
              <w:rPr>
                <w:rFonts w:hint="eastAsia" w:ascii="仿宋" w:hAnsi="仿宋" w:eastAsia="仿宋" w:cs="仿宋"/>
                <w:color w:val="auto"/>
                <w:sz w:val="18"/>
                <w:szCs w:val="21"/>
              </w:rPr>
            </w:pPr>
          </w:p>
        </w:tc>
        <w:tc>
          <w:tcPr>
            <w:tcW w:w="555"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是</w:t>
            </w:r>
          </w:p>
        </w:tc>
        <w:tc>
          <w:tcPr>
            <w:tcW w:w="654" w:type="dxa"/>
            <w:vAlign w:val="center"/>
          </w:tcPr>
          <w:p>
            <w:pPr>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restart"/>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审</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查</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标</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准</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(适</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用</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于</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资</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格</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后</w:t>
            </w:r>
          </w:p>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审)</w:t>
            </w:r>
          </w:p>
        </w:tc>
        <w:tc>
          <w:tcPr>
            <w:tcW w:w="547"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b w:val="0"/>
                <w:bCs w:val="0"/>
                <w:i w:val="0"/>
                <w:iCs w:val="0"/>
                <w:caps w:val="0"/>
                <w:color w:val="auto"/>
                <w:spacing w:val="0"/>
                <w:sz w:val="24"/>
                <w:szCs w:val="24"/>
              </w:rPr>
              <w:t>供应商为中小企业</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1" w:type="dxa"/>
            <w:vMerge w:val="continue"/>
            <w:vAlign w:val="center"/>
          </w:tcPr>
          <w:p>
            <w:pPr>
              <w:jc w:val="center"/>
              <w:rPr>
                <w:rFonts w:hint="eastAsia" w:ascii="仿宋" w:hAnsi="仿宋" w:eastAsia="仿宋" w:cs="仿宋"/>
                <w:color w:val="auto"/>
                <w:szCs w:val="21"/>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6649" w:type="dxa"/>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（三证合一）营业执照</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法定代表人投标需提供法定代表人资格证明书，委托代理人投标需提供法定代表人授权委托书</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val="en-US" w:eastAsia="zh-CN" w:bidi="ar"/>
              </w:rPr>
              <w:t>参加政府采购活动前三年内，在经营活动中没有重大违法记录；</w:t>
            </w:r>
            <w:r>
              <w:rPr>
                <w:rFonts w:hint="eastAsia" w:ascii="仿宋" w:hAnsi="仿宋" w:eastAsia="仿宋" w:cs="仿宋"/>
                <w:color w:val="auto"/>
                <w:lang w:eastAsia="zh-CN" w:bidi="ar"/>
              </w:rPr>
              <w:t>未被“信用中国”（www.creditchina.gov.cn）、中国政府采购网（www.ccgp.gov.cn）列入失信被执行人、税收违法黑名单、政府采购严重违法失信行为记录名单</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lang w:eastAsia="zh-CN" w:bidi="ar"/>
              </w:rPr>
              <w:t>投标保证金收据或保函等票据</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6</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881" w:type="dxa"/>
            <w:vMerge w:val="continue"/>
            <w:vAlign w:val="center"/>
          </w:tcPr>
          <w:p>
            <w:pPr>
              <w:rPr>
                <w:rFonts w:hint="eastAsia" w:ascii="仿宋" w:hAnsi="仿宋" w:eastAsia="仿宋" w:cs="仿宋"/>
                <w:color w:val="auto"/>
                <w:lang w:eastAsia="zh-CN"/>
              </w:rPr>
            </w:pPr>
          </w:p>
        </w:tc>
        <w:tc>
          <w:tcPr>
            <w:tcW w:w="5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7</w:t>
            </w:r>
          </w:p>
        </w:tc>
        <w:tc>
          <w:tcPr>
            <w:tcW w:w="6649" w:type="dxa"/>
            <w:vAlign w:val="center"/>
          </w:tcPr>
          <w:p>
            <w:pPr>
              <w:widowControl/>
              <w:textAlignment w:val="center"/>
              <w:rPr>
                <w:rFonts w:hint="eastAsia" w:ascii="仿宋" w:hAnsi="仿宋" w:eastAsia="仿宋" w:cs="仿宋"/>
                <w:color w:val="auto"/>
                <w:lang w:eastAsia="zh-CN" w:bidi="ar"/>
              </w:rPr>
            </w:pPr>
            <w:r>
              <w:rPr>
                <w:rFonts w:hint="eastAsia" w:ascii="仿宋" w:hAnsi="仿宋" w:eastAsia="仿宋" w:cs="仿宋"/>
                <w:color w:val="auto"/>
                <w:sz w:val="24"/>
                <w:szCs w:val="24"/>
                <w:lang w:eastAsia="zh-CN"/>
              </w:rPr>
              <w:t>投标企业须提供投标人（被授权在职人员）近</w:t>
            </w:r>
            <w:r>
              <w:rPr>
                <w:rFonts w:hint="eastAsia" w:ascii="仿宋" w:hAnsi="仿宋" w:eastAsia="仿宋" w:cs="仿宋"/>
                <w:color w:val="auto"/>
                <w:sz w:val="24"/>
                <w:szCs w:val="24"/>
                <w:lang w:val="en-US" w:eastAsia="zh-CN"/>
              </w:rPr>
              <w:t>6个月有效</w:t>
            </w:r>
            <w:r>
              <w:rPr>
                <w:rFonts w:hint="eastAsia" w:ascii="仿宋" w:hAnsi="仿宋" w:eastAsia="仿宋" w:cs="仿宋"/>
                <w:color w:val="auto"/>
                <w:sz w:val="24"/>
                <w:szCs w:val="24"/>
                <w:lang w:eastAsia="zh-CN"/>
              </w:rPr>
              <w:t>社保证明；</w:t>
            </w:r>
          </w:p>
        </w:tc>
        <w:tc>
          <w:tcPr>
            <w:tcW w:w="555" w:type="dxa"/>
          </w:tcPr>
          <w:p>
            <w:pPr>
              <w:rPr>
                <w:rFonts w:hint="eastAsia" w:ascii="仿宋" w:hAnsi="仿宋" w:eastAsia="仿宋" w:cs="仿宋"/>
                <w:color w:val="auto"/>
                <w:szCs w:val="21"/>
                <w:lang w:eastAsia="zh-CN"/>
              </w:rPr>
            </w:pPr>
          </w:p>
        </w:tc>
        <w:tc>
          <w:tcPr>
            <w:tcW w:w="654" w:type="dxa"/>
          </w:tcPr>
          <w:p>
            <w:pP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81" w:type="dxa"/>
            <w:vMerge w:val="continue"/>
            <w:vAlign w:val="center"/>
          </w:tcPr>
          <w:p>
            <w:pPr>
              <w:jc w:val="center"/>
              <w:rPr>
                <w:rFonts w:hint="eastAsia" w:ascii="仿宋" w:hAnsi="仿宋" w:eastAsia="仿宋" w:cs="仿宋"/>
                <w:color w:val="auto"/>
                <w:szCs w:val="21"/>
                <w:lang w:eastAsia="zh-CN"/>
              </w:rPr>
            </w:pPr>
          </w:p>
        </w:tc>
        <w:tc>
          <w:tcPr>
            <w:tcW w:w="547" w:type="dxa"/>
          </w:tcPr>
          <w:p>
            <w:pPr>
              <w:spacing w:line="440" w:lineRule="exact"/>
              <w:rPr>
                <w:rFonts w:hint="eastAsia" w:ascii="仿宋" w:hAnsi="仿宋" w:eastAsia="仿宋" w:cs="仿宋"/>
                <w:color w:val="auto"/>
                <w:szCs w:val="21"/>
                <w:lang w:eastAsia="zh-CN"/>
              </w:rPr>
            </w:pPr>
          </w:p>
        </w:tc>
        <w:tc>
          <w:tcPr>
            <w:tcW w:w="6649" w:type="dxa"/>
          </w:tcPr>
          <w:p>
            <w:pPr>
              <w:rPr>
                <w:rFonts w:hint="eastAsia"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hint="eastAsia"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209" w:type="dxa"/>
            <w:gridSpan w:val="2"/>
          </w:tcPr>
          <w:p>
            <w:pPr>
              <w:rPr>
                <w:rFonts w:hint="eastAsia" w:ascii="仿宋" w:hAnsi="仿宋" w:eastAsia="仿宋" w:cs="仿宋"/>
                <w:color w:val="auto"/>
                <w:szCs w:val="21"/>
                <w:lang w:eastAsia="zh-CN"/>
              </w:rPr>
            </w:pPr>
          </w:p>
        </w:tc>
      </w:tr>
    </w:tbl>
    <w:p>
      <w:pPr>
        <w:spacing w:line="400" w:lineRule="exact"/>
        <w:ind w:firstLine="578" w:firstLineChars="241"/>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6.2如评标专家在检验电子标书过程中，如果由于投标人自身原因导致评标专家无法查看并检验电子标书中以上相关资料的，否决其投标。即使投标单位将原件携带至现场的，同样按无效投标处理。</w:t>
      </w:r>
    </w:p>
    <w:p>
      <w:pPr>
        <w:spacing w:before="156" w:beforeLines="50" w:line="440" w:lineRule="exact"/>
        <w:ind w:firstLine="352" w:firstLineChars="147"/>
        <w:rPr>
          <w:rFonts w:hint="eastAsia" w:ascii="仿宋" w:hAnsi="仿宋" w:eastAsia="仿宋" w:cs="仿宋"/>
          <w:b/>
          <w:color w:val="auto"/>
          <w:szCs w:val="21"/>
        </w:rPr>
      </w:pPr>
      <w:r>
        <w:rPr>
          <w:rFonts w:hint="eastAsia" w:ascii="仿宋" w:hAnsi="仿宋" w:eastAsia="仿宋" w:cs="仿宋"/>
          <w:b/>
          <w:color w:val="auto"/>
          <w:szCs w:val="21"/>
          <w:lang w:eastAsia="zh-CN"/>
        </w:rPr>
        <w:t>7</w:t>
      </w:r>
      <w:r>
        <w:rPr>
          <w:rFonts w:hint="eastAsia" w:ascii="仿宋" w:hAnsi="仿宋" w:eastAsia="仿宋" w:cs="仿宋"/>
          <w:b/>
          <w:color w:val="auto"/>
          <w:szCs w:val="21"/>
        </w:rPr>
        <w:t>.符合性审查</w:t>
      </w:r>
    </w:p>
    <w:p>
      <w:pPr>
        <w:spacing w:line="440" w:lineRule="exact"/>
        <w:ind w:firstLine="360" w:firstLineChars="150"/>
        <w:rPr>
          <w:rFonts w:hint="eastAsia" w:ascii="仿宋" w:hAnsi="仿宋" w:eastAsia="仿宋" w:cs="仿宋"/>
          <w:color w:val="auto"/>
          <w:szCs w:val="21"/>
        </w:rPr>
      </w:pPr>
      <w:r>
        <w:rPr>
          <w:rFonts w:hint="eastAsia" w:ascii="仿宋" w:hAnsi="仿宋" w:eastAsia="仿宋" w:cs="仿宋"/>
          <w:color w:val="auto"/>
          <w:szCs w:val="21"/>
          <w:lang w:eastAsia="zh-CN"/>
        </w:rPr>
        <w:t>7</w:t>
      </w:r>
      <w:r>
        <w:rPr>
          <w:rFonts w:hint="eastAsia" w:ascii="仿宋" w:hAnsi="仿宋" w:eastAsia="仿宋" w:cs="仿宋"/>
          <w:color w:val="auto"/>
          <w:szCs w:val="21"/>
        </w:rPr>
        <w:t>．1评审细则</w:t>
      </w:r>
    </w:p>
    <w:tbl>
      <w:tblPr>
        <w:tblStyle w:val="22"/>
        <w:tblpPr w:leftFromText="180" w:rightFromText="180" w:vertAnchor="text" w:horzAnchor="page" w:tblpX="1293" w:tblpY="544"/>
        <w:tblW w:w="94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94"/>
        <w:gridCol w:w="597"/>
        <w:gridCol w:w="6378"/>
        <w:gridCol w:w="749"/>
        <w:gridCol w:w="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0" w:hRule="atLeast"/>
        </w:trPr>
        <w:tc>
          <w:tcPr>
            <w:tcW w:w="1094" w:type="dxa"/>
            <w:vMerge w:val="restart"/>
            <w:tcBorders>
              <w:top w:val="single" w:color="auto" w:sz="4" w:space="0"/>
              <w:lef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项目</w:t>
            </w:r>
          </w:p>
        </w:tc>
        <w:tc>
          <w:tcPr>
            <w:tcW w:w="6975" w:type="dxa"/>
            <w:gridSpan w:val="2"/>
            <w:vMerge w:val="restart"/>
            <w:tcBorders>
              <w:top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评审内容</w:t>
            </w:r>
          </w:p>
        </w:tc>
        <w:tc>
          <w:tcPr>
            <w:tcW w:w="1366" w:type="dxa"/>
            <w:gridSpan w:val="2"/>
            <w:tcBorders>
              <w:top w:val="single" w:color="auto" w:sz="4" w:space="0"/>
              <w:righ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bottom w:val="single" w:color="auto" w:sz="4" w:space="0"/>
            </w:tcBorders>
            <w:vAlign w:val="center"/>
          </w:tcPr>
          <w:p>
            <w:pPr>
              <w:rPr>
                <w:rFonts w:hint="eastAsia" w:ascii="仿宋" w:hAnsi="仿宋" w:eastAsia="仿宋" w:cs="仿宋"/>
                <w:color w:val="auto"/>
              </w:rPr>
            </w:pPr>
          </w:p>
        </w:tc>
        <w:tc>
          <w:tcPr>
            <w:tcW w:w="6975" w:type="dxa"/>
            <w:gridSpan w:val="2"/>
            <w:vMerge w:val="continue"/>
            <w:tcBorders>
              <w:bottom w:val="single" w:color="auto" w:sz="4" w:space="0"/>
            </w:tcBorders>
          </w:tcPr>
          <w:p>
            <w:pPr>
              <w:rPr>
                <w:rFonts w:hint="eastAsia" w:ascii="仿宋" w:hAnsi="仿宋" w:eastAsia="仿宋" w:cs="仿宋"/>
                <w:color w:val="auto"/>
              </w:rPr>
            </w:pPr>
          </w:p>
        </w:tc>
        <w:tc>
          <w:tcPr>
            <w:tcW w:w="749" w:type="dxa"/>
            <w:vAlign w:val="center"/>
          </w:tcPr>
          <w:p>
            <w:pPr>
              <w:jc w:val="center"/>
              <w:rPr>
                <w:rFonts w:hint="eastAsia" w:ascii="仿宋" w:hAnsi="仿宋" w:eastAsia="仿宋" w:cs="仿宋"/>
                <w:b/>
                <w:color w:val="auto"/>
              </w:rPr>
            </w:pPr>
            <w:r>
              <w:rPr>
                <w:rFonts w:hint="eastAsia" w:ascii="仿宋" w:hAnsi="仿宋" w:eastAsia="仿宋" w:cs="仿宋"/>
                <w:b/>
                <w:color w:val="auto"/>
              </w:rPr>
              <w:t>是</w:t>
            </w:r>
          </w:p>
        </w:tc>
        <w:tc>
          <w:tcPr>
            <w:tcW w:w="617" w:type="dxa"/>
            <w:tcBorders>
              <w:right w:val="single" w:color="auto" w:sz="4" w:space="0"/>
            </w:tcBorders>
            <w:vAlign w:val="center"/>
          </w:tcPr>
          <w:p>
            <w:pPr>
              <w:jc w:val="center"/>
              <w:rPr>
                <w:rFonts w:hint="eastAsia" w:ascii="仿宋" w:hAnsi="仿宋" w:eastAsia="仿宋" w:cs="仿宋"/>
                <w:b/>
                <w:color w:val="auto"/>
              </w:rPr>
            </w:pPr>
            <w:r>
              <w:rPr>
                <w:rFonts w:hint="eastAsia" w:ascii="仿宋" w:hAnsi="仿宋" w:eastAsia="仿宋" w:cs="仿宋"/>
                <w:b/>
                <w:color w:val="auto"/>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0" w:hRule="atLeast"/>
        </w:trPr>
        <w:tc>
          <w:tcPr>
            <w:tcW w:w="1094" w:type="dxa"/>
            <w:vMerge w:val="restart"/>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审</w:t>
            </w:r>
          </w:p>
          <w:p>
            <w:pPr>
              <w:jc w:val="center"/>
              <w:rPr>
                <w:rFonts w:hint="eastAsia" w:ascii="仿宋" w:hAnsi="仿宋" w:eastAsia="仿宋" w:cs="仿宋"/>
                <w:color w:val="auto"/>
                <w:szCs w:val="21"/>
              </w:rPr>
            </w:pPr>
            <w:r>
              <w:rPr>
                <w:rFonts w:hint="eastAsia" w:ascii="仿宋" w:hAnsi="仿宋" w:eastAsia="仿宋" w:cs="仿宋"/>
                <w:color w:val="auto"/>
                <w:szCs w:val="21"/>
              </w:rPr>
              <w:t>查</w:t>
            </w:r>
          </w:p>
          <w:p>
            <w:pPr>
              <w:jc w:val="center"/>
              <w:rPr>
                <w:rFonts w:hint="eastAsia" w:ascii="仿宋" w:hAnsi="仿宋" w:eastAsia="仿宋" w:cs="仿宋"/>
                <w:color w:val="auto"/>
                <w:szCs w:val="21"/>
              </w:rPr>
            </w:pPr>
            <w:r>
              <w:rPr>
                <w:rFonts w:hint="eastAsia" w:ascii="仿宋" w:hAnsi="仿宋" w:eastAsia="仿宋" w:cs="仿宋"/>
                <w:color w:val="auto"/>
                <w:szCs w:val="21"/>
              </w:rPr>
              <w:t>标</w:t>
            </w:r>
          </w:p>
          <w:p>
            <w:pPr>
              <w:jc w:val="center"/>
              <w:rPr>
                <w:rFonts w:hint="eastAsia" w:ascii="仿宋" w:hAnsi="仿宋" w:eastAsia="仿宋" w:cs="仿宋"/>
                <w:color w:val="auto"/>
                <w:szCs w:val="21"/>
              </w:rPr>
            </w:pPr>
            <w:r>
              <w:rPr>
                <w:rFonts w:hint="eastAsia" w:ascii="仿宋" w:hAnsi="仿宋" w:eastAsia="仿宋" w:cs="仿宋"/>
                <w:color w:val="auto"/>
                <w:szCs w:val="21"/>
              </w:rPr>
              <w:t>准</w:t>
            </w:r>
          </w:p>
        </w:tc>
        <w:tc>
          <w:tcPr>
            <w:tcW w:w="59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1</w:t>
            </w:r>
          </w:p>
        </w:tc>
        <w:tc>
          <w:tcPr>
            <w:tcW w:w="6378"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由政府立项核准、审批的采购项目, 报价高于设定的采购预算价的；</w:t>
            </w:r>
          </w:p>
        </w:tc>
        <w:tc>
          <w:tcPr>
            <w:tcW w:w="749" w:type="dxa"/>
            <w:tcBorders>
              <w:left w:val="single" w:color="auto" w:sz="4" w:space="0"/>
              <w:right w:val="single" w:color="auto" w:sz="4" w:space="0"/>
            </w:tcBorders>
          </w:tcPr>
          <w:p>
            <w:pPr>
              <w:jc w:val="center"/>
              <w:rPr>
                <w:rFonts w:hint="eastAsia" w:ascii="仿宋" w:hAnsi="仿宋" w:eastAsia="仿宋" w:cs="仿宋"/>
                <w:b/>
                <w:color w:val="auto"/>
                <w:szCs w:val="21"/>
                <w:lang w:eastAsia="zh-CN"/>
              </w:rPr>
            </w:pPr>
          </w:p>
        </w:tc>
        <w:tc>
          <w:tcPr>
            <w:tcW w:w="617" w:type="dxa"/>
            <w:tcBorders>
              <w:left w:val="single" w:color="auto" w:sz="4" w:space="0"/>
              <w:right w:val="single" w:color="auto" w:sz="4" w:space="0"/>
            </w:tcBorders>
          </w:tcPr>
          <w:p>
            <w:pPr>
              <w:jc w:val="center"/>
              <w:rPr>
                <w:rFonts w:hint="eastAsia" w:ascii="仿宋" w:hAnsi="仿宋" w:eastAsia="仿宋" w:cs="仿宋"/>
                <w:b/>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2</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法定代表人身份证明及授权委托书有效，且符合招标文件规定的格式。</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3</w:t>
            </w:r>
          </w:p>
        </w:tc>
        <w:tc>
          <w:tcPr>
            <w:tcW w:w="6378" w:type="dxa"/>
            <w:tcBorders>
              <w:top w:val="single" w:color="auto" w:sz="4" w:space="0"/>
              <w:left w:val="single" w:color="auto" w:sz="4" w:space="0"/>
              <w:right w:val="single" w:color="auto" w:sz="4" w:space="0"/>
            </w:tcBorders>
            <w:vAlign w:val="center"/>
          </w:tcPr>
          <w:p>
            <w:pPr>
              <w:widowControl/>
              <w:textAlignment w:val="center"/>
              <w:rPr>
                <w:rFonts w:hint="eastAsia" w:ascii="仿宋" w:hAnsi="仿宋" w:eastAsia="仿宋" w:cs="仿宋"/>
                <w:color w:val="auto"/>
              </w:rPr>
            </w:pPr>
            <w:r>
              <w:rPr>
                <w:rFonts w:hint="eastAsia" w:ascii="仿宋" w:hAnsi="仿宋" w:eastAsia="仿宋" w:cs="仿宋"/>
                <w:color w:val="auto"/>
                <w:lang w:bidi="ar"/>
              </w:rPr>
              <w:t>只有一个方案投标。</w:t>
            </w:r>
          </w:p>
        </w:tc>
        <w:tc>
          <w:tcPr>
            <w:tcW w:w="749" w:type="dxa"/>
            <w:tcBorders>
              <w:left w:val="single" w:color="auto" w:sz="4" w:space="0"/>
            </w:tcBorders>
          </w:tcPr>
          <w:p>
            <w:pPr>
              <w:rPr>
                <w:rFonts w:hint="eastAsia" w:ascii="仿宋" w:hAnsi="仿宋" w:eastAsia="仿宋" w:cs="仿宋"/>
                <w:color w:val="auto"/>
                <w:szCs w:val="21"/>
              </w:rPr>
            </w:pPr>
          </w:p>
        </w:tc>
        <w:tc>
          <w:tcPr>
            <w:tcW w:w="617" w:type="dxa"/>
            <w:tcBorders>
              <w:right w:val="single" w:color="auto" w:sz="4" w:space="0"/>
            </w:tcBorders>
          </w:tcPr>
          <w:p>
            <w:pP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8"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lang w:eastAsia="zh-CN"/>
              </w:rPr>
              <w:t>4</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投标文件</w:t>
            </w:r>
            <w:r>
              <w:rPr>
                <w:rFonts w:hint="eastAsia" w:ascii="仿宋" w:hAnsi="仿宋" w:eastAsia="仿宋" w:cs="仿宋"/>
                <w:color w:val="auto"/>
                <w:lang w:val="en-US" w:eastAsia="zh-CN" w:bidi="ar"/>
              </w:rPr>
              <w:t>签字、盖章</w:t>
            </w:r>
            <w:r>
              <w:rPr>
                <w:rFonts w:hint="eastAsia" w:ascii="仿宋" w:hAnsi="仿宋" w:eastAsia="仿宋" w:cs="仿宋"/>
                <w:color w:val="auto"/>
                <w:lang w:eastAsia="zh-CN" w:bidi="ar"/>
              </w:rPr>
              <w:t>齐全、无遗漏。</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1"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bottom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5</w:t>
            </w:r>
          </w:p>
        </w:tc>
        <w:tc>
          <w:tcPr>
            <w:tcW w:w="6378" w:type="dxa"/>
            <w:tcBorders>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对招标文件规定的招标内容全部作出响应。</w:t>
            </w:r>
          </w:p>
        </w:tc>
        <w:tc>
          <w:tcPr>
            <w:tcW w:w="749" w:type="dxa"/>
            <w:tcBorders>
              <w:left w:val="single" w:color="auto" w:sz="4" w:space="0"/>
              <w:bottom w:val="single" w:color="auto" w:sz="4" w:space="0"/>
            </w:tcBorders>
          </w:tcPr>
          <w:p>
            <w:pPr>
              <w:rPr>
                <w:rFonts w:hint="eastAsia" w:ascii="仿宋" w:hAnsi="仿宋" w:eastAsia="仿宋" w:cs="仿宋"/>
                <w:color w:val="auto"/>
                <w:szCs w:val="21"/>
                <w:lang w:eastAsia="zh-CN"/>
              </w:rPr>
            </w:pPr>
          </w:p>
        </w:tc>
        <w:tc>
          <w:tcPr>
            <w:tcW w:w="617" w:type="dxa"/>
            <w:tcBorders>
              <w:bottom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6</w:t>
            </w:r>
          </w:p>
        </w:tc>
        <w:tc>
          <w:tcPr>
            <w:tcW w:w="6378"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满足招标文件提出的技术和质量要求。</w:t>
            </w:r>
          </w:p>
        </w:tc>
        <w:tc>
          <w:tcPr>
            <w:tcW w:w="749"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c>
          <w:tcPr>
            <w:tcW w:w="617" w:type="dxa"/>
            <w:tcBorders>
              <w:top w:val="single" w:color="auto" w:sz="4" w:space="0"/>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top w:val="single" w:color="auto" w:sz="4" w:space="0"/>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7</w:t>
            </w:r>
          </w:p>
        </w:tc>
        <w:tc>
          <w:tcPr>
            <w:tcW w:w="6378" w:type="dxa"/>
            <w:tcBorders>
              <w:top w:val="single" w:color="auto" w:sz="4" w:space="0"/>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完成期限满足招标文件要求。</w:t>
            </w:r>
          </w:p>
        </w:tc>
        <w:tc>
          <w:tcPr>
            <w:tcW w:w="749" w:type="dxa"/>
            <w:tcBorders>
              <w:top w:val="single" w:color="auto" w:sz="4" w:space="0"/>
              <w:left w:val="single" w:color="auto" w:sz="4" w:space="0"/>
            </w:tcBorders>
          </w:tcPr>
          <w:p>
            <w:pPr>
              <w:rPr>
                <w:rFonts w:hint="eastAsia" w:ascii="仿宋" w:hAnsi="仿宋" w:eastAsia="仿宋" w:cs="仿宋"/>
                <w:color w:val="auto"/>
                <w:szCs w:val="21"/>
                <w:lang w:eastAsia="zh-CN"/>
              </w:rPr>
            </w:pPr>
          </w:p>
        </w:tc>
        <w:tc>
          <w:tcPr>
            <w:tcW w:w="617" w:type="dxa"/>
            <w:tcBorders>
              <w:top w:val="single" w:color="auto" w:sz="4" w:space="0"/>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8"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8</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售后服务满足招标文件要求。</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color w:val="auto"/>
              </w:rPr>
            </w:pPr>
            <w:r>
              <w:rPr>
                <w:rFonts w:hint="eastAsia" w:ascii="仿宋" w:hAnsi="仿宋" w:eastAsia="仿宋" w:cs="仿宋"/>
                <w:color w:val="auto"/>
              </w:rPr>
              <w:t>9</w:t>
            </w:r>
          </w:p>
        </w:tc>
        <w:tc>
          <w:tcPr>
            <w:tcW w:w="6378" w:type="dxa"/>
            <w:tcBorders>
              <w:right w:val="single" w:color="auto" w:sz="4" w:space="0"/>
            </w:tcBorders>
            <w:vAlign w:val="center"/>
          </w:tcPr>
          <w:p>
            <w:pPr>
              <w:widowControl/>
              <w:textAlignment w:val="center"/>
              <w:rPr>
                <w:rFonts w:hint="eastAsia" w:ascii="仿宋" w:hAnsi="仿宋" w:eastAsia="仿宋" w:cs="仿宋"/>
                <w:color w:val="auto"/>
                <w:lang w:eastAsia="zh-CN"/>
              </w:rPr>
            </w:pPr>
            <w:r>
              <w:rPr>
                <w:rFonts w:hint="eastAsia" w:ascii="仿宋" w:hAnsi="仿宋" w:eastAsia="仿宋" w:cs="仿宋"/>
                <w:color w:val="auto"/>
                <w:lang w:eastAsia="zh-CN" w:bidi="ar"/>
              </w:rPr>
              <w:t>投标有效期满足招标文件要求。</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94" w:type="dxa"/>
            <w:vMerge w:val="continue"/>
            <w:tcBorders>
              <w:left w:val="single" w:color="auto" w:sz="4" w:space="0"/>
              <w:right w:val="single" w:color="auto" w:sz="4" w:space="0"/>
            </w:tcBorders>
            <w:vAlign w:val="center"/>
          </w:tcPr>
          <w:p>
            <w:pPr>
              <w:rPr>
                <w:rFonts w:hint="eastAsia" w:ascii="仿宋" w:hAnsi="仿宋" w:eastAsia="仿宋" w:cs="仿宋"/>
                <w:color w:val="auto"/>
                <w:lang w:eastAsia="zh-CN"/>
              </w:rPr>
            </w:pPr>
          </w:p>
        </w:tc>
        <w:tc>
          <w:tcPr>
            <w:tcW w:w="597" w:type="dxa"/>
            <w:tcBorders>
              <w:left w:val="single" w:color="auto" w:sz="4" w:space="0"/>
            </w:tcBorders>
            <w:vAlign w:val="center"/>
          </w:tcPr>
          <w:p>
            <w:pPr>
              <w:jc w:val="center"/>
              <w:rPr>
                <w:rFonts w:hint="eastAsia" w:ascii="仿宋" w:hAnsi="仿宋" w:eastAsia="仿宋" w:cs="仿宋"/>
                <w:b w:val="0"/>
                <w:bCs w:val="0"/>
                <w:color w:val="auto"/>
              </w:rPr>
            </w:pPr>
            <w:r>
              <w:rPr>
                <w:rFonts w:hint="eastAsia" w:ascii="仿宋" w:hAnsi="仿宋" w:eastAsia="仿宋" w:cs="仿宋"/>
                <w:b w:val="0"/>
                <w:bCs w:val="0"/>
                <w:color w:val="auto"/>
              </w:rPr>
              <w:t>10</w:t>
            </w:r>
          </w:p>
        </w:tc>
        <w:tc>
          <w:tcPr>
            <w:tcW w:w="6378" w:type="dxa"/>
            <w:tcBorders>
              <w:right w:val="single" w:color="auto" w:sz="4" w:space="0"/>
            </w:tcBorders>
            <w:vAlign w:val="center"/>
          </w:tcPr>
          <w:p>
            <w:pPr>
              <w:widowControl/>
              <w:textAlignment w:val="center"/>
              <w:rPr>
                <w:rFonts w:hint="eastAsia" w:ascii="仿宋" w:hAnsi="仿宋" w:eastAsia="仿宋" w:cs="仿宋"/>
                <w:b w:val="0"/>
                <w:bCs w:val="0"/>
                <w:color w:val="auto"/>
                <w:lang w:eastAsia="zh-CN"/>
              </w:rPr>
            </w:pPr>
            <w:r>
              <w:rPr>
                <w:rFonts w:hint="eastAsia" w:ascii="仿宋" w:hAnsi="仿宋" w:eastAsia="仿宋" w:cs="仿宋"/>
                <w:b w:val="0"/>
                <w:bCs w:val="0"/>
                <w:color w:val="auto"/>
                <w:lang w:eastAsia="zh-CN" w:bidi="ar"/>
              </w:rPr>
              <w:t>投标人详细地址、联系人、电话</w:t>
            </w:r>
          </w:p>
        </w:tc>
        <w:tc>
          <w:tcPr>
            <w:tcW w:w="749" w:type="dxa"/>
            <w:tcBorders>
              <w:left w:val="single" w:color="auto" w:sz="4" w:space="0"/>
            </w:tcBorders>
          </w:tcPr>
          <w:p>
            <w:pPr>
              <w:rPr>
                <w:rFonts w:hint="eastAsia" w:ascii="仿宋" w:hAnsi="仿宋" w:eastAsia="仿宋" w:cs="仿宋"/>
                <w:color w:val="auto"/>
                <w:szCs w:val="21"/>
                <w:lang w:eastAsia="zh-CN"/>
              </w:rPr>
            </w:pPr>
          </w:p>
        </w:tc>
        <w:tc>
          <w:tcPr>
            <w:tcW w:w="617" w:type="dxa"/>
            <w:tcBorders>
              <w:right w:val="single" w:color="auto" w:sz="4" w:space="0"/>
            </w:tcBorders>
          </w:tcPr>
          <w:p>
            <w:pPr>
              <w:rPr>
                <w:rFonts w:hint="eastAsia" w:ascii="仿宋" w:hAnsi="仿宋" w:eastAsia="仿宋" w:cs="仿宋"/>
                <w:color w:val="auto"/>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atLeast"/>
        </w:trPr>
        <w:tc>
          <w:tcPr>
            <w:tcW w:w="1094" w:type="dxa"/>
            <w:tcBorders>
              <w:left w:val="single" w:color="auto" w:sz="4" w:space="0"/>
              <w:bottom w:val="single" w:color="auto" w:sz="4" w:space="0"/>
              <w:right w:val="single" w:color="auto" w:sz="4" w:space="0"/>
            </w:tcBorders>
            <w:vAlign w:val="center"/>
          </w:tcPr>
          <w:p>
            <w:pPr>
              <w:jc w:val="center"/>
              <w:rPr>
                <w:rFonts w:hint="eastAsia" w:ascii="仿宋" w:hAnsi="仿宋" w:eastAsia="仿宋" w:cs="仿宋"/>
                <w:color w:val="auto"/>
                <w:szCs w:val="21"/>
                <w:lang w:eastAsia="zh-CN"/>
              </w:rPr>
            </w:pPr>
          </w:p>
        </w:tc>
        <w:tc>
          <w:tcPr>
            <w:tcW w:w="6975" w:type="dxa"/>
            <w:gridSpan w:val="2"/>
            <w:tcBorders>
              <w:left w:val="single" w:color="auto" w:sz="4" w:space="0"/>
              <w:bottom w:val="single" w:color="auto" w:sz="4" w:space="0"/>
              <w:right w:val="single" w:color="auto" w:sz="4" w:space="0"/>
            </w:tcBorders>
          </w:tcPr>
          <w:p>
            <w:pPr>
              <w:rPr>
                <w:rFonts w:hint="eastAsia" w:ascii="仿宋" w:hAnsi="仿宋" w:eastAsia="仿宋" w:cs="仿宋"/>
                <w:color w:val="auto"/>
                <w:lang w:eastAsia="zh-CN"/>
              </w:rPr>
            </w:pPr>
            <w:r>
              <w:rPr>
                <w:rFonts w:hint="eastAsia" w:ascii="仿宋" w:hAnsi="仿宋" w:eastAsia="仿宋" w:cs="仿宋"/>
                <w:color w:val="auto"/>
                <w:lang w:eastAsia="zh-CN"/>
              </w:rPr>
              <w:t>结论：是否通过评审（须填写通过或不通过）</w:t>
            </w:r>
          </w:p>
          <w:p>
            <w:pPr>
              <w:rPr>
                <w:rFonts w:hint="eastAsia" w:ascii="仿宋" w:hAnsi="仿宋" w:eastAsia="仿宋" w:cs="仿宋"/>
                <w:color w:val="auto"/>
                <w:lang w:eastAsia="zh-CN"/>
              </w:rPr>
            </w:pPr>
            <w:r>
              <w:rPr>
                <w:rFonts w:hint="eastAsia" w:ascii="仿宋" w:hAnsi="仿宋" w:eastAsia="仿宋" w:cs="仿宋"/>
                <w:color w:val="auto"/>
                <w:lang w:eastAsia="zh-CN"/>
              </w:rPr>
              <w:t>注：如有一项不合格，作废标处理。</w:t>
            </w:r>
          </w:p>
        </w:tc>
        <w:tc>
          <w:tcPr>
            <w:tcW w:w="1366" w:type="dxa"/>
            <w:gridSpan w:val="2"/>
            <w:tcBorders>
              <w:left w:val="single" w:color="auto" w:sz="4" w:space="0"/>
              <w:bottom w:val="single" w:color="auto" w:sz="4" w:space="0"/>
              <w:right w:val="single" w:color="auto" w:sz="4" w:space="0"/>
            </w:tcBorders>
          </w:tcPr>
          <w:p>
            <w:pPr>
              <w:rPr>
                <w:rFonts w:hint="eastAsia" w:ascii="仿宋" w:hAnsi="仿宋" w:eastAsia="仿宋" w:cs="仿宋"/>
                <w:color w:val="auto"/>
                <w:szCs w:val="21"/>
                <w:lang w:eastAsia="zh-CN"/>
              </w:rPr>
            </w:pPr>
          </w:p>
        </w:tc>
      </w:tr>
    </w:tbl>
    <w:p>
      <w:pPr>
        <w:rPr>
          <w:rFonts w:hint="eastAsia" w:ascii="仿宋" w:hAnsi="仿宋" w:eastAsia="仿宋" w:cs="仿宋"/>
          <w:color w:val="auto"/>
          <w:lang w:eastAsia="zh-CN"/>
        </w:rPr>
      </w:pPr>
    </w:p>
    <w:p>
      <w:pPr>
        <w:keepNext w:val="0"/>
        <w:keepLines w:val="0"/>
        <w:pageBreakBefore w:val="0"/>
        <w:widowControl w:val="0"/>
        <w:kinsoku/>
        <w:wordWrap/>
        <w:overflowPunct/>
        <w:topLinePunct w:val="0"/>
        <w:autoSpaceDE/>
        <w:autoSpaceDN/>
        <w:bidi w:val="0"/>
        <w:adjustRightInd/>
        <w:snapToGrid/>
        <w:spacing w:line="330" w:lineRule="exact"/>
        <w:ind w:firstLine="578" w:firstLineChars="241"/>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7.2评委会判定投标文件的响应性只根据投标文件本身的内容，而不寻求外部的证据，但投标有不真实不正确的内容时除外。</w:t>
      </w:r>
    </w:p>
    <w:p>
      <w:pPr>
        <w:keepNext w:val="0"/>
        <w:keepLines w:val="0"/>
        <w:pageBreakBefore w:val="0"/>
        <w:widowControl w:val="0"/>
        <w:kinsoku/>
        <w:wordWrap/>
        <w:overflowPunct/>
        <w:topLinePunct w:val="0"/>
        <w:autoSpaceDE/>
        <w:autoSpaceDN/>
        <w:bidi w:val="0"/>
        <w:adjustRightInd/>
        <w:snapToGrid/>
        <w:spacing w:line="330" w:lineRule="exact"/>
        <w:ind w:firstLine="578" w:firstLineChars="241"/>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7.3如果投标文件实质上没有响应采购文件的要求，评委会将予以拒绝，投标人不得通过修正或撤销不符合要求的偏离或保留，而使其投标成为实质上响应的投标。</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7.4投标人可在现场20分钟内对评标委员会的评审结论提出异议，评标委员会根据采购文件及有关规定对投标人的异议进行复议</w:t>
      </w:r>
    </w:p>
    <w:p>
      <w:pPr>
        <w:keepNext w:val="0"/>
        <w:keepLines w:val="0"/>
        <w:pageBreakBefore w:val="0"/>
        <w:widowControl w:val="0"/>
        <w:kinsoku/>
        <w:wordWrap/>
        <w:overflowPunct/>
        <w:topLinePunct w:val="0"/>
        <w:autoSpaceDE/>
        <w:autoSpaceDN/>
        <w:bidi w:val="0"/>
        <w:adjustRightInd/>
        <w:snapToGrid/>
        <w:spacing w:line="330" w:lineRule="exact"/>
        <w:ind w:firstLine="600" w:firstLineChars="25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7.5只有通过初审的投标人才能进入下一步评标程序。</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b/>
          <w:color w:val="auto"/>
          <w:szCs w:val="21"/>
          <w:lang w:eastAsia="zh-CN"/>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keepNext w:val="0"/>
        <w:keepLines w:val="0"/>
        <w:pageBreakBefore w:val="0"/>
        <w:widowControl w:val="0"/>
        <w:kinsoku/>
        <w:wordWrap/>
        <w:overflowPunct/>
        <w:topLinePunct w:val="0"/>
        <w:autoSpaceDE/>
        <w:autoSpaceDN/>
        <w:bidi w:val="0"/>
        <w:adjustRightInd/>
        <w:snapToGrid/>
        <w:spacing w:before="156" w:beforeLines="50" w:line="330" w:lineRule="exact"/>
        <w:jc w:val="center"/>
        <w:textAlignment w:val="auto"/>
        <w:outlineLvl w:val="1"/>
        <w:rPr>
          <w:rFonts w:hint="eastAsia" w:ascii="仿宋" w:hAnsi="仿宋" w:eastAsia="仿宋" w:cs="仿宋"/>
          <w:b/>
          <w:color w:val="auto"/>
          <w:lang w:eastAsia="zh-CN"/>
        </w:rPr>
      </w:pPr>
      <w:bookmarkStart w:id="39" w:name="_Toc362983803"/>
      <w:bookmarkStart w:id="40" w:name="_Toc469495734"/>
      <w:r>
        <w:rPr>
          <w:rFonts w:hint="eastAsia" w:ascii="仿宋" w:hAnsi="仿宋" w:eastAsia="仿宋" w:cs="仿宋"/>
          <w:b/>
          <w:color w:val="auto"/>
          <w:sz w:val="28"/>
          <w:szCs w:val="28"/>
          <w:lang w:eastAsia="zh-CN"/>
        </w:rPr>
        <w:t xml:space="preserve">三  </w:t>
      </w:r>
      <w:r>
        <w:rPr>
          <w:rFonts w:hint="eastAsia" w:ascii="仿宋" w:hAnsi="仿宋" w:eastAsia="仿宋" w:cs="仿宋"/>
          <w:b/>
          <w:color w:val="auto"/>
          <w:lang w:eastAsia="zh-CN"/>
        </w:rPr>
        <w:t>投标文件的澄清和补正</w:t>
      </w:r>
      <w:bookmarkEnd w:id="39"/>
      <w:bookmarkEnd w:id="40"/>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8．澄清、说明或补正的形式</w:t>
      </w:r>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9．错误修正的原则</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电子交易平台客户端里开标一览表录入的投标报价或优惠率与扫描上传的报价文件信息不一致的，以扫描上传的报价文件信息为准进行修正。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投标文件报价出现前后不一致的，除采购文件另有规定外，按照下列规定修正：</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9.1 投标函中表述的内容与报价表中不一致的，以报价表为准；报价表中的内容与报价明细表不一致的，以报价表为准；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9.2 投标文件中的大写金额和小写金额不一致的，以大写金额为准；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9.3 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9.4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9.5 若用文字表示的数值与用数字表示的数值不一致，以文字表示的数值为准；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9.6 如有多报（指数量超出采购文件需求）、重报（指同一货物重复报价），其投标总价在评标过程中不予调整，如其中标，其合同价按其投标单价予以调整；</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9.7 对不同文字文本投标文件的解释发生异议的，以中文文本为准；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lang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keepNext w:val="0"/>
        <w:keepLines w:val="0"/>
        <w:pageBreakBefore w:val="0"/>
        <w:widowControl w:val="0"/>
        <w:kinsoku/>
        <w:wordWrap/>
        <w:overflowPunct/>
        <w:topLinePunct w:val="0"/>
        <w:autoSpaceDE/>
        <w:autoSpaceDN/>
        <w:bidi w:val="0"/>
        <w:adjustRightInd/>
        <w:snapToGrid/>
        <w:spacing w:line="330" w:lineRule="exact"/>
        <w:jc w:val="center"/>
        <w:textAlignment w:val="auto"/>
        <w:outlineLvl w:val="1"/>
        <w:rPr>
          <w:rFonts w:hint="eastAsia" w:ascii="仿宋" w:hAnsi="仿宋" w:eastAsia="仿宋" w:cs="仿宋"/>
          <w:b/>
          <w:color w:val="auto"/>
          <w:lang w:eastAsia="zh-CN"/>
        </w:rPr>
      </w:pPr>
      <w:bookmarkStart w:id="41" w:name="_Toc469495735"/>
      <w:r>
        <w:rPr>
          <w:rFonts w:hint="eastAsia" w:ascii="仿宋" w:hAnsi="仿宋" w:eastAsia="仿宋" w:cs="仿宋"/>
          <w:b/>
          <w:color w:val="auto"/>
          <w:lang w:eastAsia="zh-CN"/>
        </w:rPr>
        <w:t>四 比较与评价</w:t>
      </w:r>
      <w:bookmarkEnd w:id="41"/>
    </w:p>
    <w:p>
      <w:pPr>
        <w:keepNext w:val="0"/>
        <w:keepLines w:val="0"/>
        <w:pageBreakBefore w:val="0"/>
        <w:widowControl w:val="0"/>
        <w:tabs>
          <w:tab w:val="left" w:pos="720"/>
        </w:tabs>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bookmarkStart w:id="42" w:name="_Toc469495736"/>
      <w:bookmarkStart w:id="43" w:name="_Toc362983805"/>
      <w:r>
        <w:rPr>
          <w:rFonts w:hint="eastAsia" w:ascii="仿宋" w:hAnsi="仿宋" w:eastAsia="仿宋" w:cs="仿宋"/>
          <w:color w:val="auto"/>
          <w:szCs w:val="21"/>
          <w:lang w:eastAsia="zh-CN" w:bidi="ar-SA"/>
        </w:rPr>
        <w:t>10.1评标委员会按招标文件中规定的评标方法和标准，对资格性检查和符合性检查合格的投标文件进行商务和技术评估、综合比较与评价。</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10.2评标委员会根据商务和技术评估的结果，采用综合评分法，分别对投标文件的商务、技术、价格等内容进行打分。其中，商务评估、技术评估、价格评估的评分权值（详见附件1）。</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bCs/>
          <w:color w:val="auto"/>
          <w:szCs w:val="21"/>
          <w:lang w:eastAsia="zh-CN" w:bidi="ar-SA"/>
        </w:rPr>
      </w:pPr>
      <w:r>
        <w:rPr>
          <w:rFonts w:hint="eastAsia" w:ascii="仿宋" w:hAnsi="仿宋" w:eastAsia="仿宋" w:cs="仿宋"/>
          <w:color w:val="auto"/>
          <w:szCs w:val="21"/>
          <w:lang w:eastAsia="zh-CN" w:bidi="ar-SA"/>
        </w:rPr>
        <w:t>10.</w:t>
      </w:r>
      <w:r>
        <w:rPr>
          <w:rFonts w:hint="eastAsia" w:ascii="仿宋" w:hAnsi="仿宋" w:eastAsia="仿宋" w:cs="仿宋"/>
          <w:bCs/>
          <w:color w:val="auto"/>
          <w:szCs w:val="21"/>
          <w:lang w:eastAsia="zh-CN" w:bidi="ar-SA"/>
        </w:rPr>
        <w:t>2.1评委打分办法</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bCs/>
          <w:color w:val="auto"/>
          <w:szCs w:val="21"/>
          <w:lang w:eastAsia="zh-CN" w:bidi="ar-SA"/>
        </w:rPr>
        <w:t>（1）</w:t>
      </w:r>
      <w:r>
        <w:rPr>
          <w:rFonts w:hint="eastAsia" w:ascii="仿宋" w:hAnsi="仿宋" w:eastAsia="仿宋" w:cs="仿宋"/>
          <w:color w:val="auto"/>
          <w:szCs w:val="21"/>
          <w:lang w:eastAsia="zh-CN" w:bidi="ar-SA"/>
        </w:rPr>
        <w:t>参加评分的评委应尽力体现客观、实事求是，避免学派偏见和个人偏好。</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（2）衡量、对比的依据，应以招标文件、投标文件、提供的正式试验数据、质询澄清中的文字为准，口头回答和收集的资料只作为参考。</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（3）评分主要是为比较各投标人的价格、商务和技术综合排序。</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（4）评委打分采取记名形式。</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（5）各评委根据提供的技术打分表独立自主打分，任何人不得要求评委统一打分或统一确定等次顺序。</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（6）对打分表中的每项条款，各评委应根据投标文件、澄清材料、招标文件要求，按满足的程度给投标人打分。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（7）评分程序</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1)就投标人的投标文件对照整理出商务、技术评标因素对比表、偏差表，并在经过校核的基础上逐项打分。</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2)各评委独立完成打分后，将评分表交给代理机构，由代理机构组织进行分数统计。</w:t>
      </w:r>
    </w:p>
    <w:p>
      <w:pPr>
        <w:keepNext w:val="0"/>
        <w:keepLines w:val="0"/>
        <w:pageBreakBefore w:val="0"/>
        <w:widowControl w:val="0"/>
        <w:kinsoku/>
        <w:wordWrap/>
        <w:overflowPunct/>
        <w:topLinePunct w:val="0"/>
        <w:autoSpaceDE/>
        <w:autoSpaceDN/>
        <w:bidi w:val="0"/>
        <w:adjustRightInd/>
        <w:snapToGrid/>
        <w:spacing w:line="330" w:lineRule="exact"/>
        <w:ind w:firstLine="480" w:firstLineChars="2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3)最终汇总表中各投标人得分应为评委打分的算术平均值。</w:t>
      </w:r>
    </w:p>
    <w:p>
      <w:pPr>
        <w:keepNext w:val="0"/>
        <w:keepLines w:val="0"/>
        <w:pageBreakBefore w:val="0"/>
        <w:widowControl w:val="0"/>
        <w:kinsoku/>
        <w:wordWrap/>
        <w:overflowPunct/>
        <w:topLinePunct w:val="0"/>
        <w:autoSpaceDE/>
        <w:autoSpaceDN/>
        <w:bidi w:val="0"/>
        <w:adjustRightInd/>
        <w:snapToGrid/>
        <w:spacing w:line="330" w:lineRule="exact"/>
        <w:ind w:firstLine="240" w:firstLineChars="100"/>
        <w:textAlignment w:val="auto"/>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（8）评分标准和细则（综合评分法评分标准）</w:t>
      </w:r>
    </w:p>
    <w:p>
      <w:pPr>
        <w:pStyle w:val="9"/>
        <w:jc w:val="center"/>
        <w:rPr>
          <w:rFonts w:hint="eastAsia" w:ascii="仿宋" w:hAnsi="仿宋" w:eastAsia="仿宋" w:cs="仿宋"/>
          <w:b/>
          <w:bCs/>
          <w:color w:val="auto"/>
          <w:kern w:val="2"/>
          <w:sz w:val="24"/>
          <w:szCs w:val="24"/>
          <w:highlight w:val="none"/>
          <w:lang w:val="en-US" w:eastAsia="zh-CN" w:bidi="ar-SA"/>
        </w:rPr>
      </w:pPr>
    </w:p>
    <w:p>
      <w:pPr>
        <w:pStyle w:val="9"/>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评分标准</w:t>
      </w:r>
    </w:p>
    <w:tbl>
      <w:tblPr>
        <w:tblStyle w:val="22"/>
        <w:tblW w:w="10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1715"/>
        <w:gridCol w:w="7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243" w:type="dxa"/>
            <w:vAlign w:val="center"/>
          </w:tcPr>
          <w:p>
            <w:pPr>
              <w:spacing w:line="440" w:lineRule="exact"/>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评分因素</w:t>
            </w:r>
          </w:p>
        </w:tc>
        <w:tc>
          <w:tcPr>
            <w:tcW w:w="1715" w:type="dxa"/>
            <w:vAlign w:val="center"/>
          </w:tcPr>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分值</w:t>
            </w:r>
          </w:p>
        </w:tc>
        <w:tc>
          <w:tcPr>
            <w:tcW w:w="7269" w:type="dxa"/>
            <w:vAlign w:val="center"/>
          </w:tcPr>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243" w:type="dxa"/>
            <w:vAlign w:val="center"/>
          </w:tcPr>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报价得分</w:t>
            </w:r>
          </w:p>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1715" w:type="dxa"/>
            <w:vAlign w:val="center"/>
          </w:tcPr>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val="en-US" w:eastAsia="zh-CN" w:bidi="ar-SA"/>
              </w:rPr>
              <w:t>30</w:t>
            </w:r>
            <w:r>
              <w:rPr>
                <w:rFonts w:hint="eastAsia" w:ascii="仿宋" w:hAnsi="仿宋" w:eastAsia="仿宋" w:cs="仿宋"/>
                <w:color w:val="auto"/>
                <w:sz w:val="21"/>
                <w:szCs w:val="21"/>
                <w:lang w:eastAsia="zh-CN" w:bidi="ar-SA"/>
              </w:rPr>
              <w:t>分</w:t>
            </w:r>
          </w:p>
        </w:tc>
        <w:tc>
          <w:tcPr>
            <w:tcW w:w="7269" w:type="dxa"/>
          </w:tcPr>
          <w:p>
            <w:pPr>
              <w:spacing w:line="440" w:lineRule="exact"/>
              <w:rPr>
                <w:rFonts w:hint="eastAsia" w:ascii="仿宋" w:hAnsi="仿宋" w:eastAsia="仿宋" w:cs="仿宋"/>
                <w:color w:val="auto"/>
                <w:sz w:val="21"/>
                <w:szCs w:val="21"/>
                <w:lang w:eastAsia="zh-CN" w:bidi="ar-SA"/>
              </w:rPr>
            </w:pPr>
            <w:r>
              <w:rPr>
                <w:rFonts w:hint="eastAsia" w:ascii="仿宋" w:hAnsi="仿宋" w:eastAsia="仿宋" w:cs="仿宋"/>
                <w:b w:val="0"/>
                <w:bCs w:val="0"/>
                <w:color w:val="auto"/>
                <w:sz w:val="21"/>
                <w:szCs w:val="21"/>
                <w:highlight w:val="none"/>
                <w:lang w:eastAsia="zh-CN"/>
              </w:rPr>
              <w:t>价格分应当采用低价优先法计算，满足招标文件要求且报价最低的为评审基准价，价格得分=（评审基准价/投标报价）×价格权值*100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8" w:hRule="atLeast"/>
          <w:jc w:val="center"/>
        </w:trPr>
        <w:tc>
          <w:tcPr>
            <w:tcW w:w="1243" w:type="dxa"/>
            <w:vMerge w:val="restart"/>
            <w:vAlign w:val="center"/>
          </w:tcPr>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商务技术部分</w:t>
            </w:r>
          </w:p>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70</w:t>
            </w:r>
            <w:r>
              <w:rPr>
                <w:rFonts w:hint="eastAsia" w:ascii="仿宋" w:hAnsi="仿宋" w:eastAsia="仿宋" w:cs="仿宋"/>
                <w:color w:val="auto"/>
                <w:sz w:val="21"/>
                <w:szCs w:val="21"/>
                <w:lang w:eastAsia="zh-CN" w:bidi="ar-SA"/>
              </w:rPr>
              <w:t>分）</w:t>
            </w:r>
          </w:p>
          <w:p>
            <w:pPr>
              <w:spacing w:line="440" w:lineRule="exact"/>
              <w:ind w:firstLine="539" w:firstLineChars="257"/>
              <w:jc w:val="center"/>
              <w:rPr>
                <w:rFonts w:hint="eastAsia" w:ascii="仿宋" w:hAnsi="仿宋" w:eastAsia="仿宋" w:cs="仿宋"/>
                <w:color w:val="auto"/>
                <w:sz w:val="21"/>
                <w:szCs w:val="21"/>
                <w:lang w:eastAsia="zh-CN" w:bidi="ar-SA"/>
              </w:rPr>
            </w:pPr>
          </w:p>
          <w:p>
            <w:pPr>
              <w:spacing w:line="440" w:lineRule="exact"/>
              <w:ind w:firstLine="539" w:firstLineChars="257"/>
              <w:jc w:val="center"/>
              <w:rPr>
                <w:rFonts w:hint="eastAsia" w:ascii="仿宋" w:hAnsi="仿宋" w:eastAsia="仿宋" w:cs="仿宋"/>
                <w:color w:val="auto"/>
                <w:sz w:val="21"/>
                <w:szCs w:val="21"/>
                <w:lang w:eastAsia="zh-CN" w:bidi="ar-SA"/>
              </w:rPr>
            </w:pPr>
          </w:p>
        </w:tc>
        <w:tc>
          <w:tcPr>
            <w:tcW w:w="1715" w:type="dxa"/>
            <w:vAlign w:val="center"/>
          </w:tcPr>
          <w:p>
            <w:pPr>
              <w:spacing w:line="440" w:lineRule="exact"/>
              <w:jc w:val="center"/>
              <w:rPr>
                <w:rFonts w:hint="eastAsia" w:ascii="仿宋" w:hAnsi="仿宋" w:eastAsia="仿宋" w:cs="仿宋"/>
                <w:color w:val="auto"/>
                <w:sz w:val="21"/>
                <w:szCs w:val="21"/>
                <w:lang w:val="zh-CN" w:eastAsia="zh-CN" w:bidi="ar-SA"/>
              </w:rPr>
            </w:pPr>
            <w:r>
              <w:rPr>
                <w:rFonts w:hint="eastAsia" w:ascii="仿宋" w:hAnsi="仿宋" w:eastAsia="仿宋" w:cs="仿宋"/>
                <w:color w:val="auto"/>
                <w:sz w:val="21"/>
                <w:szCs w:val="21"/>
                <w:lang w:val="zh-CN" w:eastAsia="zh-CN" w:bidi="ar-SA"/>
              </w:rPr>
              <w:t>技术指标、参数响应情况</w:t>
            </w:r>
          </w:p>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35</w:t>
            </w:r>
            <w:r>
              <w:rPr>
                <w:rFonts w:hint="eastAsia" w:ascii="仿宋" w:hAnsi="仿宋" w:eastAsia="仿宋" w:cs="仿宋"/>
                <w:color w:val="auto"/>
                <w:sz w:val="21"/>
                <w:szCs w:val="21"/>
                <w:lang w:eastAsia="zh-CN" w:bidi="ar-SA"/>
              </w:rPr>
              <w:t>分）</w:t>
            </w:r>
          </w:p>
        </w:tc>
        <w:tc>
          <w:tcPr>
            <w:tcW w:w="7269" w:type="dxa"/>
          </w:tcPr>
          <w:p>
            <w:pPr>
              <w:spacing w:line="440" w:lineRule="exac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eastAsia="zh-CN"/>
              </w:rPr>
              <w:t>以招标文件的技术参数要求为基准，提供详细技术偏离表。根据所投产品的配置与性能指标的响应程度打分：（参数是基本参数，不允许出现负偏离，如</w:t>
            </w:r>
            <w:r>
              <w:rPr>
                <w:rFonts w:hint="eastAsia" w:ascii="仿宋" w:hAnsi="仿宋" w:eastAsia="仿宋" w:cs="仿宋"/>
                <w:b w:val="0"/>
                <w:bCs w:val="0"/>
                <w:color w:val="auto"/>
                <w:sz w:val="21"/>
                <w:szCs w:val="21"/>
                <w:highlight w:val="none"/>
                <w:lang w:val="en-US" w:eastAsia="zh-CN"/>
              </w:rPr>
              <w:t>出现负偏离</w:t>
            </w:r>
            <w:r>
              <w:rPr>
                <w:rFonts w:hint="eastAsia" w:ascii="仿宋" w:hAnsi="仿宋" w:eastAsia="仿宋" w:cs="仿宋"/>
                <w:b w:val="0"/>
                <w:bCs w:val="0"/>
                <w:color w:val="auto"/>
                <w:sz w:val="21"/>
                <w:szCs w:val="21"/>
                <w:highlight w:val="none"/>
                <w:lang w:eastAsia="zh-CN"/>
              </w:rPr>
              <w:t>，则按废标处理)所投产品技术参数全部满足的得</w:t>
            </w:r>
            <w:r>
              <w:rPr>
                <w:rFonts w:hint="eastAsia" w:ascii="仿宋" w:hAnsi="仿宋" w:eastAsia="仿宋" w:cs="仿宋"/>
                <w:b w:val="0"/>
                <w:bCs w:val="0"/>
                <w:color w:val="auto"/>
                <w:sz w:val="21"/>
                <w:szCs w:val="21"/>
                <w:highlight w:val="none"/>
                <w:lang w:val="en-US" w:eastAsia="zh-CN"/>
              </w:rPr>
              <w:t>30</w:t>
            </w:r>
            <w:r>
              <w:rPr>
                <w:rFonts w:hint="eastAsia" w:ascii="仿宋" w:hAnsi="仿宋" w:eastAsia="仿宋" w:cs="仿宋"/>
                <w:b w:val="0"/>
                <w:bCs w:val="0"/>
                <w:color w:val="auto"/>
                <w:sz w:val="21"/>
                <w:szCs w:val="21"/>
                <w:highlight w:val="none"/>
                <w:lang w:eastAsia="zh-CN"/>
              </w:rPr>
              <w:t>分。</w:t>
            </w:r>
          </w:p>
          <w:p>
            <w:pPr>
              <w:spacing w:line="440" w:lineRule="exact"/>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技术参数指标每优于招标文件要求的一项的加</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lang w:eastAsia="zh-CN"/>
              </w:rPr>
              <w:t>分，最多加</w:t>
            </w:r>
            <w:r>
              <w:rPr>
                <w:rFonts w:hint="eastAsia" w:ascii="仿宋" w:hAnsi="仿宋" w:eastAsia="仿宋" w:cs="仿宋"/>
                <w:b w:val="0"/>
                <w:bCs w:val="0"/>
                <w:color w:val="auto"/>
                <w:sz w:val="21"/>
                <w:szCs w:val="21"/>
                <w:highlight w:val="none"/>
                <w:lang w:val="en-US" w:eastAsia="zh-CN"/>
              </w:rPr>
              <w:t>5</w:t>
            </w:r>
            <w:r>
              <w:rPr>
                <w:rFonts w:hint="eastAsia" w:ascii="仿宋" w:hAnsi="仿宋" w:eastAsia="仿宋" w:cs="仿宋"/>
                <w:b w:val="0"/>
                <w:bCs w:val="0"/>
                <w:color w:val="auto"/>
                <w:sz w:val="21"/>
                <w:szCs w:val="21"/>
                <w:highlight w:val="none"/>
                <w:lang w:eastAsia="zh-CN"/>
              </w:rPr>
              <w:t>分；</w:t>
            </w:r>
          </w:p>
          <w:p>
            <w:pPr>
              <w:spacing w:line="440" w:lineRule="exact"/>
              <w:rPr>
                <w:rFonts w:hint="eastAsia" w:ascii="仿宋" w:hAnsi="仿宋" w:eastAsia="仿宋" w:cs="仿宋"/>
                <w:color w:val="auto"/>
                <w:sz w:val="21"/>
                <w:szCs w:val="21"/>
                <w:lang w:eastAsia="zh-CN" w:bidi="ar-SA"/>
              </w:rPr>
            </w:pPr>
            <w:r>
              <w:rPr>
                <w:rFonts w:hint="eastAsia" w:ascii="仿宋" w:hAnsi="仿宋" w:eastAsia="仿宋" w:cs="仿宋"/>
                <w:b w:val="0"/>
                <w:bCs w:val="0"/>
                <w:color w:val="auto"/>
                <w:sz w:val="21"/>
                <w:szCs w:val="21"/>
                <w:highlight w:val="none"/>
                <w:lang w:eastAsia="zh-CN"/>
              </w:rPr>
              <w:t>（注：正偏离的需提供相关证明材料，不提供的不加分）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vAlign w:val="center"/>
          </w:tcPr>
          <w:p>
            <w:pPr>
              <w:spacing w:line="440" w:lineRule="exact"/>
              <w:ind w:firstLine="539" w:firstLineChars="257"/>
              <w:jc w:val="center"/>
              <w:rPr>
                <w:rFonts w:hint="eastAsia" w:ascii="仿宋" w:hAnsi="仿宋" w:eastAsia="仿宋" w:cs="仿宋"/>
                <w:color w:val="auto"/>
                <w:sz w:val="21"/>
                <w:szCs w:val="21"/>
                <w:lang w:eastAsia="zh-CN" w:bidi="ar-SA"/>
              </w:rPr>
            </w:pPr>
          </w:p>
        </w:tc>
        <w:tc>
          <w:tcPr>
            <w:tcW w:w="1715" w:type="dxa"/>
            <w:vAlign w:val="center"/>
          </w:tcPr>
          <w:p>
            <w:pPr>
              <w:spacing w:line="440" w:lineRule="exact"/>
              <w:jc w:val="center"/>
              <w:rPr>
                <w:rFonts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供货、安装、调试方案</w:t>
            </w:r>
          </w:p>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w:t>
            </w:r>
            <w:r>
              <w:rPr>
                <w:rFonts w:hint="eastAsia" w:ascii="仿宋" w:hAnsi="仿宋" w:eastAsia="仿宋" w:cs="仿宋"/>
                <w:color w:val="auto"/>
                <w:sz w:val="21"/>
                <w:szCs w:val="21"/>
                <w:lang w:val="en-US" w:eastAsia="zh-CN" w:bidi="ar-SA"/>
              </w:rPr>
              <w:t>9</w:t>
            </w:r>
            <w:r>
              <w:rPr>
                <w:rFonts w:hint="eastAsia" w:ascii="仿宋" w:hAnsi="仿宋" w:eastAsia="仿宋" w:cs="仿宋"/>
                <w:color w:val="auto"/>
                <w:sz w:val="21"/>
                <w:szCs w:val="21"/>
                <w:lang w:eastAsia="zh-CN" w:bidi="ar-SA"/>
              </w:rPr>
              <w:t>分）</w:t>
            </w:r>
          </w:p>
        </w:tc>
        <w:tc>
          <w:tcPr>
            <w:tcW w:w="7269" w:type="dxa"/>
          </w:tcPr>
          <w:p>
            <w:pPr>
              <w:spacing w:line="440" w:lineRule="exact"/>
              <w:rPr>
                <w:rFonts w:hint="eastAsia" w:ascii="仿宋" w:hAnsi="仿宋" w:eastAsia="仿宋" w:cs="仿宋"/>
                <w:color w:val="auto"/>
                <w:sz w:val="21"/>
                <w:szCs w:val="21"/>
                <w:lang w:eastAsia="zh-CN" w:bidi="ar-SA"/>
              </w:rPr>
            </w:pPr>
            <w:r>
              <w:rPr>
                <w:rFonts w:hint="eastAsia" w:ascii="仿宋" w:hAnsi="仿宋" w:eastAsia="仿宋" w:cs="仿宋"/>
                <w:color w:val="auto"/>
                <w:sz w:val="21"/>
                <w:szCs w:val="21"/>
                <w:lang w:eastAsia="zh-CN" w:bidi="ar-SA"/>
              </w:rPr>
              <w:t>供货、安装、调试方案计划详细有针对性、供货进度保证措施合理且切实可行，产品安装、调试的技术保证措施完善，方案整体</w:t>
            </w:r>
            <w:r>
              <w:rPr>
                <w:rFonts w:hint="eastAsia" w:ascii="仿宋" w:hAnsi="仿宋" w:eastAsia="仿宋" w:cs="仿宋"/>
                <w:color w:val="auto"/>
                <w:sz w:val="21"/>
                <w:szCs w:val="21"/>
                <w:lang w:val="en-US" w:eastAsia="zh-CN" w:bidi="ar-SA"/>
              </w:rPr>
              <w:t>优的</w:t>
            </w:r>
            <w:r>
              <w:rPr>
                <w:rFonts w:hint="eastAsia" w:ascii="仿宋" w:hAnsi="仿宋" w:eastAsia="仿宋" w:cs="仿宋"/>
                <w:color w:val="auto"/>
                <w:sz w:val="21"/>
                <w:szCs w:val="21"/>
                <w:lang w:eastAsia="zh-CN" w:bidi="ar-SA"/>
              </w:rPr>
              <w:t>得</w:t>
            </w:r>
            <w:r>
              <w:rPr>
                <w:rFonts w:hint="eastAsia" w:ascii="仿宋" w:hAnsi="仿宋" w:eastAsia="仿宋" w:cs="仿宋"/>
                <w:color w:val="auto"/>
                <w:sz w:val="21"/>
                <w:szCs w:val="21"/>
                <w:lang w:val="en-US" w:eastAsia="zh-CN" w:bidi="ar-SA"/>
              </w:rPr>
              <w:t>9</w:t>
            </w:r>
            <w:r>
              <w:rPr>
                <w:rFonts w:hint="eastAsia" w:ascii="仿宋" w:hAnsi="仿宋" w:eastAsia="仿宋" w:cs="仿宋"/>
                <w:color w:val="auto"/>
                <w:sz w:val="21"/>
                <w:szCs w:val="21"/>
                <w:lang w:eastAsia="zh-CN" w:bidi="ar-SA"/>
              </w:rPr>
              <w:t>分；方案计划详细、供货进度保证措施合理，方案整体较好的得</w:t>
            </w:r>
            <w:r>
              <w:rPr>
                <w:rFonts w:hint="eastAsia" w:ascii="仿宋" w:hAnsi="仿宋" w:eastAsia="仿宋" w:cs="仿宋"/>
                <w:color w:val="auto"/>
                <w:sz w:val="21"/>
                <w:szCs w:val="21"/>
                <w:lang w:val="en-US" w:eastAsia="zh-CN" w:bidi="ar-SA"/>
              </w:rPr>
              <w:t>6</w:t>
            </w:r>
            <w:r>
              <w:rPr>
                <w:rFonts w:hint="eastAsia" w:ascii="仿宋" w:hAnsi="仿宋" w:eastAsia="仿宋" w:cs="仿宋"/>
                <w:color w:val="auto"/>
                <w:sz w:val="21"/>
                <w:szCs w:val="21"/>
                <w:lang w:eastAsia="zh-CN" w:bidi="ar-SA"/>
              </w:rPr>
              <w:t>分；方案计划一般、供货进度保证措施一般的得</w:t>
            </w:r>
            <w:r>
              <w:rPr>
                <w:rFonts w:hint="eastAsia" w:ascii="仿宋" w:hAnsi="仿宋" w:eastAsia="仿宋" w:cs="仿宋"/>
                <w:color w:val="auto"/>
                <w:sz w:val="21"/>
                <w:szCs w:val="21"/>
                <w:lang w:val="en-US" w:eastAsia="zh-CN" w:bidi="ar-SA"/>
              </w:rPr>
              <w:t>3</w:t>
            </w:r>
            <w:r>
              <w:rPr>
                <w:rFonts w:hint="eastAsia" w:ascii="仿宋" w:hAnsi="仿宋" w:eastAsia="仿宋" w:cs="仿宋"/>
                <w:color w:val="auto"/>
                <w:sz w:val="21"/>
                <w:szCs w:val="21"/>
                <w:lang w:eastAsia="zh-CN" w:bidi="ar-SA"/>
              </w:rPr>
              <w:t>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43" w:type="dxa"/>
            <w:vMerge w:val="continue"/>
            <w:vAlign w:val="center"/>
          </w:tcPr>
          <w:p>
            <w:pPr>
              <w:spacing w:line="440" w:lineRule="exact"/>
              <w:ind w:firstLine="539" w:firstLineChars="257"/>
              <w:jc w:val="center"/>
              <w:rPr>
                <w:rFonts w:hint="eastAsia" w:ascii="仿宋" w:hAnsi="仿宋" w:eastAsia="仿宋" w:cs="仿宋"/>
                <w:color w:val="auto"/>
                <w:sz w:val="21"/>
                <w:szCs w:val="21"/>
                <w:lang w:eastAsia="zh-CN" w:bidi="ar-SA"/>
              </w:rPr>
            </w:pPr>
          </w:p>
        </w:tc>
        <w:tc>
          <w:tcPr>
            <w:tcW w:w="1715" w:type="dxa"/>
            <w:vAlign w:val="center"/>
          </w:tcPr>
          <w:p>
            <w:pPr>
              <w:spacing w:line="440" w:lineRule="exact"/>
              <w:jc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rPr>
              <w:t>质保期</w:t>
            </w:r>
            <w:r>
              <w:rPr>
                <w:rFonts w:hint="eastAsia" w:ascii="仿宋" w:hAnsi="仿宋" w:eastAsia="仿宋" w:cs="仿宋"/>
                <w:b w:val="0"/>
                <w:color w:val="auto"/>
                <w:sz w:val="21"/>
                <w:szCs w:val="21"/>
                <w:highlight w:val="none"/>
                <w:lang w:eastAsia="zh-CN"/>
              </w:rPr>
              <w:t>及交货期</w:t>
            </w:r>
          </w:p>
          <w:p>
            <w:pPr>
              <w:spacing w:line="440" w:lineRule="exact"/>
              <w:jc w:val="center"/>
              <w:rPr>
                <w:rFonts w:hint="eastAsia" w:ascii="仿宋" w:hAnsi="仿宋" w:eastAsia="仿宋" w:cs="仿宋"/>
                <w:b w:val="0"/>
                <w:color w:val="auto"/>
                <w:sz w:val="21"/>
                <w:szCs w:val="21"/>
                <w:highlight w:val="none"/>
                <w:lang w:eastAsia="zh-CN"/>
              </w:rPr>
            </w:pPr>
            <w:r>
              <w:rPr>
                <w:rFonts w:hint="eastAsia" w:ascii="仿宋" w:hAnsi="仿宋" w:eastAsia="仿宋" w:cs="仿宋"/>
                <w:b w:val="0"/>
                <w:color w:val="auto"/>
                <w:sz w:val="21"/>
                <w:szCs w:val="21"/>
                <w:highlight w:val="none"/>
                <w:lang w:eastAsia="zh-CN"/>
              </w:rPr>
              <w:t>（</w:t>
            </w:r>
            <w:r>
              <w:rPr>
                <w:rFonts w:hint="eastAsia" w:ascii="仿宋" w:hAnsi="仿宋" w:eastAsia="仿宋" w:cs="仿宋"/>
                <w:b w:val="0"/>
                <w:color w:val="auto"/>
                <w:sz w:val="21"/>
                <w:szCs w:val="21"/>
                <w:highlight w:val="none"/>
                <w:lang w:val="en-US" w:eastAsia="zh-CN"/>
              </w:rPr>
              <w:t>9分</w:t>
            </w:r>
            <w:r>
              <w:rPr>
                <w:rFonts w:hint="eastAsia" w:ascii="仿宋" w:hAnsi="仿宋" w:eastAsia="仿宋" w:cs="仿宋"/>
                <w:b w:val="0"/>
                <w:color w:val="auto"/>
                <w:sz w:val="21"/>
                <w:szCs w:val="21"/>
                <w:highlight w:val="none"/>
                <w:lang w:eastAsia="zh-CN"/>
              </w:rPr>
              <w:t>）</w:t>
            </w:r>
          </w:p>
        </w:tc>
        <w:tc>
          <w:tcPr>
            <w:tcW w:w="7269" w:type="dxa"/>
          </w:tcPr>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00" w:lineRule="exact"/>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1、质保期满足招标文件基础上，每增加1年加1分，最多加3分。</w:t>
            </w:r>
          </w:p>
          <w:p>
            <w:pPr>
              <w:spacing w:line="440" w:lineRule="exact"/>
              <w:rPr>
                <w:rFonts w:hint="eastAsia" w:ascii="仿宋" w:hAnsi="仿宋" w:eastAsia="仿宋" w:cs="仿宋"/>
                <w:color w:val="auto"/>
                <w:kern w:val="0"/>
                <w:sz w:val="21"/>
                <w:szCs w:val="21"/>
                <w:highlight w:val="none"/>
              </w:rPr>
            </w:pPr>
            <w:r>
              <w:rPr>
                <w:rFonts w:hint="eastAsia" w:ascii="仿宋" w:hAnsi="仿宋" w:eastAsia="仿宋" w:cs="仿宋"/>
                <w:color w:val="auto"/>
                <w:kern w:val="2"/>
                <w:sz w:val="21"/>
                <w:szCs w:val="21"/>
                <w:highlight w:val="none"/>
                <w:lang w:val="en-US" w:eastAsia="zh-CN" w:bidi="ar-SA"/>
              </w:rPr>
              <w:t>2、供货期满足招标文件基础上，每提前2天的加2分，最多加6分。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1243" w:type="dxa"/>
            <w:vMerge w:val="continue"/>
            <w:vAlign w:val="center"/>
          </w:tcPr>
          <w:p>
            <w:pPr>
              <w:spacing w:line="440" w:lineRule="exact"/>
              <w:ind w:firstLine="539" w:firstLineChars="257"/>
              <w:rPr>
                <w:rFonts w:hint="eastAsia" w:ascii="仿宋" w:hAnsi="仿宋" w:eastAsia="仿宋" w:cs="仿宋"/>
                <w:color w:val="auto"/>
                <w:sz w:val="21"/>
                <w:szCs w:val="21"/>
                <w:lang w:eastAsia="zh-CN" w:bidi="ar-SA"/>
              </w:rPr>
            </w:pPr>
          </w:p>
        </w:tc>
        <w:tc>
          <w:tcPr>
            <w:tcW w:w="1715" w:type="dxa"/>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ind w:firstLine="28"/>
              <w:jc w:val="center"/>
              <w:textAlignment w:val="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p>
            <w:pPr>
              <w:spacing w:line="440" w:lineRule="exact"/>
              <w:jc w:val="center"/>
              <w:rPr>
                <w:rFonts w:hint="eastAsia" w:ascii="仿宋" w:hAnsi="仿宋" w:eastAsia="仿宋" w:cs="仿宋"/>
                <w:color w:val="auto"/>
                <w:sz w:val="21"/>
                <w:szCs w:val="21"/>
                <w:lang w:eastAsia="zh-CN" w:bidi="ar-SA"/>
              </w:rPr>
            </w:pPr>
            <w:r>
              <w:rPr>
                <w:rFonts w:hint="eastAsia" w:ascii="仿宋" w:hAnsi="仿宋" w:eastAsia="仿宋" w:cs="仿宋"/>
                <w:color w:val="auto"/>
                <w:kern w:val="2"/>
                <w:sz w:val="21"/>
                <w:szCs w:val="21"/>
                <w:highlight w:val="none"/>
                <w:lang w:val="en-US" w:eastAsia="zh-CN" w:bidi="ar-SA"/>
              </w:rPr>
              <w:t>（12分）</w:t>
            </w:r>
          </w:p>
        </w:tc>
        <w:tc>
          <w:tcPr>
            <w:tcW w:w="7269" w:type="dxa"/>
          </w:tcPr>
          <w:p>
            <w:pPr>
              <w:spacing w:line="44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各供应商应提供详细的售后服务方案、服务体系、服务范围以及故障解决方案、响应时间、应急处理方案、专业技术人员保障、售后服务电话等。评标委员会将根据各供应商提供的资料，从全面性、可操作性等进行打分。</w:t>
            </w:r>
          </w:p>
          <w:p>
            <w:pPr>
              <w:spacing w:line="44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1、总体售后服务方案计划及服务时效：优的得9分；良好的得6分；一般的得3分；未提供不得分。</w:t>
            </w:r>
          </w:p>
          <w:p>
            <w:pPr>
              <w:spacing w:line="440" w:lineRule="exact"/>
              <w:rPr>
                <w:rFonts w:hint="eastAsia" w:ascii="仿宋" w:hAnsi="仿宋" w:eastAsia="仿宋" w:cs="仿宋"/>
                <w:color w:val="auto"/>
                <w:sz w:val="21"/>
                <w:szCs w:val="21"/>
                <w:lang w:eastAsia="zh-CN"/>
              </w:rPr>
            </w:pPr>
            <w:r>
              <w:rPr>
                <w:rFonts w:hint="eastAsia" w:ascii="仿宋" w:hAnsi="仿宋" w:eastAsia="仿宋" w:cs="仿宋"/>
                <w:b w:val="0"/>
                <w:bCs w:val="0"/>
                <w:color w:val="auto"/>
                <w:sz w:val="21"/>
                <w:szCs w:val="21"/>
                <w:highlight w:val="none"/>
                <w:lang w:val="en-US" w:eastAsia="zh-CN"/>
              </w:rPr>
              <w:t>2、有应急保障能力，并提供应急保障方案，应急保障措施完善、可行、针对性强的得3分，良好的得2分，一般的得1分，未提供不得分。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43" w:type="dxa"/>
            <w:vMerge w:val="continue"/>
            <w:vAlign w:val="center"/>
          </w:tcPr>
          <w:p>
            <w:pPr>
              <w:spacing w:line="440" w:lineRule="exact"/>
              <w:ind w:firstLine="539" w:firstLineChars="257"/>
              <w:rPr>
                <w:rFonts w:hint="eastAsia" w:ascii="仿宋" w:hAnsi="仿宋" w:eastAsia="仿宋" w:cs="仿宋"/>
                <w:color w:val="auto"/>
                <w:sz w:val="21"/>
                <w:szCs w:val="21"/>
                <w:lang w:eastAsia="zh-CN" w:bidi="ar-SA"/>
              </w:rPr>
            </w:pPr>
          </w:p>
        </w:tc>
        <w:tc>
          <w:tcPr>
            <w:tcW w:w="1715" w:type="dxa"/>
            <w:vAlign w:val="center"/>
          </w:tcPr>
          <w:p>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培训方案</w:t>
            </w:r>
          </w:p>
          <w:p>
            <w:pPr>
              <w:spacing w:line="440" w:lineRule="exact"/>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c>
          <w:tcPr>
            <w:tcW w:w="7269" w:type="dxa"/>
          </w:tcPr>
          <w:p>
            <w:pPr>
              <w:spacing w:line="44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培训方案及进度安排关键控制点设置合理，便于操作和控制；培训方案及进度安排分工明确，职责分工清晰，能够保证培训的高质量和按计划完成：优的得5分；良好的得3分；一般的得1分；未提供不得分。</w:t>
            </w:r>
          </w:p>
        </w:tc>
      </w:tr>
    </w:tbl>
    <w:p>
      <w:pPr>
        <w:spacing w:line="44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如评标专家在检验电子标书过程中，如果由于投标人自身原因导致评标专家无法查看并检验电子标书中以上相关资料的，否决其投标。即使投标单位将原件携带至现场的，同样按无效投标处理。</w:t>
      </w:r>
    </w:p>
    <w:p>
      <w:pPr>
        <w:pStyle w:val="41"/>
        <w:tabs>
          <w:tab w:val="left" w:pos="1701"/>
        </w:tabs>
        <w:spacing w:line="440" w:lineRule="exact"/>
        <w:ind w:left="0"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10.2.2价格评分方法</w:t>
      </w:r>
    </w:p>
    <w:p>
      <w:pPr>
        <w:spacing w:line="440" w:lineRule="exact"/>
        <w:ind w:firstLine="480" w:firstLineChars="200"/>
        <w:rPr>
          <w:rFonts w:hint="eastAsia" w:ascii="仿宋" w:hAnsi="仿宋" w:eastAsia="仿宋" w:cs="仿宋"/>
          <w:color w:val="auto"/>
          <w:szCs w:val="21"/>
          <w:lang w:eastAsia="zh-CN" w:bidi="ar-SA"/>
        </w:rPr>
      </w:pPr>
      <w:r>
        <w:rPr>
          <w:rFonts w:hint="eastAsia" w:ascii="仿宋" w:hAnsi="仿宋" w:eastAsia="仿宋" w:cs="仿宋"/>
          <w:color w:val="auto"/>
          <w:szCs w:val="21"/>
          <w:lang w:eastAsia="zh-CN" w:bidi="ar-SA"/>
        </w:rPr>
        <w:t>满足招标文件技术要求且投标价格最低的投标报价为评标基准价，其价格分为满分。其他投标人的价格分别按照下列公式计算： 投标报价得分=（评标基准价/投标报价）×价格权重。</w:t>
      </w:r>
    </w:p>
    <w:p>
      <w:pPr>
        <w:spacing w:before="156" w:beforeLines="50" w:line="400" w:lineRule="exact"/>
        <w:jc w:val="center"/>
        <w:outlineLvl w:val="1"/>
        <w:rPr>
          <w:rFonts w:hint="eastAsia" w:ascii="仿宋" w:hAnsi="仿宋" w:eastAsia="仿宋" w:cs="仿宋"/>
          <w:b/>
          <w:color w:val="auto"/>
          <w:lang w:eastAsia="zh-CN"/>
        </w:rPr>
      </w:pPr>
      <w:r>
        <w:rPr>
          <w:rFonts w:hint="eastAsia" w:ascii="仿宋" w:hAnsi="仿宋" w:eastAsia="仿宋" w:cs="仿宋"/>
          <w:b/>
          <w:color w:val="auto"/>
          <w:lang w:eastAsia="zh-CN"/>
        </w:rPr>
        <w:t>五  推荐中标候选人</w:t>
      </w:r>
      <w:bookmarkEnd w:id="42"/>
      <w:bookmarkEnd w:id="43"/>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11.评标委员会推荐3名中标候选人，并标明排序。</w:t>
      </w:r>
    </w:p>
    <w:bookmarkEnd w:id="37"/>
    <w:p>
      <w:pPr>
        <w:snapToGrid w:val="0"/>
        <w:spacing w:line="400" w:lineRule="exact"/>
        <w:ind w:firstLine="480" w:firstLineChars="200"/>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12.无效投标条款</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12.1投标文件有下列情形之一的,其投标文件拒收:</w:t>
      </w:r>
    </w:p>
    <w:p>
      <w:pPr>
        <w:snapToGrid w:val="0"/>
        <w:spacing w:line="400" w:lineRule="exact"/>
        <w:rPr>
          <w:rFonts w:hint="eastAsia" w:ascii="仿宋" w:hAnsi="仿宋" w:eastAsia="仿宋" w:cs="仿宋"/>
          <w:b/>
          <w:bCs/>
          <w:color w:val="auto"/>
          <w:szCs w:val="21"/>
          <w:lang w:eastAsia="zh-CN"/>
        </w:rPr>
      </w:pPr>
      <w:r>
        <w:rPr>
          <w:rFonts w:hint="eastAsia" w:ascii="仿宋" w:hAnsi="仿宋" w:eastAsia="仿宋" w:cs="仿宋"/>
          <w:color w:val="auto"/>
          <w:szCs w:val="21"/>
          <w:lang w:eastAsia="zh-CN"/>
        </w:rPr>
        <w:t xml:space="preserve">   </w:t>
      </w:r>
      <w:r>
        <w:rPr>
          <w:rFonts w:hint="eastAsia" w:ascii="仿宋" w:hAnsi="仿宋" w:eastAsia="仿宋" w:cs="仿宋"/>
          <w:b/>
          <w:bCs/>
          <w:color w:val="auto"/>
          <w:szCs w:val="21"/>
          <w:lang w:eastAsia="zh-CN"/>
        </w:rPr>
        <w:t xml:space="preserve"> (1) 未在开标截止时间前通过网上招标投标系统递交有效电子投标文件的，开标系统不予接收。</w:t>
      </w:r>
    </w:p>
    <w:p>
      <w:pPr>
        <w:snapToGrid w:val="0"/>
        <w:spacing w:line="400" w:lineRule="exact"/>
        <w:ind w:firstLine="480" w:firstLineChars="200"/>
        <w:rPr>
          <w:rFonts w:hint="eastAsia" w:ascii="仿宋" w:hAnsi="仿宋" w:eastAsia="仿宋" w:cs="仿宋"/>
          <w:b/>
          <w:bCs/>
          <w:color w:val="auto"/>
          <w:szCs w:val="21"/>
          <w:lang w:eastAsia="zh-CN"/>
        </w:rPr>
      </w:pPr>
      <w:r>
        <w:rPr>
          <w:rFonts w:hint="eastAsia" w:ascii="仿宋" w:hAnsi="仿宋" w:eastAsia="仿宋" w:cs="仿宋"/>
          <w:b/>
          <w:bCs/>
          <w:color w:val="auto"/>
          <w:szCs w:val="21"/>
          <w:lang w:eastAsia="zh-CN"/>
        </w:rPr>
        <w:t>（2）</w:t>
      </w:r>
      <w:r>
        <w:rPr>
          <w:rFonts w:hint="eastAsia" w:ascii="仿宋" w:hAnsi="仿宋" w:eastAsia="仿宋" w:cs="仿宋"/>
          <w:b/>
          <w:color w:val="auto"/>
          <w:szCs w:val="21"/>
          <w:lang w:eastAsia="zh-CN"/>
        </w:rPr>
        <w:t>所有投标人应在规定时间里完成投标文件的解密工作</w:t>
      </w:r>
      <w:r>
        <w:rPr>
          <w:rFonts w:hint="eastAsia" w:ascii="仿宋" w:hAnsi="仿宋" w:eastAsia="仿宋" w:cs="仿宋"/>
          <w:b/>
          <w:bCs/>
          <w:color w:val="auto"/>
          <w:szCs w:val="21"/>
          <w:lang w:eastAsia="zh-CN"/>
        </w:rPr>
        <w:t>【投标人使用其有效加密锁（CA锁）进行解密（因投标人原因未能提供有效CA锁对其投标文件进行解密的，其投标文件按无效标处理），以网上招投标系统解密倒计时为准】</w:t>
      </w:r>
      <w:r>
        <w:rPr>
          <w:rFonts w:hint="eastAsia" w:ascii="仿宋" w:hAnsi="仿宋" w:eastAsia="仿宋" w:cs="仿宋"/>
          <w:b/>
          <w:color w:val="auto"/>
          <w:szCs w:val="21"/>
          <w:lang w:eastAsia="zh-CN"/>
        </w:rPr>
        <w:t>，因系统原因未能成功解密的投标文件，可导入备份投标文件。备份投标文件也无法导入的，则投标文件被否决。</w:t>
      </w:r>
    </w:p>
    <w:p>
      <w:pPr>
        <w:snapToGrid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12.2投标人有下列情形之一的,资格审查后其投标作无效投标处理：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(1)法定代表人参加开标会议未携带有效的法定代表人身份证明原件和本人身份证的；委托代理人参加开标会议未携带有效的法定代表人授权书和本人身份证；</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(2)投标人为本项目提供招标代理服务的；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(3)投标人与在本项目代理机构存在相互任职或工作的；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(4)投标保证金未按规定要求缴纳的；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(5)评标专家无法查看并检验电子标书中相关资料的；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(6)投标人超出营业范围投标的；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(7)联合体投标未提交联合体协议的；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(8)被暂停营业的；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(9)被暂停或取消投标资格的；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(10)财产被接管或冻结的；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(11)投标人单位负责人为同一人或者存在控股、管理关系的不同单位的；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（12）投标人基本资格条件和特定资格条件中有一项及以上不符合要求的；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（13）投标人使用相同的MAC地址进行报名的；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（14）其它情形，经评标委员会委提出按无效投标处理，并经公共资源交易监督部门核准的；</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（15）投标人使用相同IP地址报名的，一经发现，监管部门将进一步核实，查实后按串通投标处理；</w:t>
      </w:r>
    </w:p>
    <w:p>
      <w:pPr>
        <w:snapToGrid w:val="0"/>
        <w:spacing w:line="400" w:lineRule="exact"/>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（16）采购文件规定的其它无效投标情形。</w:t>
      </w:r>
    </w:p>
    <w:p>
      <w:pPr>
        <w:snapToGrid w:val="0"/>
        <w:spacing w:line="4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12.3 投标人有下列情形之一的,符合性审查后其投标按无效投标处理：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 投标文件签章、盖章不全，经评标委员会一致认定对开评标内容有实质性影响并经监督部门核准的；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(2)未按规定的格式填写，实质性内容不全或关键字迹模糊、无法辨认; 经监督部门核准的；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(4)同一投标人提交两个以上不同的投标文件或者投标报价，但采购文件规定提交备选方案的除外；</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(3)投标文件没有对采购文件的实质性要求和条件作出响应;</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(4)投标报价超出规定的投标限价或公布的采购预算的；注：投标人的投标报价各项单价均不得高于招标文件给定的单价最高限价，否则，其投标文件将按无效投标处理。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(5)不按评标委员会要求澄清、说明或补正的，或者评标委员会根据采购文件的规定对采购文件的计算错误进行修正后，投标人不接受修正的投标报价的。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（6）其它情形，经评标委员会委提出按无效投标处理，并经公共资源交易监督部门核准的；</w:t>
      </w:r>
    </w:p>
    <w:p>
      <w:pPr>
        <w:widowControl/>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（7）</w:t>
      </w:r>
      <w:r>
        <w:rPr>
          <w:rFonts w:hint="eastAsia" w:ascii="仿宋" w:hAnsi="仿宋" w:eastAsia="仿宋" w:cs="仿宋"/>
          <w:color w:val="auto"/>
          <w:szCs w:val="21"/>
          <w:shd w:val="clear" w:color="auto" w:fill="FFFFFF"/>
          <w:lang w:eastAsia="zh-CN" w:bidi="ar"/>
        </w:rPr>
        <w:t>未按照招标文件的规定提交投标保证金的；</w:t>
      </w:r>
    </w:p>
    <w:p>
      <w:pPr>
        <w:widowControl/>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（8）</w:t>
      </w:r>
      <w:r>
        <w:rPr>
          <w:rFonts w:hint="eastAsia" w:ascii="仿宋" w:hAnsi="仿宋" w:eastAsia="仿宋" w:cs="仿宋"/>
          <w:color w:val="auto"/>
          <w:szCs w:val="21"/>
          <w:shd w:val="clear" w:color="auto" w:fill="FFFFFF"/>
          <w:lang w:eastAsia="zh-CN" w:bidi="ar"/>
        </w:rPr>
        <w:t>投标文件含有采购人不能接受的附加条件的;</w:t>
      </w:r>
    </w:p>
    <w:p>
      <w:pPr>
        <w:tabs>
          <w:tab w:val="left" w:pos="1123"/>
        </w:tabs>
        <w:snapToGrid w:val="0"/>
        <w:spacing w:line="5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（9）采购文件规定的其它无效投标情形。</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12.4 投标人有下列情形之一的, 详细评审后其投标按无效投标处理：</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(1)投标产品不符合必须强制执行的国家标准的；</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(2)投标人有串通投标、弄虚作假、行贿等违法行为；</w:t>
      </w:r>
    </w:p>
    <w:p>
      <w:pPr>
        <w:snapToGrid w:val="0"/>
        <w:spacing w:line="400" w:lineRule="exact"/>
        <w:ind w:firstLine="480"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(3)投标文件含有违反国家法律、法规的内容，或附有招标人不能接受的条件的；</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（4）在同一项目（或同一标段）中有多个投标人有效投标报价接近最高限价，且评标委员会认为报价出现异常的，可以宣布其投标无效；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（5）报价明显低于其他投标人，且不能证明报价合理性的投标无效；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（6）拒不确认评标委员会评审修正的投标无效；</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（7）其它情形，经评标委员会委提出按无效投标处理，并经公共资源交易监督部门核准的；</w:t>
      </w:r>
    </w:p>
    <w:p>
      <w:pPr>
        <w:spacing w:line="360" w:lineRule="auto"/>
        <w:ind w:firstLine="360" w:firstLineChars="150"/>
        <w:rPr>
          <w:rFonts w:hint="eastAsia" w:ascii="仿宋" w:hAnsi="仿宋" w:eastAsia="仿宋" w:cs="仿宋"/>
          <w:color w:val="auto"/>
          <w:szCs w:val="21"/>
          <w:lang w:eastAsia="zh-CN"/>
        </w:rPr>
      </w:pPr>
      <w:r>
        <w:rPr>
          <w:rFonts w:hint="eastAsia" w:ascii="仿宋" w:hAnsi="仿宋" w:eastAsia="仿宋" w:cs="仿宋"/>
          <w:color w:val="auto"/>
          <w:szCs w:val="21"/>
          <w:lang w:eastAsia="zh-CN"/>
        </w:rPr>
        <w:t>（8）采购文件规定的其它无效投标情形。</w:t>
      </w:r>
    </w:p>
    <w:p>
      <w:pPr>
        <w:pageBreakBefore/>
        <w:spacing w:line="360" w:lineRule="auto"/>
        <w:jc w:val="center"/>
        <w:outlineLvl w:val="0"/>
        <w:rPr>
          <w:rFonts w:hint="eastAsia" w:ascii="仿宋" w:hAnsi="仿宋" w:eastAsia="仿宋" w:cs="仿宋"/>
          <w:b/>
          <w:color w:val="auto"/>
          <w:sz w:val="32"/>
          <w:szCs w:val="32"/>
          <w:lang w:eastAsia="zh-CN"/>
        </w:rPr>
        <w:sectPr>
          <w:footerReference r:id="rId6" w:type="default"/>
          <w:pgSz w:w="11906" w:h="16838"/>
          <w:pgMar w:top="1134" w:right="1080" w:bottom="1440" w:left="1080" w:header="851" w:footer="992" w:gutter="0"/>
          <w:pgNumType w:start="1"/>
          <w:cols w:space="720" w:num="1"/>
          <w:docGrid w:type="linesAndChars" w:linePitch="312" w:charSpace="0"/>
        </w:sectPr>
      </w:pPr>
      <w:bookmarkStart w:id="44" w:name="_Toc469495737"/>
      <w:bookmarkStart w:id="45" w:name="OLE_LINK4"/>
    </w:p>
    <w:bookmarkEnd w:id="38"/>
    <w:bookmarkEnd w:id="44"/>
    <w:p>
      <w:pPr>
        <w:pageBreakBefore/>
        <w:numPr>
          <w:ilvl w:val="0"/>
          <w:numId w:val="5"/>
        </w:numPr>
        <w:spacing w:line="440" w:lineRule="exact"/>
        <w:jc w:val="center"/>
        <w:outlineLvl w:val="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技术规格、数量及质量要求</w:t>
      </w:r>
    </w:p>
    <w:tbl>
      <w:tblPr>
        <w:tblStyle w:val="22"/>
        <w:tblW w:w="577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1429"/>
        <w:gridCol w:w="5711"/>
        <w:gridCol w:w="658"/>
        <w:gridCol w:w="704"/>
        <w:gridCol w:w="785"/>
        <w:gridCol w:w="7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bookmarkStart w:id="46" w:name="_Toc340225294"/>
            <w:bookmarkStart w:id="47" w:name="_Toc267320052"/>
            <w:r>
              <w:rPr>
                <w:rFonts w:hint="eastAsia" w:ascii="仿宋" w:hAnsi="仿宋" w:eastAsia="仿宋" w:cs="仿宋"/>
                <w:i w:val="0"/>
                <w:iCs w:val="0"/>
                <w:color w:val="auto"/>
                <w:kern w:val="0"/>
                <w:sz w:val="21"/>
                <w:szCs w:val="21"/>
                <w:highlight w:val="none"/>
                <w:u w:val="none"/>
                <w:lang w:val="en-US" w:eastAsia="zh-CN" w:bidi="ar"/>
              </w:rPr>
              <w:t>序号</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名称</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技术参数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数量</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单价（元）</w:t>
            </w:r>
          </w:p>
        </w:tc>
        <w:tc>
          <w:tcPr>
            <w:tcW w:w="3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光固化灯</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光源波长</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口腔用光固化灯的光源波长通常在400-500nm范围内，这个波长范围的光可以激活大多数牙科材料。</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光强</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光强是影响治疗时间和固化深度的关键参数，日常使用中，光强维持在1000mW/cm²左右可满足大多数治疗需求。</w:t>
            </w:r>
          </w:p>
          <w:p>
            <w:pPr>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光斑大小</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指光固化灯的照射面积，通常在7-11mm²之间。选择合适大小的光斑可以提高治疗准确性和效率。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电池寿命</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光固化灯内置电池的寿命越长，使用起来越方便。一般来说，电池寿命可以维持在100次治疗左右。</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恒温培养箱</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1、独特的风道设计，工作室内温度均匀性、稳定性好。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2、实时动态显示工作室内2h温度变化曲线，并标配打印机，监控设备温度变化。</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3、箱体两侧均标配直径为36mm的测试孔，可根据实际需求检测工作室内温度。</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4、标配BOD插座，方便使用。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5、双层门设计，外门带有超大透视窗，方便观察。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6、防滑脱隔板设计，防止培养皿滑脱，更安全。</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7、可选配USB接口数据传输接口，方便读取数据。</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8、不小于7.0寸触摸显示屏，简单易懂易操作，便于观察。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9、配有限温系统，当工作室温度超过指定温度时，设备停止加热功能，防止温度过高对仪器产生损害。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10、在工作状态，外门随意开关不影响培养箱正常工作，玻璃门标配机械门锁，防止玻璃门任意开关。</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11、PID温度控制系统，带有定时功能，定时范围0-999小时59分钟。</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12、可进行多段温度设置，最多可设置12段，每段运行时间可设定，可进行复杂的实验。</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13、独特的自动化霜设计，化霜温度波动小。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14、具有断电记忆功能。</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15、容积≥150L</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lang w:val="en-US" w:eastAsia="zh-CN"/>
              </w:rPr>
              <w:t>16、控温范围：0-60℃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高流量治疗仪</w:t>
            </w:r>
          </w:p>
        </w:tc>
        <w:tc>
          <w:tcPr>
            <w:tcW w:w="2663"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1.设备具有流量，温度，氧浓度一体化调节功能并显示。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★2。屏幕实时显示主机设置流量和实际流量、设置温度和实际温度、设置氧浓度和实际氧浓度。</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3.显示屏可实时显示患者呼吸频率和sPEEP（鼻塞端压力），帮助医护人员进一步了解PEEP样效应带来的治疗效果。</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4.显示屏可实时显示ROX指数，帮助医护人员进一步了解治疗效果。</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5.设备具有HFlow高流量、LFlow低流量两种工作模式。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★6.设备流量设置范围2L/min-80L/min。</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 HFlow模式下流量范围可设置8-80L/min。</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 LFlow模式下流量范围可设置2-30L/min。</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★9.设备的温度控制范围29℃~37℃，9档可调，每1℃为1档。</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10.设备具有湿度补偿功能，±3档可调，共7档可调，应对各种不同季节的温湿度环境。</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11.设备的氧浓度能够自动调节，范围：21%-100%，调节步长1%，并具备21%-100%的氧浓度实时监测功能。在机器流量为 80L/min 时，气体氧浓度可达 100% ，氧浓度不受流量变化影响。</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12.设备在80L/min流量输出条件下，温度可设置为37℃。</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13.设备具备趋势回顾功能，可回顾1天、3天以及7天的历史治疗波形图，包括流量、温度、氧浓度、血氧和呼吸频率。</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设备功能参数要求</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1.设备具备不小于3.5寸彩色液晶屏。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★2.设备具有安全气路设计，氧气不经过涡轮风机，减少高浓度氧气和电路直接接触。</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3.设备氧气气路中要求同时具备压力传感器、流量传感器、减压阀和比例阀，</w:t>
            </w:r>
            <w:bookmarkStart w:id="48" w:name="OLE_LINK13"/>
            <w:bookmarkStart w:id="49" w:name="OLE_LINK14"/>
            <w:r>
              <w:rPr>
                <w:rFonts w:hint="eastAsia" w:ascii="仿宋" w:hAnsi="仿宋" w:eastAsia="仿宋" w:cs="仿宋"/>
                <w:i w:val="0"/>
                <w:iCs w:val="0"/>
                <w:color w:val="auto"/>
                <w:kern w:val="0"/>
                <w:sz w:val="21"/>
                <w:szCs w:val="21"/>
                <w:highlight w:val="none"/>
                <w:u w:val="none"/>
                <w:lang w:val="en-US" w:eastAsia="zh-CN" w:bidi="ar"/>
              </w:rPr>
              <w:t>以保障高压氧源能够安全的进入设备中进行空氧混合</w:t>
            </w:r>
            <w:bookmarkEnd w:id="48"/>
            <w:bookmarkEnd w:id="49"/>
            <w:r>
              <w:rPr>
                <w:rFonts w:hint="eastAsia" w:ascii="仿宋" w:hAnsi="仿宋" w:eastAsia="仿宋" w:cs="仿宋"/>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4.设备内进行空氧混合后的输出气路需要同时具备流量传感器和压力传感器，以保障混氧气体能够在稳定压力和流量下输送给患者，保证用机安全。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5.设备同时具备超声实时氧浓度监测和目标氧浓度设置功能，无氧电池消耗，监测和设置范围：21%--100%。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6.机器采用一体式加温湿化器，湿化水罐具备自动注水功能，自动保证水盒内水位，提高加热效率。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设备具有以下各种报警功能指示：供电故障、设备失效、管路脱落、血氧传感器故障或未佩戴、检查水量、氧压力高、氧压力低、进气口堵塞、湿化器失效、无法达到目标氧浓度、无法达到目标温度、无法达到目标流量、鼻塞堵塞、管路损坏、电压低、管路损坏、请更换滤芯、SD卡写满、重插SD卡。</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8.设备具备普通空气滤芯和具备病毒过滤功能的一次性使用呼吸气体过滤器，过滤效果超过99.5%，也可直接使用符合 YY/T 0753.1 及 YY/T 0753.2 标准且具有医疗器械注册证的细菌过滤器，放置患者交叉感染或污染设备。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9.湿化水罐可选择一次性水罐和可重复使用水罐。</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10.加热管路可选择一次性加热管路和可重复使用加热管路。</w:t>
            </w:r>
          </w:p>
          <w:p>
            <w:pPr>
              <w:keepNext w:val="0"/>
              <w:keepLines w:val="0"/>
              <w:widowControl/>
              <w:suppressLineNumbers w:val="0"/>
              <w:jc w:val="left"/>
              <w:textAlignment w:val="center"/>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注：管道须与治疗仪配套使用。</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高流量治疗仪管路</w:t>
            </w:r>
          </w:p>
        </w:tc>
        <w:tc>
          <w:tcPr>
            <w:tcW w:w="2663"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套</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全胸振荡排痰机</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1、适用范围：用于胸腔外部处置时进行气道清除排痰治疗，适用于分泌物排出困难或由粘液阻塞引起的肺膨胀不全患者，同时促进气道清除排痰或改善支气管引流。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2、主要构成：由主机（内置气动脉冲发生器）、导气软管、充气背心和手控器组成。</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结构形式：便携式兼备台式功能（可装配撑杆座）。</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显示方式：彩色液晶界面显示方式。</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★5、按键方式：一键飞梭的操作方式，所有功能的调节仅需通过对一个键施以旋转及按压动作即可全部完成，必需提供专利证书佐证。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导气方式：采用2根导气软管同步向充气背心充、放气。</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★7、能装卸的全胸充气背心：背心由外套及气囊两部分组成，可以拆卸，外套可按普通衣物的方</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式随时清洗，必需提供专利证书佐证。</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 8、压力范围：0.5kpa～3.2kpa，步距0.3kpa。</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★9、振动频率：5Hz～30Hz，歩距1Hz，连续可调。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10、手动模式：治疗中压力及频率可随时调节。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★11、自动模式：按体型不同而分级定制，共有5种自动程序模式，压力及频率是固定值、不可调。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★12、自定义模式：治疗前设定各时段的压力及频率，治疗中不可调。</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13、定时时间：自动模式、自定义模式分为5min、10min、15min和20min四档。</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手动模式1min～99min连续可调，歩距1min</w:t>
            </w:r>
          </w:p>
          <w:p>
            <w:pPr>
              <w:keepNext w:val="0"/>
              <w:keepLines w:val="0"/>
              <w:pageBreakBefore w:val="0"/>
              <w:widowControl w:val="0"/>
              <w:numPr>
                <w:ilvl w:val="0"/>
                <w:numId w:val="6"/>
              </w:numPr>
              <w:kinsoku/>
              <w:wordWrap/>
              <w:overflowPunct/>
              <w:topLinePunct w:val="0"/>
              <w:autoSpaceDE/>
              <w:autoSpaceDN/>
              <w:bidi w:val="0"/>
              <w:adjustRightInd/>
              <w:snapToGrid/>
              <w:jc w:val="left"/>
              <w:textAlignment w:val="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 xml:space="preserve">设备标配的手控触发器有“加压”、 “启动”、“停止”三项功能,必要时可利用手控器进行快速停机。 </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val="0"/>
                <w:bCs w:val="0"/>
                <w:color w:val="auto"/>
                <w:sz w:val="21"/>
                <w:szCs w:val="21"/>
                <w:highlight w:val="none"/>
                <w:lang w:val="en-US" w:eastAsia="zh-CN"/>
              </w:rPr>
              <w:t>15、CMD颁发的、针对本产品的ISO13485:2016和ISO9001:2015《质量管理体系认证证书》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5"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关节内窥镜4.0mm</w:t>
            </w:r>
          </w:p>
        </w:tc>
        <w:tc>
          <w:tcPr>
            <w:tcW w:w="2663" w:type="pct"/>
            <w:vMerge w:val="restart"/>
            <w:tcBorders>
              <w:top w:val="single" w:color="000000" w:sz="4" w:space="0"/>
              <w:left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1、关节镜1根（含消毒盒）</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1)视向角30°</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2)视场角≥100°</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3)视场中心角分辨力≥3.5C/（°）</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4)单位相对畸变≤2%</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5)</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i w:val="0"/>
                <w:iCs w:val="0"/>
                <w:color w:val="auto"/>
                <w:sz w:val="21"/>
                <w:szCs w:val="21"/>
                <w:highlight w:val="none"/>
                <w:u w:val="none"/>
              </w:rPr>
              <w:t>关节镜的分辨率≥37.5 lp/mm"</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6)</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i w:val="0"/>
                <w:iCs w:val="0"/>
                <w:color w:val="auto"/>
                <w:sz w:val="21"/>
                <w:szCs w:val="21"/>
                <w:highlight w:val="none"/>
                <w:u w:val="none"/>
              </w:rPr>
              <w:t>关节镜的照度≥462001x</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7)可以釆用压力蒸汽灭菌的关节镜≥300次</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8)关节镜的工作长度的标称值为175mm±3%</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9)关节镜插入部分最大宽度4mm</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10)超广角，激光无缝焊接、蓝宝石镜片防划通透</w:t>
            </w:r>
          </w:p>
          <w:p>
            <w:pP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11)配置配套套管和闭孔器一套</w:t>
            </w:r>
          </w:p>
        </w:tc>
        <w:tc>
          <w:tcPr>
            <w:tcW w:w="306"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套</w:t>
            </w:r>
          </w:p>
        </w:tc>
        <w:tc>
          <w:tcPr>
            <w:tcW w:w="328"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w:t>
            </w: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66" w:type="pct"/>
            <w:vMerge w:val="restart"/>
            <w:tcBorders>
              <w:top w:val="single" w:color="000000" w:sz="4" w:space="0"/>
              <w:left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关节镜消毒盒</w:t>
            </w:r>
          </w:p>
        </w:tc>
        <w:tc>
          <w:tcPr>
            <w:tcW w:w="2663"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06"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p>
        </w:tc>
        <w:tc>
          <w:tcPr>
            <w:tcW w:w="328"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66"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咬切钳1把。鸭嘴直型，工作长度125mm，插入部分最大宽度5.6mm，钳头最大张开幅度35°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咬切钳1把。鸭嘴头翘，工作长度125mm，插入部分最大宽度5.2mm，钳头最大张开幅度30°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咬切钳1把。鸭嘴右弯，工作长度 122mm，插入部分最大宽度5.4mm，钳头最大张开幅度35°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咬切钳1把。鸭嘴左弯，工作长度 122mm，插入部分最大宽度5.4mm，钳头最大张开幅度35°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咬切钳1把。前角右弯，工作长度 115mm，插入部分最大宽度5.6mm，钳头最大张开幅度45°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篮钳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咬切钳1把。右弯90度，工作长度125mm，插入部分最大宽度6.8mm，钳头最大张开幅度80°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软组织抓钳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软组织抓取钳1把。插入部分最大宽度：3.3mm 工作长度：125mm 钳头最大张开幅度：30°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勾线钳</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直型钩线钳1把。插入部分最大宽度：2.5mm 工作长度：165mm 钳头最大张开幅度：45°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戳枪头翘</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戳枪头翘钩线钳1把。插入部分最大宽度：2.5mm 工作长度：165mm 钳头最大张开幅度：45°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戳枪直</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2"/>
                <w:sz w:val="21"/>
                <w:szCs w:val="21"/>
                <w:highlight w:val="none"/>
                <w:u w:val="none"/>
                <w:lang w:val="en-US" w:eastAsia="zh-CN" w:bidi="ar-SA"/>
              </w:rPr>
              <w:t>戳枪直型钩线钳1把插入部分最大宽度：2.5mm 工作长度：165mm 钳头最大张开幅度：45°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剪线器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剪线钳1把。插入部分最大宽度：4mm 工作长度：142mm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肩袖缝合枪</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肩袖缝合枪（带枪芯5支）1把、需要带5支枪芯</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SLAP锉</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SLAP锉1把、正角</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探钩</w:t>
            </w:r>
          </w:p>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(不带手柄)</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探钩(不带手柄)1把、长度223mm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交换棒(4.0mm)</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2"/>
                <w:sz w:val="21"/>
                <w:szCs w:val="21"/>
                <w:highlight w:val="none"/>
                <w:u w:val="none"/>
                <w:lang w:val="en-US" w:eastAsia="zh-CN" w:bidi="ar-SA"/>
              </w:rPr>
              <w:t>交换棒(4.0mm)1把、直径4.3mm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开路器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开路器1把、直型</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橡皮锤</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橡皮锤1把</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推结器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推结器1把、170.5mm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勾/推线器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勾/推线器1把、251mm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肩关节提升器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肩关节提升器1把、上弯15°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导向器3.5mm</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导向器1把 3.5mm，软组织过线器组件，工作长度170mm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导向器5.0mm</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导向器1把 5.0mm，软组织过线器组件，工作长度170mm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软组织过线器弯钩直型</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软组织过线器1把，弯钩直型</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软组织过线器弯钩左弯25度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软组织过线器1把，弯钩左弯25度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软组织过线器弯钩月牙25度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软组织过线器1把，弯钩右弯25度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软组织过线器弯钩左弯60度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软组织过线器1把，弯钩左弯60度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软组织过线器弯钩左弯45度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软组织过线器1把，弯钩左弯45度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软组织过线器弯钩右弯25度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软组织过线器1把，弯钩右弯25度</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把</w:t>
            </w:r>
          </w:p>
        </w:tc>
        <w:tc>
          <w:tcPr>
            <w:tcW w:w="3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消毒盒</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消毒盒1个</w:t>
            </w:r>
          </w:p>
        </w:tc>
        <w:tc>
          <w:tcPr>
            <w:tcW w:w="30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9</w:t>
            </w: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default" w:ascii="仿宋" w:hAnsi="仿宋" w:eastAsia="仿宋" w:cs="仿宋"/>
                <w:i w:val="0"/>
                <w:iCs w:val="0"/>
                <w:color w:val="auto"/>
                <w:sz w:val="21"/>
                <w:szCs w:val="21"/>
                <w:highlight w:val="none"/>
                <w:u w:val="none"/>
                <w:lang w:val="en-US"/>
              </w:rPr>
            </w:pPr>
            <w:r>
              <w:rPr>
                <w:rFonts w:hint="eastAsia" w:ascii="仿宋" w:hAnsi="仿宋" w:eastAsia="仿宋" w:cs="仿宋"/>
                <w:i w:val="0"/>
                <w:iCs w:val="0"/>
                <w:color w:val="auto"/>
                <w:kern w:val="0"/>
                <w:sz w:val="21"/>
                <w:szCs w:val="21"/>
                <w:highlight w:val="none"/>
                <w:u w:val="none"/>
                <w:lang w:val="en-US" w:eastAsia="zh-CN" w:bidi="ar"/>
              </w:rPr>
              <w:t>刨削动力系统主机</w:t>
            </w:r>
          </w:p>
        </w:tc>
        <w:tc>
          <w:tcPr>
            <w:tcW w:w="2663" w:type="pct"/>
            <w:vMerge w:val="restart"/>
            <w:tcBorders>
              <w:top w:val="single" w:color="000000" w:sz="4" w:space="0"/>
              <w:left w:val="single" w:color="auto" w:sz="4" w:space="0"/>
              <w:right w:val="single" w:color="auto" w:sz="4" w:space="0"/>
            </w:tcBorders>
            <w:shd w:val="clear" w:color="auto" w:fill="auto"/>
            <w:noWrap/>
            <w:vAlign w:val="center"/>
          </w:tcPr>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1)LCD触控液晶显示屏</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2)双手柄通道，自由切换工作模式</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3)</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i w:val="0"/>
                <w:iCs w:val="0"/>
                <w:color w:val="auto"/>
                <w:kern w:val="0"/>
                <w:sz w:val="21"/>
                <w:szCs w:val="21"/>
                <w:highlight w:val="none"/>
                <w:u w:val="none"/>
                <w:lang w:val="en-US" w:eastAsia="zh-CN" w:bidi="ar"/>
              </w:rPr>
              <w:t>手控手柄，通过手柄按键可操控刀头的正转、反转、往复转及停止，并能在预设速度（高速和低速）之间交替切换。带吸引阀开关。</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4)</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i w:val="0"/>
                <w:iCs w:val="0"/>
                <w:color w:val="auto"/>
                <w:kern w:val="0"/>
                <w:sz w:val="21"/>
                <w:szCs w:val="21"/>
                <w:highlight w:val="none"/>
                <w:u w:val="none"/>
                <w:lang w:val="en-US" w:eastAsia="zh-CN" w:bidi="ar"/>
              </w:rPr>
              <w:t>刨刀转速：正转/反转100-5000rpm,往复500-3000 rpm，磨头转速：500-8500rpm</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5)</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i w:val="0"/>
                <w:iCs w:val="0"/>
                <w:color w:val="auto"/>
                <w:kern w:val="0"/>
                <w:sz w:val="21"/>
                <w:szCs w:val="21"/>
                <w:highlight w:val="none"/>
                <w:u w:val="none"/>
                <w:lang w:val="en-US" w:eastAsia="zh-CN" w:bidi="ar"/>
              </w:rPr>
              <w:t>主机自动识别刨刀、磨头类型；转速记忆功能，转速可根据需求进行设定。</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6)</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i w:val="0"/>
                <w:iCs w:val="0"/>
                <w:color w:val="auto"/>
                <w:kern w:val="0"/>
                <w:sz w:val="21"/>
                <w:szCs w:val="21"/>
                <w:highlight w:val="none"/>
                <w:u w:val="none"/>
                <w:lang w:val="en-US" w:eastAsia="zh-CN" w:bidi="ar"/>
              </w:rPr>
              <w:t>具有刨刀切割窗锁定位功能，可避免进入人体后损伤软组织</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7)可配脚踏控制器，实现正转、反转、往复转</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8)通用大小刨刀，刨刀可涵盖运动医学大小关节手术。</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9)</w:t>
            </w:r>
            <w:r>
              <w:rPr>
                <w:rFonts w:hint="eastAsia" w:ascii="仿宋" w:hAnsi="仿宋" w:eastAsia="仿宋" w:cs="仿宋"/>
                <w:b w:val="0"/>
                <w:bCs w:val="0"/>
                <w:color w:val="auto"/>
                <w:sz w:val="21"/>
                <w:szCs w:val="21"/>
                <w:highlight w:val="none"/>
                <w:lang w:val="en-US" w:eastAsia="zh-CN"/>
              </w:rPr>
              <w:t>★</w:t>
            </w:r>
            <w:r>
              <w:rPr>
                <w:rFonts w:hint="default" w:ascii="仿宋" w:hAnsi="仿宋" w:eastAsia="仿宋" w:cs="仿宋"/>
                <w:i w:val="0"/>
                <w:iCs w:val="0"/>
                <w:color w:val="auto"/>
                <w:kern w:val="0"/>
                <w:sz w:val="21"/>
                <w:szCs w:val="21"/>
                <w:highlight w:val="none"/>
                <w:u w:val="none"/>
                <w:lang w:val="en-US" w:eastAsia="zh-CN" w:bidi="ar"/>
              </w:rPr>
              <w:t>脚踏控制器防水级别IPX8</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10)配合使用刀头性能符合YY/T 0955-2014《医用内窥镜 内窥镜手术设备 刨削器》中4.5专用刨削头的相关要求。</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11)手柄接口触觉定位设计可轻松迅速方便的连接刨削刀头，并能可靠锁定。</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default" w:ascii="仿宋" w:hAnsi="仿宋" w:eastAsia="仿宋" w:cs="仿宋"/>
                <w:i w:val="0"/>
                <w:iCs w:val="0"/>
                <w:color w:val="auto"/>
                <w:kern w:val="0"/>
                <w:sz w:val="21"/>
                <w:szCs w:val="21"/>
                <w:highlight w:val="none"/>
                <w:u w:val="none"/>
                <w:lang w:val="en-US" w:eastAsia="zh-CN" w:bidi="ar"/>
              </w:rPr>
              <w:t>12)刨削系统提供的扭力</w:t>
            </w:r>
            <w:r>
              <w:rPr>
                <w:rFonts w:hint="eastAsia" w:ascii="仿宋" w:hAnsi="仿宋" w:eastAsia="仿宋" w:cs="仿宋"/>
                <w:i w:val="0"/>
                <w:iCs w:val="0"/>
                <w:color w:val="auto"/>
                <w:sz w:val="21"/>
                <w:szCs w:val="21"/>
                <w:highlight w:val="none"/>
                <w:u w:val="none"/>
              </w:rPr>
              <w:t>≥</w:t>
            </w:r>
            <w:r>
              <w:rPr>
                <w:rFonts w:hint="default" w:ascii="仿宋" w:hAnsi="仿宋" w:eastAsia="仿宋" w:cs="仿宋"/>
                <w:i w:val="0"/>
                <w:iCs w:val="0"/>
                <w:color w:val="auto"/>
                <w:kern w:val="0"/>
                <w:sz w:val="21"/>
                <w:szCs w:val="21"/>
                <w:highlight w:val="none"/>
                <w:u w:val="none"/>
                <w:lang w:val="en-US" w:eastAsia="zh-CN" w:bidi="ar"/>
              </w:rPr>
              <w:t>125mN.m</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脚踏开关</w:t>
            </w:r>
          </w:p>
        </w:tc>
        <w:tc>
          <w:tcPr>
            <w:tcW w:w="2663" w:type="pct"/>
            <w:vMerge w:val="continue"/>
            <w:tcBorders>
              <w:left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rPr>
            </w:pP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手柄</w:t>
            </w:r>
          </w:p>
        </w:tc>
        <w:tc>
          <w:tcPr>
            <w:tcW w:w="2663" w:type="pct"/>
            <w:vMerge w:val="continue"/>
            <w:tcBorders>
              <w:left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rPr>
            </w:pP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刀头</w:t>
            </w:r>
          </w:p>
        </w:tc>
        <w:tc>
          <w:tcPr>
            <w:tcW w:w="2663"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rPr>
            </w:pP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3</w:t>
            </w:r>
          </w:p>
        </w:tc>
        <w:tc>
          <w:tcPr>
            <w:tcW w:w="36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0" w:hRule="atLeast"/>
          <w:jc w:val="center"/>
        </w:trPr>
        <w:tc>
          <w:tcPr>
            <w:tcW w:w="29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66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低温等离子系统主机</w:t>
            </w:r>
          </w:p>
        </w:tc>
        <w:tc>
          <w:tcPr>
            <w:tcW w:w="2663" w:type="pct"/>
            <w:vMerge w:val="restart"/>
            <w:tcBorders>
              <w:top w:val="single" w:color="auto" w:sz="4" w:space="0"/>
              <w:left w:val="single" w:color="auto" w:sz="4" w:space="0"/>
              <w:right w:val="single" w:color="auto" w:sz="4" w:space="0"/>
            </w:tcBorders>
            <w:shd w:val="clear" w:color="auto" w:fill="auto"/>
            <w:noWrap/>
            <w:vAlign w:val="center"/>
          </w:tcPr>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1)电源输入电压: AC220V±22V</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2)电源输入频率：50Hz±1Hz</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3)电源输入功率： 700VA</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4)工作频率：100KHz±10%</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5)输出功率：320W±20%（可实现多级分段功率输出）</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6)主机尺寸：380*370*170mm</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7)电源线长度：1.8m</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8)主机重量：7.35kg</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9)防电击类型：Ι类BF型设备</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i w:val="0"/>
                <w:iCs w:val="0"/>
                <w:color w:val="auto"/>
                <w:kern w:val="0"/>
                <w:sz w:val="21"/>
                <w:szCs w:val="21"/>
                <w:highlight w:val="none"/>
                <w:u w:val="none"/>
                <w:lang w:val="en-US" w:eastAsia="zh-CN" w:bidi="ar"/>
              </w:rPr>
              <w:t>进液防护：主机IPX0，脚踏IP68</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w:t>
            </w:r>
            <w:r>
              <w:rPr>
                <w:rFonts w:hint="eastAsia" w:ascii="仿宋" w:hAnsi="仿宋" w:eastAsia="仿宋" w:cs="仿宋"/>
                <w:b w:val="0"/>
                <w:bCs w:val="0"/>
                <w:color w:val="auto"/>
                <w:sz w:val="21"/>
                <w:szCs w:val="21"/>
                <w:highlight w:val="none"/>
                <w:lang w:val="en-US" w:eastAsia="zh-CN"/>
              </w:rPr>
              <w:t>★</w:t>
            </w:r>
            <w:r>
              <w:rPr>
                <w:rFonts w:hint="eastAsia" w:ascii="仿宋" w:hAnsi="仿宋" w:eastAsia="仿宋" w:cs="仿宋"/>
                <w:i w:val="0"/>
                <w:iCs w:val="0"/>
                <w:color w:val="auto"/>
                <w:kern w:val="0"/>
                <w:sz w:val="21"/>
                <w:szCs w:val="21"/>
                <w:highlight w:val="none"/>
                <w:u w:val="none"/>
                <w:lang w:val="en-US" w:eastAsia="zh-CN" w:bidi="ar"/>
              </w:rPr>
              <w:t>运行模式：间歇加载连续运行，持续周期：开30s，关10s</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12)工作模式：具有消融切割(ABLATE)、凝固止血(COAG)两种模式</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13)手术电极、脚踏开关连接自动识别指示</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14)功率、档位调节指示，工作及故障报警提示</w:t>
            </w:r>
          </w:p>
          <w:p>
            <w:pPr>
              <w:jc w:val="both"/>
              <w:rPr>
                <w:rFonts w:hint="default"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15)可以配合多种电极（刀头）使用</w:t>
            </w: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3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w:t>
            </w:r>
          </w:p>
        </w:tc>
        <w:tc>
          <w:tcPr>
            <w:tcW w:w="36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85" w:hRule="atLeast"/>
          <w:jc w:val="center"/>
        </w:trPr>
        <w:tc>
          <w:tcPr>
            <w:tcW w:w="29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666"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电极</w:t>
            </w:r>
          </w:p>
        </w:tc>
        <w:tc>
          <w:tcPr>
            <w:tcW w:w="2663" w:type="pct"/>
            <w:vMerge w:val="continue"/>
            <w:tcBorders>
              <w:left w:val="single" w:color="auto" w:sz="4" w:space="0"/>
              <w:bottom w:val="single" w:color="auto" w:sz="4" w:space="0"/>
              <w:right w:val="single" w:color="auto" w:sz="4" w:space="0"/>
            </w:tcBorders>
            <w:shd w:val="clear" w:color="auto" w:fill="auto"/>
            <w:noWrap/>
            <w:vAlign w:val="center"/>
          </w:tcPr>
          <w:p>
            <w:pPr>
              <w:jc w:val="center"/>
              <w:rPr>
                <w:rFonts w:hint="default" w:ascii="仿宋" w:hAnsi="仿宋" w:eastAsia="仿宋" w:cs="仿宋"/>
                <w:i w:val="0"/>
                <w:iCs w:val="0"/>
                <w:color w:val="auto"/>
                <w:sz w:val="21"/>
                <w:szCs w:val="21"/>
                <w:highlight w:val="none"/>
                <w:u w:val="none"/>
                <w:lang w:val="en-US"/>
              </w:rPr>
            </w:pPr>
          </w:p>
        </w:tc>
        <w:tc>
          <w:tcPr>
            <w:tcW w:w="306"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3</w:t>
            </w:r>
          </w:p>
        </w:tc>
        <w:tc>
          <w:tcPr>
            <w:tcW w:w="366"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3"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11</w:t>
            </w:r>
          </w:p>
        </w:tc>
        <w:tc>
          <w:tcPr>
            <w:tcW w:w="66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空气消毒机</w:t>
            </w:r>
          </w:p>
        </w:tc>
        <w:tc>
          <w:tcPr>
            <w:tcW w:w="266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1、外形：移动式；</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2、消毒空间:≥100m3； </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3、双通道立体式出风，循环风量：≥1000m3/h；</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4、机内紫外线辐射强度:≥14200μW/cm2；</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5、机外紫外线泄漏量：0μw/cm2；</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6、消毒时空气中臭氧量≤0.13mg/m3；</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7、细菌总量:108cfu/m3；</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8、负离子发生量:6×106个/cm3； </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9、工作电源：220V±22V，50Hz±1Hz</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10、功率: 220W， 噪音：≤55dB；</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11、超强远红外线遥控接收装置，可远距离遥控控制，左右45度任意操控；</w:t>
            </w:r>
          </w:p>
          <w:p>
            <w:pPr>
              <w:keepNext w:val="0"/>
              <w:keepLines w:val="0"/>
              <w:widowControl/>
              <w:suppressLineNumbers w:val="0"/>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12、LED数码直观显示，时间任意设置；整机工作寿命计时；</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13、临时消毒功能及程控自动运行消毒设定，程控不低于6个时间段消毒；</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14、采用超强度、长寿命、高标准C波段（254nm），无臭氧紫外线灯管；</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15、内置高浓度增量负离子发生器，释放负离子控制空气微粒净化空气；</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16、对空气中自然菌的杀灭率≥90.99%，对空气中白色葡萄球菌的杀灭率≥99.96%，对人类冠状病毒灭活率≥97.55%；</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17、消毒后空气中细菌总数：部颁Ⅱ、Ⅲ类无菌环境标准；</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18、使用环境：手术室、ICU、诊疗室、病房、产房、婴儿室、早产儿室供应室无菌区、烧伤病房、重症监护病房等。</w:t>
            </w:r>
          </w:p>
        </w:tc>
        <w:tc>
          <w:tcPr>
            <w:tcW w:w="30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366"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轮椅</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1.坐垫尺寸:座宽≥49cm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2.重量:约≥20.5KG</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3.后轮:22英寸实心轮胎</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4.尺寸:≥110cm*68cm*130cm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5.折叠尺寸:≥89cm*35cm*77cm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6.承重:≥120kg</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7.靠背可后躺90°~165°</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8.脚踏可抬起 可拆卸 外旋转</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9.可升降 可开合扶手舒适头枕可拆卸</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10.前后双刹车制动+防后倾轮</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13</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内镜转运车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1.用途：用于软式内镜的转运。</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2.材质：主体使用全钢材质，表面喷塑处理。</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3.装载：2层装载盒，一次性可装载2条以上胃镜或肠镜</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4.移动：4方向旋转脚轮，带脚轮锁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5.功能：承载容器可单独进行消毒；有效避免交叉感染。</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14</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肠镜转运车</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1.用途：用于软式内镜的转运。</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2.材质：主体使用全钢材质，表面喷塑处理。</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3.装载：2层装载盒，一次性可装载2条以上胃镜或肠镜</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4.移动：4方向旋转脚轮，带脚轮锁</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5.功能：承载容器可单独进行消毒；有效避免交叉感染。</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辆</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吸引器</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eastAsia="zh-CN"/>
              </w:rPr>
              <w:t>一、</w:t>
            </w:r>
            <w:r>
              <w:rPr>
                <w:rFonts w:hint="eastAsia" w:ascii="仿宋" w:hAnsi="仿宋" w:eastAsia="仿宋" w:cs="仿宋"/>
                <w:i w:val="0"/>
                <w:iCs w:val="0"/>
                <w:color w:val="auto"/>
                <w:sz w:val="21"/>
                <w:szCs w:val="21"/>
                <w:highlight w:val="none"/>
                <w:u w:val="none"/>
              </w:rPr>
              <w:t xml:space="preserve">性能特点：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1、该设备选用大流量无油润滑真空泵作负压源，抽气速率高、负压上升快，无油雾污染，可免去泵体的日常维护和保养。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2、充分结合人体工程学设计的产品外观，造型新颖，线条流畅。选用大口径、大容量的 PC 塑料贮液瓶，清晰透亮，极易清洗，配上带密封环的瓶塞，密封性好且开启方便（可选配一次性引流袋）。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3、</w:t>
            </w:r>
            <w:r>
              <w:rPr>
                <w:rFonts w:hint="eastAsia" w:ascii="仿宋" w:hAnsi="仿宋" w:eastAsia="仿宋" w:cs="仿宋"/>
                <w:i w:val="0"/>
                <w:iCs w:val="0"/>
                <w:color w:val="auto"/>
                <w:sz w:val="21"/>
                <w:szCs w:val="21"/>
                <w:highlight w:val="none"/>
                <w:u w:val="none"/>
              </w:rPr>
              <w:t>采用透明医用聚氯乙烯软导管</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rPr>
              <w:t xml:space="preserve">便于吸引时观察管内的液体，独特的管道接头设计，使管道连接更加方便。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4</w:t>
            </w:r>
            <w:r>
              <w:rPr>
                <w:rFonts w:hint="eastAsia" w:ascii="仿宋" w:hAnsi="仿宋" w:eastAsia="仿宋" w:cs="仿宋"/>
                <w:i w:val="0"/>
                <w:iCs w:val="0"/>
                <w:color w:val="auto"/>
                <w:sz w:val="21"/>
                <w:szCs w:val="21"/>
                <w:highlight w:val="none"/>
                <w:u w:val="none"/>
              </w:rPr>
              <w:t xml:space="preserve">、通过负压调节阀控制吸引时所需要的负压，负压值由真空表显示。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5</w:t>
            </w:r>
            <w:r>
              <w:rPr>
                <w:rFonts w:hint="eastAsia" w:ascii="仿宋" w:hAnsi="仿宋" w:eastAsia="仿宋" w:cs="仿宋"/>
                <w:i w:val="0"/>
                <w:iCs w:val="0"/>
                <w:color w:val="auto"/>
                <w:sz w:val="21"/>
                <w:szCs w:val="21"/>
                <w:highlight w:val="none"/>
                <w:u w:val="none"/>
                <w:lang w:eastAsia="zh-CN"/>
              </w:rPr>
              <w:t>、</w:t>
            </w:r>
            <w:r>
              <w:rPr>
                <w:rFonts w:hint="eastAsia" w:ascii="仿宋" w:hAnsi="仿宋" w:eastAsia="仿宋" w:cs="仿宋"/>
                <w:i w:val="0"/>
                <w:iCs w:val="0"/>
                <w:color w:val="auto"/>
                <w:sz w:val="21"/>
                <w:szCs w:val="21"/>
                <w:highlight w:val="none"/>
                <w:u w:val="none"/>
              </w:rPr>
              <w:t xml:space="preserve">手动开关和脚踏开关并联连接，实现双重启停控制，可供临床任意选用。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6</w:t>
            </w:r>
            <w:r>
              <w:rPr>
                <w:rFonts w:hint="eastAsia" w:ascii="仿宋" w:hAnsi="仿宋" w:eastAsia="仿宋" w:cs="仿宋"/>
                <w:i w:val="0"/>
                <w:iCs w:val="0"/>
                <w:color w:val="auto"/>
                <w:sz w:val="21"/>
                <w:szCs w:val="21"/>
                <w:highlight w:val="none"/>
                <w:u w:val="none"/>
              </w:rPr>
              <w:t xml:space="preserve">、整机工作平稳，噪声低，使用寿命长。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二、主要技术参数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1、极限负压值：≥0.09MPa(680mmHg)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2、负压调节范围：0.02MPa(150mmHg)～极限负压值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3、自由空气流量：≥40L/min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4、贮液瓶：≥3000ml×2(PC)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5、电源：～220V 50Hz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6、输入功率：250VA </w:t>
            </w:r>
          </w:p>
          <w:p>
            <w:pPr>
              <w:numPr>
                <w:ilvl w:val="0"/>
                <w:numId w:val="0"/>
              </w:num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7、外包装尺寸：≥46.5cm×42.5cm×93.5cm </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 xml:space="preserve">8、毛/净重：≥21.5/19kg </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电动吸引器配置要求：</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主机：1台</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一次性吸引管：1套</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吸引软导管：1根</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空气过滤器：2只</w:t>
            </w:r>
          </w:p>
          <w:p>
            <w:p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熔丝管：3只</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lang w:val="en-US" w:eastAsia="zh-CN"/>
              </w:rPr>
              <w:t>电源线、保修卡、说明书、合格证等一套</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16</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内镜注水瓶</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7"/>
              </w:numPr>
              <w:jc w:val="left"/>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在水瓶里注入无菌水，直到水面位于水瓶外指定的水面标识以内</w:t>
            </w:r>
          </w:p>
          <w:p>
            <w:pPr>
              <w:numPr>
                <w:ilvl w:val="0"/>
                <w:numId w:val="7"/>
              </w:numPr>
              <w:ind w:left="0" w:leftChars="0" w:firstLine="0" w:firstLineChars="0"/>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将盖子安装在水瓶上。 将盖子旋拧在水瓶上，螺旋的扭矩可能会增加。顺时针方向旋拧盖子180度。</w:t>
            </w:r>
          </w:p>
          <w:p>
            <w:pPr>
              <w:numPr>
                <w:ilvl w:val="0"/>
                <w:numId w:val="7"/>
              </w:numPr>
              <w:ind w:left="0" w:leftChars="0" w:firstLine="0" w:firstLineChars="0"/>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将水瓶保护座安装到水瓶的底部。</w:t>
            </w:r>
          </w:p>
          <w:p>
            <w:pPr>
              <w:numPr>
                <w:ilvl w:val="0"/>
                <w:numId w:val="0"/>
              </w:numPr>
              <w:ind w:leftChars="0"/>
              <w:jc w:val="both"/>
              <w:rPr>
                <w:rFonts w:hint="default"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4.将水瓶的钩挂在光源或台车的水瓶架上。</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17</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导联线</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1.导联线长度≥2米，能够满足不同患者的需求。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2.接口类型：与心电图机的接口兼容，常见的接口类型有圆形插头和方形插头等。</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3.导联线材质：应具备良好的导电性能和耐用性，常见的材质有铜、铝和不锈钢等。</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4.颜色应与心电图机的导联接口颜色相对应，以方便操作和识别。</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18</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注射泵</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8"/>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用途：在ICU、手术室、儿科等科室使用，用于推动注射器进行液体注射。</w:t>
            </w:r>
          </w:p>
          <w:p>
            <w:pPr>
              <w:keepNext w:val="0"/>
              <w:keepLines w:val="0"/>
              <w:widowControl/>
              <w:numPr>
                <w:ilvl w:val="0"/>
                <w:numId w:val="0"/>
              </w:numPr>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2、一般规格和要求：</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 设备先进、结构合理、加工精密；</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3、主要技术和性能要求：</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3.1安全要求：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★3.1.1安全防护可靠，防护类型：CFⅠ、IP34、IEC60601-1-2/YY0505、主副CPU；</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★3.1.2压力报警阈值4档可调；最低阻塞压力档低至150mmHg。</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3.1.3 阻塞回撤功能（Anti-Bolus）：当管路阻塞报警时，自动回撤管路压力，避免意外丸剂量伤害患者；</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3.1.4防虹吸功能：防止药液在暂停期间任意流出；</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 精度要求：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3.2.1 速率≥1ml/h: 精度≤±2%；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★3.2.2 快速启动功能：实现快速给药、缩短给药延迟时间；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★3.2.3 在线滴定功能：安全不中断输液而更改速率。</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 基本要求：</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3.3.1 速率范围：0.1-1500ml/h, 递增：0.1ml（0.1-999.9ml/h）；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3.3.2预置总量范围：0.1-9999ml，递增：0.1ml；</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3.3.3 预置时间范围：00:00:01-99:59:59（h:m:s）；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3.3.3 安装固定：可固定在输液支架上；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3.3.4 快推“bolus”：0.1-1500ml/h，以0.1ml/h递增, 具有自动和手动快推“bolus”可选；</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3.3.5  KVO：0.1-5ml/h，递增0.1ml/h；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★3.3.6 自动识别注射器规格：5ml、10ml、20ml、30ml、50ml；</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★3.3.7 具备独立电源开关，单通道使用时更节能。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★3.3.8 屏幕不小于3英寸，同屏显示：速率、当前注射状态、已注射量、注射器规格、电池容量、报警压力档位、报警信息 ；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★3.3.9 整机重量不超过4kg，主机自带提手，方便携带。</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3.3.10 分低级、中级、高级三级报警，并分别以声光提示，同时显示具体报警信息；</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3.3.11 高级报警信息：阻塞、电池耗尽、完成、KVO完成、注射器排空、注射器脱落、系统故障、联机失效；</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中级报警信息：系统异常、待机时间结束；</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低级报警信息：无操作、电池电量低、未安装电池、接近完成、网电源脱落；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★3.3.12 具有4种注射模式可选：速度模式、时间模式、体重模式、间断给药模式；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 3.3.13 具有联机功能：适用于药物的不间断推注，保证没有任何注射中断的连续给药功能；维持血药浓度稳定。</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★3.3.14 双通道注射时，电池工作时间﹥6小时@5ml/h；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3.3.15供电：AC 100V-240V，50/60Hz，DC 10-16V；</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3.3.16 信息储存：自动储存1500条以上的操作信息；</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3.3.17 RS232接口：数据传输、护士呼叫、DC连接；</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3.3.18 药物库功能，支持多达200条药物</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★3.3.19 全中文软件操作界面。</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4、技术服务</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4.1 技术文件：提供技术文件资料，使用说明，操作卡；</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4.2 操作培训；厂家或代理商负责培训医务人员熟练掌握使用并提供长期技术支持。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5、售后服务及维修：</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5.1 维修站及工作情况：在国内有专业维修中心，有专职维修工程师负责维护及维修负责上门安装、维护及维修,响应时间﹤24h；</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5.2 保修期：3年，终身维修。</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9"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19</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全自动颈腰椎牵</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1.电源：AC220V±22V 50Hz±1Hz</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2.额定输入功率：240VA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3.腰椎牵引行程：0～200mm，允差±10%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4.腰椎牵引力：0～980N（0～99kg）可设定，不大于200N时，允差±10%；200N～980N时，允差为±20%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5.腰椎牵引总时间：0～99min可设定，级差1min，允差为±30s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6.牵引持续时间：0～9min可设定，级差1min，允差为±30s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7.牵引间歇时间：0～90s可设定，级差10s，允差为±30s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★8.牵引床的腰椎纵向牵引速度：7mm±2mm/s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9.腰椎上下成角：+30°～-10°的范围内设定，级差1°，允差为±2°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10.腰椎左右旋转：-25°～+25°的范围内设定，级差1°，允差为±2°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11.牵引床腰部加热温度：55℃，允差±3℃</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12.颈椎牵引行程：0～300mm，允差±10%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★13.颈椎牵引力：0～300N（0～30kg）可设定，不大于200N时，允差±10%；200N～300N时，允差为±20%</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14.颈椎牵引总时间：0～99min可设定，级差1min，允差为±30s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15.颈椎牵引持续时间：0～9min可设定，级差1min，允差为±30s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★16.颈椎牵引间歇时间：0～90s可设定，级差10s，允差为允差为±30s</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17.床面额定承载：不小于1500N</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18.熔断器：F3AL 250V，Φ5×20mm；F8AL 250V，Φ5×20mm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19.外观尺寸：≥2450×600×2200mm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20.智能数字显示时间，牵引力</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21.具有手动应急放松安全保护功能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22.腰椎牵引力具备正向自动补偿功能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23.颈椎牵引力具备正向和负向自动补偿功能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24.腰椎牵引功能和颈椎牵引功能均由电脑控制，双机双牵，可单独使用或同时使用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25.微电脑控制腰椎牵引床完成纵向牵引、上下成角牵引、左右旋转牵引三维功能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26.腰椎牵引时，上下成角牵引和左右旋转牵引具有自动和手动操作功能</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27.具有持续牵引、间歇牵引、上下阶梯式牵引及反复牵引等八种牵引模式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28.牵引床具有232电脑通讯接口装置，可以连接电脑进行操作</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29.具有病历档案的存储功能，存储数量为20例</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30.配有可靠的测力传感器，在治疗过程中及时跟踪显示牵引力的变化</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31.牵引床的腋窝受力杆长度可逐级调节，调节杆的总长为60㎝±2㎝，每级调节距离为4㎝±1㎝ ，总调节距离不小于10㎝±1㎝ </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32. 腋窝受力杆承受400N±40N拉力,持续牵拉30min，应无松动和变形</w:t>
            </w:r>
          </w:p>
          <w:p>
            <w:pPr>
              <w:keepNext w:val="0"/>
              <w:keepLines w:val="0"/>
              <w:widowControl/>
              <w:suppressLineNumbers w:val="0"/>
              <w:jc w:val="left"/>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33. 牵引床在运行时的噪声不大于60dB(A)。</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20</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骨质疏松治疗仪</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数量：1台</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质保期：3年</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要求:</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rPr>
              <w:t>1、集振动、温热、磁疗于一体，使治疗效果达到最佳；</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2、床体采用人体工学的曲线设计；</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rPr>
              <w:t>3、磁环任意定位或自由移动，可进行局部治疗和全身治疗；</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4、同步音乐让患者心情更放松；</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5、三路独立输出通道，互不干扰。</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6、系统处方：50个（正弦波35个，方波15个）</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7、用户处方：20个（正弦波10个，方波10个）</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8、磁场强度：磁环0~25mT；温振导子0~25mT</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9、波形：校正正弦波 — 方波</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10、调制频率：2~100HZ（正弦波）；5~1000HZ（方波）</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11、治疗时间：0~60min</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12、温振导子温度：35~55°C</w:t>
            </w:r>
          </w:p>
          <w:p>
            <w:pPr>
              <w:jc w:val="both"/>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13、振动强度：3档（弱、中、强）</w:t>
            </w:r>
          </w:p>
          <w:p>
            <w:pPr>
              <w:jc w:val="left"/>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sz w:val="21"/>
                <w:szCs w:val="21"/>
                <w:highlight w:val="none"/>
                <w:u w:val="none"/>
              </w:rPr>
              <w:t>14、电源输入：a.c.220V  50Hz，最大功率：1200VA</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21</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中药煎药机</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9"/>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煎药桶采用玻璃桶，煎药过程一目了然，煎药包装一体化，紧凑大方。</w:t>
            </w:r>
          </w:p>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2、无纺布过滤袋，内胆，凹型过滤网三层过滤。</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3、文火武火自动转换煎煮，可先煎后下。</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4、包装机具有返转功能，防止包装机卡死。</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5、包装能力:7-8(袋/min)</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6、包装容量:50-300(ml)可调</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7、额定电压:220(V)</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8、煎药功率:1800(w)</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9、总功率：2650(w)</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10、外形尺寸：</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lang w:val="en-US" w:eastAsia="zh-CN"/>
              </w:rPr>
              <w:t>600*560*1200（mm）</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11、煎药量：3-16（付）</w:t>
            </w:r>
          </w:p>
          <w:p>
            <w:p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12、煎药容量：</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lang w:val="en-US" w:eastAsia="zh-CN"/>
              </w:rPr>
              <w:t>20（L）</w:t>
            </w:r>
          </w:p>
          <w:p>
            <w:pPr>
              <w:jc w:val="both"/>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sz w:val="21"/>
                <w:szCs w:val="21"/>
                <w:highlight w:val="none"/>
                <w:u w:val="none"/>
                <w:lang w:val="en-US" w:eastAsia="zh-CN"/>
              </w:rPr>
              <w:t>13、整机重量：</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lang w:val="en-US" w:eastAsia="zh-CN"/>
              </w:rPr>
              <w:t>60（kg）</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22</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足浴设施</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产品颜色:原木色</w:t>
            </w:r>
          </w:p>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产品材质:香杉木</w:t>
            </w:r>
          </w:p>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桶箍材质:优质热镀锌扁钢</w:t>
            </w:r>
          </w:p>
          <w:p>
            <w:pPr>
              <w:numPr>
                <w:ilvl w:val="0"/>
                <w:numId w:val="0"/>
              </w:numPr>
              <w:jc w:val="both"/>
              <w:rPr>
                <w:rFonts w:hint="eastAsia" w:ascii="仿宋" w:hAnsi="仿宋" w:eastAsia="仿宋" w:cs="仿宋"/>
                <w:i w:val="0"/>
                <w:iCs w:val="0"/>
                <w:color w:val="auto"/>
                <w:sz w:val="21"/>
                <w:szCs w:val="21"/>
                <w:highlight w:val="none"/>
                <w:u w:val="none"/>
                <w:lang w:val="en-US" w:eastAsia="zh-CN"/>
              </w:rPr>
            </w:pPr>
            <w:r>
              <w:rPr>
                <w:rFonts w:hint="eastAsia" w:ascii="仿宋" w:hAnsi="仿宋" w:eastAsia="仿宋" w:cs="仿宋"/>
                <w:i w:val="0"/>
                <w:iCs w:val="0"/>
                <w:color w:val="auto"/>
                <w:sz w:val="21"/>
                <w:szCs w:val="21"/>
                <w:highlight w:val="none"/>
                <w:u w:val="none"/>
                <w:lang w:val="en-US" w:eastAsia="zh-CN"/>
              </w:rPr>
              <w:t>产品尺寸:</w:t>
            </w:r>
            <w:r>
              <w:rPr>
                <w:rFonts w:hint="eastAsia" w:ascii="仿宋" w:hAnsi="仿宋" w:eastAsia="仿宋" w:cs="仿宋"/>
                <w:i w:val="0"/>
                <w:iCs w:val="0"/>
                <w:color w:val="auto"/>
                <w:kern w:val="0"/>
                <w:sz w:val="21"/>
                <w:szCs w:val="21"/>
                <w:highlight w:val="none"/>
                <w:u w:val="none"/>
                <w:lang w:val="en-US" w:eastAsia="zh-CN" w:bidi="ar"/>
              </w:rPr>
              <w:t>≥</w:t>
            </w:r>
            <w:r>
              <w:rPr>
                <w:rFonts w:hint="eastAsia" w:ascii="仿宋" w:hAnsi="仿宋" w:eastAsia="仿宋" w:cs="仿宋"/>
                <w:i w:val="0"/>
                <w:iCs w:val="0"/>
                <w:color w:val="auto"/>
                <w:sz w:val="21"/>
                <w:szCs w:val="21"/>
                <w:highlight w:val="none"/>
                <w:u w:val="none"/>
                <w:lang w:val="en-US" w:eastAsia="zh-CN"/>
              </w:rPr>
              <w:t>410*630(mm)</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23</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手持式麻醉视频喉镜</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1．显示屏</w:t>
            </w:r>
            <w:r>
              <w:rPr>
                <w:rFonts w:hint="eastAsia" w:ascii="仿宋" w:hAnsi="仿宋" w:eastAsia="仿宋" w:cs="仿宋"/>
                <w:b/>
                <w:bCs/>
                <w:i w:val="0"/>
                <w:iCs w:val="0"/>
                <w:color w:val="auto"/>
                <w:kern w:val="0"/>
                <w:sz w:val="21"/>
                <w:szCs w:val="21"/>
                <w:highlight w:val="none"/>
                <w:u w:val="none"/>
                <w:lang w:val="en-US" w:eastAsia="zh-CN" w:bidi="ar"/>
              </w:rPr>
              <w:tab/>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尺寸：≥3.0寸高清LED显示器</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分辨率≥3.72 LP/mm</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直角平面显示屏，显示屏与主机为可拆卸分离设计</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④　液晶屏分辨率1600*1200</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⑤　电源12V</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⑥　色温不小于5000K</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⑦　上下转动角度0-130°±2°</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⑧　左右转动角度0-270°±2°</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数据输出：2种文件输出法，TYPE-C传输，内置16G内存卡读卡器读写</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2．喉镜片（含摄像头）</w:t>
            </w:r>
            <w:r>
              <w:rPr>
                <w:rFonts w:hint="eastAsia" w:ascii="仿宋" w:hAnsi="仿宋" w:eastAsia="仿宋" w:cs="仿宋"/>
                <w:i w:val="0"/>
                <w:iCs w:val="0"/>
                <w:color w:val="auto"/>
                <w:kern w:val="0"/>
                <w:sz w:val="21"/>
                <w:szCs w:val="21"/>
                <w:highlight w:val="none"/>
                <w:u w:val="none"/>
                <w:lang w:val="en-US" w:eastAsia="zh-CN" w:bidi="ar"/>
              </w:rPr>
              <w:tab/>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摄像头分辨率200万像素</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景深 3mm-100mm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电源12V</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④　★喉镜片8种规格钛钢可选重复使用金属镜片（a:镜片前端可活动式带弯头镜片分：成人大号，成人中号，儿童；b：固定式金属镜片分：成人大号，成人中号，儿童，婴儿，早产儿）；4种钛合金支架（配套使用一次性镜片，一次性镜片插入长度分成人大号≤155mm，成人≤125mm，儿童≤108mm，婴儿≤88mm，）重复使用镜片和支架规格齐全，适应不同病员，消毒时镜片与摄像头可拆卸独特设计，大大避免损伤摄像头，所有镜片与支架均与主机兼容匹配。</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⑤　镜片角度：≤42度</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⑥　渐缩型镜片前端厚度：≤12.5mm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⑦　视场角≥90°</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⑧　光照度≥800LUX</w:t>
            </w:r>
          </w:p>
          <w:p>
            <w:pPr>
              <w:keepNext w:val="0"/>
              <w:keepLines w:val="0"/>
              <w:widowControl/>
              <w:suppressLineNumbers w:val="0"/>
              <w:jc w:val="both"/>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3．电池</w:t>
            </w:r>
            <w:r>
              <w:rPr>
                <w:rFonts w:hint="eastAsia" w:ascii="仿宋" w:hAnsi="仿宋" w:eastAsia="仿宋" w:cs="仿宋"/>
                <w:b/>
                <w:bCs/>
                <w:i w:val="0"/>
                <w:iCs w:val="0"/>
                <w:color w:val="auto"/>
                <w:kern w:val="0"/>
                <w:sz w:val="21"/>
                <w:szCs w:val="21"/>
                <w:highlight w:val="none"/>
                <w:u w:val="none"/>
                <w:lang w:val="en-US" w:eastAsia="zh-CN" w:bidi="ar"/>
              </w:rPr>
              <w:tab/>
            </w:r>
            <w:r>
              <w:rPr>
                <w:rFonts w:hint="eastAsia" w:ascii="仿宋" w:hAnsi="仿宋" w:eastAsia="仿宋" w:cs="仿宋"/>
                <w:b/>
                <w:bCs/>
                <w:i w:val="0"/>
                <w:iCs w:val="0"/>
                <w:color w:val="auto"/>
                <w:kern w:val="0"/>
                <w:sz w:val="21"/>
                <w:szCs w:val="21"/>
                <w:highlight w:val="none"/>
                <w:u w:val="none"/>
                <w:lang w:val="en-US" w:eastAsia="zh-CN" w:bidi="ar"/>
              </w:rPr>
              <w:t>：</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★视频喉镜内置专用大容量锂电池（电池满电待机高达500分钟）</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电压7.4V</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容量≥3100mAh</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④　充电次数≥500次</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⑤　充电时间≤3小时</w:t>
            </w:r>
          </w:p>
          <w:p>
            <w:pPr>
              <w:keepNext w:val="0"/>
              <w:keepLines w:val="0"/>
              <w:widowControl/>
              <w:suppressLineNumbers w:val="0"/>
              <w:jc w:val="both"/>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4．电源适配器</w:t>
            </w:r>
            <w:r>
              <w:rPr>
                <w:rFonts w:hint="eastAsia" w:ascii="仿宋" w:hAnsi="仿宋" w:eastAsia="仿宋" w:cs="仿宋"/>
                <w:b/>
                <w:bCs/>
                <w:i w:val="0"/>
                <w:iCs w:val="0"/>
                <w:color w:val="auto"/>
                <w:kern w:val="0"/>
                <w:sz w:val="21"/>
                <w:szCs w:val="21"/>
                <w:highlight w:val="none"/>
                <w:u w:val="none"/>
                <w:lang w:val="en-US" w:eastAsia="zh-CN" w:bidi="ar"/>
              </w:rPr>
              <w:tab/>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充电接口输入极性内正外负</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充电器输入</w:t>
            </w:r>
            <w:r>
              <w:rPr>
                <w:rFonts w:hint="eastAsia" w:ascii="仿宋" w:hAnsi="仿宋" w:eastAsia="仿宋" w:cs="仿宋"/>
                <w:i w:val="0"/>
                <w:iCs w:val="0"/>
                <w:color w:val="auto"/>
                <w:kern w:val="0"/>
                <w:sz w:val="21"/>
                <w:szCs w:val="21"/>
                <w:highlight w:val="none"/>
                <w:u w:val="none"/>
                <w:lang w:val="en-US" w:eastAsia="zh-CN" w:bidi="ar"/>
              </w:rPr>
              <w:tab/>
            </w:r>
            <w:r>
              <w:rPr>
                <w:rFonts w:hint="eastAsia" w:ascii="仿宋" w:hAnsi="仿宋" w:eastAsia="仿宋" w:cs="仿宋"/>
                <w:i w:val="0"/>
                <w:iCs w:val="0"/>
                <w:color w:val="auto"/>
                <w:kern w:val="0"/>
                <w:sz w:val="21"/>
                <w:szCs w:val="21"/>
                <w:highlight w:val="none"/>
                <w:u w:val="none"/>
                <w:lang w:val="en-US" w:eastAsia="zh-CN" w:bidi="ar"/>
              </w:rPr>
              <w:t>100-250V,50Hz</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充电器输出</w:t>
            </w:r>
            <w:r>
              <w:rPr>
                <w:rFonts w:hint="eastAsia" w:ascii="仿宋" w:hAnsi="仿宋" w:eastAsia="仿宋" w:cs="仿宋"/>
                <w:i w:val="0"/>
                <w:iCs w:val="0"/>
                <w:color w:val="auto"/>
                <w:kern w:val="0"/>
                <w:sz w:val="21"/>
                <w:szCs w:val="21"/>
                <w:highlight w:val="none"/>
                <w:u w:val="none"/>
                <w:lang w:val="en-US" w:eastAsia="zh-CN" w:bidi="ar"/>
              </w:rPr>
              <w:tab/>
            </w:r>
            <w:r>
              <w:rPr>
                <w:rFonts w:hint="eastAsia" w:ascii="仿宋" w:hAnsi="仿宋" w:eastAsia="仿宋" w:cs="仿宋"/>
                <w:i w:val="0"/>
                <w:iCs w:val="0"/>
                <w:color w:val="auto"/>
                <w:kern w:val="0"/>
                <w:sz w:val="21"/>
                <w:szCs w:val="21"/>
                <w:highlight w:val="none"/>
                <w:u w:val="none"/>
                <w:lang w:val="en-US" w:eastAsia="zh-CN" w:bidi="ar"/>
              </w:rPr>
              <w:t>4.2V-12V,1000mA</w:t>
            </w:r>
          </w:p>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5．运输/储存环境</w:t>
            </w:r>
            <w:r>
              <w:rPr>
                <w:rFonts w:hint="eastAsia" w:ascii="仿宋" w:hAnsi="仿宋" w:eastAsia="仿宋" w:cs="仿宋"/>
                <w:b/>
                <w:bCs/>
                <w:i w:val="0"/>
                <w:iCs w:val="0"/>
                <w:color w:val="auto"/>
                <w:kern w:val="0"/>
                <w:sz w:val="21"/>
                <w:szCs w:val="21"/>
                <w:highlight w:val="none"/>
                <w:u w:val="none"/>
                <w:lang w:val="en-US" w:eastAsia="zh-CN" w:bidi="ar"/>
              </w:rPr>
              <w:tab/>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温度-10℃~﹢40℃</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湿度≤93％</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大气压力500hPa to 1060hPa</w:t>
            </w:r>
          </w:p>
          <w:p>
            <w:pPr>
              <w:keepNext w:val="0"/>
              <w:keepLines w:val="0"/>
              <w:widowControl/>
              <w:suppressLineNumbers w:val="0"/>
              <w:jc w:val="both"/>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6．工作环境</w:t>
            </w:r>
            <w:r>
              <w:rPr>
                <w:rFonts w:hint="eastAsia" w:ascii="仿宋" w:hAnsi="仿宋" w:eastAsia="仿宋" w:cs="仿宋"/>
                <w:b/>
                <w:bCs/>
                <w:i w:val="0"/>
                <w:iCs w:val="0"/>
                <w:color w:val="auto"/>
                <w:kern w:val="0"/>
                <w:sz w:val="21"/>
                <w:szCs w:val="21"/>
                <w:highlight w:val="none"/>
                <w:u w:val="none"/>
                <w:lang w:val="en-US" w:eastAsia="zh-CN" w:bidi="ar"/>
              </w:rPr>
              <w:tab/>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①　温度-10℃~﹢40℃</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②　湿度30％~85％</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③　大气压力700hPa to 1060hpa</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7．★防雾功能：摄像系统自带防雾功能，开机即可达到防雾效果。</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8．摄像头的位置：视频喉镜的摄像头角度与镜片前段的垂直距离小于等于35mm。35mm的可视距离设计，使摄像头焦距清晰度最大化，视野无盲区，气管插管能更精确，清楚的辨认咽喉部的结构，区别食道入口和气道入口，避免了盲穿和误穿。</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9．★拍照摄像功能：手柄具备快捷一键快速拍照，摄像功能，轻轻一点，即可实时存储高清图片或影像。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10．★镜片与手柄连接：镜片和手柄之间的连接采用最新防脱落锁扣开关设计，镜片与主机的连接器采用6孔公母匹配航空定制弹性针孔设计，针孔均进行过镀真金处理，插拔稳定，持久耐用，信号传输流畅。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手柄为波浪型防滑设计，操作者握持舒适方便，并减少患者胸部对喉镜插入操作的影响，手柄顶端可旋开盖帽，随意更换锂电池，避免了封闭式内置电池故障就不能使用的缺陷；手柄材质采用高强度进口PC材料，耐刮弹性表面处理，更美观，更耐用，手感更佳。</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24</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输液架</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不锈钢加厚稳固落地输液架；底座稳固；带轮底座方便移动；多挂钩设计；高度可调节；</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9"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25</w:t>
            </w:r>
          </w:p>
        </w:tc>
        <w:tc>
          <w:tcPr>
            <w:tcW w:w="6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bottom"/>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急救包</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1：外包尺寸：≥62cm×38cm×30cm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外包材质：防水面料</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外包颜色：红色</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设计理念：</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手提、单肩背、双肩背多种携带方式，方便院外携带使用；</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外包反光设计，夜间也能被及时找到；</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主包+多副包，多层设计，主包空间可自由分隔，定制医疗器械存储空间；</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设有氧气瓶专用固定位和输氧管孔，可在行进中输氧；</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配置侧重于建立气道，进行通气支持，包含医用供氧器、口咽通气道等常用的气道管理器械；同时配置常用的止血包扎器材和敷料。</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2L氧气瓶1个；输氧面罩1套；鼻氧管1 套；三通管1根；流量调节器1个；湿化杯1个；专用扳手1个；氧桥1个；合格证1 张；说明书1 本；ф7mm×45cm乳胶管止血带2 条；6cm×7cm无菌敷贴（小号）15 片；7.5cm×7.5cm-8层医用纱布叠片（小号）15 片；9号弹力帽4 个；96cm×96cm×136cm三角绷带4 包；</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11cm×90cm医用夹板2副；20cm×20cm人工呼吸面罩4个一次性使用医用橡胶检查手套10 副；玻璃体温计2支；血压表1套；听诊器1套；叩诊锤1把；笔式医用手电筒（含电池）1个；不锈钢压舌板1 个；成人型简易呼吸器1套；13cm丁字式开口器1个；17cm舌钳1把；中号一次性使用麻醉咽喉镜1个；咽喉镜手柄1 个；7#一次性使用气管插管1根；中号医用牙垫1个；7#一次性使用口咽通气道1 个；8#一次性使用口咽通气道1个；10#一次性使用口咽通气道1个；一次性使用脐带夹1个；一次性使用无菌缝合包1 包；14#一次性使用导尿管2 支；R型手动吸痰器1套；4#手术刀柄1把；10片/包手术刀片1包；14cm，细针持针钳1把；16cm，直止血钳1把；14cm帕巾钳1把；18cm纱布绷带剪1把；16cm，直尖 医用剪（手术剪）1把；12.5cm组织镊1把；12.5cm医用镊1 把；</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13cm×5.5cm×3cm铝制针管盒1个；医用小砂轮5个；针灸针1包；30ml大药瓶2个；小20ml药瓶2个；合格证1 张；配置清单1 张；62cm×38cm×30cm 外包1个</w:t>
            </w:r>
          </w:p>
          <w:p>
            <w:pPr>
              <w:keepNext w:val="0"/>
              <w:keepLines w:val="0"/>
              <w:widowControl/>
              <w:suppressLineNumbers w:val="0"/>
              <w:jc w:val="left"/>
              <w:textAlignment w:val="center"/>
              <w:rPr>
                <w:rFonts w:hint="eastAsia" w:ascii="仿宋" w:hAnsi="仿宋" w:eastAsia="仿宋" w:cs="仿宋"/>
                <w:b/>
                <w:bCs/>
                <w:i w:val="0"/>
                <w:iCs w:val="0"/>
                <w:color w:val="auto"/>
                <w:kern w:val="0"/>
                <w:sz w:val="21"/>
                <w:szCs w:val="21"/>
                <w:highlight w:val="none"/>
                <w:u w:val="none"/>
                <w:lang w:val="en-US" w:eastAsia="zh-CN" w:bidi="ar"/>
              </w:rPr>
            </w:pPr>
            <w:r>
              <w:rPr>
                <w:rFonts w:hint="eastAsia" w:ascii="仿宋" w:hAnsi="仿宋" w:eastAsia="仿宋" w:cs="仿宋"/>
                <w:b/>
                <w:bCs/>
                <w:i w:val="0"/>
                <w:iCs w:val="0"/>
                <w:color w:val="auto"/>
                <w:kern w:val="0"/>
                <w:sz w:val="21"/>
                <w:szCs w:val="21"/>
                <w:highlight w:val="none"/>
                <w:u w:val="none"/>
                <w:lang w:val="en-US" w:eastAsia="zh-CN" w:bidi="ar"/>
              </w:rPr>
              <w:t>2：外包尺寸：≥42cm×30cm×18cm</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外包材质：高档牛津面料</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外包颜色：红色</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设计理念：</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可手提，可肩背，携带方式多样；</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 xml:space="preserve"> 主包副包双层设计，内部多重网兜、牛津带分隔固定，医疗物品摆放整齐有序；</w:t>
            </w:r>
          </w:p>
          <w:p>
            <w:pPr>
              <w:keepNext w:val="0"/>
              <w:keepLines w:val="0"/>
              <w:widowControl/>
              <w:suppressLineNumbers w:val="0"/>
              <w:jc w:val="left"/>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外包反光设计，夜间也能被及时找到；</w:t>
            </w:r>
          </w:p>
          <w:p>
            <w:pPr>
              <w:keepNext w:val="0"/>
              <w:keepLines w:val="0"/>
              <w:widowControl/>
              <w:suppressLineNumbers w:val="0"/>
              <w:jc w:val="both"/>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i w:val="0"/>
                <w:iCs w:val="0"/>
                <w:color w:val="auto"/>
                <w:kern w:val="0"/>
                <w:sz w:val="21"/>
                <w:szCs w:val="21"/>
                <w:highlight w:val="none"/>
                <w:u w:val="none"/>
                <w:lang w:val="en-US" w:eastAsia="zh-CN" w:bidi="ar"/>
              </w:rPr>
              <w:t>牛津面料复合30丝超厚涂层，耐磨、防水、防撕裂</w:t>
            </w:r>
          </w:p>
          <w:p>
            <w:pP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1"/>
                <w:szCs w:val="21"/>
                <w:highlight w:val="none"/>
              </w:rPr>
              <w:t>1000ml便携式氧气呼吸器3瓶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指夹式脉搏血氧仪1个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含试纸和采血针血糖仪1套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黑色，5节登山杖2根</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多功能救生哨2个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多功能应急强光手电筒1把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多功能军刀1把</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0.3g/粒×12粒高原安红景天胶囊5盒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防割手套2副</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85g+30g云南白药气雾剂2盒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4g+1粒保险子云南白药2瓶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50粒/盒阿莫西林胶囊2盒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10g×9袋感冒灵颗粒1盒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0.3g×10粒布洛芬缓释胶囊1盒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25粒/瓶碘伏棉球2瓶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25粒/瓶酒精棉球2瓶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50支/袋医用棉签2袋</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65cm旋压式止血带2个</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8cm×400cm弹力绷带4卷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8cm×600cm纱布绷带4卷</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5cm×12cm医用退热贴10贴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160cm×210cm急救毯2块</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一次性CPR屏障消毒面膜10张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6ml风油精2盒</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60ml蚊不叮2瓶</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急救手册1本</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配置清单1张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42cm×30cm×18cm</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外包1个</w:t>
            </w:r>
            <w:r>
              <w:rPr>
                <w:rFonts w:hint="eastAsia" w:ascii="仿宋" w:hAnsi="仿宋" w:eastAsia="仿宋" w:cs="仿宋"/>
                <w:color w:val="auto"/>
                <w:sz w:val="21"/>
                <w:szCs w:val="21"/>
                <w:highlight w:val="none"/>
                <w:lang w:eastAsia="zh-CN"/>
              </w:rPr>
              <w:t>。</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个</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297" w:type="pc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28</w:t>
            </w:r>
          </w:p>
        </w:tc>
        <w:tc>
          <w:tcPr>
            <w:tcW w:w="6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r>
              <w:rPr>
                <w:rFonts w:hint="eastAsia" w:ascii="仿宋" w:hAnsi="仿宋" w:eastAsia="仿宋" w:cs="仿宋"/>
                <w:i w:val="0"/>
                <w:iCs w:val="0"/>
                <w:color w:val="auto"/>
                <w:kern w:val="0"/>
                <w:sz w:val="21"/>
                <w:szCs w:val="21"/>
                <w:highlight w:val="none"/>
                <w:u w:val="none"/>
                <w:lang w:val="en-US" w:eastAsia="zh-CN" w:bidi="ar"/>
              </w:rPr>
              <w:t>合计</w:t>
            </w:r>
          </w:p>
        </w:tc>
        <w:tc>
          <w:tcPr>
            <w:tcW w:w="26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auto"/>
                <w:sz w:val="21"/>
                <w:szCs w:val="21"/>
                <w:highlight w:val="none"/>
                <w:u w:val="none"/>
              </w:rPr>
            </w:pP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1"/>
                <w:szCs w:val="21"/>
                <w:highlight w:val="none"/>
                <w:u w:val="none"/>
              </w:rPr>
            </w:pPr>
          </w:p>
        </w:tc>
      </w:tr>
    </w:tbl>
    <w:p>
      <w:pPr>
        <w:spacing w:line="360" w:lineRule="auto"/>
        <w:rPr>
          <w:rFonts w:hint="eastAsia" w:ascii="仿宋" w:hAnsi="仿宋" w:eastAsia="仿宋" w:cs="仿宋"/>
          <w:b/>
          <w:bCs/>
          <w:color w:val="auto"/>
          <w:lang w:eastAsia="zh-CN"/>
        </w:rPr>
      </w:pPr>
      <w:r>
        <w:rPr>
          <w:rFonts w:hint="eastAsia" w:ascii="仿宋" w:hAnsi="仿宋" w:eastAsia="仿宋" w:cs="仿宋"/>
          <w:b/>
          <w:bCs/>
          <w:color w:val="auto"/>
          <w:lang w:eastAsia="zh-CN"/>
        </w:rPr>
        <w:t>商务要求：</w:t>
      </w:r>
    </w:p>
    <w:p>
      <w:pPr>
        <w:numPr>
          <w:ilvl w:val="0"/>
          <w:numId w:val="0"/>
        </w:numPr>
        <w:spacing w:line="360" w:lineRule="auto"/>
        <w:ind w:firstLine="486" w:firstLineChars="200"/>
        <w:rPr>
          <w:rFonts w:hint="eastAsia" w:ascii="仿宋" w:hAnsi="仿宋" w:eastAsia="仿宋" w:cs="仿宋"/>
          <w:b w:val="0"/>
          <w:bCs w:val="0"/>
          <w:color w:val="auto"/>
          <w:highlight w:val="none"/>
          <w:lang w:eastAsia="zh-CN"/>
        </w:rPr>
      </w:pPr>
      <w:r>
        <w:rPr>
          <w:rFonts w:hint="eastAsia" w:ascii="仿宋" w:hAnsi="仿宋" w:eastAsia="仿宋" w:cs="仿宋"/>
          <w:b/>
          <w:bCs/>
          <w:color w:val="auto"/>
          <w:lang w:eastAsia="zh-CN"/>
        </w:rPr>
        <w:t>（一）实施（供货）期 ：</w:t>
      </w:r>
      <w:r>
        <w:rPr>
          <w:rFonts w:hint="eastAsia" w:ascii="仿宋" w:hAnsi="仿宋" w:eastAsia="仿宋" w:cs="仿宋"/>
          <w:b w:val="0"/>
          <w:bCs w:val="0"/>
          <w:color w:val="auto"/>
          <w:highlight w:val="none"/>
          <w:lang w:eastAsia="zh-CN"/>
        </w:rPr>
        <w:t>自合同签订之日起</w:t>
      </w:r>
      <w:r>
        <w:rPr>
          <w:rFonts w:hint="eastAsia" w:ascii="仿宋" w:hAnsi="仿宋" w:eastAsia="仿宋" w:cs="仿宋"/>
          <w:b w:val="0"/>
          <w:bCs w:val="0"/>
          <w:color w:val="auto"/>
          <w:highlight w:val="none"/>
          <w:lang w:val="en-US" w:eastAsia="zh-CN"/>
        </w:rPr>
        <w:t>20</w:t>
      </w:r>
      <w:r>
        <w:rPr>
          <w:rFonts w:hint="eastAsia" w:ascii="仿宋" w:hAnsi="仿宋" w:eastAsia="仿宋" w:cs="仿宋"/>
          <w:b w:val="0"/>
          <w:bCs w:val="0"/>
          <w:color w:val="auto"/>
          <w:highlight w:val="none"/>
          <w:lang w:eastAsia="zh-CN"/>
        </w:rPr>
        <w:t>天内完成供货并调试安装完成，且投入使用；</w:t>
      </w:r>
    </w:p>
    <w:p>
      <w:pPr>
        <w:spacing w:line="360" w:lineRule="auto"/>
        <w:ind w:left="486" w:leftChars="200"/>
        <w:rPr>
          <w:rFonts w:hint="eastAsia" w:ascii="仿宋" w:hAnsi="仿宋" w:eastAsia="仿宋" w:cs="仿宋"/>
          <w:color w:val="auto"/>
          <w:lang w:eastAsia="zh-CN"/>
        </w:rPr>
      </w:pPr>
      <w:r>
        <w:rPr>
          <w:rFonts w:hint="eastAsia" w:ascii="仿宋" w:hAnsi="仿宋" w:eastAsia="仿宋" w:cs="仿宋"/>
          <w:b/>
          <w:bCs/>
          <w:color w:val="auto"/>
          <w:lang w:eastAsia="zh-CN"/>
        </w:rPr>
        <w:t>（二）实施（交货）地点</w:t>
      </w:r>
      <w:r>
        <w:rPr>
          <w:rFonts w:hint="eastAsia" w:ascii="仿宋" w:hAnsi="仿宋" w:eastAsia="仿宋" w:cs="仿宋"/>
          <w:color w:val="auto"/>
          <w:lang w:eastAsia="zh-CN"/>
        </w:rPr>
        <w:t xml:space="preserve"> ：甲方指定地点</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（三）报价要求</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次报价为人民币报价，投标报价应包括：货物本身价格、保险费用、培训费、养护费、包装费、运输费用、二次搬运费、装卸费、损耗、税金费用、自检费、人工费、其他配件费及验收合格前和质保期内发生的一切费用、应当提供的伴随服务/售后服务费用。</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（四）质保要求</w:t>
      </w:r>
    </w:p>
    <w:p>
      <w:pPr>
        <w:spacing w:line="360" w:lineRule="auto"/>
        <w:ind w:firstLine="729" w:firstLineChars="300"/>
        <w:rPr>
          <w:rFonts w:hint="eastAsia" w:ascii="仿宋" w:hAnsi="仿宋" w:eastAsia="仿宋" w:cs="仿宋"/>
          <w:color w:val="auto"/>
          <w:highlight w:val="none"/>
          <w:lang w:val="en-US" w:eastAsia="zh-CN"/>
        </w:rPr>
      </w:pPr>
      <w:r>
        <w:rPr>
          <w:rFonts w:hint="eastAsia" w:ascii="仿宋" w:hAnsi="仿宋" w:eastAsia="仿宋" w:cs="仿宋"/>
          <w:color w:val="auto"/>
          <w:lang w:val="en-US" w:eastAsia="zh-CN"/>
        </w:rPr>
        <w:t>1、</w:t>
      </w:r>
      <w:r>
        <w:rPr>
          <w:rFonts w:hint="eastAsia" w:ascii="仿宋" w:hAnsi="仿宋" w:eastAsia="仿宋" w:cs="仿宋"/>
          <w:color w:val="auto"/>
          <w:highlight w:val="none"/>
          <w:lang w:val="en-US" w:eastAsia="zh-CN"/>
        </w:rPr>
        <w:t>本项目质保期3年。（质保期内不得收取任何费用，免费提供保修服务）</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 xml:space="preserve">  2、乙方应保证所提供的货物是全新、未使用过的原装合格正品，并完全符合国家标准和行业的相关标准。</w:t>
      </w:r>
    </w:p>
    <w:p>
      <w:pPr>
        <w:spacing w:line="360" w:lineRule="auto"/>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（五）售后服务、理赔、质量技术及验收保证的承诺</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、售后服务</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1.1产品质量：在合同期内，甲方正常使用乙方所供产品而出现质量问题时，乙方负责。产品使用：甲方在使用乙方所供产品中出现问题需乙方解决时，乙方应无偿解决（退换货）。</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1</w:t>
      </w:r>
      <w:r>
        <w:rPr>
          <w:rFonts w:hint="eastAsia" w:ascii="仿宋" w:hAnsi="仿宋" w:eastAsia="仿宋" w:cs="仿宋"/>
          <w:color w:val="auto"/>
          <w:lang w:eastAsia="zh-CN"/>
        </w:rPr>
        <w:t>.</w:t>
      </w:r>
      <w:r>
        <w:rPr>
          <w:rFonts w:hint="eastAsia" w:ascii="仿宋" w:hAnsi="仿宋" w:eastAsia="仿宋" w:cs="仿宋"/>
          <w:color w:val="auto"/>
          <w:lang w:val="en-US" w:eastAsia="zh-CN"/>
        </w:rPr>
        <w:t>2</w:t>
      </w:r>
      <w:r>
        <w:rPr>
          <w:rFonts w:hint="eastAsia" w:ascii="仿宋" w:hAnsi="仿宋" w:eastAsia="仿宋" w:cs="仿宋"/>
          <w:color w:val="auto"/>
          <w:lang w:eastAsia="zh-CN"/>
        </w:rPr>
        <w:t>质保期内，设备出现故障，须在4小时内响应，</w:t>
      </w:r>
      <w:r>
        <w:rPr>
          <w:rFonts w:hint="eastAsia" w:ascii="仿宋" w:hAnsi="仿宋" w:eastAsia="仿宋" w:cs="仿宋"/>
          <w:color w:val="auto"/>
          <w:lang w:val="en-US" w:eastAsia="zh-CN"/>
        </w:rPr>
        <w:t>24</w:t>
      </w:r>
      <w:r>
        <w:rPr>
          <w:rFonts w:hint="eastAsia" w:ascii="仿宋" w:hAnsi="仿宋" w:eastAsia="仿宋" w:cs="仿宋"/>
          <w:color w:val="auto"/>
          <w:lang w:eastAsia="zh-CN"/>
        </w:rPr>
        <w:t>小时内到达现场，一般故障8小时内修复，较大故障</w:t>
      </w:r>
      <w:r>
        <w:rPr>
          <w:rFonts w:hint="eastAsia" w:ascii="仿宋" w:hAnsi="仿宋" w:eastAsia="仿宋" w:cs="仿宋"/>
          <w:color w:val="auto"/>
          <w:lang w:val="en-US" w:eastAsia="zh-CN"/>
        </w:rPr>
        <w:t>48</w:t>
      </w:r>
      <w:r>
        <w:rPr>
          <w:rFonts w:hint="eastAsia" w:ascii="仿宋" w:hAnsi="仿宋" w:eastAsia="仿宋" w:cs="仿宋"/>
          <w:color w:val="auto"/>
          <w:lang w:eastAsia="zh-CN"/>
        </w:rPr>
        <w:t>小时内解决问题。每年提供不少于4次回访。</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、交货时应提供以下技术或培训资料（如涉及）</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.1原产地证明书(由制造厂签发)；</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.2提供主机及配套设备的安装图纸及说明；</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.3提供主机及配套设备使用说明书、维护手册；</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.4备件手册、零件及易损件的图纸及相关资料；</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2</w:t>
      </w:r>
      <w:r>
        <w:rPr>
          <w:rFonts w:hint="eastAsia" w:ascii="仿宋" w:hAnsi="仿宋" w:eastAsia="仿宋" w:cs="仿宋"/>
          <w:color w:val="auto"/>
          <w:lang w:eastAsia="zh-CN"/>
        </w:rPr>
        <w:t>.5其它相关技术资料。</w:t>
      </w:r>
    </w:p>
    <w:p>
      <w:pPr>
        <w:spacing w:line="360" w:lineRule="auto"/>
        <w:ind w:firstLine="486" w:firstLineChars="200"/>
        <w:rPr>
          <w:rFonts w:hint="eastAsia" w:ascii="仿宋" w:hAnsi="仿宋" w:eastAsia="仿宋" w:cs="仿宋"/>
          <w:color w:val="auto"/>
          <w:lang w:val="en-US" w:eastAsia="zh-CN"/>
        </w:rPr>
      </w:pP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4</w:t>
      </w:r>
      <w:r>
        <w:rPr>
          <w:rFonts w:hint="eastAsia" w:ascii="仿宋" w:hAnsi="仿宋" w:eastAsia="仿宋" w:cs="仿宋"/>
          <w:color w:val="auto"/>
          <w:lang w:eastAsia="zh-CN"/>
        </w:rPr>
        <w:t>、在质保期内，如果投标人的产品技术升级，投标人应及时通知采购人，如采购人有相应要求，投标人应对采购人购买的产品进行升级服务。</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5</w:t>
      </w:r>
      <w:r>
        <w:rPr>
          <w:rFonts w:hint="eastAsia" w:ascii="仿宋" w:hAnsi="仿宋" w:eastAsia="仿宋" w:cs="仿宋"/>
          <w:color w:val="auto"/>
          <w:lang w:eastAsia="zh-CN"/>
        </w:rPr>
        <w:t>、质保期过后，投标人应同样提供免费电话咨询服务，并应承诺提供该产品上门维护服务。</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（六）验收</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1、供应商提供的产品为全新未使用且符合相关法律法规要求的合格产品；</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2、供应商提供的产品型号、规格等特性需与投标文件、合同规定内容完全一致，且满足采购方提出的采购需求。</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3、货物验收时，供应商向采购人提供生产厂家出具的验收报告、合格证、厂家资格证件等相关文件。</w:t>
      </w:r>
    </w:p>
    <w:p>
      <w:pPr>
        <w:spacing w:line="360" w:lineRule="auto"/>
        <w:ind w:firstLine="486"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4、供应商提供的产品需经采购人验收小组验收，进行试验检测，按照技术要求逐项进行测试，测试结果应满足相关要求，试验通过并满足要求为验收合格。</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（七）付款方式</w:t>
      </w:r>
    </w:p>
    <w:p>
      <w:pPr>
        <w:spacing w:line="360" w:lineRule="auto"/>
        <w:ind w:firstLine="486"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以甲乙双方签定的合同为准。</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（八）知识产权</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采购人在中华人民共和国境内使用投标人提供的货物及服务时免受第三方提出的侵犯其专利权或其它知识产权的起诉。如果第三方提出侵权指控，中标人应承担由此而引起的一切法律责任和费用。</w:t>
      </w:r>
    </w:p>
    <w:bookmarkEnd w:id="45"/>
    <w:bookmarkEnd w:id="46"/>
    <w:bookmarkEnd w:id="47"/>
    <w:p>
      <w:pPr>
        <w:spacing w:line="360" w:lineRule="auto"/>
        <w:ind w:firstLine="486" w:firstLineChars="200"/>
        <w:rPr>
          <w:rFonts w:hint="eastAsia" w:ascii="仿宋" w:hAnsi="仿宋" w:eastAsia="仿宋" w:cs="仿宋"/>
          <w:b/>
          <w:bCs/>
          <w:color w:val="auto"/>
          <w:lang w:eastAsia="zh-CN"/>
        </w:rPr>
      </w:pPr>
      <w:bookmarkStart w:id="50" w:name="_Toc12239"/>
      <w:bookmarkStart w:id="51" w:name="_Toc20832"/>
      <w:bookmarkStart w:id="52" w:name="_Toc7598"/>
      <w:bookmarkStart w:id="53" w:name="_Toc439255252"/>
      <w:bookmarkStart w:id="54" w:name="_Toc12840_WPSOffice_Level1"/>
      <w:bookmarkStart w:id="55" w:name="_Toc267320054"/>
      <w:bookmarkStart w:id="56" w:name="_Toc469495740"/>
      <w:r>
        <w:rPr>
          <w:rFonts w:hint="eastAsia" w:ascii="仿宋" w:hAnsi="仿宋" w:eastAsia="仿宋" w:cs="仿宋"/>
          <w:b/>
          <w:bCs/>
          <w:color w:val="auto"/>
          <w:lang w:eastAsia="zh-CN"/>
        </w:rPr>
        <w:t>（九）其他</w:t>
      </w:r>
      <w:bookmarkEnd w:id="50"/>
      <w:bookmarkEnd w:id="51"/>
      <w:bookmarkEnd w:id="52"/>
    </w:p>
    <w:bookmarkEnd w:id="53"/>
    <w:bookmarkEnd w:id="54"/>
    <w:bookmarkEnd w:id="55"/>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1、投标人必须在投标文件中对以上条款和服务承诺明确列出，承诺内容必须达到本篇及招标文件其他条款的要求。</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2、中标人与采购人签订《协议》后，须与用户方签订《货物采购供应合同》（包括供货范围、需求数量、单价等），明确具体供货数量、供货时间、送达地点等内容。</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3、其他未尽事宜由供需双方在采购合同中详细约定。</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 若供应商不能按招标文件规定的交货期正常交货，采购方有权终止采购合同，并将相关情况上报给采购计划主管部门，取消其中标资格。</w:t>
      </w:r>
    </w:p>
    <w:p>
      <w:pPr>
        <w:spacing w:line="360" w:lineRule="auto"/>
        <w:ind w:firstLine="486" w:firstLineChars="200"/>
        <w:rPr>
          <w:rFonts w:hint="eastAsia" w:ascii="仿宋" w:hAnsi="仿宋" w:eastAsia="仿宋" w:cs="仿宋"/>
          <w:color w:val="auto"/>
          <w:kern w:val="2"/>
          <w:lang w:eastAsia="zh-CN" w:bidi="ar-SA"/>
        </w:rPr>
      </w:pPr>
      <w:r>
        <w:rPr>
          <w:rFonts w:hint="eastAsia" w:ascii="仿宋" w:hAnsi="仿宋" w:eastAsia="仿宋" w:cs="仿宋"/>
          <w:color w:val="auto"/>
          <w:lang w:eastAsia="zh-CN"/>
        </w:rPr>
        <w:t>5、</w:t>
      </w:r>
      <w:r>
        <w:rPr>
          <w:rFonts w:hint="eastAsia" w:ascii="仿宋" w:hAnsi="仿宋" w:eastAsia="仿宋" w:cs="仿宋"/>
          <w:color w:val="auto"/>
          <w:kern w:val="2"/>
          <w:lang w:eastAsia="zh-CN" w:bidi="ar-SA"/>
        </w:rPr>
        <w:t>其他未尽事宜由供需双方在采购合同中详细约定。</w:t>
      </w:r>
    </w:p>
    <w:bookmarkEnd w:id="56"/>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p>
    <w:p>
      <w:pPr>
        <w:spacing w:line="480" w:lineRule="exact"/>
        <w:jc w:val="center"/>
        <w:outlineLvl w:val="1"/>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第五部分 合同条款及格式</w:t>
      </w:r>
      <w:bookmarkStart w:id="57" w:name="_Toc20669"/>
    </w:p>
    <w:p>
      <w:pPr>
        <w:spacing w:line="480" w:lineRule="exact"/>
        <w:jc w:val="center"/>
        <w:outlineLvl w:val="1"/>
        <w:rPr>
          <w:rFonts w:hint="eastAsia" w:ascii="仿宋" w:hAnsi="仿宋" w:eastAsia="仿宋" w:cs="仿宋"/>
          <w:color w:val="auto"/>
          <w:szCs w:val="21"/>
          <w:lang w:eastAsia="zh-CN"/>
        </w:rPr>
      </w:pPr>
      <w:r>
        <w:rPr>
          <w:rFonts w:hint="eastAsia" w:ascii="仿宋" w:hAnsi="仿宋" w:eastAsia="仿宋" w:cs="仿宋"/>
          <w:color w:val="auto"/>
          <w:szCs w:val="21"/>
          <w:lang w:eastAsia="zh-CN"/>
        </w:rPr>
        <w:t>（本合同为合同样稿，最终稿由供需双方协商后确定）</w:t>
      </w:r>
      <w:bookmarkEnd w:id="57"/>
    </w:p>
    <w:p>
      <w:pPr>
        <w:widowControl/>
        <w:numPr>
          <w:ilvl w:val="0"/>
          <w:numId w:val="10"/>
        </w:numPr>
        <w:spacing w:line="600" w:lineRule="exact"/>
        <w:jc w:val="center"/>
        <w:textAlignment w:val="baseline"/>
        <w:outlineLvl w:val="1"/>
        <w:rPr>
          <w:rFonts w:hint="eastAsia" w:ascii="仿宋" w:hAnsi="仿宋" w:eastAsia="仿宋" w:cs="仿宋"/>
          <w:color w:val="auto"/>
        </w:rPr>
      </w:pPr>
      <w:r>
        <w:rPr>
          <w:rFonts w:hint="eastAsia" w:ascii="仿宋" w:hAnsi="仿宋" w:eastAsia="仿宋" w:cs="仿宋"/>
          <w:b/>
          <w:color w:val="auto"/>
          <w:sz w:val="30"/>
          <w:szCs w:val="30"/>
          <w:lang w:eastAsia="zh-CN"/>
        </w:rPr>
        <w:t xml:space="preserve"> </w:t>
      </w:r>
      <w:bookmarkStart w:id="58" w:name="_Toc469495741"/>
      <w:r>
        <w:rPr>
          <w:rFonts w:hint="eastAsia" w:ascii="仿宋" w:hAnsi="仿宋" w:eastAsia="仿宋" w:cs="仿宋"/>
          <w:b/>
          <w:color w:val="auto"/>
          <w:sz w:val="30"/>
          <w:szCs w:val="30"/>
        </w:rPr>
        <w:t>合同协议书</w:t>
      </w:r>
      <w:bookmarkEnd w:id="58"/>
      <w:r>
        <w:rPr>
          <w:rFonts w:hint="eastAsia" w:ascii="仿宋" w:hAnsi="仿宋" w:eastAsia="仿宋" w:cs="仿宋"/>
          <w:b/>
          <w:color w:val="auto"/>
          <w:sz w:val="30"/>
          <w:szCs w:val="30"/>
          <w:lang w:eastAsia="zh-CN"/>
        </w:rPr>
        <w:t xml:space="preserve">      </w:t>
      </w:r>
      <w:r>
        <w:rPr>
          <w:rFonts w:hint="eastAsia" w:ascii="仿宋" w:hAnsi="仿宋" w:eastAsia="仿宋" w:cs="仿宋"/>
          <w:b/>
          <w:color w:val="auto"/>
          <w:sz w:val="32"/>
          <w:szCs w:val="32"/>
        </w:rPr>
        <w:t>合同名称</w:t>
      </w:r>
      <w:r>
        <w:rPr>
          <w:rFonts w:hint="eastAsia" w:ascii="仿宋" w:hAnsi="仿宋" w:eastAsia="仿宋" w:cs="仿宋"/>
          <w:b/>
          <w:color w:val="auto"/>
        </w:rPr>
        <w:t xml:space="preserve">  </w:t>
      </w:r>
    </w:p>
    <w:p>
      <w:pPr>
        <w:widowControl/>
        <w:spacing w:line="600" w:lineRule="exact"/>
        <w:jc w:val="both"/>
        <w:textAlignment w:val="baseline"/>
        <w:outlineLvl w:val="1"/>
        <w:rPr>
          <w:rFonts w:hint="eastAsia" w:ascii="仿宋" w:hAnsi="仿宋" w:eastAsia="仿宋" w:cs="仿宋"/>
          <w:color w:val="auto"/>
        </w:rPr>
      </w:pPr>
      <w:r>
        <w:rPr>
          <w:rFonts w:hint="eastAsia" w:ascii="仿宋" w:hAnsi="仿宋" w:eastAsia="仿宋" w:cs="仿宋"/>
          <w:color w:val="auto"/>
        </w:rPr>
        <w:t>编号</w:t>
      </w:r>
    </w:p>
    <w:p>
      <w:pPr>
        <w:spacing w:line="420" w:lineRule="exact"/>
        <w:ind w:firstLine="486" w:firstLineChars="200"/>
        <w:rPr>
          <w:rFonts w:hint="eastAsia" w:ascii="仿宋" w:hAnsi="仿宋" w:eastAsia="仿宋" w:cs="仿宋"/>
          <w:color w:val="auto"/>
        </w:rPr>
      </w:pPr>
      <w:bookmarkStart w:id="59" w:name="_Toc296602498"/>
      <w:bookmarkStart w:id="60" w:name="_Toc144974578"/>
      <w:bookmarkStart w:id="61" w:name="_Toc469495742"/>
      <w:bookmarkStart w:id="62" w:name="_Toc246996253"/>
      <w:bookmarkStart w:id="63" w:name="_Toc247085768"/>
      <w:bookmarkStart w:id="64" w:name="_Toc152045610"/>
      <w:bookmarkStart w:id="65" w:name="_Toc152042388"/>
      <w:bookmarkStart w:id="66" w:name="_Toc246996996"/>
      <w:bookmarkStart w:id="67" w:name="_Toc179632628"/>
      <w:r>
        <w:rPr>
          <w:rFonts w:hint="eastAsia" w:ascii="仿宋" w:hAnsi="仿宋" w:eastAsia="仿宋" w:cs="仿宋"/>
          <w:color w:val="auto"/>
        </w:rPr>
        <w:t>买    方：                                   卖    方：</w:t>
      </w:r>
    </w:p>
    <w:p>
      <w:pPr>
        <w:spacing w:line="420" w:lineRule="exact"/>
        <w:ind w:firstLine="486" w:firstLineChars="200"/>
        <w:rPr>
          <w:rFonts w:hint="eastAsia" w:ascii="仿宋" w:hAnsi="仿宋" w:eastAsia="仿宋" w:cs="仿宋"/>
          <w:color w:val="auto"/>
        </w:rPr>
      </w:pPr>
      <w:r>
        <w:rPr>
          <w:rFonts w:hint="eastAsia" w:ascii="仿宋" w:hAnsi="仿宋" w:eastAsia="仿宋" w:cs="仿宋"/>
          <w:color w:val="auto"/>
        </w:rPr>
        <w:t>电    话：                                   电    话：</w:t>
      </w:r>
    </w:p>
    <w:p>
      <w:pPr>
        <w:spacing w:line="420" w:lineRule="exact"/>
        <w:ind w:firstLine="486" w:firstLineChars="200"/>
        <w:rPr>
          <w:rFonts w:hint="eastAsia" w:ascii="仿宋" w:hAnsi="仿宋" w:eastAsia="仿宋" w:cs="仿宋"/>
          <w:color w:val="auto"/>
        </w:rPr>
      </w:pPr>
      <w:r>
        <w:rPr>
          <w:rFonts w:hint="eastAsia" w:ascii="仿宋" w:hAnsi="仿宋" w:eastAsia="仿宋" w:cs="仿宋"/>
          <w:color w:val="auto"/>
        </w:rPr>
        <w:t xml:space="preserve">住    所：                                   住    所：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（买方）</w:t>
      </w:r>
      <w:r>
        <w:rPr>
          <w:rFonts w:hint="eastAsia" w:ascii="仿宋" w:hAnsi="仿宋" w:eastAsia="仿宋" w:cs="仿宋"/>
          <w:color w:val="auto"/>
          <w:lang w:eastAsia="zh-CN"/>
        </w:rPr>
        <w:t>的</w:t>
      </w:r>
      <w:r>
        <w:rPr>
          <w:rFonts w:hint="eastAsia" w:ascii="仿宋" w:hAnsi="仿宋" w:eastAsia="仿宋" w:cs="仿宋"/>
          <w:color w:val="auto"/>
          <w:u w:val="single"/>
          <w:lang w:eastAsia="zh-CN"/>
        </w:rPr>
        <w:t>（项目名称）</w:t>
      </w:r>
      <w:r>
        <w:rPr>
          <w:rFonts w:hint="eastAsia" w:ascii="仿宋" w:hAnsi="仿宋" w:eastAsia="仿宋" w:cs="仿宋"/>
          <w:color w:val="auto"/>
          <w:lang w:eastAsia="zh-CN"/>
        </w:rPr>
        <w:t>中所需</w:t>
      </w:r>
      <w:r>
        <w:rPr>
          <w:rFonts w:hint="eastAsia" w:ascii="仿宋" w:hAnsi="仿宋" w:eastAsia="仿宋" w:cs="仿宋"/>
          <w:color w:val="auto"/>
          <w:u w:val="single"/>
          <w:lang w:eastAsia="zh-CN"/>
        </w:rPr>
        <w:t>（产品名称）</w:t>
      </w:r>
      <w:r>
        <w:rPr>
          <w:rFonts w:hint="eastAsia" w:ascii="仿宋" w:hAnsi="仿宋" w:eastAsia="仿宋" w:cs="仿宋"/>
          <w:color w:val="auto"/>
          <w:lang w:eastAsia="zh-CN"/>
        </w:rPr>
        <w:t xml:space="preserve"> 经公开招标，确定</w:t>
      </w:r>
      <w:r>
        <w:rPr>
          <w:rFonts w:hint="eastAsia" w:ascii="仿宋" w:hAnsi="仿宋" w:eastAsia="仿宋" w:cs="仿宋"/>
          <w:color w:val="auto"/>
          <w:u w:val="single"/>
          <w:lang w:eastAsia="zh-CN"/>
        </w:rPr>
        <w:t>（卖方）</w:t>
      </w:r>
      <w:r>
        <w:rPr>
          <w:rFonts w:hint="eastAsia" w:ascii="仿宋" w:hAnsi="仿宋" w:eastAsia="仿宋" w:cs="仿宋"/>
          <w:color w:val="auto"/>
          <w:lang w:eastAsia="zh-CN"/>
        </w:rPr>
        <w:t>为中标人。按照中华人民共和国合同法的规定，买卖双方同意按照下述的条款和条件，签署本合同。</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1、本合同文件</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下列每一文件均应作为合同的组成部分进行阅读和解释：</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（1）采购文件（2）投标文件（3）中标通知书</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（4）经双方确认进入合同的其它文件、补充条款或说明</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2、采购标的、数量、质量要求</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3、合同总价</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合同总价为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元人民币。</w:t>
      </w:r>
    </w:p>
    <w:p>
      <w:pPr>
        <w:spacing w:line="360" w:lineRule="auto"/>
        <w:ind w:firstLine="486" w:firstLineChars="200"/>
        <w:rPr>
          <w:rFonts w:hint="eastAsia" w:ascii="仿宋" w:hAnsi="仿宋" w:eastAsia="仿宋" w:cs="仿宋"/>
          <w:b/>
          <w:bCs/>
          <w:color w:val="auto"/>
          <w:lang w:eastAsia="zh-CN"/>
        </w:rPr>
      </w:pPr>
      <w:r>
        <w:rPr>
          <w:rFonts w:hint="eastAsia" w:ascii="仿宋" w:hAnsi="仿宋" w:eastAsia="仿宋" w:cs="仿宋"/>
          <w:color w:val="auto"/>
          <w:lang w:eastAsia="zh-CN"/>
        </w:rPr>
        <w:t>4、付款方式</w:t>
      </w:r>
      <w:r>
        <w:rPr>
          <w:rFonts w:hint="eastAsia" w:ascii="仿宋" w:hAnsi="仿宋" w:eastAsia="仿宋" w:cs="仿宋"/>
          <w:b w:val="0"/>
          <w:bCs w:val="0"/>
          <w:color w:val="auto"/>
          <w:highlight w:val="none"/>
          <w:lang w:eastAsia="zh-CN"/>
        </w:rPr>
        <w:t>：以甲乙双方签定的合同为准。</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5、合同供货（服务）期限及地点和方式</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6、验收要求及违约责任</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7、违约责任及解决争议方法</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8、合同的生效</w:t>
      </w:r>
    </w:p>
    <w:p>
      <w:pPr>
        <w:pStyle w:val="5"/>
        <w:spacing w:after="0" w:line="42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合同经双方授权代表签署，买卖双方加盖印章之后生效。</w:t>
      </w:r>
    </w:p>
    <w:p>
      <w:pPr>
        <w:pStyle w:val="5"/>
        <w:spacing w:after="0" w:line="42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本合同一式     份，双方各执     份。</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买  方：                            卖  方：</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名  称：（盖章）                    名  称：（盖章）</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法定代表人（或委托代理人签章）：    法定代表人（或委托代理人签章）：</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地    址：                          地    址：</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邮政编码：                          邮政编码：</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电    话：                          电    话：</w:t>
      </w:r>
    </w:p>
    <w:p>
      <w:pPr>
        <w:pStyle w:val="5"/>
        <w:spacing w:after="0" w:line="360" w:lineRule="exact"/>
        <w:ind w:left="0" w:leftChars="0" w:firstLine="486" w:firstLineChars="200"/>
        <w:rPr>
          <w:rFonts w:hint="eastAsia" w:ascii="仿宋" w:hAnsi="仿宋" w:eastAsia="仿宋" w:cs="仿宋"/>
          <w:color w:val="auto"/>
          <w:u w:color="000000"/>
          <w:lang w:eastAsia="zh-CN"/>
        </w:rPr>
      </w:pPr>
      <w:r>
        <w:rPr>
          <w:rFonts w:hint="eastAsia" w:ascii="仿宋" w:hAnsi="仿宋" w:eastAsia="仿宋" w:cs="仿宋"/>
          <w:color w:val="auto"/>
          <w:u w:color="000000"/>
          <w:lang w:eastAsia="zh-CN"/>
        </w:rPr>
        <w:t>开户银行：                          开户银行：</w:t>
      </w:r>
    </w:p>
    <w:p>
      <w:pPr>
        <w:pStyle w:val="5"/>
        <w:spacing w:after="0" w:line="360" w:lineRule="exact"/>
        <w:ind w:left="0" w:leftChars="0" w:firstLine="486" w:firstLineChars="200"/>
        <w:rPr>
          <w:rFonts w:hint="eastAsia" w:ascii="仿宋" w:hAnsi="仿宋" w:eastAsia="仿宋" w:cs="仿宋"/>
          <w:b/>
          <w:color w:val="auto"/>
          <w:sz w:val="30"/>
          <w:szCs w:val="30"/>
          <w:lang w:eastAsia="zh-CN"/>
        </w:rPr>
      </w:pPr>
      <w:r>
        <w:rPr>
          <w:rFonts w:hint="eastAsia" w:ascii="仿宋" w:hAnsi="仿宋" w:eastAsia="仿宋" w:cs="仿宋"/>
          <w:color w:val="auto"/>
          <w:u w:color="000000"/>
          <w:lang w:eastAsia="zh-CN"/>
        </w:rPr>
        <w:t>帐    号：                          帐    号：</w:t>
      </w:r>
    </w:p>
    <w:p>
      <w:pPr>
        <w:pStyle w:val="5"/>
        <w:spacing w:after="0" w:line="420" w:lineRule="exact"/>
        <w:ind w:left="0" w:leftChars="0" w:firstLine="606" w:firstLineChars="200"/>
        <w:jc w:val="center"/>
        <w:rPr>
          <w:rFonts w:hint="eastAsia" w:ascii="仿宋" w:hAnsi="仿宋" w:eastAsia="仿宋" w:cs="仿宋"/>
          <w:b/>
          <w:color w:val="auto"/>
          <w:sz w:val="30"/>
          <w:szCs w:val="30"/>
          <w:lang w:eastAsia="zh-CN"/>
        </w:rPr>
      </w:pPr>
      <w:r>
        <w:rPr>
          <w:rFonts w:hint="eastAsia" w:ascii="仿宋" w:hAnsi="仿宋" w:eastAsia="仿宋" w:cs="仿宋"/>
          <w:b/>
          <w:color w:val="auto"/>
          <w:sz w:val="30"/>
          <w:szCs w:val="30"/>
          <w:lang w:eastAsia="zh-CN"/>
        </w:rPr>
        <w:t>二  合同条款</w:t>
      </w:r>
      <w:bookmarkEnd w:id="59"/>
      <w:bookmarkEnd w:id="60"/>
      <w:bookmarkEnd w:id="61"/>
      <w:bookmarkEnd w:id="62"/>
      <w:bookmarkEnd w:id="63"/>
      <w:bookmarkEnd w:id="64"/>
      <w:bookmarkEnd w:id="65"/>
      <w:bookmarkEnd w:id="66"/>
      <w:bookmarkEnd w:id="67"/>
    </w:p>
    <w:p>
      <w:pPr>
        <w:spacing w:line="440" w:lineRule="exact"/>
        <w:rPr>
          <w:rFonts w:hint="eastAsia" w:ascii="仿宋" w:hAnsi="仿宋" w:eastAsia="仿宋" w:cs="仿宋"/>
          <w:b/>
          <w:color w:val="auto"/>
          <w:szCs w:val="21"/>
        </w:rPr>
      </w:pPr>
      <w:r>
        <w:rPr>
          <w:rFonts w:hint="eastAsia" w:ascii="仿宋" w:hAnsi="仿宋" w:eastAsia="仿宋" w:cs="仿宋"/>
          <w:b/>
          <w:color w:val="auto"/>
          <w:szCs w:val="21"/>
        </w:rPr>
        <w:t>一.合同文件</w:t>
      </w:r>
    </w:p>
    <w:p>
      <w:pPr>
        <w:spacing w:line="440" w:lineRule="exact"/>
        <w:rPr>
          <w:rFonts w:hint="eastAsia" w:ascii="仿宋" w:hAnsi="仿宋" w:eastAsia="仿宋" w:cs="仿宋"/>
          <w:color w:val="auto"/>
          <w:szCs w:val="21"/>
        </w:rPr>
      </w:pPr>
      <w:r>
        <w:rPr>
          <w:rFonts w:hint="eastAsia" w:ascii="仿宋" w:hAnsi="仿宋" w:eastAsia="仿宋" w:cs="仿宋"/>
          <w:color w:val="auto"/>
          <w:szCs w:val="21"/>
        </w:rPr>
        <w:t>1、合同文件适用法律</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适用于合同文件的法律是中华人民共和国现行法律、法规及招标人所在地的地方性法规。</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2、合同文件组成和解释顺序</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(1)合同文件的组成和解释顺序如下：</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&lt;1&gt;合同的主要条款；</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&lt;2&gt;合同的一般性条款；</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&lt;3&gt;洽商、变更等明确双方权利义务的纪要、协议；</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&lt;4&gt;中标通知书、投标文件和采购文件；</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&lt;5&gt;有关图纸、标准、规范和其它有关技术资料、技术要求。</w:t>
      </w:r>
    </w:p>
    <w:p>
      <w:pPr>
        <w:spacing w:line="44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&lt;6&gt;合同的主要条款的效力优于合同的一般性条款的效力。</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3、合同文件使用文字</w:t>
      </w:r>
    </w:p>
    <w:p>
      <w:pPr>
        <w:pStyle w:val="9"/>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(1)合同文件使用中文书写、解释和说明。</w:t>
      </w:r>
    </w:p>
    <w:p>
      <w:pPr>
        <w:pStyle w:val="9"/>
        <w:overflowPunct w:val="0"/>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(2)合同文件使用技术性条款约定的为国家标准和规范；国家没有相应标准、规范时，可使用行业标准、规范。非标货物应按约定的技术性条款的标准和规范。 </w:t>
      </w:r>
    </w:p>
    <w:p>
      <w:pPr>
        <w:spacing w:line="440" w:lineRule="exact"/>
        <w:rPr>
          <w:rFonts w:hint="eastAsia" w:ascii="仿宋" w:hAnsi="仿宋" w:eastAsia="仿宋" w:cs="仿宋"/>
          <w:b/>
          <w:color w:val="auto"/>
          <w:szCs w:val="21"/>
          <w:lang w:eastAsia="zh-CN"/>
        </w:rPr>
      </w:pPr>
      <w:r>
        <w:rPr>
          <w:rFonts w:hint="eastAsia" w:ascii="仿宋" w:hAnsi="仿宋" w:eastAsia="仿宋" w:cs="仿宋"/>
          <w:b/>
          <w:color w:val="auto"/>
          <w:szCs w:val="21"/>
          <w:lang w:eastAsia="zh-CN"/>
        </w:rPr>
        <w:t>二.标的物的一般条款</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4、完整物权</w:t>
      </w:r>
    </w:p>
    <w:p>
      <w:pPr>
        <w:tabs>
          <w:tab w:val="left" w:pos="660"/>
        </w:tabs>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对于出卖的标的物，卖方应当拥有完整物权，并且卖方负有保证第三人不得向买方主张任何权利（包括知识产权）的义务。</w:t>
      </w:r>
    </w:p>
    <w:p>
      <w:pPr>
        <w:spacing w:line="44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5、质量保证</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9"/>
        <w:tabs>
          <w:tab w:val="left" w:pos="900"/>
        </w:tabs>
        <w:overflowPunct w:val="0"/>
        <w:spacing w:line="440" w:lineRule="exact"/>
        <w:rPr>
          <w:rFonts w:hint="eastAsia" w:ascii="仿宋" w:hAnsi="仿宋" w:eastAsia="仿宋" w:cs="仿宋"/>
          <w:color w:val="auto"/>
          <w:sz w:val="21"/>
          <w:szCs w:val="21"/>
          <w:u w:color="000000"/>
          <w:lang w:eastAsia="zh-CN"/>
        </w:rPr>
      </w:pPr>
      <w:r>
        <w:rPr>
          <w:rFonts w:hint="eastAsia" w:ascii="仿宋" w:hAnsi="仿宋" w:eastAsia="仿宋" w:cs="仿宋"/>
          <w:color w:val="auto"/>
          <w:szCs w:val="24"/>
          <w:u w:color="000000"/>
          <w:lang w:eastAsia="zh-CN"/>
        </w:rPr>
        <w:t>(3)除合同主要条款规定外，合同条款中标的物的质量保证期均自标的物通过最终验收之日起计算，且质量保证期按不低于国家标准和卖方承诺的高于国家标准的质保期（卖方有特殊要求的除</w:t>
      </w:r>
      <w:r>
        <w:rPr>
          <w:rFonts w:hint="eastAsia" w:ascii="仿宋" w:hAnsi="仿宋" w:eastAsia="仿宋" w:cs="仿宋"/>
          <w:color w:val="auto"/>
          <w:sz w:val="21"/>
          <w:szCs w:val="21"/>
          <w:u w:color="000000"/>
          <w:lang w:eastAsia="zh-CN"/>
        </w:rPr>
        <w:t>外）。</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6、包装</w:t>
      </w:r>
    </w:p>
    <w:p>
      <w:pPr>
        <w:pStyle w:val="9"/>
        <w:tabs>
          <w:tab w:val="left" w:pos="900"/>
        </w:tabs>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7、伴随服务</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(1)卖方除应履行按期按量交付合格标的物的义务之外，还应提供下列服务：</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&lt;1&gt;标的物的现场安装或指导安装、启动、调试、监督（如果必须安装、调试的话）；</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&lt;2&gt;提供标的物组装和一般维修所必须的工具；</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&lt;3&gt;在合同规定的期限内对所提供标的物实行运行监督、维修服务的前提条件是该服务并不能免除卖方在质量保证期内所承担的义务；</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&lt;4&gt;对买方技术人员的技术指导或培训。</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(2)除合同另有规定之外，伴随服务的费用均已含在合同价款中，买方不再另行进行支付。</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三.标的物的交付、检验和验收</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8、标的物的交付</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(1)标的物的所有权自标的物交付时转移。</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(2)卖方应当按照约定的期限和约定的地点交付符合采购文件要求的标的物。</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(3)卖方应当按照约定或者交易习惯向招标人交付提取标的物单证以外的有关单证和资料。</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9、检验和验收</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(2)买方根据合同规定的内容和验收标准进行验收，经检验无误后出具验收合格证明，该证明作为最终付款所需文件的组成部分。</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(3)验收期限自标的物交付之日起三十天内。特殊情况需延长的，双方应在合同条款中约定。</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四.对标的物提出异议的时间和办法</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10、对标的物提出异议的时间和办法 </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(1)买方在验收过程中，应当于双方约定的检验期间内将标的物的数量或质量不符合约定的情形及处理方式以书面形式通知卖方。</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(2)如买方在验收期满后既不出具验收合格证明又未提出书面异议的视为卖方所交标的物符合合同规定。</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(3)卖方应在收到买方书面异议后七天内负责处理问题，否则将视为默认买方提出的异议和处理意见。</w:t>
      </w:r>
    </w:p>
    <w:p>
      <w:pPr>
        <w:spacing w:line="440" w:lineRule="exact"/>
        <w:rPr>
          <w:rFonts w:hint="eastAsia" w:ascii="仿宋" w:hAnsi="仿宋" w:eastAsia="仿宋" w:cs="仿宋"/>
          <w:b/>
          <w:color w:val="auto"/>
        </w:rPr>
      </w:pPr>
      <w:r>
        <w:rPr>
          <w:rFonts w:hint="eastAsia" w:ascii="仿宋" w:hAnsi="仿宋" w:eastAsia="仿宋" w:cs="仿宋"/>
          <w:b/>
          <w:color w:val="auto"/>
        </w:rPr>
        <w:t>五.合同价款和支付</w:t>
      </w:r>
    </w:p>
    <w:p>
      <w:pPr>
        <w:spacing w:line="440" w:lineRule="exact"/>
        <w:rPr>
          <w:rFonts w:hint="eastAsia" w:ascii="仿宋" w:hAnsi="仿宋" w:eastAsia="仿宋" w:cs="仿宋"/>
          <w:color w:val="auto"/>
        </w:rPr>
      </w:pPr>
      <w:r>
        <w:rPr>
          <w:rFonts w:hint="eastAsia" w:ascii="仿宋" w:hAnsi="仿宋" w:eastAsia="仿宋" w:cs="仿宋"/>
          <w:color w:val="auto"/>
        </w:rPr>
        <w:t>11、合同价款和支付</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(1)本合同的结算货币为人民币，单位元。</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(2)卖方应按照双方签订的合同规定交货并在合同主要条款规定的期限内持下列单据结算货款：</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&lt;1&gt;合格的销售发票；</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&lt;2&gt;买方盖章签收后的送货回单和验收合格证明。</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(3)买方应按合同主要条款规定的期限和方式付款。</w:t>
      </w:r>
    </w:p>
    <w:p>
      <w:pPr>
        <w:pStyle w:val="9"/>
        <w:tabs>
          <w:tab w:val="left" w:pos="540"/>
        </w:tabs>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(4)根据现行税法对买方征收的与本合同有关的一切税费均由买方承担；根据现行税法对卖方征收的与本合同有关的一切税费均由卖方承担。</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六.违约责任</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12、违约责任</w:t>
      </w:r>
    </w:p>
    <w:p>
      <w:pPr>
        <w:pStyle w:val="9"/>
        <w:spacing w:line="440" w:lineRule="exact"/>
        <w:ind w:firstLine="486" w:firstLineChars="20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合同一方不履行合同义务或者履行合同义务不符合约定的，应当承担继续履行、采取补救措施或者赔偿损失等违约责任。</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13、买方违约责任</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(1)在合同生效后，买方要求退货的，应向卖方偿付合同总价款的5%，作为违约金，违约金不足以补偿损失的，卖方有权要求甲方补足。</w:t>
      </w:r>
    </w:p>
    <w:p>
      <w:pPr>
        <w:pStyle w:val="9"/>
        <w:overflowPunct w:val="0"/>
        <w:spacing w:line="440" w:lineRule="exact"/>
        <w:ind w:right="-386" w:rightChars="-159"/>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(2)买方逾期付款的应按照逾期付款金额的每天万分之四支付逾期付款违约金。</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(3)买方违反合同规定，拒绝接收卖方交付的符合采购文件要求的合格标的物，应当承担卖方由此造成的损失。</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14、卖方违约责任</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(1)卖方不能交货（逾期超过五天视为不能交货），或交货不合格从而影响买方按期正常使用的，应向买方偿付合同总价款5%的违约金，违约金不足以补偿损失的，买方有权要求卖方补足。</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(2)卖方逾期交货的，应在发货前与买方和政府采购管理部门协商，买方仍需求的，卖方应立即发货并应按照逾期交货部分货款的每天万分之四支付逾期交货违约金，同时承担买方因此遭致的损失费用。</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15、不可抗力</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(1)因水灾、火灾、地震、战争等不可抗力不能履行合同的，根据不可抗力的影响，部分或者全部免除责任。但合同一方迟延履行后发生不可抗力的，不能免除责任。</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(2)合同一方因不可抗力不能履行合同的，应当及时通知对方，以减轻可能给对方造成的损失，并应当在合理期限内提供证明。</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七.索赔</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16、索赔</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(1)买方有权根据当地产品质量检验机构或其它有权威部门出具的检验证书向卖方提出索赔。</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(2)在本合同规定的检验期和质量保证期内，如果卖方对买方提出的索赔或差异有责任，则卖方应按买方同意的下列一种或多种方式解决索赔事宜：</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&lt;2&gt;根据标的物的低劣程度、损坏程度以及甲方遭受损失的数额，经双方协商确定降低标的物的价格；</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(4)买方提出索赔的书面材料应报当地政府采购管理部门备案。卖方同意的索赔方案应报当地政府采购管理部门审核。</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八.履约保证金</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17、履约保证金</w:t>
      </w:r>
    </w:p>
    <w:p>
      <w:pPr>
        <w:pStyle w:val="9"/>
        <w:overflowPunct w:val="0"/>
        <w:spacing w:line="440" w:lineRule="exact"/>
        <w:ind w:firstLine="607" w:firstLineChars="25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(1)卖方应在本合同签订时，按采购文件的约定提供相应的履约保证金，保证金的有效期应不低于合同有效期。</w:t>
      </w:r>
    </w:p>
    <w:p>
      <w:pPr>
        <w:pStyle w:val="9"/>
        <w:overflowPunct w:val="0"/>
        <w:spacing w:line="440" w:lineRule="exact"/>
        <w:ind w:right="-386" w:rightChars="-159"/>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(2)如果卖方未能履行合同规定的任何义务，买方有权从履约保证金中取得补偿。</w:t>
      </w:r>
    </w:p>
    <w:p>
      <w:pPr>
        <w:pStyle w:val="9"/>
        <w:overflowPunct w:val="0"/>
        <w:spacing w:line="440" w:lineRule="exact"/>
        <w:ind w:right="-1010" w:rightChars="-416"/>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(3)履约保证金（无息）将在卖方履行完合同义务，买方支付合同价款的五天内</w:t>
      </w:r>
    </w:p>
    <w:p>
      <w:pPr>
        <w:pStyle w:val="9"/>
        <w:overflowPunct w:val="0"/>
        <w:spacing w:line="440" w:lineRule="exact"/>
        <w:ind w:right="-1010" w:rightChars="-416" w:firstLine="0"/>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退回。</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九.合同的解除和转让</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18、合同的解除</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(1)买方和卖方协商一致，可以解除合同。</w:t>
      </w:r>
    </w:p>
    <w:p>
      <w:pPr>
        <w:pStyle w:val="9"/>
        <w:spacing w:line="440" w:lineRule="exact"/>
        <w:rPr>
          <w:rFonts w:hint="eastAsia" w:ascii="仿宋" w:hAnsi="仿宋" w:eastAsia="仿宋" w:cs="仿宋"/>
          <w:color w:val="auto"/>
          <w:szCs w:val="24"/>
          <w:u w:color="000000"/>
        </w:rPr>
      </w:pPr>
      <w:r>
        <w:rPr>
          <w:rFonts w:hint="eastAsia" w:ascii="仿宋" w:hAnsi="仿宋" w:eastAsia="仿宋" w:cs="仿宋"/>
          <w:color w:val="auto"/>
          <w:szCs w:val="24"/>
          <w:u w:color="000000"/>
        </w:rPr>
        <w:t>(2)有下列情形之一，合同一方可以解除合同：</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&lt;1&gt;因不可抗力致使不能实现合同目的，未受不可抗力影响的一方有权解除合同；</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&lt;2&gt;因合同一方违约导致合同不能履行，另一方有权解除合同。</w:t>
      </w:r>
    </w:p>
    <w:p>
      <w:pPr>
        <w:pStyle w:val="9"/>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(3)有权解除合同的一方，应当在违约事实或不可抗力发生之后三十天内书面通知对方以主张解除合同，合同在书面通知到达对方时解除。</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19、合同的转让</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合同的部分和全部都不得转让。</w:t>
      </w:r>
    </w:p>
    <w:p>
      <w:pPr>
        <w:spacing w:line="440" w:lineRule="exact"/>
        <w:rPr>
          <w:rFonts w:hint="eastAsia" w:ascii="仿宋" w:hAnsi="仿宋" w:eastAsia="仿宋" w:cs="仿宋"/>
          <w:b/>
          <w:color w:val="auto"/>
        </w:rPr>
      </w:pPr>
      <w:r>
        <w:rPr>
          <w:rFonts w:hint="eastAsia" w:ascii="仿宋" w:hAnsi="仿宋" w:eastAsia="仿宋" w:cs="仿宋"/>
          <w:b/>
          <w:color w:val="auto"/>
        </w:rPr>
        <w:t>十.合同的生效</w:t>
      </w:r>
    </w:p>
    <w:p>
      <w:pPr>
        <w:spacing w:line="440" w:lineRule="exact"/>
        <w:rPr>
          <w:rFonts w:hint="eastAsia" w:ascii="仿宋" w:hAnsi="仿宋" w:eastAsia="仿宋" w:cs="仿宋"/>
          <w:color w:val="auto"/>
        </w:rPr>
      </w:pPr>
      <w:r>
        <w:rPr>
          <w:rFonts w:hint="eastAsia" w:ascii="仿宋" w:hAnsi="仿宋" w:eastAsia="仿宋" w:cs="仿宋"/>
          <w:color w:val="auto"/>
        </w:rPr>
        <w:t>20</w:t>
      </w:r>
      <w:r>
        <w:rPr>
          <w:rFonts w:hint="eastAsia" w:ascii="仿宋" w:hAnsi="仿宋" w:eastAsia="仿宋" w:cs="仿宋"/>
          <w:color w:val="auto"/>
          <w:lang w:eastAsia="zh-CN"/>
        </w:rPr>
        <w:t>、</w:t>
      </w:r>
      <w:r>
        <w:rPr>
          <w:rFonts w:hint="eastAsia" w:ascii="仿宋" w:hAnsi="仿宋" w:eastAsia="仿宋" w:cs="仿宋"/>
          <w:color w:val="auto"/>
        </w:rPr>
        <w:t>合同的生效</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本合同在双方签字盖章并在招标人收到中标人提交的履约保</w:t>
      </w:r>
      <w:r>
        <w:rPr>
          <w:rFonts w:hint="eastAsia" w:ascii="仿宋" w:hAnsi="仿宋" w:eastAsia="仿宋" w:cs="仿宋"/>
          <w:color w:val="auto"/>
          <w:lang w:val="en-US" w:eastAsia="zh-CN"/>
        </w:rPr>
        <w:t>函</w:t>
      </w:r>
      <w:r>
        <w:rPr>
          <w:rFonts w:hint="eastAsia" w:ascii="仿宋" w:hAnsi="仿宋" w:eastAsia="仿宋" w:cs="仿宋"/>
          <w:color w:val="auto"/>
          <w:lang w:eastAsia="zh-CN"/>
        </w:rPr>
        <w:t>后，经招标采购管理部门备案后生效。</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十一. 争议解决</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21、争议解决</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 xml:space="preserve"> 买卖双方因合同发生争议，进行调解，协商不成，可选择：</w:t>
      </w:r>
    </w:p>
    <w:p>
      <w:pPr>
        <w:pStyle w:val="9"/>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(1)双方同时申请仲裁；</w:t>
      </w:r>
    </w:p>
    <w:p>
      <w:pPr>
        <w:pStyle w:val="9"/>
        <w:tabs>
          <w:tab w:val="left" w:pos="900"/>
        </w:tabs>
        <w:overflowPunct w:val="0"/>
        <w:spacing w:line="440" w:lineRule="exact"/>
        <w:rPr>
          <w:rFonts w:hint="eastAsia" w:ascii="仿宋" w:hAnsi="仿宋" w:eastAsia="仿宋" w:cs="仿宋"/>
          <w:color w:val="auto"/>
          <w:szCs w:val="24"/>
          <w:u w:color="000000"/>
          <w:lang w:eastAsia="zh-CN"/>
        </w:rPr>
      </w:pPr>
      <w:r>
        <w:rPr>
          <w:rFonts w:hint="eastAsia" w:ascii="仿宋" w:hAnsi="仿宋" w:eastAsia="仿宋" w:cs="仿宋"/>
          <w:color w:val="auto"/>
          <w:szCs w:val="24"/>
          <w:u w:color="000000"/>
          <w:lang w:eastAsia="zh-CN"/>
        </w:rPr>
        <w:t>(2)向买方所在地人民法院提起诉讼。</w:t>
      </w:r>
    </w:p>
    <w:p>
      <w:pPr>
        <w:spacing w:line="440" w:lineRule="exact"/>
        <w:rPr>
          <w:rFonts w:hint="eastAsia" w:ascii="仿宋" w:hAnsi="仿宋" w:eastAsia="仿宋" w:cs="仿宋"/>
          <w:b/>
          <w:color w:val="auto"/>
          <w:lang w:eastAsia="zh-CN"/>
        </w:rPr>
      </w:pPr>
      <w:r>
        <w:rPr>
          <w:rFonts w:hint="eastAsia" w:ascii="仿宋" w:hAnsi="仿宋" w:eastAsia="仿宋" w:cs="仿宋"/>
          <w:b/>
          <w:color w:val="auto"/>
          <w:lang w:eastAsia="zh-CN"/>
        </w:rPr>
        <w:t>十二 .附则</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22、合同份数。</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lang w:eastAsia="zh-CN"/>
        </w:rPr>
        <w:tab/>
      </w:r>
      <w:r>
        <w:rPr>
          <w:rFonts w:hint="eastAsia" w:ascii="仿宋" w:hAnsi="仿宋" w:eastAsia="仿宋" w:cs="仿宋"/>
          <w:color w:val="auto"/>
          <w:lang w:eastAsia="zh-CN"/>
        </w:rPr>
        <w:t xml:space="preserve"> 本合同一式陆份，买卖双方各执二份，招标代理机构一份，招标采购管理部门一份。</w:t>
      </w:r>
    </w:p>
    <w:p>
      <w:pPr>
        <w:spacing w:line="440" w:lineRule="exact"/>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23、未尽事宜</w:t>
      </w:r>
    </w:p>
    <w:p>
      <w:pPr>
        <w:spacing w:line="440" w:lineRule="exact"/>
        <w:ind w:firstLine="607" w:firstLineChars="250"/>
        <w:rPr>
          <w:rFonts w:hint="eastAsia" w:ascii="仿宋" w:hAnsi="仿宋" w:eastAsia="仿宋" w:cs="仿宋"/>
          <w:color w:val="auto"/>
          <w:szCs w:val="21"/>
          <w:lang w:eastAsia="zh-CN"/>
        </w:rPr>
      </w:pPr>
      <w:r>
        <w:rPr>
          <w:rFonts w:hint="eastAsia" w:ascii="仿宋" w:hAnsi="仿宋" w:eastAsia="仿宋" w:cs="仿宋"/>
          <w:color w:val="auto"/>
          <w:lang w:eastAsia="zh-CN"/>
        </w:rPr>
        <w:t>本合同未尽事宜应按《中华人民共和国政府采购法》、《中华人民共和国合同法》、《中华人民共和国产品质量法》之规定解释。</w:t>
      </w:r>
    </w:p>
    <w:p>
      <w:pPr>
        <w:pStyle w:val="11"/>
        <w:numPr>
          <w:ilvl w:val="0"/>
          <w:numId w:val="0"/>
        </w:numPr>
        <w:rPr>
          <w:rFonts w:hint="eastAsia" w:ascii="仿宋" w:hAnsi="仿宋" w:eastAsia="仿宋" w:cs="仿宋"/>
          <w:color w:val="auto"/>
          <w:sz w:val="24"/>
          <w:lang w:eastAsia="zh-CN"/>
        </w:rPr>
      </w:pPr>
    </w:p>
    <w:p>
      <w:pPr>
        <w:rPr>
          <w:rFonts w:hint="eastAsia" w:ascii="仿宋" w:hAnsi="仿宋" w:eastAsia="仿宋" w:cs="仿宋"/>
          <w:b/>
          <w:bCs/>
          <w:color w:val="auto"/>
          <w:lang w:eastAsia="zh-CN"/>
        </w:rPr>
      </w:pPr>
    </w:p>
    <w:p>
      <w:pPr>
        <w:rPr>
          <w:rFonts w:hint="eastAsia" w:ascii="仿宋" w:hAnsi="仿宋" w:eastAsia="仿宋" w:cs="仿宋"/>
          <w:color w:val="auto"/>
          <w:lang w:eastAsia="zh-CN"/>
        </w:rPr>
      </w:pPr>
    </w:p>
    <w:p>
      <w:pPr>
        <w:pStyle w:val="32"/>
        <w:keepNext/>
        <w:keepLines/>
        <w:spacing w:before="0" w:after="1160"/>
        <w:rPr>
          <w:rFonts w:hint="eastAsia" w:ascii="仿宋" w:hAnsi="仿宋" w:eastAsia="仿宋" w:cs="仿宋"/>
          <w:b/>
          <w:bCs/>
          <w:color w:val="auto"/>
        </w:rPr>
      </w:pPr>
      <w:r>
        <w:rPr>
          <w:rFonts w:hint="eastAsia" w:ascii="仿宋" w:hAnsi="仿宋" w:eastAsia="仿宋" w:cs="仿宋"/>
          <w:b/>
          <w:bCs/>
          <w:color w:val="auto"/>
        </w:rPr>
        <w:t>第</w:t>
      </w:r>
      <w:r>
        <w:rPr>
          <w:rFonts w:hint="eastAsia" w:ascii="仿宋" w:hAnsi="仿宋" w:eastAsia="仿宋" w:cs="仿宋"/>
          <w:b/>
          <w:bCs/>
          <w:color w:val="auto"/>
          <w:lang w:eastAsia="zh-CN"/>
        </w:rPr>
        <w:t>六</w:t>
      </w:r>
      <w:r>
        <w:rPr>
          <w:rFonts w:hint="eastAsia" w:ascii="仿宋" w:hAnsi="仿宋" w:eastAsia="仿宋" w:cs="仿宋"/>
          <w:b/>
          <w:bCs/>
          <w:color w:val="auto"/>
        </w:rPr>
        <w:t>部分</w:t>
      </w:r>
      <w:r>
        <w:rPr>
          <w:rFonts w:hint="eastAsia" w:ascii="仿宋" w:hAnsi="仿宋" w:eastAsia="仿宋" w:cs="仿宋"/>
          <w:b/>
          <w:bCs/>
          <w:color w:val="auto"/>
          <w:lang w:val="en-US" w:eastAsia="zh-CN"/>
        </w:rPr>
        <w:t xml:space="preserve">  </w:t>
      </w:r>
      <w:r>
        <w:rPr>
          <w:rFonts w:hint="eastAsia" w:ascii="仿宋" w:hAnsi="仿宋" w:eastAsia="仿宋" w:cs="仿宋"/>
          <w:b/>
          <w:bCs/>
          <w:color w:val="auto"/>
        </w:rPr>
        <w:t>投标文件格式</w:t>
      </w:r>
    </w:p>
    <w:p>
      <w:pPr>
        <w:adjustRightInd w:val="0"/>
        <w:snapToGrid w:val="0"/>
        <w:spacing w:line="360" w:lineRule="auto"/>
        <w:ind w:left="602" w:right="70" w:hanging="602"/>
        <w:jc w:val="right"/>
        <w:rPr>
          <w:rFonts w:hint="eastAsia" w:ascii="仿宋" w:hAnsi="仿宋" w:eastAsia="仿宋" w:cs="仿宋"/>
          <w:b/>
          <w:bCs/>
          <w:color w:val="auto"/>
          <w:sz w:val="28"/>
          <w:szCs w:val="28"/>
          <w:bdr w:val="single" w:color="auto" w:sz="4" w:space="0"/>
          <w:lang w:eastAsia="zh-CN"/>
        </w:rPr>
      </w:pPr>
      <w:bookmarkStart w:id="68" w:name="bookmark196"/>
      <w:r>
        <w:rPr>
          <w:rFonts w:hint="eastAsia" w:ascii="仿宋" w:hAnsi="仿宋" w:eastAsia="仿宋" w:cs="仿宋"/>
          <w:b/>
          <w:bCs/>
          <w:color w:val="auto"/>
          <w:sz w:val="28"/>
          <w:szCs w:val="28"/>
          <w:bdr w:val="single" w:color="auto" w:sz="4" w:space="0"/>
          <w:lang w:eastAsia="zh-CN"/>
        </w:rPr>
        <w:t>正/副 本</w:t>
      </w:r>
    </w:p>
    <w:p>
      <w:pPr>
        <w:adjustRightInd w:val="0"/>
        <w:snapToGrid w:val="0"/>
        <w:spacing w:line="360" w:lineRule="auto"/>
        <w:jc w:val="center"/>
        <w:rPr>
          <w:rFonts w:hint="eastAsia" w:ascii="仿宋" w:hAnsi="仿宋" w:eastAsia="仿宋" w:cs="仿宋"/>
          <w:b/>
          <w:caps/>
          <w:color w:val="auto"/>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caps/>
          <w:color w:val="auto"/>
          <w:sz w:val="32"/>
          <w:szCs w:val="32"/>
          <w:lang w:eastAsia="zh-CN"/>
        </w:rPr>
        <w:t>（项目名称）</w:t>
      </w:r>
    </w:p>
    <w:p>
      <w:pPr>
        <w:adjustRightInd w:val="0"/>
        <w:snapToGrid w:val="0"/>
        <w:spacing w:line="360" w:lineRule="auto"/>
        <w:jc w:val="both"/>
        <w:rPr>
          <w:rFonts w:hint="eastAsia" w:ascii="仿宋" w:hAnsi="仿宋" w:eastAsia="仿宋" w:cs="仿宋"/>
          <w:bCs/>
          <w:color w:val="auto"/>
          <w:sz w:val="32"/>
          <w:szCs w:val="32"/>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p>
    <w:p>
      <w:pPr>
        <w:adjustRightInd w:val="0"/>
        <w:snapToGrid w:val="0"/>
        <w:spacing w:line="360" w:lineRule="auto"/>
        <w:jc w:val="center"/>
        <w:rPr>
          <w:rFonts w:hint="eastAsia" w:ascii="仿宋" w:hAnsi="仿宋" w:eastAsia="仿宋" w:cs="仿宋"/>
          <w:bCs/>
          <w:color w:val="auto"/>
          <w:sz w:val="32"/>
          <w:szCs w:val="32"/>
          <w:lang w:eastAsia="zh-CN"/>
        </w:rPr>
      </w:pPr>
      <w:r>
        <w:rPr>
          <w:rFonts w:hint="eastAsia" w:ascii="仿宋" w:hAnsi="仿宋" w:eastAsia="仿宋" w:cs="仿宋"/>
          <w:b/>
          <w:bCs/>
          <w:color w:val="auto"/>
          <w:sz w:val="44"/>
          <w:szCs w:val="44"/>
          <w:lang w:eastAsia="zh-CN"/>
        </w:rPr>
        <w:t>投标文件</w:t>
      </w:r>
    </w:p>
    <w:p>
      <w:pPr>
        <w:adjustRightInd w:val="0"/>
        <w:snapToGrid w:val="0"/>
        <w:spacing w:line="360" w:lineRule="auto"/>
        <w:jc w:val="center"/>
        <w:rPr>
          <w:rFonts w:hint="eastAsia" w:ascii="仿宋" w:hAnsi="仿宋" w:eastAsia="仿宋" w:cs="仿宋"/>
          <w:bCs/>
          <w:color w:val="auto"/>
          <w:sz w:val="32"/>
          <w:szCs w:val="32"/>
          <w:lang w:eastAsia="zh-CN"/>
        </w:rPr>
      </w:pPr>
    </w:p>
    <w:p>
      <w:pPr>
        <w:adjustRightInd w:val="0"/>
        <w:snapToGrid w:val="0"/>
        <w:spacing w:line="360" w:lineRule="auto"/>
        <w:jc w:val="both"/>
        <w:rPr>
          <w:rFonts w:hint="eastAsia" w:ascii="仿宋" w:hAnsi="仿宋" w:eastAsia="仿宋" w:cs="仿宋"/>
          <w:bCs/>
          <w:color w:val="auto"/>
          <w:sz w:val="32"/>
          <w:szCs w:val="32"/>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0"/>
          <w:kern w:val="0"/>
          <w:sz w:val="28"/>
          <w:szCs w:val="28"/>
          <w:fitText w:val="2810" w:id="1470909418"/>
          <w:lang w:eastAsia="zh-CN"/>
        </w:rPr>
        <w:t>供应商名称（公章）：</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0"/>
          <w:w w:val="77"/>
          <w:kern w:val="0"/>
          <w:sz w:val="28"/>
          <w:szCs w:val="28"/>
          <w:fitText w:val="2810" w:id="1"/>
          <w:lang w:eastAsia="zh-CN"/>
        </w:rPr>
        <w:t>法定代表人（签章或盖章）</w:t>
      </w:r>
      <w:r>
        <w:rPr>
          <w:rFonts w:hint="eastAsia" w:ascii="仿宋" w:hAnsi="仿宋" w:eastAsia="仿宋" w:cs="仿宋"/>
          <w:b/>
          <w:caps/>
          <w:color w:val="auto"/>
          <w:spacing w:val="-1"/>
          <w:w w:val="77"/>
          <w:kern w:val="0"/>
          <w:sz w:val="28"/>
          <w:szCs w:val="28"/>
          <w:fitText w:val="2810" w:id="1"/>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113"/>
          <w:kern w:val="0"/>
          <w:sz w:val="28"/>
          <w:szCs w:val="28"/>
          <w:fitText w:val="2810" w:id="2"/>
          <w:lang w:eastAsia="zh-CN"/>
        </w:rPr>
        <w:t>供应商地址</w:t>
      </w:r>
      <w:r>
        <w:rPr>
          <w:rFonts w:hint="eastAsia" w:ascii="仿宋" w:hAnsi="仿宋" w:eastAsia="仿宋" w:cs="仿宋"/>
          <w:b/>
          <w:caps/>
          <w:color w:val="auto"/>
          <w:spacing w:val="0"/>
          <w:kern w:val="0"/>
          <w:sz w:val="28"/>
          <w:szCs w:val="28"/>
          <w:fitText w:val="2810" w:id="2"/>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281"/>
          <w:kern w:val="0"/>
          <w:sz w:val="28"/>
          <w:szCs w:val="28"/>
          <w:fitText w:val="2810" w:id="3"/>
          <w:lang w:eastAsia="zh-CN"/>
        </w:rPr>
        <w:t>联系人</w:t>
      </w:r>
      <w:r>
        <w:rPr>
          <w:rFonts w:hint="eastAsia" w:ascii="仿宋" w:hAnsi="仿宋" w:eastAsia="仿宋" w:cs="仿宋"/>
          <w:b/>
          <w:caps/>
          <w:color w:val="auto"/>
          <w:spacing w:val="2"/>
          <w:kern w:val="0"/>
          <w:sz w:val="28"/>
          <w:szCs w:val="28"/>
          <w:fitText w:val="2810" w:id="3"/>
          <w:lang w:eastAsia="zh-CN"/>
        </w:rPr>
        <w:t>：</w:t>
      </w:r>
    </w:p>
    <w:p>
      <w:pPr>
        <w:adjustRightInd w:val="0"/>
        <w:snapToGrid w:val="0"/>
        <w:spacing w:line="360" w:lineRule="auto"/>
        <w:ind w:right="-155" w:rightChars="-64"/>
        <w:rPr>
          <w:rFonts w:hint="eastAsia" w:ascii="仿宋" w:hAnsi="仿宋" w:eastAsia="仿宋" w:cs="仿宋"/>
          <w:b/>
          <w:caps/>
          <w:color w:val="auto"/>
          <w:sz w:val="28"/>
          <w:szCs w:val="28"/>
          <w:lang w:eastAsia="zh-CN"/>
        </w:rPr>
      </w:pPr>
    </w:p>
    <w:p>
      <w:pPr>
        <w:adjustRightInd w:val="0"/>
        <w:snapToGrid w:val="0"/>
        <w:spacing w:line="360" w:lineRule="auto"/>
        <w:ind w:right="-155" w:rightChars="-64"/>
        <w:rPr>
          <w:rFonts w:hint="eastAsia" w:ascii="仿宋" w:hAnsi="仿宋" w:eastAsia="仿宋" w:cs="仿宋"/>
          <w:b/>
          <w:caps/>
          <w:color w:val="auto"/>
          <w:sz w:val="28"/>
          <w:szCs w:val="28"/>
          <w:lang w:eastAsia="zh-CN"/>
        </w:rPr>
      </w:pPr>
      <w:r>
        <w:rPr>
          <w:rFonts w:hint="eastAsia" w:ascii="仿宋" w:hAnsi="仿宋" w:eastAsia="仿宋" w:cs="仿宋"/>
          <w:b/>
          <w:caps/>
          <w:color w:val="auto"/>
          <w:spacing w:val="176"/>
          <w:kern w:val="0"/>
          <w:sz w:val="28"/>
          <w:szCs w:val="28"/>
          <w:fitText w:val="2810" w:id="4"/>
          <w:lang w:eastAsia="zh-CN"/>
        </w:rPr>
        <w:t>联系电话</w:t>
      </w:r>
      <w:r>
        <w:rPr>
          <w:rFonts w:hint="eastAsia" w:ascii="仿宋" w:hAnsi="仿宋" w:eastAsia="仿宋" w:cs="仿宋"/>
          <w:b/>
          <w:caps/>
          <w:color w:val="auto"/>
          <w:spacing w:val="1"/>
          <w:kern w:val="0"/>
          <w:sz w:val="28"/>
          <w:szCs w:val="28"/>
          <w:fitText w:val="2810" w:id="4"/>
          <w:lang w:eastAsia="zh-CN"/>
        </w:rPr>
        <w:t>：</w:t>
      </w:r>
    </w:p>
    <w:p>
      <w:pPr>
        <w:adjustRightInd w:val="0"/>
        <w:snapToGrid w:val="0"/>
        <w:spacing w:line="360" w:lineRule="auto"/>
        <w:jc w:val="center"/>
        <w:rPr>
          <w:rFonts w:hint="eastAsia" w:ascii="仿宋" w:hAnsi="仿宋" w:eastAsia="仿宋" w:cs="仿宋"/>
          <w:b/>
          <w:caps/>
          <w:color w:val="auto"/>
          <w:sz w:val="28"/>
          <w:szCs w:val="28"/>
          <w:lang w:eastAsia="zh-CN"/>
        </w:rPr>
      </w:pPr>
    </w:p>
    <w:p>
      <w:pPr>
        <w:adjustRightInd w:val="0"/>
        <w:snapToGrid w:val="0"/>
        <w:spacing w:line="360" w:lineRule="auto"/>
        <w:jc w:val="center"/>
        <w:rPr>
          <w:rFonts w:hint="eastAsia" w:ascii="仿宋" w:hAnsi="仿宋" w:eastAsia="仿宋" w:cs="仿宋"/>
          <w:b/>
          <w:color w:val="auto"/>
          <w:sz w:val="28"/>
          <w:szCs w:val="28"/>
          <w:lang w:eastAsia="zh-CN"/>
        </w:rPr>
      </w:pPr>
      <w:r>
        <w:rPr>
          <w:rFonts w:hint="eastAsia" w:ascii="仿宋" w:hAnsi="仿宋" w:eastAsia="仿宋" w:cs="仿宋"/>
          <w:b/>
          <w:color w:val="auto"/>
          <w:sz w:val="28"/>
          <w:szCs w:val="28"/>
          <w:lang w:eastAsia="zh-CN"/>
        </w:rPr>
        <w:t>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_年__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_月__</w:t>
      </w:r>
      <w:r>
        <w:rPr>
          <w:rFonts w:hint="eastAsia" w:ascii="仿宋" w:hAnsi="仿宋" w:eastAsia="仿宋" w:cs="仿宋"/>
          <w:b/>
          <w:color w:val="auto"/>
          <w:sz w:val="28"/>
          <w:szCs w:val="28"/>
          <w:u w:val="single"/>
          <w:lang w:eastAsia="zh-CN"/>
        </w:rPr>
        <w:t xml:space="preserve">   </w:t>
      </w:r>
      <w:r>
        <w:rPr>
          <w:rFonts w:hint="eastAsia" w:ascii="仿宋" w:hAnsi="仿宋" w:eastAsia="仿宋" w:cs="仿宋"/>
          <w:b/>
          <w:color w:val="auto"/>
          <w:sz w:val="28"/>
          <w:szCs w:val="28"/>
          <w:lang w:eastAsia="zh-CN"/>
        </w:rPr>
        <w:t>_日</w:t>
      </w:r>
    </w:p>
    <w:p>
      <w:pPr>
        <w:pStyle w:val="34"/>
        <w:spacing w:after="340" w:line="240" w:lineRule="auto"/>
        <w:ind w:firstLine="0"/>
        <w:rPr>
          <w:rFonts w:hint="eastAsia" w:ascii="仿宋" w:hAnsi="仿宋" w:eastAsia="仿宋" w:cs="仿宋"/>
          <w:color w:val="auto"/>
        </w:rPr>
      </w:pPr>
    </w:p>
    <w:bookmarkEnd w:id="68"/>
    <w:p>
      <w:pPr>
        <w:pStyle w:val="7"/>
        <w:spacing w:line="240" w:lineRule="atLeast"/>
        <w:rPr>
          <w:rFonts w:hint="eastAsia" w:ascii="仿宋" w:hAnsi="仿宋" w:eastAsia="仿宋" w:cs="仿宋"/>
          <w:bCs/>
          <w:color w:val="auto"/>
          <w:sz w:val="24"/>
          <w:lang w:eastAsia="zh-CN"/>
        </w:rPr>
      </w:pPr>
      <w:bookmarkStart w:id="69" w:name="_Toc515647803"/>
      <w:bookmarkStart w:id="70" w:name="_Toc18694"/>
      <w:bookmarkStart w:id="71" w:name="_Toc18974"/>
      <w:bookmarkStart w:id="72" w:name="_Toc8919"/>
    </w:p>
    <w:p>
      <w:pPr>
        <w:pStyle w:val="7"/>
        <w:spacing w:line="240" w:lineRule="atLeast"/>
        <w:rPr>
          <w:rFonts w:hint="eastAsia" w:ascii="仿宋" w:hAnsi="仿宋" w:eastAsia="仿宋" w:cs="仿宋"/>
          <w:color w:val="auto"/>
          <w:szCs w:val="21"/>
          <w:lang w:eastAsia="zh-CN"/>
        </w:rPr>
      </w:pPr>
      <w:r>
        <w:rPr>
          <w:rFonts w:hint="eastAsia" w:ascii="仿宋" w:hAnsi="仿宋" w:eastAsia="仿宋" w:cs="仿宋"/>
          <w:bCs/>
          <w:color w:val="auto"/>
          <w:szCs w:val="21"/>
          <w:lang w:eastAsia="zh-CN"/>
        </w:rPr>
        <w:t>第一部分 资格证明文件</w:t>
      </w:r>
      <w:bookmarkEnd w:id="69"/>
      <w:bookmarkEnd w:id="70"/>
      <w:bookmarkEnd w:id="71"/>
      <w:bookmarkEnd w:id="72"/>
    </w:p>
    <w:p>
      <w:pPr>
        <w:spacing w:line="240" w:lineRule="atLeast"/>
        <w:ind w:left="717" w:hanging="716" w:hangingChars="295"/>
        <w:jc w:val="center"/>
        <w:rPr>
          <w:rFonts w:hint="eastAsia" w:ascii="仿宋" w:hAnsi="仿宋" w:eastAsia="仿宋" w:cs="仿宋"/>
          <w:color w:val="auto"/>
          <w:lang w:eastAsia="zh-CN"/>
        </w:rPr>
      </w:pP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1、法人或者非法人组织的营业执照等证明文件复印件（须加盖本单位章）或自然人的身份证明复印件;</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2、法定代表人资格证明书；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3、法定代表人授权书；</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4、投标保证金收据或投标担保函；</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5、投标企业须提供投标人（被授权在职人员）近</w:t>
      </w:r>
      <w:r>
        <w:rPr>
          <w:rFonts w:hint="eastAsia" w:ascii="仿宋" w:hAnsi="仿宋" w:eastAsia="仿宋" w:cs="仿宋"/>
          <w:color w:val="auto"/>
          <w:lang w:val="en-US" w:eastAsia="zh-CN"/>
        </w:rPr>
        <w:t>6个月有效</w:t>
      </w:r>
      <w:r>
        <w:rPr>
          <w:rFonts w:hint="eastAsia" w:ascii="仿宋" w:hAnsi="仿宋" w:eastAsia="仿宋" w:cs="仿宋"/>
          <w:color w:val="auto"/>
          <w:lang w:eastAsia="zh-CN"/>
        </w:rPr>
        <w:t>社保证明；</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6、</w:t>
      </w:r>
      <w:r>
        <w:rPr>
          <w:rFonts w:hint="eastAsia" w:ascii="仿宋" w:hAnsi="仿宋" w:eastAsia="仿宋" w:cs="仿宋"/>
          <w:color w:val="auto"/>
          <w:sz w:val="24"/>
          <w:szCs w:val="24"/>
          <w:lang w:eastAsia="zh-CN"/>
        </w:rPr>
        <w:t>提供有效的《医疗器械生产许可证》或《医疗器械经营许可证》</w:t>
      </w:r>
      <w:r>
        <w:rPr>
          <w:rFonts w:hint="eastAsia" w:ascii="仿宋" w:hAnsi="仿宋" w:eastAsia="仿宋" w:cs="仿宋"/>
          <w:color w:val="auto"/>
          <w:sz w:val="24"/>
          <w:szCs w:val="24"/>
          <w:lang w:val="en-US" w:eastAsia="zh-CN"/>
        </w:rPr>
        <w:t>复印件加盖公章；</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7、参加政府采购活动前3年内在经营活动中没有重大违法记录的书面声明;</w:t>
      </w:r>
    </w:p>
    <w:p>
      <w:pPr>
        <w:tabs>
          <w:tab w:val="left" w:pos="5580"/>
        </w:tabs>
        <w:spacing w:line="500" w:lineRule="atLeast"/>
        <w:ind w:left="1" w:firstLine="571" w:firstLineChars="235"/>
        <w:rPr>
          <w:rFonts w:hint="eastAsia" w:ascii="仿宋" w:hAnsi="仿宋" w:eastAsia="仿宋" w:cs="仿宋"/>
          <w:color w:val="auto"/>
          <w:lang w:eastAsia="zh-CN"/>
        </w:rPr>
      </w:pPr>
      <w:r>
        <w:rPr>
          <w:rFonts w:hint="eastAsia" w:ascii="仿宋" w:hAnsi="仿宋" w:eastAsia="仿宋" w:cs="仿宋"/>
          <w:color w:val="auto"/>
          <w:lang w:eastAsia="zh-CN"/>
        </w:rPr>
        <w:t>8、</w:t>
      </w:r>
      <w:r>
        <w:rPr>
          <w:rFonts w:hint="eastAsia" w:ascii="仿宋" w:hAnsi="仿宋" w:eastAsia="仿宋" w:cs="仿宋"/>
          <w:color w:val="auto"/>
          <w:lang w:val="en-US" w:eastAsia="zh-CN"/>
        </w:rPr>
        <w:t>参加政府采购活动前三年内，在经营活动中没有重大违法记录；</w:t>
      </w:r>
      <w:r>
        <w:rPr>
          <w:rFonts w:hint="eastAsia" w:ascii="仿宋" w:hAnsi="仿宋" w:eastAsia="仿宋" w:cs="仿宋"/>
          <w:color w:val="auto"/>
          <w:lang w:eastAsia="zh-CN"/>
        </w:rPr>
        <w:t>未被“信用中国”（www.creditchina.gov.cn）、中国政府采购网（www.ccgp.gov.cn）列入失信被执行人、税收违法黑名单、政府采购严重违法失信行为记录名单；</w:t>
      </w:r>
    </w:p>
    <w:p>
      <w:pPr>
        <w:tabs>
          <w:tab w:val="left" w:pos="5580"/>
        </w:tabs>
        <w:spacing w:line="500" w:lineRule="atLeast"/>
        <w:ind w:firstLine="486" w:firstLineChars="200"/>
        <w:rPr>
          <w:rFonts w:hint="eastAsia"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投标人须知资料表要求的其他资格证明文件;</w:t>
      </w:r>
    </w:p>
    <w:p>
      <w:pPr>
        <w:pStyle w:val="11"/>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p>
    <w:p>
      <w:pPr>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right="126"/>
        <w:jc w:val="both"/>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bookmarkStart w:id="73" w:name="_Toc515647805"/>
      <w:bookmarkStart w:id="74" w:name="_Toc17577"/>
      <w:bookmarkStart w:id="75" w:name="_Toc29899"/>
      <w:bookmarkStart w:id="76" w:name="_Toc4844"/>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 法人或者非法人组织的营业执照等证明文件</w:t>
      </w:r>
      <w:bookmarkEnd w:id="73"/>
      <w:bookmarkStart w:id="77" w:name="_Toc515647806"/>
      <w:r>
        <w:rPr>
          <w:rFonts w:hint="eastAsia" w:ascii="仿宋" w:hAnsi="仿宋" w:eastAsia="仿宋" w:cs="仿宋"/>
          <w:b/>
          <w:bCs/>
          <w:color w:val="auto"/>
          <w:sz w:val="36"/>
          <w:szCs w:val="36"/>
          <w:lang w:eastAsia="zh-CN"/>
        </w:rPr>
        <w:t>或自然人的身份证明</w:t>
      </w:r>
      <w:bookmarkEnd w:id="74"/>
      <w:bookmarkEnd w:id="75"/>
      <w:bookmarkEnd w:id="76"/>
      <w:bookmarkEnd w:id="77"/>
    </w:p>
    <w:p>
      <w:pPr>
        <w:pStyle w:val="12"/>
        <w:tabs>
          <w:tab w:val="left" w:pos="5580"/>
        </w:tabs>
        <w:spacing w:line="400" w:lineRule="exact"/>
        <w:ind w:left="1164" w:leftChars="257" w:hanging="540"/>
        <w:jc w:val="center"/>
        <w:rPr>
          <w:rFonts w:hint="eastAsia" w:ascii="仿宋" w:hAnsi="仿宋" w:eastAsia="仿宋" w:cs="仿宋"/>
          <w:b/>
          <w:color w:val="auto"/>
          <w:lang w:eastAsia="zh-CN"/>
        </w:rPr>
      </w:pPr>
    </w:p>
    <w:p>
      <w:pPr>
        <w:pStyle w:val="12"/>
        <w:tabs>
          <w:tab w:val="left" w:pos="5580"/>
        </w:tabs>
        <w:spacing w:line="400" w:lineRule="exact"/>
        <w:ind w:left="1164" w:leftChars="257" w:hanging="540"/>
        <w:rPr>
          <w:rFonts w:hint="eastAsia" w:ascii="仿宋" w:hAnsi="仿宋" w:eastAsia="仿宋" w:cs="仿宋"/>
          <w:b/>
          <w:color w:val="auto"/>
          <w:lang w:eastAsia="zh-CN"/>
        </w:rPr>
      </w:pPr>
    </w:p>
    <w:p>
      <w:pPr>
        <w:pStyle w:val="12"/>
        <w:tabs>
          <w:tab w:val="left" w:pos="5580"/>
        </w:tabs>
        <w:spacing w:line="400" w:lineRule="exact"/>
        <w:ind w:left="1164" w:leftChars="257" w:hanging="540"/>
        <w:rPr>
          <w:rFonts w:hint="eastAsia" w:ascii="仿宋" w:hAnsi="仿宋" w:eastAsia="仿宋" w:cs="仿宋"/>
          <w:b/>
          <w:color w:val="auto"/>
          <w:lang w:eastAsia="zh-CN"/>
        </w:rPr>
      </w:pPr>
    </w:p>
    <w:p>
      <w:pPr>
        <w:pStyle w:val="12"/>
        <w:tabs>
          <w:tab w:val="left" w:pos="5580"/>
        </w:tabs>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说明：1.提供有效的营业执照等证明文件复印件，复印件上应加盖本单位章。</w:t>
      </w:r>
    </w:p>
    <w:p>
      <w:pPr>
        <w:pStyle w:val="12"/>
        <w:tabs>
          <w:tab w:val="left" w:pos="5580"/>
        </w:tabs>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      2.投标人为自然人的，应提供身份证明的复印件。</w:t>
      </w: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right="126"/>
        <w:jc w:val="both"/>
        <w:rPr>
          <w:rFonts w:hint="eastAsia" w:ascii="仿宋" w:hAnsi="仿宋" w:eastAsia="仿宋" w:cs="仿宋"/>
          <w:b/>
          <w:bCs/>
          <w:color w:val="auto"/>
          <w:sz w:val="36"/>
          <w:szCs w:val="36"/>
          <w:lang w:eastAsia="zh-CN"/>
        </w:rPr>
      </w:pPr>
    </w:p>
    <w:p>
      <w:pPr>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29"/>
        <w:rPr>
          <w:rFonts w:hint="eastAsia" w:ascii="仿宋" w:hAnsi="仿宋" w:eastAsia="仿宋" w:cs="仿宋"/>
          <w:b/>
          <w:bCs/>
          <w:color w:val="auto"/>
          <w:sz w:val="36"/>
          <w:szCs w:val="36"/>
          <w:lang w:eastAsia="zh-CN"/>
        </w:rPr>
      </w:pPr>
    </w:p>
    <w:p>
      <w:pPr>
        <w:pStyle w:val="11"/>
        <w:numPr>
          <w:ilvl w:val="0"/>
          <w:numId w:val="0"/>
        </w:numPr>
        <w:kinsoku w:val="0"/>
        <w:overflowPunct w:val="0"/>
        <w:spacing w:before="34" w:line="440" w:lineRule="exact"/>
        <w:ind w:left="480" w:right="126"/>
        <w:jc w:val="center"/>
        <w:rPr>
          <w:rFonts w:hint="eastAsia" w:ascii="仿宋" w:hAnsi="仿宋" w:eastAsia="仿宋" w:cs="仿宋"/>
          <w:color w:val="auto"/>
          <w:sz w:val="36"/>
          <w:szCs w:val="36"/>
          <w:lang w:eastAsia="zh-CN"/>
        </w:rPr>
      </w:pPr>
      <w:r>
        <w:rPr>
          <w:rFonts w:hint="eastAsia" w:ascii="仿宋" w:hAnsi="仿宋" w:eastAsia="仿宋" w:cs="仿宋"/>
          <w:b/>
          <w:bCs/>
          <w:color w:val="auto"/>
          <w:sz w:val="36"/>
          <w:szCs w:val="36"/>
          <w:lang w:eastAsia="zh-CN"/>
        </w:rPr>
        <w:t>2、法定代表人身份证明</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投标单位名称：</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单位性质：</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地址：</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成立时间：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年</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经营期限：</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性别：</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年龄：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职务：</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u w:val="single"/>
          <w:lang w:eastAsia="zh-CN"/>
        </w:rPr>
      </w:pPr>
      <w:r>
        <w:rPr>
          <w:rFonts w:hint="eastAsia" w:ascii="仿宋" w:hAnsi="仿宋" w:eastAsia="仿宋" w:cs="仿宋"/>
          <w:color w:val="auto"/>
          <w:lang w:eastAsia="zh-CN"/>
        </w:rPr>
        <w:t>身份证号码：</w:t>
      </w:r>
      <w:r>
        <w:rPr>
          <w:rFonts w:hint="eastAsia" w:ascii="仿宋" w:hAnsi="仿宋" w:eastAsia="仿宋" w:cs="仿宋"/>
          <w:color w:val="auto"/>
          <w:u w:val="single"/>
          <w:lang w:eastAsia="zh-CN"/>
        </w:rPr>
        <w:t xml:space="preserve">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系</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（投标单位名称）的法定代表人。</w:t>
      </w:r>
    </w:p>
    <w:p>
      <w:pPr>
        <w:spacing w:line="420" w:lineRule="exact"/>
        <w:ind w:firstLine="972" w:firstLineChars="400"/>
        <w:rPr>
          <w:rFonts w:hint="eastAsia" w:ascii="仿宋" w:hAnsi="仿宋" w:eastAsia="仿宋" w:cs="仿宋"/>
          <w:color w:val="auto"/>
        </w:rPr>
      </w:pPr>
      <w:r>
        <w:rPr>
          <w:rFonts w:hint="eastAsia" w:ascii="仿宋" w:hAnsi="仿宋" w:eastAsia="仿宋" w:cs="仿宋"/>
          <w:color w:val="auto"/>
        </w:rPr>
        <w:t>特此证明。</w:t>
      </w:r>
    </w:p>
    <w:p>
      <w:pPr>
        <w:pStyle w:val="11"/>
        <w:numPr>
          <w:ilvl w:val="0"/>
          <w:numId w:val="0"/>
        </w:numPr>
        <w:kinsoku w:val="0"/>
        <w:overflowPunct w:val="0"/>
        <w:rPr>
          <w:rFonts w:hint="eastAsia" w:ascii="仿宋" w:hAnsi="仿宋" w:eastAsia="仿宋" w:cs="仿宋"/>
          <w:color w:val="auto"/>
          <w:sz w:val="20"/>
          <w:szCs w:val="20"/>
        </w:rPr>
      </w:pPr>
    </w:p>
    <w:p>
      <w:pPr>
        <w:pStyle w:val="11"/>
        <w:numPr>
          <w:ilvl w:val="0"/>
          <w:numId w:val="0"/>
        </w:numPr>
        <w:kinsoku w:val="0"/>
        <w:overflowPunct w:val="0"/>
        <w:spacing w:before="7"/>
        <w:rPr>
          <w:rFonts w:hint="eastAsia" w:ascii="仿宋" w:hAnsi="仿宋" w:eastAsia="仿宋" w:cs="仿宋"/>
          <w:color w:val="auto"/>
          <w:sz w:val="25"/>
          <w:szCs w:val="25"/>
        </w:rPr>
      </w:pPr>
    </w:p>
    <w:p>
      <w:pPr>
        <w:pStyle w:val="11"/>
        <w:numPr>
          <w:ilvl w:val="0"/>
          <w:numId w:val="0"/>
        </w:numPr>
        <w:kinsoku w:val="0"/>
        <w:overflowPunct w:val="0"/>
        <w:spacing w:line="200" w:lineRule="atLeast"/>
        <w:rPr>
          <w:rFonts w:hint="eastAsia" w:ascii="仿宋" w:hAnsi="仿宋" w:eastAsia="仿宋" w:cs="仿宋"/>
          <w:color w:val="auto"/>
          <w:sz w:val="20"/>
          <w:szCs w:val="20"/>
        </w:rPr>
      </w:pPr>
      <w:r>
        <w:rPr>
          <w:rFonts w:hint="eastAsia" w:ascii="仿宋" w:hAnsi="仿宋" w:eastAsia="仿宋" w:cs="仿宋"/>
          <w:color w:val="auto"/>
          <w:sz w:val="20"/>
          <w:szCs w:val="20"/>
          <w:lang w:eastAsia="zh-CN" w:bidi="ar-SA"/>
        </w:rPr>
        <mc:AlternateContent>
          <mc:Choice Requires="wpg">
            <w:drawing>
              <wp:inline distT="0" distB="0" distL="114300" distR="114300">
                <wp:extent cx="5136515" cy="1458595"/>
                <wp:effectExtent l="0" t="0" r="8255" b="9525"/>
                <wp:docPr id="34" name="组合 34"/>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14" name="任意多边形 1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5" name="任意多边形 1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6" name="任意多边形 16"/>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17" name="任意多边形 17"/>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19" name="任意多边形 19"/>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20" name="任意多边形 20"/>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21" name="任意多边形 21"/>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2" name="任意多边形 22"/>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3" name="任意多边形 23"/>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24" name="任意多边形 24"/>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27" name="文本框 27"/>
                        <wps:cNvSpPr txBox="1"/>
                        <wps:spPr>
                          <a:xfrm>
                            <a:off x="19" y="19"/>
                            <a:ext cx="4025" cy="2258"/>
                          </a:xfrm>
                          <a:prstGeom prst="rect">
                            <a:avLst/>
                          </a:prstGeom>
                          <a:noFill/>
                          <a:ln>
                            <a:noFill/>
                          </a:ln>
                        </wps:spPr>
                        <wps:txbx>
                          <w:txbxContent>
                            <w:p>
                              <w:pPr>
                                <w:pStyle w:val="11"/>
                                <w:numPr>
                                  <w:ilvl w:val="0"/>
                                  <w:numId w:val="0"/>
                                </w:numPr>
                                <w:kinsoku w:val="0"/>
                                <w:overflowPunct w:val="0"/>
                                <w:spacing w:before="13"/>
                                <w:rPr>
                                  <w:sz w:val="28"/>
                                  <w:szCs w:val="28"/>
                                </w:rPr>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法定代表人身份证复印件（正面）</w:t>
                              </w:r>
                            </w:p>
                          </w:txbxContent>
                        </wps:txbx>
                        <wps:bodyPr lIns="0" tIns="0" rIns="0" bIns="0" upright="1"/>
                      </wps:wsp>
                      <wps:wsp>
                        <wps:cNvPr id="32" name="文本框 32"/>
                        <wps:cNvSpPr txBox="1"/>
                        <wps:spPr>
                          <a:xfrm>
                            <a:off x="4044" y="19"/>
                            <a:ext cx="4025" cy="2258"/>
                          </a:xfrm>
                          <a:prstGeom prst="rect">
                            <a:avLst/>
                          </a:prstGeom>
                          <a:noFill/>
                          <a:ln>
                            <a:noFill/>
                          </a:ln>
                        </wps:spPr>
                        <wps:txbx>
                          <w:txbxContent>
                            <w:p>
                              <w:pPr>
                                <w:pStyle w:val="11"/>
                                <w:numPr>
                                  <w:ilvl w:val="0"/>
                                  <w:numId w:val="0"/>
                                </w:numPr>
                                <w:kinsoku w:val="0"/>
                                <w:overflowPunct w:val="0"/>
                                <w:spacing w:before="13"/>
                                <w:rPr>
                                  <w:sz w:val="28"/>
                                  <w:szCs w:val="28"/>
                                </w:rPr>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法定代表人身份证复印件（反面）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">
                <o:lock v:ext="edit" rotation="t" aspectratio="f"/>
                <v:shape id="_x0000_s1026" o:spid="_x0000_s1026" o:spt="100" style="position:absolute;left:4;top:9;height:20;width:8079;" filled="f" stroked="t" coordsize="8079,20" o:gfxdata="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niTF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g+z0TroAAADb&#10;AAAADwAAAGRycy9kb3ducmV2LnhtbEVPzYrCMBC+L/gOYYS9rUkXFK1GD8qC7OLB6gMMzdiWNpOS&#10;RK0+vVlY2Nt8fL+z2gy2EzfyoXGsIZsoEMSlMw1XGs6nr485iBCRDXaOScODAmzWo7cV5sbd+Ui3&#10;IlYihXDIUUMdY59LGcqaLIaJ64kTd3HeYkzQV9J4vKdw28lPpWbSYsOpocaetjWVbXG1Gnbenw6y&#10;vxTP75+dyyrVThdDq/X7OFNLEJGG+C/+c+9Nmj+F31/SAX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7PRO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cz5qOboAAADb&#10;AAAADwAAAGRycy9kb3ducmV2LnhtbEVPzYrCMBC+L/gOYYS9rUkXVrQaPSgLsrIHqw8wNGNb2kxK&#10;ErXu05sFwdt8fL+zXA+2E1fyoXGsIZsoEMSlMw1XGk7H748ZiBCRDXaOScOdAqxXo7cl5sbd+EDX&#10;IlYihXDIUUMdY59LGcqaLIaJ64kTd3beYkzQV9J4vKVw28lPpabSYsOpocaeNjWVbXGxGrbeH39l&#10;fy7+fvZbl1Wq/ZoPrdbv40wtQEQa4kv8dO9Mmj+F/1/SAXL1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zPmo5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eky6sroAAADb&#10;AAAADwAAAGRycy9kb3ducmV2LnhtbEVPS2sCMRC+F/ofwhS81cQFW9kaPUh90J6qHjwOm9nN4may&#10;JFHXf28Khd7m43vOfDm4TlwpxNazhslYgSCuvGm50XA8rF9nIGJCNth5Jg13irBcPD/NsTT+xj90&#10;3adG5BCOJWqwKfWllLGy5DCOfU+cudoHhynD0EgT8JbDXScLpd6kw5Zzg8WeVpaq8/7iNHzXdXEO&#10;qviabrafiMO0bU52pfXoZaI+QCQa0r/4z70zef47/P6SD5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6TLqyugAAANsA&#10;AAAPAAAAAAAAAAEAIAAAACIAAABkcnMvZG93bnJldi54bWxQSwECFAAUAAAACACHTuJAMy8FnjsA&#10;AAA5AAAAEAAAAAAAAAABACAAAAAJAQAAZHJzL3NoYXBleG1sLnhtbFBLBQYAAAAABgAGAFsBAACz&#10;Aw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EhFfyboAAADb&#10;AAAADwAAAGRycy9kb3ducmV2LnhtbEVPS2sCMRC+F/ofwhS8FE0ULOvW6EEUhJ7c6n3YjJulm8k2&#10;SX301xtB8DYf33Pmy4vrxIlCbD1rGI8UCOLam5YbDfvvzbAAEROywc4zabhShOXi9WWOpfFn3tGp&#10;So3IIRxL1GBT6kspY23JYRz5njhzRx8cpgxDI03Acw53nZwo9SEdtpwbLPa0slT/VH9Ow//xfTtd&#10;W1xXdXFQX8Vs9Yuh0nrwNlafIBJd0lP8cG9Nnj+D+y/5ALm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EV/JugAAANsA&#10;AAAPAAAAAAAAAAEAIAAAACIAAABkcnMvZG93bnJldi54bWxQSwECFAAUAAAACACHTuJAMy8FnjsA&#10;AAA5AAAAEAAAAAAAAAABACAAAAAJAQAAZHJzL3NoYXBleG1sLnhtbFBLBQYAAAAABgAGAFsBAACz&#10;Aw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2jQUM7wAAADb&#10;AAAADwAAAGRycy9kb3ducmV2LnhtbEVPTYvCMBC9L/gfwgheFpsqItptlGVF8CCo1YPehma27W4z&#10;KU20+u/NQfD4eN/p8m5qcaPWVZYVjKIYBHFudcWFgtNxPZyBcB5ZY22ZFDzIwXLR+0gx0bbjA90y&#10;X4gQwi5BBaX3TSKly0sy6CLbEAfu17YGfYBtIXWLXQg3tRzH8VQarDg0lNjQT0n5f3Y1CrrNSlYn&#10;v8s/i8P2OJmfv5u/y16pQX8Uf4HwdPdv8cu90QrGYX34En6AXD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0FDO8AAAA&#10;2wAAAA8AAAAAAAAAAQAgAAAAIgAAAGRycy9kb3ducmV2LnhtbFBLAQIUABQAAAAIAIdO4kAzLwWe&#10;OwAAADkAAAAQAAAAAAAAAAEAIAAAAAsBAABkcnMvc2hhcGV4bWwueG1sUEsFBgAAAAAGAAYAWwEA&#10;ALUDA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NM7irbsAAADb&#10;AAAADwAAAGRycy9kb3ducmV2LnhtbEWPzWrDMBCE74G+g9hCb7HsmITgWgnFUMipELe5L9bWMrVW&#10;tqTm5+2jQiHHYWa+Yer91Y7iTD4MjhUUWQ6CuHN64F7B1+f7cgsiRGSNo2NScKMA+93TosZKuwsf&#10;6dzGXiQIhwoVmBinSsrQGbIYMjcRJ+/beYsxSd9L7fGS4HaUqzzfSIsDpwWDEzWGup/21yrwXWj0&#10;XM7m1MwfJ37DyW3KtVIvz0X+CiLSNT7C/+2DVrAq4O9L+gFyd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7irb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xBx82rsAAADb&#10;AAAADwAAAGRycy9kb3ducmV2LnhtbEWPzWrDMBCE74W8g9hAb438Q0Nwo5hgKPRUqFvfF2trmVgr&#10;W1KT9O2rQKDHYWa+Yfb11U7iTD6MjhXkmwwEce/0yIOCr8/Xpx2IEJE1To5JwS8FqA+rhz1W2l34&#10;g85tHESCcKhQgYlxrqQMvSGLYeNm4uR9O28xJukHqT1eEtxOssiyrbQ4clowOFNjqD+1P1aB70Oj&#10;l3IxXbO8d3zE2W3LZ6Ue13n2AiLSNf6H7+03raAo4PYl/QB5+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x82rsAAADb&#10;AAAADwAAAAAAAAABACAAAAAiAAAAZHJzL2Rvd25yZXYueG1sUEsBAhQAFAAAAAgAh07iQDMvBZ47&#10;AAAAOQAAABAAAAAAAAAAAQAgAAAACgEAAGRycy9zaGFwZXhtbC54bWxQSwUGAAAAAAYABgBbAQAA&#10;tAMAAA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q1DZQbkAAADb&#10;AAAADwAAAGRycy9kb3ducmV2LnhtbEWPW4vCMBSE3wX/QziCb5pqUaQaZSkI+yR4ez80x6Zsc9Im&#10;8bL/3iws+DjMzDfMZveyrXiQD41jBbNpBoK4crrhWsHlvJ+sQISIrLF1TAp+KcBuOxxssNDuyUd6&#10;nGItEoRDgQpMjF0hZagMWQxT1xEn7+a8xZikr6X2+Exw28p5li2lxYbTgsGOSkPVz+luFfgqlLrP&#10;e3Mt+8OVv7Bzy3yh1Hg0y9YgIr3iJ/zf/tYK5jn8fUk/QG7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tQ2UG5AAAA2wAA&#10;AA8AAAAAAAAAAQAgAAAAIgAAAGRycy9kb3ducmV2LnhtbFBLAQIUABQAAAAIAIdO4kAzLwWeOwAA&#10;ADkAAAAQAAAAAAAAAAEAIAAAAAgBAABkcnMvc2hhcGV4bWwueG1sUEsFBgAAAAAGAAYAWwEAALID&#10;A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sQfsO70AAADb&#10;AAAADwAAAGRycy9kb3ducmV2LnhtbEWPQWsCMRSE7wX/Q3hCb5rViuhqFBTbehFxFbw+N8/N4uZl&#10;2aSr/feNIPQ4zMw3zHz5sJVoqfGlYwWDfgKCOHe65ELB6fjZm4DwAVlj5ZgU/JKH5aLzNsdUuzsf&#10;qM1CISKEfYoKTAh1KqXPDVn0fVcTR+/qGoshyqaQusF7hNtKDpNkLC2WHBcM1rQ2lN+yH6vg5luz&#10;uoy+vvcfPN1NssumPl83Sr13B8kMRKBH+A+/2lutYDiC55f4A+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B+w7vQAA&#10;ANsAAAAPAAAAAAAAAAEAIAAAACIAAABkcnMvZG93bnJldi54bWxQSwECFAAUAAAACACHTuJAMy8F&#10;njsAAAA5AAAAEAAAAAAAAAABACAAAAAMAQAAZHJzL3NoYXBleG1sLnhtbFBLBQYAAAAABgAGAFsB&#10;AAC2Aw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pStyle w:val="11"/>
                          <w:numPr>
                            <w:ilvl w:val="0"/>
                            <w:numId w:val="0"/>
                          </w:numPr>
                          <w:kinsoku w:val="0"/>
                          <w:overflowPunct w:val="0"/>
                          <w:spacing w:before="13"/>
                          <w:rPr>
                            <w:sz w:val="28"/>
                            <w:szCs w:val="28"/>
                          </w:rPr>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法定代表人身份证复印件（正面）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numPr>
                            <w:ilvl w:val="0"/>
                            <w:numId w:val="0"/>
                          </w:numPr>
                          <w:kinsoku w:val="0"/>
                          <w:overflowPunct w:val="0"/>
                          <w:spacing w:before="13"/>
                          <w:rPr>
                            <w:sz w:val="28"/>
                            <w:szCs w:val="28"/>
                          </w:rPr>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法定代表人身份证复印件（反面）</w:t>
                        </w:r>
                      </w:p>
                    </w:txbxContent>
                  </v:textbox>
                </v:shape>
                <w10:wrap type="none"/>
                <w10:anchorlock/>
              </v:group>
            </w:pict>
          </mc:Fallback>
        </mc:AlternateContent>
      </w:r>
    </w:p>
    <w:p>
      <w:pPr>
        <w:wordWrap w:val="0"/>
        <w:spacing w:line="420" w:lineRule="exact"/>
        <w:ind w:firstLine="486" w:firstLineChars="200"/>
        <w:jc w:val="right"/>
        <w:rPr>
          <w:rFonts w:hint="eastAsia" w:ascii="仿宋" w:hAnsi="仿宋" w:eastAsia="仿宋" w:cs="仿宋"/>
          <w:color w:val="auto"/>
        </w:rPr>
      </w:pPr>
    </w:p>
    <w:p>
      <w:pPr>
        <w:pStyle w:val="11"/>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pPr>
        <w:pStyle w:val="11"/>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投标单位名称：                       （公章）</w:t>
      </w:r>
    </w:p>
    <w:p>
      <w:pPr>
        <w:pStyle w:val="11"/>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r>
        <w:rPr>
          <w:rFonts w:hint="eastAsia" w:ascii="仿宋" w:hAnsi="仿宋" w:eastAsia="仿宋" w:cs="仿宋"/>
          <w:color w:val="auto"/>
          <w:sz w:val="24"/>
          <w:szCs w:val="24"/>
          <w:lang w:val="en-US" w:eastAsia="zh-CN" w:bidi="en-US"/>
        </w:rPr>
        <w:t xml:space="preserve">法定代表人（签字或盖章）：           </w:t>
      </w:r>
      <w:r>
        <w:rPr>
          <w:rFonts w:hint="eastAsia" w:ascii="仿宋" w:hAnsi="仿宋" w:eastAsia="仿宋" w:cs="仿宋"/>
          <w:color w:val="auto"/>
          <w:lang w:eastAsia="zh-CN"/>
        </w:rPr>
        <w:t xml:space="preserve">      </w:t>
      </w:r>
    </w:p>
    <w:p>
      <w:pPr>
        <w:pStyle w:val="11"/>
        <w:numPr>
          <w:ilvl w:val="0"/>
          <w:numId w:val="0"/>
        </w:numPr>
        <w:kinsoku w:val="0"/>
        <w:overflowPunct w:val="0"/>
        <w:spacing w:before="34" w:line="357" w:lineRule="auto"/>
        <w:ind w:right="126"/>
        <w:jc w:val="both"/>
        <w:rPr>
          <w:rFonts w:hint="eastAsia" w:ascii="仿宋" w:hAnsi="仿宋" w:eastAsia="仿宋" w:cs="仿宋"/>
          <w:color w:val="auto"/>
          <w:lang w:val="en-US" w:eastAsia="zh-CN"/>
        </w:rPr>
      </w:pPr>
    </w:p>
    <w:p>
      <w:pPr>
        <w:pStyle w:val="11"/>
        <w:numPr>
          <w:ilvl w:val="0"/>
          <w:numId w:val="0"/>
        </w:numPr>
        <w:kinsoku w:val="0"/>
        <w:overflowPunct w:val="0"/>
        <w:spacing w:before="34" w:line="357" w:lineRule="auto"/>
        <w:ind w:right="126"/>
        <w:jc w:val="both"/>
        <w:rPr>
          <w:rFonts w:hint="eastAsia" w:ascii="仿宋" w:hAnsi="仿宋" w:eastAsia="仿宋" w:cs="仿宋"/>
          <w:color w:val="auto"/>
          <w:sz w:val="24"/>
          <w:szCs w:val="24"/>
          <w:lang w:val="en-US" w:eastAsia="zh-CN" w:bidi="en-US"/>
        </w:rPr>
      </w:pPr>
      <w:r>
        <w:rPr>
          <w:rFonts w:hint="eastAsia" w:ascii="仿宋" w:hAnsi="仿宋" w:eastAsia="仿宋" w:cs="仿宋"/>
          <w:color w:val="auto"/>
          <w:sz w:val="24"/>
          <w:szCs w:val="24"/>
          <w:lang w:val="en-US" w:eastAsia="zh-CN" w:bidi="en-US"/>
        </w:rPr>
        <w:t xml:space="preserve">    日  期：   年  月  日</w:t>
      </w:r>
    </w:p>
    <w:p>
      <w:pPr>
        <w:pStyle w:val="11"/>
        <w:numPr>
          <w:ilvl w:val="0"/>
          <w:numId w:val="0"/>
        </w:numPr>
        <w:kinsoku w:val="0"/>
        <w:overflowPunct w:val="0"/>
        <w:spacing w:before="34" w:line="357" w:lineRule="auto"/>
        <w:ind w:left="480" w:right="126"/>
        <w:jc w:val="center"/>
        <w:rPr>
          <w:rFonts w:hint="eastAsia" w:ascii="仿宋" w:hAnsi="仿宋" w:eastAsia="仿宋" w:cs="仿宋"/>
          <w:b/>
          <w:bCs/>
          <w:color w:val="auto"/>
          <w:szCs w:val="21"/>
          <w:lang w:eastAsia="zh-CN"/>
        </w:rPr>
      </w:pPr>
      <w:r>
        <w:rPr>
          <w:rFonts w:hint="eastAsia" w:ascii="仿宋" w:hAnsi="仿宋" w:eastAsia="仿宋" w:cs="仿宋"/>
          <w:color w:val="auto"/>
          <w:lang w:eastAsia="zh-CN"/>
        </w:rPr>
        <w:br w:type="page"/>
      </w:r>
      <w:r>
        <w:rPr>
          <w:rFonts w:hint="eastAsia" w:ascii="仿宋" w:hAnsi="仿宋" w:eastAsia="仿宋" w:cs="仿宋"/>
          <w:b/>
          <w:bCs/>
          <w:color w:val="auto"/>
          <w:sz w:val="36"/>
          <w:szCs w:val="36"/>
          <w:lang w:eastAsia="zh-CN"/>
        </w:rPr>
        <w:t>3、授权委托书</w:t>
      </w:r>
    </w:p>
    <w:p>
      <w:pPr>
        <w:spacing w:line="420" w:lineRule="exact"/>
        <w:rPr>
          <w:rFonts w:hint="eastAsia" w:ascii="仿宋" w:hAnsi="仿宋" w:eastAsia="仿宋" w:cs="仿宋"/>
          <w:color w:val="auto"/>
          <w:lang w:eastAsia="zh-CN"/>
        </w:rPr>
      </w:pPr>
      <w:r>
        <w:rPr>
          <w:rFonts w:hint="eastAsia" w:ascii="仿宋" w:hAnsi="仿宋" w:eastAsia="仿宋" w:cs="仿宋"/>
          <w:color w:val="auto"/>
          <w:lang w:eastAsia="zh-CN"/>
        </w:rPr>
        <w:t xml:space="preserve">致：采购人名称 </w:t>
      </w:r>
    </w:p>
    <w:p>
      <w:pPr>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本授权书声明：注册于</w:t>
      </w:r>
      <w:r>
        <w:rPr>
          <w:rFonts w:hint="eastAsia" w:ascii="仿宋" w:hAnsi="仿宋" w:eastAsia="仿宋" w:cs="仿宋"/>
          <w:color w:val="auto"/>
          <w:u w:val="single"/>
          <w:lang w:eastAsia="zh-CN"/>
        </w:rPr>
        <w:t>（投标人地址）</w:t>
      </w:r>
      <w:r>
        <w:rPr>
          <w:rFonts w:hint="eastAsia" w:ascii="仿宋" w:hAnsi="仿宋" w:eastAsia="仿宋" w:cs="仿宋"/>
          <w:color w:val="auto"/>
          <w:lang w:eastAsia="zh-CN"/>
        </w:rPr>
        <w:t>的</w:t>
      </w:r>
      <w:r>
        <w:rPr>
          <w:rFonts w:hint="eastAsia" w:ascii="仿宋" w:hAnsi="仿宋" w:eastAsia="仿宋" w:cs="仿宋"/>
          <w:color w:val="auto"/>
          <w:u w:val="single"/>
          <w:lang w:eastAsia="zh-CN"/>
        </w:rPr>
        <w:t>（投标人名称）</w:t>
      </w:r>
      <w:r>
        <w:rPr>
          <w:rFonts w:hint="eastAsia" w:ascii="仿宋" w:hAnsi="仿宋" w:eastAsia="仿宋" w:cs="仿宋"/>
          <w:color w:val="auto"/>
          <w:lang w:eastAsia="zh-CN"/>
        </w:rPr>
        <w:t>法定代表人（负责人）</w:t>
      </w:r>
      <w:r>
        <w:rPr>
          <w:rFonts w:hint="eastAsia" w:ascii="仿宋" w:hAnsi="仿宋" w:eastAsia="仿宋" w:cs="仿宋"/>
          <w:color w:val="auto"/>
          <w:u w:val="single"/>
          <w:lang w:eastAsia="zh-CN"/>
        </w:rPr>
        <w:t>姓名、职务或职称）</w:t>
      </w:r>
      <w:r>
        <w:rPr>
          <w:rFonts w:hint="eastAsia" w:ascii="仿宋" w:hAnsi="仿宋" w:eastAsia="仿宋" w:cs="仿宋"/>
          <w:color w:val="auto"/>
          <w:lang w:eastAsia="zh-CN"/>
        </w:rPr>
        <w:t>代表本公司授权</w:t>
      </w:r>
      <w:r>
        <w:rPr>
          <w:rFonts w:hint="eastAsia" w:ascii="仿宋" w:hAnsi="仿宋" w:eastAsia="仿宋" w:cs="仿宋"/>
          <w:color w:val="auto"/>
          <w:u w:val="single"/>
          <w:lang w:eastAsia="zh-CN"/>
        </w:rPr>
        <w:t>（姓名）</w:t>
      </w:r>
      <w:r>
        <w:rPr>
          <w:rFonts w:hint="eastAsia" w:ascii="仿宋" w:hAnsi="仿宋" w:eastAsia="仿宋" w:cs="仿宋"/>
          <w:color w:val="auto"/>
          <w:lang w:eastAsia="zh-CN"/>
        </w:rPr>
        <w:t>为本单位的合法代理人，参与贵方组织的</w:t>
      </w:r>
      <w:r>
        <w:rPr>
          <w:rFonts w:hint="eastAsia" w:ascii="仿宋" w:hAnsi="仿宋" w:eastAsia="仿宋" w:cs="仿宋"/>
          <w:color w:val="auto"/>
          <w:u w:val="single"/>
          <w:lang w:eastAsia="zh-CN"/>
        </w:rPr>
        <w:t>（项目名称及项目编号）</w:t>
      </w:r>
      <w:r>
        <w:rPr>
          <w:rFonts w:hint="eastAsia" w:ascii="仿宋" w:hAnsi="仿宋" w:eastAsia="仿宋" w:cs="仿宋"/>
          <w:color w:val="auto"/>
          <w:lang w:eastAsia="zh-CN"/>
        </w:rPr>
        <w:t xml:space="preserve"> 的投标、谈判、签约等具体工作，并签署全部有关文件、协议及合同。</w:t>
      </w:r>
    </w:p>
    <w:p>
      <w:pPr>
        <w:adjustRightInd w:val="0"/>
        <w:snapToGrid w:val="0"/>
        <w:spacing w:line="42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我单位对被授权人的上述经济活动负全部责任。在撤销授权的书面通知前，本授权书一直有效。被授权人在授权书有效期内签署的所有文件不因授权的撤消而失效。</w:t>
      </w:r>
    </w:p>
    <w:p>
      <w:pPr>
        <w:pStyle w:val="11"/>
        <w:tabs>
          <w:tab w:val="left" w:pos="780"/>
        </w:tabs>
        <w:kinsoku w:val="0"/>
        <w:overflowPunct w:val="0"/>
        <w:adjustRightInd w:val="0"/>
        <w:snapToGrid w:val="0"/>
        <w:spacing w:before="12"/>
        <w:rPr>
          <w:rFonts w:hint="eastAsia" w:ascii="仿宋" w:hAnsi="仿宋" w:eastAsia="仿宋" w:cs="仿宋"/>
          <w:color w:val="auto"/>
          <w:sz w:val="4"/>
          <w:szCs w:val="4"/>
          <w:lang w:eastAsia="zh-CN"/>
        </w:rPr>
      </w:pPr>
    </w:p>
    <w:p>
      <w:pPr>
        <w:pStyle w:val="11"/>
        <w:numPr>
          <w:ilvl w:val="0"/>
          <w:numId w:val="0"/>
        </w:numPr>
        <w:kinsoku w:val="0"/>
        <w:overflowPunct w:val="0"/>
        <w:adjustRightInd w:val="0"/>
        <w:snapToGrid w:val="0"/>
        <w:spacing w:line="200" w:lineRule="atLeast"/>
        <w:ind w:right="1931" w:rightChars="795"/>
        <w:jc w:val="center"/>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458595"/>
                <wp:effectExtent l="0" t="0" r="8255" b="9525"/>
                <wp:docPr id="35" name="组合 35"/>
                <wp:cNvGraphicFramePr/>
                <a:graphic xmlns:a="http://schemas.openxmlformats.org/drawingml/2006/main">
                  <a:graphicData uri="http://schemas.microsoft.com/office/word/2010/wordprocessingGroup">
                    <wpg:wgp>
                      <wpg:cNvGrpSpPr>
                        <a:grpSpLocks noRot="1"/>
                      </wpg:cNvGrpSpPr>
                      <wpg:grpSpPr>
                        <a:xfrm>
                          <a:off x="0" y="0"/>
                          <a:ext cx="5136515" cy="1458595"/>
                          <a:chOff x="0" y="0"/>
                          <a:chExt cx="8089" cy="2297"/>
                        </a:xfrm>
                      </wpg:grpSpPr>
                      <wps:wsp>
                        <wps:cNvPr id="28" name="任意多边形 1"/>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2" name="任意多边形 2"/>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 name="任意多边形 3"/>
                        <wps:cNvSpPr/>
                        <wps:spPr>
                          <a:xfrm>
                            <a:off x="24" y="2267"/>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 name="任意多边形 4"/>
                        <wps:cNvSpPr/>
                        <wps:spPr>
                          <a:xfrm>
                            <a:off x="4" y="2286"/>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5" name="任意多边形 5"/>
                        <wps:cNvSpPr/>
                        <wps:spPr>
                          <a:xfrm>
                            <a:off x="9" y="4"/>
                            <a:ext cx="20" cy="2287"/>
                          </a:xfrm>
                          <a:custGeom>
                            <a:avLst/>
                            <a:gdLst/>
                            <a:ahLst/>
                            <a:cxnLst/>
                            <a:rect l="0" t="0" r="0" b="0"/>
                            <a:pathLst>
                              <a:path w="20" h="2287">
                                <a:moveTo>
                                  <a:pt x="0" y="0"/>
                                </a:moveTo>
                                <a:lnTo>
                                  <a:pt x="0" y="2286"/>
                                </a:lnTo>
                              </a:path>
                            </a:pathLst>
                          </a:custGeom>
                          <a:noFill/>
                          <a:ln w="6096" cap="flat" cmpd="sng">
                            <a:solidFill>
                              <a:srgbClr val="000000"/>
                            </a:solidFill>
                            <a:prstDash val="solid"/>
                            <a:headEnd type="none" w="med" len="med"/>
                            <a:tailEnd type="none" w="med" len="med"/>
                          </a:ln>
                        </wps:spPr>
                        <wps:bodyPr upright="1"/>
                      </wps:wsp>
                      <wps:wsp>
                        <wps:cNvPr id="6" name="任意多边形 6"/>
                        <wps:cNvSpPr/>
                        <wps:spPr>
                          <a:xfrm>
                            <a:off x="28" y="24"/>
                            <a:ext cx="20" cy="2249"/>
                          </a:xfrm>
                          <a:custGeom>
                            <a:avLst/>
                            <a:gdLst/>
                            <a:ahLst/>
                            <a:cxnLst/>
                            <a:rect l="0" t="0" r="0" b="0"/>
                            <a:pathLst>
                              <a:path w="20" h="2249">
                                <a:moveTo>
                                  <a:pt x="0" y="0"/>
                                </a:moveTo>
                                <a:lnTo>
                                  <a:pt x="0" y="2248"/>
                                </a:lnTo>
                              </a:path>
                            </a:pathLst>
                          </a:custGeom>
                          <a:noFill/>
                          <a:ln w="6096" cap="flat" cmpd="sng">
                            <a:solidFill>
                              <a:srgbClr val="000000"/>
                            </a:solidFill>
                            <a:prstDash val="solid"/>
                            <a:headEnd type="none" w="med" len="med"/>
                            <a:tailEnd type="none" w="med" len="med"/>
                          </a:ln>
                        </wps:spPr>
                        <wps:bodyPr upright="1"/>
                      </wps:wsp>
                      <wps:wsp>
                        <wps:cNvPr id="7" name="任意多边形 7"/>
                        <wps:cNvSpPr/>
                        <wps:spPr>
                          <a:xfrm>
                            <a:off x="4034"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8" name="任意多边形 8"/>
                        <wps:cNvSpPr/>
                        <wps:spPr>
                          <a:xfrm>
                            <a:off x="4053" y="24"/>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9" name="任意多边形 9"/>
                        <wps:cNvSpPr/>
                        <wps:spPr>
                          <a:xfrm>
                            <a:off x="8059" y="33"/>
                            <a:ext cx="20" cy="2239"/>
                          </a:xfrm>
                          <a:custGeom>
                            <a:avLst/>
                            <a:gdLst/>
                            <a:ahLst/>
                            <a:cxnLst/>
                            <a:rect l="0" t="0" r="0" b="0"/>
                            <a:pathLst>
                              <a:path w="20" h="2239">
                                <a:moveTo>
                                  <a:pt x="0" y="0"/>
                                </a:moveTo>
                                <a:lnTo>
                                  <a:pt x="0" y="2238"/>
                                </a:lnTo>
                              </a:path>
                            </a:pathLst>
                          </a:custGeom>
                          <a:noFill/>
                          <a:ln w="6096" cap="flat" cmpd="sng">
                            <a:solidFill>
                              <a:srgbClr val="000000"/>
                            </a:solidFill>
                            <a:prstDash val="solid"/>
                            <a:headEnd type="none" w="med" len="med"/>
                            <a:tailEnd type="none" w="med" len="med"/>
                          </a:ln>
                        </wps:spPr>
                        <wps:bodyPr upright="1"/>
                      </wps:wsp>
                      <wps:wsp>
                        <wps:cNvPr id="10" name="任意多边形 10"/>
                        <wps:cNvSpPr/>
                        <wps:spPr>
                          <a:xfrm>
                            <a:off x="8078" y="14"/>
                            <a:ext cx="20" cy="2278"/>
                          </a:xfrm>
                          <a:custGeom>
                            <a:avLst/>
                            <a:gdLst/>
                            <a:ahLst/>
                            <a:cxnLst/>
                            <a:rect l="0" t="0" r="0" b="0"/>
                            <a:pathLst>
                              <a:path w="20" h="2278">
                                <a:moveTo>
                                  <a:pt x="0" y="0"/>
                                </a:moveTo>
                                <a:lnTo>
                                  <a:pt x="0" y="2277"/>
                                </a:lnTo>
                              </a:path>
                            </a:pathLst>
                          </a:custGeom>
                          <a:noFill/>
                          <a:ln w="6096" cap="flat" cmpd="sng">
                            <a:solidFill>
                              <a:srgbClr val="000000"/>
                            </a:solidFill>
                            <a:prstDash val="solid"/>
                            <a:headEnd type="none" w="med" len="med"/>
                            <a:tailEnd type="none" w="med" len="med"/>
                          </a:ln>
                        </wps:spPr>
                        <wps:bodyPr upright="1"/>
                      </wps:wsp>
                      <wps:wsp>
                        <wps:cNvPr id="11" name="文本框 11"/>
                        <wps:cNvSpPr txBox="1"/>
                        <wps:spPr>
                          <a:xfrm>
                            <a:off x="19" y="19"/>
                            <a:ext cx="4025" cy="2258"/>
                          </a:xfrm>
                          <a:prstGeom prst="rect">
                            <a:avLst/>
                          </a:prstGeom>
                          <a:noFill/>
                          <a:ln>
                            <a:noFill/>
                          </a:ln>
                        </wps:spPr>
                        <wps:txbx>
                          <w:txbxContent>
                            <w:p>
                              <w:pPr>
                                <w:pStyle w:val="11"/>
                                <w:numPr>
                                  <w:ilvl w:val="0"/>
                                  <w:numId w:val="0"/>
                                </w:numPr>
                                <w:kinsoku w:val="0"/>
                                <w:overflowPunct w:val="0"/>
                                <w:spacing w:before="12"/>
                                <w:rPr>
                                  <w:sz w:val="28"/>
                                  <w:szCs w:val="28"/>
                                </w:rPr>
                              </w:pPr>
                            </w:p>
                            <w:p>
                              <w:pPr>
                                <w:pStyle w:val="11"/>
                                <w:numPr>
                                  <w:ilvl w:val="0"/>
                                  <w:numId w:val="0"/>
                                </w:numPr>
                                <w:kinsoku w:val="0"/>
                                <w:overflowPunct w:val="0"/>
                                <w:jc w:val="center"/>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授权人身份证复印件（正面）</w:t>
                              </w:r>
                            </w:p>
                          </w:txbxContent>
                        </wps:txbx>
                        <wps:bodyPr lIns="0" tIns="0" rIns="0" bIns="0" upright="1"/>
                      </wps:wsp>
                      <wps:wsp>
                        <wps:cNvPr id="12" name="文本框 12"/>
                        <wps:cNvSpPr txBox="1"/>
                        <wps:spPr>
                          <a:xfrm>
                            <a:off x="4044" y="19"/>
                            <a:ext cx="4025" cy="2258"/>
                          </a:xfrm>
                          <a:prstGeom prst="rect">
                            <a:avLst/>
                          </a:prstGeom>
                          <a:noFill/>
                          <a:ln>
                            <a:noFill/>
                          </a:ln>
                        </wps:spPr>
                        <wps:txbx>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授权人身份证复印件（反面）</w:t>
                              </w:r>
                            </w:p>
                          </w:txbxContent>
                        </wps:txbx>
                        <wps:bodyPr lIns="0" tIns="0" rIns="0" bIns="0" upright="1"/>
                      </wps:wsp>
                    </wpg:wgp>
                  </a:graphicData>
                </a:graphic>
              </wp:inline>
            </w:drawing>
          </mc:Choice>
          <mc:Fallback>
            <w:pict>
              <v:group id="_x0000_s1026" o:spid="_x0000_s1026" o:spt="203" style="height:114.85pt;width:404.45pt;" coordsize="8089,2297" o:gfxdata="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">
                <o:lock v:ext="edit" rotation="t" aspectratio="f"/>
                <v:shape id="任意多边形 1" o:spid="_x0000_s1026" o:spt="100" style="position:absolute;left:4;top:9;height:20;width:8079;" filled="f" stroked="t" coordsize="8079,20" o:gfxdata="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W/5H2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_x0000_s1026" o:spid="_x0000_s1026" o:spt="100" style="position:absolute;left:24;top:28;height:20;width:8041;" filled="f" stroked="t" coordsize="8041,20" o:gfxdata="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vKxbsAAADa&#10;AAAADwAAAAAAAAABACAAAAAiAAAAZHJzL2Rvd25yZXYueG1sUEsBAhQAFAAAAAgAh07iQDMvBZ47&#10;AAAAOQAAABAAAAAAAAAAAQAgAAAACgEAAGRycy9zaGFwZXhtbC54bWxQSwUGAAAAAAYABgBbAQAA&#10;tAMAAAAA&#10;" path="m0,0l8040,0e">
                  <v:fill on="f" focussize="0,0"/>
                  <v:stroke weight="0.48pt" color="#000000" joinstyle="round"/>
                  <v:imagedata o:title=""/>
                  <o:lock v:ext="edit" aspectratio="f"/>
                </v:shape>
                <v:shape id="_x0000_s1026" o:spid="_x0000_s1026" o:spt="100" style="position:absolute;left:24;top:2267;height:20;width:8041;" filled="f" stroked="t" coordsize="8041,20" o:gfxdata="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Xb168AAAA&#10;2gAAAA8AAAAAAAAAAQAgAAAAIgAAAGRycy9kb3ducmV2LnhtbFBLAQIUABQAAAAIAIdO4kAzLwWe&#10;OwAAADkAAAAQAAAAAAAAAAEAIAAAAAsBAABkcnMvc2hhcGV4bWwueG1sUEsFBgAAAAAGAAYAWwEA&#10;ALUDAAAAAA==&#10;" path="m0,0l8040,0e">
                  <v:fill on="f" focussize="0,0"/>
                  <v:stroke weight="0.48pt" color="#000000" joinstyle="round"/>
                  <v:imagedata o:title=""/>
                  <o:lock v:ext="edit" aspectratio="f"/>
                </v:shape>
                <v:shape id="_x0000_s1026" o:spid="_x0000_s1026" o:spt="100" style="position:absolute;left:4;top:2286;height:20;width:8079;" filled="f" stroked="t" coordsize="8079,20" o:gfxdata="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Cs4W8AAAA&#10;2gAAAA8AAAAAAAAAAQAgAAAAIgAAAGRycy9kb3ducmV2LnhtbFBLAQIUABQAAAAIAIdO4kAzLwWe&#10;OwAAADkAAAAQAAAAAAAAAAEAIAAAAAsBAABkcnMvc2hhcGV4bWwueG1sUEsFBgAAAAAGAAYAWwEA&#10;ALUDAAAAAA==&#10;" path="m0,0l8078,0e">
                  <v:fill on="f" focussize="0,0"/>
                  <v:stroke weight="0.48pt" color="#000000" joinstyle="round"/>
                  <v:imagedata o:title=""/>
                  <o:lock v:ext="edit" aspectratio="f"/>
                </v:shape>
                <v:shape id="_x0000_s1026" o:spid="_x0000_s1026" o:spt="100" style="position:absolute;left:9;top:4;height:2287;width:20;" filled="f" stroked="t" coordsize="20,2287" o:gfxdata="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WGLsAAADa&#10;AAAADwAAAAAAAAABACAAAAAiAAAAZHJzL2Rvd25yZXYueG1sUEsBAhQAFAAAAAgAh07iQDMvBZ47&#10;AAAAOQAAABAAAAAAAAAAAQAgAAAACgEAAGRycy9zaGFwZXhtbC54bWxQSwUGAAAAAAYABgBbAQAA&#10;tAMAAAAA&#10;" path="m0,0l0,2286e">
                  <v:fill on="f" focussize="0,0"/>
                  <v:stroke weight="0.48pt" color="#000000" joinstyle="round"/>
                  <v:imagedata o:title=""/>
                  <o:lock v:ext="edit" aspectratio="f"/>
                </v:shape>
                <v:shape id="_x0000_s1026" o:spid="_x0000_s1026" o:spt="100" style="position:absolute;left:28;top:24;height:2249;width:20;" filled="f" stroked="t" coordsize="20,2249" o:gfxdata="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HZDJ74A&#10;AADaAAAADwAAAAAAAAABACAAAAAiAAAAZHJzL2Rvd25yZXYueG1sUEsBAhQAFAAAAAgAh07iQDMv&#10;BZ47AAAAOQAAABAAAAAAAAAAAQAgAAAADQEAAGRycy9zaGFwZXhtbC54bWxQSwUGAAAAAAYABgBb&#10;AQAAtwMAAAAA&#10;" path="m0,0l0,2248e">
                  <v:fill on="f" focussize="0,0"/>
                  <v:stroke weight="0.48pt" color="#000000" joinstyle="round"/>
                  <v:imagedata o:title=""/>
                  <o:lock v:ext="edit" aspectratio="f"/>
                </v:shape>
                <v:shape id="_x0000_s1026" o:spid="_x0000_s1026" o:spt="100" style="position:absolute;left:4034;top:24;height:2239;width:20;" filled="f" stroked="t" coordsize="20,2239" o:gfxdata="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qAfv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4053;top:24;height:2239;width:20;" filled="f" stroked="t" coordsize="20,2239" o:gfxdata="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03k522AAAA2gAAAA8A&#10;AAAAAAAAAQAgAAAAIgAAAGRycy9kb3ducmV2LnhtbFBLAQIUABQAAAAIAIdO4kAzLwWeOwAAADkA&#10;AAAQAAAAAAAAAAEAIAAAAAUBAABkcnMvc2hhcGV4bWwueG1sUEsFBgAAAAAGAAYAWwEAAK8DAAAA&#10;AA==&#10;" path="m0,0l0,2238e">
                  <v:fill on="f" focussize="0,0"/>
                  <v:stroke weight="0.48pt" color="#000000" joinstyle="round"/>
                  <v:imagedata o:title=""/>
                  <o:lock v:ext="edit" aspectratio="f"/>
                </v:shape>
                <v:shape id="_x0000_s1026" o:spid="_x0000_s1026" o:spt="100" style="position:absolute;left:8059;top:33;height:2239;width:20;" filled="f" stroked="t" coordsize="20,2239" o:gfxdata="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ezYGugAAANoA&#10;AAAPAAAAAAAAAAEAIAAAACIAAABkcnMvZG93bnJldi54bWxQSwECFAAUAAAACACHTuJAMy8FnjsA&#10;AAA5AAAAEAAAAAAAAAABACAAAAAJAQAAZHJzL3NoYXBleG1sLnhtbFBLBQYAAAAABgAGAFsBAACz&#10;AwAAAAA=&#10;" path="m0,0l0,2238e">
                  <v:fill on="f" focussize="0,0"/>
                  <v:stroke weight="0.48pt" color="#000000" joinstyle="round"/>
                  <v:imagedata o:title=""/>
                  <o:lock v:ext="edit" aspectratio="f"/>
                </v:shape>
                <v:shape id="_x0000_s1026" o:spid="_x0000_s1026" o:spt="100" style="position:absolute;left:8078;top:14;height:2278;width:20;" filled="f" stroked="t" coordsize="20,2278" o:gfxdata="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FAghb4A&#10;AADbAAAADwAAAAAAAAABACAAAAAiAAAAZHJzL2Rvd25yZXYueG1sUEsBAhQAFAAAAAgAh07iQDMv&#10;BZ47AAAAOQAAABAAAAAAAAAAAQAgAAAADQEAAGRycy9zaGFwZXhtbC54bWxQSwUGAAAAAAYABgBb&#10;AQAAtwMAAAAA&#10;" path="m0,0l0,2277e">
                  <v:fill on="f" focussize="0,0"/>
                  <v:stroke weight="0.48pt" color="#000000" joinstyle="round"/>
                  <v:imagedata o:title=""/>
                  <o:lock v:ext="edit" aspectratio="f"/>
                </v:shape>
                <v:shape id="_x0000_s1026" o:spid="_x0000_s1026" o:spt="202" type="#_x0000_t202" style="position:absolute;left:19;top:19;height:2258;width:4025;" filled="f" stroked="f" coordsize="21600,21600" o:gfxdata="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UZUI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pStyle w:val="11"/>
                          <w:numPr>
                            <w:ilvl w:val="0"/>
                            <w:numId w:val="0"/>
                          </w:numPr>
                          <w:kinsoku w:val="0"/>
                          <w:overflowPunct w:val="0"/>
                          <w:spacing w:before="12"/>
                          <w:rPr>
                            <w:sz w:val="28"/>
                            <w:szCs w:val="28"/>
                          </w:rPr>
                        </w:pPr>
                      </w:p>
                      <w:p>
                        <w:pPr>
                          <w:pStyle w:val="11"/>
                          <w:numPr>
                            <w:ilvl w:val="0"/>
                            <w:numId w:val="0"/>
                          </w:numPr>
                          <w:kinsoku w:val="0"/>
                          <w:overflowPunct w:val="0"/>
                          <w:jc w:val="center"/>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授权人身份证复印件（正面）</w:t>
                        </w:r>
                      </w:p>
                    </w:txbxContent>
                  </v:textbox>
                </v:shape>
                <v:shape id="_x0000_s1026" o:spid="_x0000_s1026" o:spt="202" type="#_x0000_t202" style="position:absolute;left:4044;top:19;height:2258;width:4025;"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授权人身份证复印件（反面）</w:t>
                        </w:r>
                      </w:p>
                    </w:txbxContent>
                  </v:textbox>
                </v:shape>
                <w10:wrap type="none"/>
                <w10:anchorlock/>
              </v:group>
            </w:pict>
          </mc:Fallback>
        </mc:AlternateContent>
      </w:r>
    </w:p>
    <w:p>
      <w:pPr>
        <w:pStyle w:val="11"/>
        <w:numPr>
          <w:ilvl w:val="0"/>
          <w:numId w:val="0"/>
        </w:numPr>
        <w:kinsoku w:val="0"/>
        <w:overflowPunct w:val="0"/>
        <w:adjustRightInd w:val="0"/>
        <w:snapToGrid w:val="0"/>
        <w:spacing w:line="200" w:lineRule="atLeast"/>
        <w:rPr>
          <w:rFonts w:hint="eastAsia" w:ascii="仿宋" w:hAnsi="仿宋" w:eastAsia="仿宋" w:cs="仿宋"/>
          <w:color w:val="auto"/>
          <w:sz w:val="18"/>
          <w:szCs w:val="20"/>
        </w:rPr>
      </w:pPr>
      <w:r>
        <w:rPr>
          <w:rFonts w:hint="eastAsia" w:ascii="仿宋" w:hAnsi="仿宋" w:eastAsia="仿宋" w:cs="仿宋"/>
          <w:color w:val="auto"/>
          <w:sz w:val="18"/>
          <w:szCs w:val="20"/>
          <w:lang w:eastAsia="zh-CN" w:bidi="ar-SA"/>
        </w:rPr>
        <mc:AlternateContent>
          <mc:Choice Requires="wpg">
            <w:drawing>
              <wp:inline distT="0" distB="0" distL="114300" distR="114300">
                <wp:extent cx="5136515" cy="1384935"/>
                <wp:effectExtent l="0" t="0" r="7620" b="6985"/>
                <wp:docPr id="36" name="组合 36"/>
                <wp:cNvGraphicFramePr/>
                <a:graphic xmlns:a="http://schemas.openxmlformats.org/drawingml/2006/main">
                  <a:graphicData uri="http://schemas.microsoft.com/office/word/2010/wordprocessingGroup">
                    <wpg:wgp>
                      <wpg:cNvGrpSpPr>
                        <a:grpSpLocks noRot="1"/>
                      </wpg:cNvGrpSpPr>
                      <wpg:grpSpPr>
                        <a:xfrm>
                          <a:off x="0" y="0"/>
                          <a:ext cx="5136515" cy="1384935"/>
                          <a:chOff x="0" y="0"/>
                          <a:chExt cx="8089" cy="2181"/>
                        </a:xfrm>
                      </wpg:grpSpPr>
                      <wps:wsp>
                        <wps:cNvPr id="37" name="任意多边形 34"/>
                        <wps:cNvSpPr/>
                        <wps:spPr>
                          <a:xfrm>
                            <a:off x="4" y="9"/>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38" name="任意多边形 35"/>
                        <wps:cNvSpPr/>
                        <wps:spPr>
                          <a:xfrm>
                            <a:off x="24" y="28"/>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39" name="任意多边形 36"/>
                        <wps:cNvSpPr/>
                        <wps:spPr>
                          <a:xfrm>
                            <a:off x="24" y="2151"/>
                            <a:ext cx="8041" cy="20"/>
                          </a:xfrm>
                          <a:custGeom>
                            <a:avLst/>
                            <a:gdLst/>
                            <a:ahLst/>
                            <a:cxnLst/>
                            <a:rect l="0" t="0" r="0" b="0"/>
                            <a:pathLst>
                              <a:path w="8041" h="20">
                                <a:moveTo>
                                  <a:pt x="0" y="0"/>
                                </a:moveTo>
                                <a:lnTo>
                                  <a:pt x="8040" y="0"/>
                                </a:lnTo>
                              </a:path>
                            </a:pathLst>
                          </a:custGeom>
                          <a:noFill/>
                          <a:ln w="6096" cap="flat" cmpd="sng">
                            <a:solidFill>
                              <a:srgbClr val="000000"/>
                            </a:solidFill>
                            <a:prstDash val="solid"/>
                            <a:headEnd type="none" w="med" len="med"/>
                            <a:tailEnd type="none" w="med" len="med"/>
                          </a:ln>
                        </wps:spPr>
                        <wps:bodyPr upright="1"/>
                      </wps:wsp>
                      <wps:wsp>
                        <wps:cNvPr id="40" name="任意多边形 37"/>
                        <wps:cNvSpPr/>
                        <wps:spPr>
                          <a:xfrm>
                            <a:off x="4" y="2170"/>
                            <a:ext cx="8079" cy="20"/>
                          </a:xfrm>
                          <a:custGeom>
                            <a:avLst/>
                            <a:gdLst/>
                            <a:ahLst/>
                            <a:cxnLst/>
                            <a:rect l="0" t="0" r="0" b="0"/>
                            <a:pathLst>
                              <a:path w="8079" h="20">
                                <a:moveTo>
                                  <a:pt x="0" y="0"/>
                                </a:moveTo>
                                <a:lnTo>
                                  <a:pt x="8078" y="0"/>
                                </a:lnTo>
                              </a:path>
                            </a:pathLst>
                          </a:custGeom>
                          <a:noFill/>
                          <a:ln w="6096" cap="flat" cmpd="sng">
                            <a:solidFill>
                              <a:srgbClr val="000000"/>
                            </a:solidFill>
                            <a:prstDash val="solid"/>
                            <a:headEnd type="none" w="med" len="med"/>
                            <a:tailEnd type="none" w="med" len="med"/>
                          </a:ln>
                        </wps:spPr>
                        <wps:bodyPr upright="1"/>
                      </wps:wsp>
                      <wps:wsp>
                        <wps:cNvPr id="41" name="任意多边形 38"/>
                        <wps:cNvSpPr/>
                        <wps:spPr>
                          <a:xfrm>
                            <a:off x="9" y="4"/>
                            <a:ext cx="20" cy="2171"/>
                          </a:xfrm>
                          <a:custGeom>
                            <a:avLst/>
                            <a:gdLst/>
                            <a:ahLst/>
                            <a:cxnLst/>
                            <a:rect l="0" t="0" r="0" b="0"/>
                            <a:pathLst>
                              <a:path w="20" h="2171">
                                <a:moveTo>
                                  <a:pt x="0" y="0"/>
                                </a:moveTo>
                                <a:lnTo>
                                  <a:pt x="0" y="2170"/>
                                </a:lnTo>
                              </a:path>
                            </a:pathLst>
                          </a:custGeom>
                          <a:noFill/>
                          <a:ln w="6096" cap="flat" cmpd="sng">
                            <a:solidFill>
                              <a:srgbClr val="000000"/>
                            </a:solidFill>
                            <a:prstDash val="solid"/>
                            <a:headEnd type="none" w="med" len="med"/>
                            <a:tailEnd type="none" w="med" len="med"/>
                          </a:ln>
                        </wps:spPr>
                        <wps:bodyPr upright="1"/>
                      </wps:wsp>
                      <wps:wsp>
                        <wps:cNvPr id="42" name="任意多边形 39"/>
                        <wps:cNvSpPr/>
                        <wps:spPr>
                          <a:xfrm>
                            <a:off x="28" y="24"/>
                            <a:ext cx="20" cy="2133"/>
                          </a:xfrm>
                          <a:custGeom>
                            <a:avLst/>
                            <a:gdLst/>
                            <a:ahLst/>
                            <a:cxnLst/>
                            <a:rect l="0" t="0" r="0" b="0"/>
                            <a:pathLst>
                              <a:path w="20" h="2133">
                                <a:moveTo>
                                  <a:pt x="0" y="0"/>
                                </a:moveTo>
                                <a:lnTo>
                                  <a:pt x="0" y="2132"/>
                                </a:lnTo>
                              </a:path>
                            </a:pathLst>
                          </a:custGeom>
                          <a:noFill/>
                          <a:ln w="6096" cap="flat" cmpd="sng">
                            <a:solidFill>
                              <a:srgbClr val="000000"/>
                            </a:solidFill>
                            <a:prstDash val="solid"/>
                            <a:headEnd type="none" w="med" len="med"/>
                            <a:tailEnd type="none" w="med" len="med"/>
                          </a:ln>
                        </wps:spPr>
                        <wps:bodyPr upright="1"/>
                      </wps:wsp>
                      <wps:wsp>
                        <wps:cNvPr id="43" name="任意多边形 40"/>
                        <wps:cNvSpPr/>
                        <wps:spPr>
                          <a:xfrm>
                            <a:off x="4034"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4" name="任意多边形 41"/>
                        <wps:cNvSpPr/>
                        <wps:spPr>
                          <a:xfrm>
                            <a:off x="4053" y="24"/>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5" name="任意多边形 42"/>
                        <wps:cNvSpPr/>
                        <wps:spPr>
                          <a:xfrm>
                            <a:off x="8059" y="33"/>
                            <a:ext cx="20" cy="2123"/>
                          </a:xfrm>
                          <a:custGeom>
                            <a:avLst/>
                            <a:gdLst/>
                            <a:ahLst/>
                            <a:cxnLst/>
                            <a:rect l="0" t="0" r="0" b="0"/>
                            <a:pathLst>
                              <a:path w="20" h="2123">
                                <a:moveTo>
                                  <a:pt x="0" y="0"/>
                                </a:moveTo>
                                <a:lnTo>
                                  <a:pt x="0" y="2122"/>
                                </a:lnTo>
                              </a:path>
                            </a:pathLst>
                          </a:custGeom>
                          <a:noFill/>
                          <a:ln w="6096" cap="flat" cmpd="sng">
                            <a:solidFill>
                              <a:srgbClr val="000000"/>
                            </a:solidFill>
                            <a:prstDash val="solid"/>
                            <a:headEnd type="none" w="med" len="med"/>
                            <a:tailEnd type="none" w="med" len="med"/>
                          </a:ln>
                        </wps:spPr>
                        <wps:bodyPr upright="1"/>
                      </wps:wsp>
                      <wps:wsp>
                        <wps:cNvPr id="46" name="任意多边形 43"/>
                        <wps:cNvSpPr/>
                        <wps:spPr>
                          <a:xfrm>
                            <a:off x="8078" y="14"/>
                            <a:ext cx="20" cy="2162"/>
                          </a:xfrm>
                          <a:custGeom>
                            <a:avLst/>
                            <a:gdLst/>
                            <a:ahLst/>
                            <a:cxnLst/>
                            <a:rect l="0" t="0" r="0" b="0"/>
                            <a:pathLst>
                              <a:path w="20" h="2162">
                                <a:moveTo>
                                  <a:pt x="0" y="0"/>
                                </a:moveTo>
                                <a:lnTo>
                                  <a:pt x="0" y="2161"/>
                                </a:lnTo>
                              </a:path>
                            </a:pathLst>
                          </a:custGeom>
                          <a:noFill/>
                          <a:ln w="6096" cap="flat" cmpd="sng">
                            <a:solidFill>
                              <a:srgbClr val="000000"/>
                            </a:solidFill>
                            <a:prstDash val="solid"/>
                            <a:headEnd type="none" w="med" len="med"/>
                            <a:tailEnd type="none" w="med" len="med"/>
                          </a:ln>
                        </wps:spPr>
                        <wps:bodyPr upright="1"/>
                      </wps:wsp>
                      <wps:wsp>
                        <wps:cNvPr id="47" name="文本框 44"/>
                        <wps:cNvSpPr txBox="1"/>
                        <wps:spPr>
                          <a:xfrm>
                            <a:off x="19" y="19"/>
                            <a:ext cx="4025" cy="2142"/>
                          </a:xfrm>
                          <a:prstGeom prst="rect">
                            <a:avLst/>
                          </a:prstGeom>
                          <a:noFill/>
                          <a:ln>
                            <a:noFill/>
                          </a:ln>
                        </wps:spPr>
                        <wps:txbx>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被授权代表身份证复印件（正面）</w:t>
                              </w:r>
                            </w:p>
                          </w:txbxContent>
                        </wps:txbx>
                        <wps:bodyPr lIns="0" tIns="0" rIns="0" bIns="0" upright="1"/>
                      </wps:wsp>
                      <wps:wsp>
                        <wps:cNvPr id="48" name="文本框 45"/>
                        <wps:cNvSpPr txBox="1"/>
                        <wps:spPr>
                          <a:xfrm>
                            <a:off x="4044" y="19"/>
                            <a:ext cx="4025" cy="2142"/>
                          </a:xfrm>
                          <a:prstGeom prst="rect">
                            <a:avLst/>
                          </a:prstGeom>
                          <a:noFill/>
                          <a:ln>
                            <a:noFill/>
                          </a:ln>
                        </wps:spPr>
                        <wps:txbx>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被授权代表身份证复印件（反面）</w:t>
                              </w:r>
                            </w:p>
                          </w:txbxContent>
                        </wps:txbx>
                        <wps:bodyPr lIns="0" tIns="0" rIns="0" bIns="0" upright="1"/>
                      </wps:wsp>
                    </wpg:wgp>
                  </a:graphicData>
                </a:graphic>
              </wp:inline>
            </w:drawing>
          </mc:Choice>
          <mc:Fallback>
            <w:pict>
              <v:group id="_x0000_s1026" o:spid="_x0000_s1026" o:spt="203" style="height:109.05pt;width:404.45pt;" coordsize="8089,2181" o:gfxdata="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&#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">
                <o:lock v:ext="edit" rotation="t" aspectratio="f"/>
                <v:shape id="任意多边形 34" o:spid="_x0000_s1026" o:spt="100" style="position:absolute;left:4;top:9;height:20;width:8079;" filled="f" stroked="t" coordsize="8079,20" o:gfxdata="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ebSvQAA&#10;ANsAAAAPAAAAAAAAAAEAIAAAACIAAABkcnMvZG93bnJldi54bWxQSwECFAAUAAAACACHTuJAMy8F&#10;njsAAAA5AAAAEAAAAAAAAAABACAAAAAMAQAAZHJzL3NoYXBleG1sLnhtbFBLBQYAAAAABgAGAFsB&#10;AAC2AwAAAAA=&#10;" path="m0,0l8078,0e">
                  <v:fill on="f" focussize="0,0"/>
                  <v:stroke weight="0.48pt" color="#000000" joinstyle="round"/>
                  <v:imagedata o:title=""/>
                  <o:lock v:ext="edit" aspectratio="f"/>
                </v:shape>
                <v:shape id="任意多边形 35" o:spid="_x0000_s1026" o:spt="100" style="position:absolute;left:24;top:28;height:20;width:8041;" filled="f" stroked="t" coordsize="8041,20" o:gfxdata="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WAewugAAANsA&#10;AAAPAAAAAAAAAAEAIAAAACIAAABkcnMvZG93bnJldi54bWxQSwECFAAUAAAACACHTuJAMy8FnjsA&#10;AAA5AAAAEAAAAAAAAAABACAAAAAJAQAAZHJzL3NoYXBleG1sLnhtbFBLBQYAAAAABgAGAFsBAACz&#10;AwAAAAA=&#10;" path="m0,0l8040,0e">
                  <v:fill on="f" focussize="0,0"/>
                  <v:stroke weight="0.48pt" color="#000000" joinstyle="round"/>
                  <v:imagedata o:title=""/>
                  <o:lock v:ext="edit" aspectratio="f"/>
                </v:shape>
                <v:shape id="任意多边形 36" o:spid="_x0000_s1026" o:spt="100" style="position:absolute;left:24;top:2151;height:20;width:8041;" filled="f" stroked="t" coordsize="8041,20" o:gfxdata="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FKIrvQAA&#10;ANsAAAAPAAAAAAAAAAEAIAAAACIAAABkcnMvZG93bnJldi54bWxQSwECFAAUAAAACACHTuJAMy8F&#10;njsAAAA5AAAAEAAAAAAAAAABACAAAAAMAQAAZHJzL3NoYXBleG1sLnhtbFBLBQYAAAAABgAGAFsB&#10;AAC2AwAAAAA=&#10;" path="m0,0l8040,0e">
                  <v:fill on="f" focussize="0,0"/>
                  <v:stroke weight="0.48pt" color="#000000" joinstyle="round"/>
                  <v:imagedata o:title=""/>
                  <o:lock v:ext="edit" aspectratio="f"/>
                </v:shape>
                <v:shape id="任意多边形 37" o:spid="_x0000_s1026" o:spt="100" style="position:absolute;left:4;top:2170;height:20;width:8079;" filled="f" stroked="t" coordsize="8079,20" o:gfxdata="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YWDdu5AAAA2wAA&#10;AA8AAAAAAAAAAQAgAAAAIgAAAGRycy9kb3ducmV2LnhtbFBLAQIUABQAAAAIAIdO4kAzLwWeOwAA&#10;ADkAAAAQAAAAAAAAAAEAIAAAAAgBAABkcnMvc2hhcGV4bWwueG1sUEsFBgAAAAAGAAYAWwEAALID&#10;AAAAAA==&#10;" path="m0,0l8078,0e">
                  <v:fill on="f" focussize="0,0"/>
                  <v:stroke weight="0.48pt" color="#000000" joinstyle="round"/>
                  <v:imagedata o:title=""/>
                  <o:lock v:ext="edit" aspectratio="f"/>
                </v:shape>
                <v:shape id="任意多边形 38" o:spid="_x0000_s1026" o:spt="100" style="position:absolute;left:9;top:4;height:2171;width:20;" filled="f" stroked="t" coordsize="20,2171" o:gfxdata="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GrYT7sAAADb&#10;AAAADwAAAAAAAAABACAAAAAiAAAAZHJzL2Rvd25yZXYueG1sUEsBAhQAFAAAAAgAh07iQDMvBZ47&#10;AAAAOQAAABAAAAAAAAAAAQAgAAAACgEAAGRycy9zaGFwZXhtbC54bWxQSwUGAAAAAAYABgBbAQAA&#10;tAMAAAAA&#10;" path="m0,0l0,2170e">
                  <v:fill on="f" focussize="0,0"/>
                  <v:stroke weight="0.48pt" color="#000000" joinstyle="round"/>
                  <v:imagedata o:title=""/>
                  <o:lock v:ext="edit" aspectratio="f"/>
                </v:shape>
                <v:shape id="任意多边形 39" o:spid="_x0000_s1026" o:spt="100" style="position:absolute;left:28;top:24;height:2133;width:20;" filled="f" stroked="t" coordsize="20,2133" o:gfxdata="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3Uk7y/&#10;AAAA2wAAAA8AAAAAAAAAAQAgAAAAIgAAAGRycy9kb3ducmV2LnhtbFBLAQIUABQAAAAIAIdO4kAz&#10;LwWeOwAAADkAAAAQAAAAAAAAAAEAIAAAAA4BAABkcnMvc2hhcGV4bWwueG1sUEsFBgAAAAAGAAYA&#10;WwEAALgDAAAAAA==&#10;" path="m0,0l0,2132e">
                  <v:fill on="f" focussize="0,0"/>
                  <v:stroke weight="0.48pt" color="#000000" joinstyle="round"/>
                  <v:imagedata o:title=""/>
                  <o:lock v:ext="edit" aspectratio="f"/>
                </v:shape>
                <v:shape id="任意多边形 40" o:spid="_x0000_s1026" o:spt="100" style="position:absolute;left:4034;top:24;height:2123;width:20;" filled="f" stroked="t" coordsize="20,2123" o:gfxdata="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1HbS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1" o:spid="_x0000_s1026" o:spt="100" style="position:absolute;left:4053;top:24;height:2123;width:20;" filled="f" stroked="t" coordsize="20,2123" o:gfxdata="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chcC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2" o:spid="_x0000_s1026" o:spt="100" style="position:absolute;left:8059;top:33;height:2123;width:20;" filled="f" stroked="t" coordsize="20,2123" o:gfxdata="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aQIFu8AAAA&#10;2wAAAA8AAAAAAAAAAQAgAAAAIgAAAGRycy9kb3ducmV2LnhtbFBLAQIUABQAAAAIAIdO4kAzLwWe&#10;OwAAADkAAAAQAAAAAAAAAAEAIAAAAAsBAABkcnMvc2hhcGV4bWwueG1sUEsFBgAAAAAGAAYAWwEA&#10;ALUDAAAAAA==&#10;" path="m0,0l0,2122e">
                  <v:fill on="f" focussize="0,0"/>
                  <v:stroke weight="0.48pt" color="#000000" joinstyle="round"/>
                  <v:imagedata o:title=""/>
                  <o:lock v:ext="edit" aspectratio="f"/>
                </v:shape>
                <v:shape id="任意多边形 43" o:spid="_x0000_s1026" o:spt="100" style="position:absolute;left:8078;top:14;height:2162;width:20;" filled="f" stroked="t" coordsize="20,2162" o:gfxdata="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2cm0ztwAAANsAAAAP&#10;AAAAAAAAAAEAIAAAACIAAABkcnMvZG93bnJldi54bWxQSwECFAAUAAAACACHTuJAMy8FnjsAAAA5&#10;AAAAEAAAAAAAAAABACAAAAAGAQAAZHJzL3NoYXBleG1sLnhtbFBLBQYAAAAABgAGAFsBAACwAwAA&#10;AAA=&#10;" path="m0,0l0,2161e">
                  <v:fill on="f" focussize="0,0"/>
                  <v:stroke weight="0.48pt" color="#000000" joinstyle="round"/>
                  <v:imagedata o:title=""/>
                  <o:lock v:ext="edit" aspectratio="f"/>
                </v:shape>
                <v:shape id="文本框 44" o:spid="_x0000_s1026" o:spt="202" type="#_x0000_t202" style="position:absolute;left:19;top:19;height:2142;width:402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jc w:val="center"/>
                          <w:rPr>
                            <w:rFonts w:hint="eastAsia" w:ascii="仿宋" w:hAnsi="仿宋" w:eastAsia="仿宋" w:cs="仿宋"/>
                            <w:lang w:eastAsia="zh-CN"/>
                          </w:rPr>
                        </w:pPr>
                        <w:r>
                          <w:rPr>
                            <w:rFonts w:hint="eastAsia" w:ascii="仿宋" w:hAnsi="仿宋" w:eastAsia="仿宋" w:cs="仿宋"/>
                            <w:lang w:eastAsia="zh-CN"/>
                          </w:rPr>
                          <w:t>被授权代表身份证复印件（正面）</w:t>
                        </w:r>
                      </w:p>
                    </w:txbxContent>
                  </v:textbox>
                </v:shape>
                <v:shape id="文本框 45" o:spid="_x0000_s1026" o:spt="202" type="#_x0000_t202" style="position:absolute;left:4044;top:19;height:2142;width:402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pStyle w:val="11"/>
                          <w:numPr>
                            <w:ilvl w:val="0"/>
                            <w:numId w:val="0"/>
                          </w:numPr>
                          <w:kinsoku w:val="0"/>
                          <w:overflowPunct w:val="0"/>
                        </w:pPr>
                      </w:p>
                      <w:p>
                        <w:pPr>
                          <w:pStyle w:val="11"/>
                          <w:numPr>
                            <w:ilvl w:val="0"/>
                            <w:numId w:val="0"/>
                          </w:numPr>
                          <w:kinsoku w:val="0"/>
                          <w:overflowPunct w:val="0"/>
                        </w:pPr>
                      </w:p>
                      <w:p>
                        <w:pPr>
                          <w:pStyle w:val="11"/>
                          <w:numPr>
                            <w:ilvl w:val="0"/>
                            <w:numId w:val="0"/>
                          </w:numPr>
                          <w:kinsoku w:val="0"/>
                          <w:overflowPunct w:val="0"/>
                          <w:ind w:firstLine="220" w:firstLineChars="100"/>
                          <w:rPr>
                            <w:rFonts w:hint="eastAsia" w:ascii="仿宋" w:hAnsi="仿宋" w:eastAsia="仿宋" w:cs="仿宋"/>
                            <w:lang w:eastAsia="zh-CN"/>
                          </w:rPr>
                        </w:pPr>
                        <w:r>
                          <w:rPr>
                            <w:rFonts w:hint="eastAsia" w:ascii="仿宋" w:hAnsi="仿宋" w:eastAsia="仿宋" w:cs="仿宋"/>
                            <w:lang w:eastAsia="zh-CN"/>
                          </w:rPr>
                          <w:t>被授权代表身份证复印件（反面）</w:t>
                        </w:r>
                      </w:p>
                    </w:txbxContent>
                  </v:textbox>
                </v:shape>
                <w10:wrap type="none"/>
                <w10:anchorlock/>
              </v:group>
            </w:pict>
          </mc:Fallback>
        </mc:AlternateContent>
      </w:r>
    </w:p>
    <w:p>
      <w:pPr>
        <w:pStyle w:val="11"/>
        <w:numPr>
          <w:ilvl w:val="0"/>
          <w:numId w:val="0"/>
        </w:numPr>
        <w:tabs>
          <w:tab w:val="left" w:pos="5295"/>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被授权代表（签章）：          投标人法定代表人（签章）：</w:t>
      </w:r>
    </w:p>
    <w:p>
      <w:pPr>
        <w:pStyle w:val="11"/>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职</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务：</w:t>
      </w:r>
    </w:p>
    <w:p>
      <w:pPr>
        <w:pStyle w:val="11"/>
        <w:numPr>
          <w:ilvl w:val="0"/>
          <w:numId w:val="0"/>
        </w:numPr>
        <w:tabs>
          <w:tab w:val="left" w:pos="1098"/>
          <w:tab w:val="left" w:pos="5298"/>
          <w:tab w:val="left" w:pos="5778"/>
        </w:tabs>
        <w:kinsoku w:val="0"/>
        <w:overflowPunct w:val="0"/>
        <w:adjustRightInd w:val="0"/>
        <w:snapToGrid w:val="0"/>
        <w:spacing w:line="360" w:lineRule="auto"/>
        <w:ind w:left="709"/>
        <w:rPr>
          <w:rFonts w:hint="eastAsia" w:ascii="仿宋" w:hAnsi="仿宋" w:eastAsia="仿宋" w:cs="仿宋"/>
          <w:color w:val="auto"/>
          <w:sz w:val="24"/>
          <w:lang w:eastAsia="zh-CN"/>
        </w:rPr>
      </w:pP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电</w:t>
      </w:r>
      <w:r>
        <w:rPr>
          <w:rFonts w:hint="eastAsia" w:ascii="仿宋" w:hAnsi="仿宋" w:eastAsia="仿宋" w:cs="仿宋"/>
          <w:color w:val="auto"/>
          <w:sz w:val="24"/>
          <w:lang w:eastAsia="zh-CN"/>
        </w:rPr>
        <w:tab/>
      </w:r>
      <w:r>
        <w:rPr>
          <w:rFonts w:hint="eastAsia" w:ascii="仿宋" w:hAnsi="仿宋" w:eastAsia="仿宋" w:cs="仿宋"/>
          <w:color w:val="auto"/>
          <w:sz w:val="24"/>
          <w:lang w:eastAsia="zh-CN"/>
        </w:rPr>
        <w:t>话：</w:t>
      </w:r>
    </w:p>
    <w:p>
      <w:pPr>
        <w:pStyle w:val="11"/>
        <w:numPr>
          <w:ilvl w:val="0"/>
          <w:numId w:val="0"/>
        </w:numPr>
        <w:tabs>
          <w:tab w:val="left" w:pos="5631"/>
          <w:tab w:val="left" w:pos="6591"/>
          <w:tab w:val="left" w:pos="7191"/>
          <w:tab w:val="left" w:pos="7791"/>
          <w:tab w:val="left" w:pos="8247"/>
        </w:tabs>
        <w:kinsoku w:val="0"/>
        <w:overflowPunct w:val="0"/>
        <w:adjustRightInd w:val="0"/>
        <w:snapToGrid w:val="0"/>
        <w:spacing w:line="360" w:lineRule="auto"/>
        <w:ind w:left="709" w:right="23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（盖章）</w:t>
      </w:r>
    </w:p>
    <w:p>
      <w:pPr>
        <w:pStyle w:val="11"/>
        <w:numPr>
          <w:ilvl w:val="0"/>
          <w:numId w:val="0"/>
        </w:numPr>
        <w:tabs>
          <w:tab w:val="left" w:pos="5145"/>
          <w:tab w:val="left" w:pos="6591"/>
          <w:tab w:val="left" w:pos="7191"/>
          <w:tab w:val="left" w:pos="7791"/>
          <w:tab w:val="left" w:pos="8247"/>
        </w:tabs>
        <w:kinsoku w:val="0"/>
        <w:overflowPunct w:val="0"/>
        <w:adjustRightInd w:val="0"/>
        <w:snapToGrid w:val="0"/>
        <w:spacing w:line="360" w:lineRule="auto"/>
        <w:ind w:left="121" w:leftChars="50" w:right="238" w:firstLine="2916" w:firstLineChars="1200"/>
        <w:jc w:val="both"/>
        <w:rPr>
          <w:rFonts w:hint="eastAsia" w:ascii="仿宋" w:hAnsi="仿宋" w:eastAsia="仿宋" w:cs="仿宋"/>
          <w:color w:val="auto"/>
          <w:sz w:val="20"/>
          <w:lang w:eastAsia="zh-CN"/>
        </w:rPr>
      </w:pPr>
      <w:r>
        <w:rPr>
          <w:rFonts w:hint="eastAsia" w:ascii="仿宋" w:hAnsi="仿宋" w:eastAsia="仿宋" w:cs="仿宋"/>
          <w:color w:val="auto"/>
          <w:sz w:val="24"/>
          <w:lang w:eastAsia="zh-CN"/>
        </w:rPr>
        <w:t xml:space="preserve"> 日期：</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 xml:space="preserve">   </w:t>
      </w:r>
      <w:r>
        <w:rPr>
          <w:rFonts w:hint="eastAsia" w:ascii="仿宋" w:hAnsi="仿宋" w:eastAsia="仿宋" w:cs="仿宋"/>
          <w:color w:val="auto"/>
          <w:sz w:val="24"/>
          <w:lang w:eastAsia="zh-CN"/>
        </w:rPr>
        <w:t xml:space="preserve">日 </w:t>
      </w:r>
      <w:r>
        <w:rPr>
          <w:rFonts w:hint="eastAsia" w:ascii="仿宋" w:hAnsi="仿宋" w:eastAsia="仿宋" w:cs="仿宋"/>
          <w:color w:val="auto"/>
          <w:sz w:val="20"/>
          <w:lang w:eastAsia="zh-CN"/>
        </w:rPr>
        <w:t xml:space="preserve">               </w:t>
      </w:r>
    </w:p>
    <w:p>
      <w:pPr>
        <w:pStyle w:val="29"/>
        <w:rPr>
          <w:rFonts w:hint="eastAsia" w:ascii="仿宋" w:hAnsi="仿宋" w:eastAsia="仿宋" w:cs="仿宋"/>
          <w:b/>
          <w:bCs/>
          <w:color w:val="auto"/>
          <w:sz w:val="36"/>
          <w:szCs w:val="36"/>
          <w:lang w:eastAsia="zh-CN"/>
        </w:rPr>
      </w:pPr>
      <w:r>
        <w:rPr>
          <w:rFonts w:hint="eastAsia" w:ascii="仿宋" w:hAnsi="仿宋" w:eastAsia="仿宋" w:cs="仿宋"/>
          <w:color w:val="auto"/>
          <w:lang w:eastAsia="zh-CN"/>
        </w:rPr>
        <w:br w:type="page"/>
      </w:r>
    </w:p>
    <w:p>
      <w:pPr>
        <w:pStyle w:val="7"/>
        <w:spacing w:line="240" w:lineRule="atLeast"/>
        <w:rPr>
          <w:rFonts w:hint="eastAsia" w:ascii="仿宋" w:hAnsi="仿宋" w:eastAsia="仿宋" w:cs="仿宋"/>
          <w:color w:val="auto"/>
          <w:sz w:val="24"/>
          <w:lang w:eastAsia="zh-CN"/>
        </w:rPr>
      </w:pPr>
      <w:r>
        <w:rPr>
          <w:rFonts w:hint="eastAsia" w:ascii="仿宋" w:hAnsi="仿宋" w:eastAsia="仿宋" w:cs="仿宋"/>
          <w:color w:val="auto"/>
          <w:sz w:val="24"/>
          <w:lang w:eastAsia="zh-CN"/>
        </w:rPr>
        <w:t>4、参加政府采购活动前3年内</w:t>
      </w:r>
      <w:bookmarkStart w:id="78" w:name="_Toc515647812"/>
      <w:bookmarkStart w:id="79" w:name="_Toc6008"/>
      <w:bookmarkStart w:id="80" w:name="_Toc1137"/>
      <w:r>
        <w:rPr>
          <w:rFonts w:hint="eastAsia" w:ascii="仿宋" w:hAnsi="仿宋" w:eastAsia="仿宋" w:cs="仿宋"/>
          <w:color w:val="auto"/>
          <w:sz w:val="24"/>
          <w:lang w:eastAsia="zh-CN"/>
        </w:rPr>
        <w:t>在经营活动中没有重大违法记录的书面声明</w:t>
      </w:r>
      <w:bookmarkEnd w:id="78"/>
      <w:bookmarkEnd w:id="79"/>
      <w:bookmarkEnd w:id="80"/>
    </w:p>
    <w:p>
      <w:pPr>
        <w:pStyle w:val="12"/>
        <w:tabs>
          <w:tab w:val="left" w:pos="5580"/>
        </w:tabs>
        <w:spacing w:line="240" w:lineRule="atLeast"/>
        <w:ind w:left="1164" w:leftChars="257" w:hanging="540"/>
        <w:jc w:val="center"/>
        <w:rPr>
          <w:rFonts w:hint="eastAsia" w:ascii="仿宋" w:hAnsi="仿宋" w:eastAsia="仿宋" w:cs="仿宋"/>
          <w:b/>
          <w:color w:val="auto"/>
          <w:lang w:eastAsia="zh-CN"/>
        </w:rPr>
      </w:pPr>
    </w:p>
    <w:p>
      <w:pPr>
        <w:pStyle w:val="12"/>
        <w:tabs>
          <w:tab w:val="left" w:pos="5580"/>
        </w:tabs>
        <w:spacing w:line="240" w:lineRule="atLeast"/>
        <w:ind w:left="1164" w:leftChars="257" w:hanging="540"/>
        <w:rPr>
          <w:rFonts w:hint="eastAsia" w:ascii="仿宋" w:hAnsi="仿宋" w:eastAsia="仿宋" w:cs="仿宋"/>
          <w:color w:val="auto"/>
          <w:lang w:eastAsia="zh-CN"/>
        </w:rPr>
      </w:pPr>
    </w:p>
    <w:p>
      <w:pPr>
        <w:pStyle w:val="12"/>
        <w:tabs>
          <w:tab w:val="left" w:pos="5580"/>
        </w:tabs>
        <w:spacing w:line="240" w:lineRule="atLeast"/>
        <w:ind w:left="1164" w:leftChars="257" w:hanging="540"/>
        <w:rPr>
          <w:rFonts w:hint="eastAsia" w:ascii="仿宋" w:hAnsi="仿宋" w:eastAsia="仿宋" w:cs="仿宋"/>
          <w:color w:val="auto"/>
          <w:lang w:eastAsia="zh-CN"/>
        </w:rPr>
      </w:pPr>
    </w:p>
    <w:p>
      <w:pPr>
        <w:pStyle w:val="12"/>
        <w:tabs>
          <w:tab w:val="left" w:pos="5580"/>
        </w:tabs>
        <w:spacing w:line="360" w:lineRule="auto"/>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说明：1.投标人应按照相关法规规定如实作出说明。</w:t>
      </w:r>
    </w:p>
    <w:p>
      <w:pPr>
        <w:pStyle w:val="12"/>
        <w:tabs>
          <w:tab w:val="left" w:pos="5580"/>
        </w:tabs>
        <w:spacing w:line="360" w:lineRule="auto"/>
        <w:ind w:left="746" w:leftChars="307" w:firstLine="607" w:firstLineChars="250"/>
        <w:rPr>
          <w:rFonts w:hint="eastAsia" w:ascii="仿宋" w:hAnsi="仿宋" w:eastAsia="仿宋" w:cs="仿宋"/>
          <w:color w:val="auto"/>
          <w:lang w:eastAsia="zh-CN"/>
        </w:rPr>
      </w:pPr>
      <w:r>
        <w:rPr>
          <w:rFonts w:hint="eastAsia" w:ascii="仿宋" w:hAnsi="仿宋" w:eastAsia="仿宋" w:cs="仿宋"/>
          <w:color w:val="auto"/>
          <w:lang w:eastAsia="zh-CN"/>
        </w:rPr>
        <w:t>2．按照招标文件的规定加盖单位章（自然人投标的无需盖章，需要签字）。</w:t>
      </w:r>
    </w:p>
    <w:p>
      <w:pPr>
        <w:pStyle w:val="12"/>
        <w:tabs>
          <w:tab w:val="left" w:pos="5580"/>
        </w:tabs>
        <w:spacing w:line="360" w:lineRule="auto"/>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8"/>
        <w:rPr>
          <w:rFonts w:hint="eastAsia" w:ascii="仿宋" w:hAnsi="仿宋" w:eastAsia="仿宋" w:cs="仿宋"/>
          <w:color w:val="auto"/>
          <w:sz w:val="36"/>
          <w:szCs w:val="36"/>
          <w:lang w:eastAsia="zh-CN"/>
        </w:rPr>
      </w:pPr>
    </w:p>
    <w:p>
      <w:pPr>
        <w:rPr>
          <w:rFonts w:hint="eastAsia" w:ascii="仿宋" w:hAnsi="仿宋" w:eastAsia="仿宋" w:cs="仿宋"/>
          <w:b/>
          <w:bCs/>
          <w:color w:val="auto"/>
          <w:sz w:val="36"/>
          <w:szCs w:val="36"/>
          <w:lang w:eastAsia="zh-CN"/>
        </w:rPr>
      </w:pPr>
    </w:p>
    <w:p>
      <w:pPr>
        <w:pStyle w:val="7"/>
        <w:spacing w:line="240" w:lineRule="atLeast"/>
        <w:rPr>
          <w:rFonts w:hint="eastAsia" w:ascii="仿宋" w:hAnsi="仿宋" w:eastAsia="仿宋" w:cs="仿宋"/>
          <w:bCs/>
          <w:color w:val="auto"/>
          <w:sz w:val="36"/>
          <w:szCs w:val="36"/>
          <w:lang w:eastAsia="zh-CN"/>
        </w:rPr>
      </w:pPr>
    </w:p>
    <w:p>
      <w:pPr>
        <w:pStyle w:val="7"/>
        <w:spacing w:line="240" w:lineRule="atLeast"/>
        <w:rPr>
          <w:rFonts w:hint="eastAsia" w:ascii="仿宋" w:hAnsi="仿宋" w:eastAsia="仿宋" w:cs="仿宋"/>
          <w:bCs/>
          <w:color w:val="auto"/>
          <w:sz w:val="36"/>
          <w:szCs w:val="36"/>
          <w:lang w:eastAsia="zh-CN"/>
        </w:rPr>
      </w:pPr>
      <w:r>
        <w:rPr>
          <w:rFonts w:hint="eastAsia" w:ascii="仿宋" w:hAnsi="仿宋" w:eastAsia="仿宋" w:cs="仿宋"/>
          <w:bCs/>
          <w:color w:val="auto"/>
          <w:sz w:val="36"/>
          <w:szCs w:val="36"/>
          <w:lang w:eastAsia="zh-CN"/>
        </w:rPr>
        <w:t>5、投标保证金缴纳凭证或投标担保函</w:t>
      </w:r>
    </w:p>
    <w:p>
      <w:pPr>
        <w:ind w:firstLine="486" w:firstLineChars="200"/>
        <w:rPr>
          <w:rFonts w:hint="eastAsia" w:ascii="仿宋" w:hAnsi="仿宋" w:eastAsia="仿宋" w:cs="仿宋"/>
          <w:color w:val="auto"/>
          <w:lang w:eastAsia="zh-CN"/>
        </w:rPr>
      </w:pPr>
      <w:bookmarkStart w:id="81" w:name="_Toc494296665"/>
      <w:bookmarkStart w:id="82" w:name="_Toc494296991"/>
    </w:p>
    <w:bookmarkEnd w:id="81"/>
    <w:bookmarkEnd w:id="82"/>
    <w:p>
      <w:pPr>
        <w:pStyle w:val="9"/>
        <w:rPr>
          <w:rFonts w:hint="eastAsia" w:ascii="仿宋" w:hAnsi="仿宋" w:eastAsia="仿宋" w:cs="仿宋"/>
          <w:color w:val="auto"/>
          <w:lang w:eastAsia="zh-CN"/>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tcPr>
          <w:p>
            <w:pP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lang w:eastAsia="zh-CN"/>
              </w:rPr>
            </w:pP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投标保证金收据</w:t>
            </w:r>
          </w:p>
        </w:tc>
      </w:tr>
    </w:tbl>
    <w:p>
      <w:pPr>
        <w:pStyle w:val="9"/>
        <w:rPr>
          <w:rFonts w:hint="eastAsia" w:ascii="仿宋" w:hAnsi="仿宋" w:eastAsia="仿宋" w:cs="仿宋"/>
          <w:color w:val="auto"/>
        </w:rPr>
      </w:pPr>
    </w:p>
    <w:p>
      <w:pPr>
        <w:spacing w:line="240" w:lineRule="atLeast"/>
        <w:ind w:left="1164" w:leftChars="257" w:hanging="540"/>
        <w:jc w:val="center"/>
        <w:rPr>
          <w:rFonts w:hint="eastAsia" w:ascii="仿宋" w:hAnsi="仿宋" w:eastAsia="仿宋" w:cs="仿宋"/>
          <w:color w:val="auto"/>
        </w:rPr>
      </w:pPr>
    </w:p>
    <w:p>
      <w:pPr>
        <w:rPr>
          <w:rFonts w:hint="eastAsia" w:ascii="仿宋" w:hAnsi="仿宋" w:eastAsia="仿宋" w:cs="仿宋"/>
          <w:color w:val="auto"/>
          <w:sz w:val="28"/>
          <w:szCs w:val="28"/>
        </w:rPr>
      </w:pPr>
    </w:p>
    <w:tbl>
      <w:tblPr>
        <w:tblStyle w:val="22"/>
        <w:tblpPr w:leftFromText="180" w:rightFromText="180" w:vertAnchor="text" w:horzAnchor="page" w:tblpX="2090" w:tblpY="750"/>
        <w:tblOverlap w:val="never"/>
        <w:tblW w:w="78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26" w:hRule="atLeast"/>
        </w:trPr>
        <w:tc>
          <w:tcPr>
            <w:tcW w:w="7879" w:type="dxa"/>
          </w:tcPr>
          <w:p>
            <w:pP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rPr>
            </w:pPr>
          </w:p>
          <w:p>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打款凭证</w:t>
            </w:r>
          </w:p>
        </w:tc>
      </w:tr>
    </w:tbl>
    <w:p>
      <w:pPr>
        <w:pStyle w:val="9"/>
        <w:rPr>
          <w:rFonts w:hint="eastAsia" w:ascii="仿宋" w:hAnsi="仿宋" w:eastAsia="仿宋" w:cs="仿宋"/>
          <w:color w:val="auto"/>
        </w:rPr>
      </w:pPr>
    </w:p>
    <w:p>
      <w:pPr>
        <w:pStyle w:val="9"/>
        <w:rPr>
          <w:rFonts w:hint="eastAsia" w:ascii="仿宋" w:hAnsi="仿宋" w:eastAsia="仿宋" w:cs="仿宋"/>
          <w:color w:val="auto"/>
        </w:rPr>
      </w:pPr>
    </w:p>
    <w:p>
      <w:pPr>
        <w:pStyle w:val="9"/>
        <w:rPr>
          <w:rFonts w:hint="eastAsia" w:ascii="仿宋" w:hAnsi="仿宋" w:eastAsia="仿宋" w:cs="仿宋"/>
          <w:color w:val="auto"/>
        </w:rPr>
      </w:pPr>
    </w:p>
    <w:p>
      <w:pPr>
        <w:pStyle w:val="9"/>
        <w:rPr>
          <w:rFonts w:hint="eastAsia" w:ascii="仿宋" w:hAnsi="仿宋" w:eastAsia="仿宋" w:cs="仿宋"/>
          <w:color w:val="auto"/>
        </w:rPr>
      </w:pPr>
    </w:p>
    <w:p>
      <w:pPr>
        <w:pStyle w:val="9"/>
        <w:rPr>
          <w:rFonts w:hint="eastAsia" w:ascii="仿宋" w:hAnsi="仿宋" w:eastAsia="仿宋" w:cs="仿宋"/>
          <w:color w:val="auto"/>
        </w:rPr>
      </w:pPr>
    </w:p>
    <w:p>
      <w:pPr>
        <w:pStyle w:val="9"/>
        <w:rPr>
          <w:rFonts w:hint="eastAsia" w:ascii="仿宋" w:hAnsi="仿宋" w:eastAsia="仿宋" w:cs="仿宋"/>
          <w:color w:val="auto"/>
        </w:rPr>
      </w:pPr>
    </w:p>
    <w:p>
      <w:pPr>
        <w:rPr>
          <w:rFonts w:hint="eastAsia" w:ascii="仿宋" w:hAnsi="仿宋" w:eastAsia="仿宋" w:cs="仿宋"/>
          <w:color w:val="auto"/>
        </w:rPr>
      </w:pPr>
    </w:p>
    <w:p>
      <w:pPr>
        <w:pStyle w:val="8"/>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center"/>
        <w:rPr>
          <w:rFonts w:hint="eastAsia" w:ascii="仿宋" w:hAnsi="仿宋" w:eastAsia="仿宋" w:cs="仿宋"/>
          <w:color w:val="auto"/>
          <w:sz w:val="28"/>
          <w:szCs w:val="28"/>
        </w:rPr>
      </w:pPr>
    </w:p>
    <w:p>
      <w:pPr>
        <w:jc w:val="both"/>
        <w:rPr>
          <w:rFonts w:hint="eastAsia" w:ascii="仿宋" w:hAnsi="仿宋" w:eastAsia="仿宋" w:cs="仿宋"/>
          <w:color w:val="auto"/>
          <w:sz w:val="28"/>
          <w:szCs w:val="28"/>
        </w:rPr>
      </w:pPr>
    </w:p>
    <w:p>
      <w:pPr>
        <w:spacing w:line="360" w:lineRule="auto"/>
        <w:jc w:val="center"/>
        <w:rPr>
          <w:rFonts w:hint="eastAsia" w:ascii="仿宋" w:hAnsi="仿宋" w:eastAsia="仿宋" w:cs="仿宋"/>
          <w:b/>
          <w:bCs/>
          <w:color w:val="auto"/>
          <w:sz w:val="28"/>
          <w:szCs w:val="28"/>
          <w:lang w:eastAsia="zh-CN"/>
        </w:rPr>
      </w:pPr>
      <w:r>
        <w:rPr>
          <w:rFonts w:hint="eastAsia" w:ascii="仿宋" w:hAnsi="仿宋" w:eastAsia="仿宋" w:cs="仿宋"/>
          <w:b/>
          <w:bCs/>
          <w:color w:val="auto"/>
          <w:sz w:val="28"/>
          <w:szCs w:val="28"/>
          <w:lang w:eastAsia="zh-CN"/>
        </w:rPr>
        <w:t>政府采购投标担保函 （项目用）</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编号：</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（采购人或采购代理机构）：</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鉴于</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（以下简称“投标人”）拟参加编号为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项目（以下简称“本项目”）投标，根据本项目询价通知书，供应商参加投标时应向你方交纳投标保证金，且可以投标担保函的形式交纳投标保证金。应供应商的申请，我方以保证的方式向你方提供如下投标保证金担保：</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一、保证责任的情形及保证金额</w:t>
      </w:r>
    </w:p>
    <w:p>
      <w:pPr>
        <w:spacing w:line="360" w:lineRule="auto"/>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（一）在投标人出现下列情形之一时，我方承担保证责任：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1．中标后投标人无正当理由不与采购人或者采购代理机构签订《政府采购合同》；</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2．询价通知书规定的投标人应当缴纳保证金的其他情形。</w:t>
      </w:r>
    </w:p>
    <w:p>
      <w:pPr>
        <w:spacing w:line="360" w:lineRule="auto"/>
        <w:ind w:firstLine="243" w:firstLineChars="100"/>
        <w:rPr>
          <w:rFonts w:hint="eastAsia" w:ascii="仿宋" w:hAnsi="仿宋" w:eastAsia="仿宋" w:cs="仿宋"/>
          <w:color w:val="auto"/>
          <w:lang w:eastAsia="zh-CN"/>
        </w:rPr>
      </w:pPr>
      <w:r>
        <w:rPr>
          <w:rFonts w:hint="eastAsia" w:ascii="仿宋" w:hAnsi="仿宋" w:eastAsia="仿宋" w:cs="仿宋"/>
          <w:color w:val="auto"/>
          <w:lang w:eastAsia="zh-CN"/>
        </w:rPr>
        <w:t>（二）我方承担保证责任的最高金额为人民币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元（大写</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），即本项目的投标保证金金额。</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二、保证的方式及保证期间</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我方保证的方式为：连带责任保证。</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我方的保证期间为：自本保函生效之日起</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个月止。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三、承担保证责任的程序</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2．我方在收到索赔通知及相关证明材料后，在</w:t>
      </w:r>
      <w:r>
        <w:rPr>
          <w:rFonts w:hint="eastAsia" w:ascii="仿宋" w:hAnsi="仿宋" w:eastAsia="仿宋" w:cs="仿宋"/>
          <w:color w:val="auto"/>
          <w:u w:val="single"/>
          <w:lang w:eastAsia="zh-CN"/>
        </w:rPr>
        <w:t>　　　</w:t>
      </w:r>
      <w:r>
        <w:rPr>
          <w:rFonts w:hint="eastAsia" w:ascii="仿宋" w:hAnsi="仿宋" w:eastAsia="仿宋" w:cs="仿宋"/>
          <w:color w:val="auto"/>
          <w:lang w:eastAsia="zh-CN"/>
        </w:rPr>
        <w:t>个工作日内进行审查，符合应承担保证责任情形的，我方应按照你方的要求代投标人向你方支付投标保证金。</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四、保证责任的终止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1．保证期间届满你方未向我方书面主张保证责任的，自保证期间届满次日起，我方保证责任自动终止。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2．我方按照本保函向你贵方履行了保证责任后，自我方向你贵方支付款项（支付款项从我方账户划出）之日起，保证责任终止。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3．按照法律法规的规定或出现我方保证责任终止的其它情形的，我方在本保函项下的保证责任亦终止。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五、免责条款</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1．依照法律规定或你方与投标人的另行约定，全部或者部分免除投标人投标保证金义务时，我方亦免除相应的保证责任。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2．因你方原因致使投标人发生本保函第一条第（一）款约定情形的，我方不承担保证责任。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3．因不可抗力造成投标人发生本保函第一条约定情形的，我方不承担保证责任。</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4．你方或其他有权机关对询价通知书进行任何澄清或修改，加重我方保证责任的，我方对加重部分不承担保证责任，但该澄清或修改经我方事先书面同意的除外。</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六、争议的解决</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因本保函发生的纠纷，由你我双方协商解决，协商不成的，通过诉讼程序解决，诉讼管辖地法院为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法院。</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七、保函的生效</w:t>
      </w:r>
    </w:p>
    <w:p>
      <w:pPr>
        <w:spacing w:line="360" w:lineRule="auto"/>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本保函自我方加盖公章之日起生效。</w:t>
      </w:r>
    </w:p>
    <w:p>
      <w:pPr>
        <w:spacing w:line="360" w:lineRule="auto"/>
        <w:ind w:firstLine="6439" w:firstLineChars="2650"/>
        <w:rPr>
          <w:rFonts w:hint="eastAsia" w:ascii="仿宋" w:hAnsi="仿宋" w:eastAsia="仿宋" w:cs="仿宋"/>
          <w:color w:val="auto"/>
          <w:lang w:eastAsia="zh-CN"/>
        </w:rPr>
      </w:pPr>
    </w:p>
    <w:p>
      <w:pPr>
        <w:spacing w:line="360" w:lineRule="auto"/>
        <w:ind w:firstLine="6439" w:firstLineChars="2650"/>
        <w:rPr>
          <w:rFonts w:hint="eastAsia" w:ascii="仿宋" w:hAnsi="仿宋" w:eastAsia="仿宋" w:cs="仿宋"/>
          <w:color w:val="auto"/>
          <w:lang w:eastAsia="zh-CN"/>
        </w:rPr>
      </w:pPr>
    </w:p>
    <w:p>
      <w:pPr>
        <w:spacing w:line="360" w:lineRule="auto"/>
        <w:ind w:firstLine="6439" w:firstLineChars="2650"/>
        <w:rPr>
          <w:rFonts w:hint="eastAsia" w:ascii="仿宋" w:hAnsi="仿宋" w:eastAsia="仿宋" w:cs="仿宋"/>
          <w:color w:val="auto"/>
          <w:lang w:eastAsia="zh-CN"/>
        </w:rPr>
      </w:pPr>
      <w:r>
        <w:rPr>
          <w:rFonts w:hint="eastAsia" w:ascii="仿宋" w:hAnsi="仿宋" w:eastAsia="仿宋" w:cs="仿宋"/>
          <w:color w:val="auto"/>
          <w:lang w:eastAsia="zh-CN"/>
        </w:rPr>
        <w:t>保证人：（公章）</w:t>
      </w:r>
    </w:p>
    <w:p>
      <w:pPr>
        <w:spacing w:line="360" w:lineRule="auto"/>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6318" w:firstLineChars="2600"/>
        <w:rPr>
          <w:rFonts w:hint="eastAsia" w:ascii="仿宋" w:hAnsi="仿宋" w:eastAsia="仿宋" w:cs="仿宋"/>
          <w:color w:val="auto"/>
          <w:lang w:eastAsia="zh-CN"/>
        </w:rPr>
        <w:sectPr>
          <w:headerReference r:id="rId7" w:type="default"/>
          <w:footerReference r:id="rId8" w:type="default"/>
          <w:pgSz w:w="11905" w:h="16838"/>
          <w:pgMar w:top="1440" w:right="1417" w:bottom="1440" w:left="1417" w:header="850" w:footer="992" w:gutter="0"/>
          <w:cols w:space="0" w:num="1"/>
          <w:docGrid w:type="linesAndChars" w:linePitch="325" w:charSpace="635"/>
        </w:sectPr>
      </w:pPr>
      <w:r>
        <w:rPr>
          <w:rFonts w:hint="eastAsia" w:ascii="仿宋" w:hAnsi="仿宋" w:eastAsia="仿宋" w:cs="仿宋"/>
          <w:color w:val="auto"/>
          <w:lang w:eastAsia="zh-CN"/>
        </w:rPr>
        <w:t>年     月      日</w:t>
      </w:r>
    </w:p>
    <w:p>
      <w:pPr>
        <w:spacing w:line="40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6、投标企业须提供有效的《医疗器械生产许可证》或《医疗器械经营许可证》</w:t>
      </w:r>
    </w:p>
    <w:p>
      <w:pPr>
        <w:spacing w:line="400" w:lineRule="exact"/>
        <w:ind w:firstLine="243" w:firstLineChars="100"/>
        <w:rPr>
          <w:rFonts w:hint="eastAsia" w:ascii="仿宋" w:hAnsi="仿宋" w:eastAsia="仿宋" w:cs="仿宋"/>
          <w:b/>
          <w:bCs/>
          <w:color w:val="auto"/>
          <w:lang w:eastAsia="zh-CN"/>
        </w:rPr>
      </w:pPr>
    </w:p>
    <w:p>
      <w:pPr>
        <w:spacing w:line="400" w:lineRule="exact"/>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spacing w:line="400" w:lineRule="exact"/>
        <w:rPr>
          <w:rFonts w:hint="eastAsia" w:ascii="仿宋" w:hAnsi="仿宋" w:eastAsia="仿宋" w:cs="仿宋"/>
          <w:b/>
          <w:bCs/>
          <w:color w:val="auto"/>
          <w:lang w:eastAsia="zh-CN"/>
        </w:rPr>
      </w:pPr>
    </w:p>
    <w:p>
      <w:pPr>
        <w:spacing w:line="400" w:lineRule="exact"/>
        <w:ind w:firstLine="486" w:firstLineChars="200"/>
        <w:rPr>
          <w:rFonts w:hint="eastAsia" w:ascii="仿宋" w:hAnsi="仿宋" w:eastAsia="仿宋" w:cs="仿宋"/>
          <w:b/>
          <w:bCs/>
          <w:color w:val="auto"/>
          <w:lang w:eastAsia="zh-CN"/>
        </w:rPr>
      </w:pPr>
    </w:p>
    <w:p>
      <w:pPr>
        <w:spacing w:line="400" w:lineRule="exact"/>
        <w:rPr>
          <w:rFonts w:hint="eastAsia" w:ascii="仿宋" w:hAnsi="仿宋" w:eastAsia="仿宋" w:cs="仿宋"/>
          <w:b/>
          <w:bCs/>
          <w:color w:val="auto"/>
          <w:lang w:eastAsia="zh-CN"/>
        </w:rPr>
      </w:pPr>
      <w:r>
        <w:rPr>
          <w:rFonts w:hint="eastAsia" w:ascii="仿宋" w:hAnsi="仿宋" w:eastAsia="仿宋" w:cs="仿宋"/>
          <w:b/>
          <w:bCs/>
          <w:color w:val="auto"/>
          <w:lang w:eastAsia="zh-CN"/>
        </w:rPr>
        <w:t>7、投标企业须提供投标人（被授权在职人员）近</w:t>
      </w:r>
      <w:r>
        <w:rPr>
          <w:rFonts w:hint="eastAsia" w:ascii="仿宋" w:hAnsi="仿宋" w:eastAsia="仿宋" w:cs="仿宋"/>
          <w:b/>
          <w:bCs/>
          <w:color w:val="auto"/>
          <w:lang w:val="en-US" w:eastAsia="zh-CN"/>
        </w:rPr>
        <w:t>6个月有效</w:t>
      </w:r>
      <w:r>
        <w:rPr>
          <w:rFonts w:hint="eastAsia" w:ascii="仿宋" w:hAnsi="仿宋" w:eastAsia="仿宋" w:cs="仿宋"/>
          <w:b/>
          <w:bCs/>
          <w:color w:val="auto"/>
          <w:lang w:eastAsia="zh-CN"/>
        </w:rPr>
        <w:t>社保证明；</w:t>
      </w:r>
    </w:p>
    <w:p>
      <w:pPr>
        <w:spacing w:line="400" w:lineRule="exact"/>
        <w:rPr>
          <w:rFonts w:hint="eastAsia" w:ascii="仿宋" w:hAnsi="仿宋" w:eastAsia="仿宋" w:cs="仿宋"/>
          <w:b/>
          <w:bCs/>
          <w:color w:val="auto"/>
          <w:lang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eastAsia="zh-CN"/>
        </w:rPr>
        <w:t>说明：复印件上应加盖本单位章</w:t>
      </w:r>
    </w:p>
    <w:p>
      <w:pPr>
        <w:pStyle w:val="29"/>
        <w:ind w:firstLine="0"/>
        <w:rPr>
          <w:rFonts w:hint="eastAsia" w:ascii="仿宋" w:hAnsi="仿宋" w:eastAsia="仿宋" w:cs="仿宋"/>
          <w:color w:val="auto"/>
          <w:lang w:eastAsia="zh-CN"/>
        </w:rPr>
      </w:pPr>
    </w:p>
    <w:p>
      <w:pPr>
        <w:pStyle w:val="29"/>
        <w:rPr>
          <w:rFonts w:hint="eastAsia" w:ascii="仿宋" w:hAnsi="仿宋" w:eastAsia="仿宋" w:cs="仿宋"/>
          <w:color w:val="auto"/>
          <w:lang w:eastAsia="zh-CN"/>
        </w:rPr>
      </w:pPr>
    </w:p>
    <w:p>
      <w:pPr>
        <w:pStyle w:val="29"/>
        <w:rPr>
          <w:rFonts w:hint="eastAsia" w:ascii="仿宋" w:hAnsi="仿宋" w:eastAsia="仿宋" w:cs="仿宋"/>
          <w:color w:val="auto"/>
          <w:lang w:eastAsia="zh-CN"/>
        </w:rPr>
      </w:pPr>
    </w:p>
    <w:p>
      <w:pPr>
        <w:pStyle w:val="29"/>
        <w:ind w:firstLine="243" w:firstLineChars="100"/>
        <w:rPr>
          <w:rFonts w:hint="eastAsia" w:ascii="仿宋" w:hAnsi="仿宋" w:eastAsia="仿宋" w:cs="仿宋"/>
          <w:b/>
          <w:bCs/>
          <w:color w:val="auto"/>
          <w:lang w:eastAsia="zh-CN"/>
        </w:rPr>
      </w:pPr>
      <w:r>
        <w:rPr>
          <w:rFonts w:hint="eastAsia" w:ascii="仿宋" w:hAnsi="仿宋" w:eastAsia="仿宋" w:cs="仿宋"/>
          <w:b/>
          <w:bCs/>
          <w:color w:val="auto"/>
          <w:lang w:eastAsia="zh-CN"/>
        </w:rPr>
        <w:t>8、</w:t>
      </w:r>
      <w:r>
        <w:rPr>
          <w:rFonts w:hint="eastAsia" w:ascii="仿宋" w:hAnsi="仿宋" w:eastAsia="仿宋" w:cs="仿宋"/>
          <w:b/>
          <w:bCs/>
          <w:color w:val="auto"/>
          <w:lang w:val="en-US" w:eastAsia="zh-CN"/>
        </w:rPr>
        <w:t>参加政府采购活动前三年内，在经营活动中没有重大违法记录；</w:t>
      </w:r>
      <w:r>
        <w:rPr>
          <w:rFonts w:hint="eastAsia" w:ascii="仿宋" w:hAnsi="仿宋" w:eastAsia="仿宋" w:cs="仿宋"/>
          <w:b/>
          <w:bCs/>
          <w:color w:val="auto"/>
          <w:lang w:eastAsia="zh-CN"/>
        </w:rPr>
        <w:t>未被“信用中国”（www.creditchina.gov.cn）、中国政府采购网（www.ccgp.gov.cn）列入失信被执行人、税收违法黑名单、政府采购严重违法失信行为记录名单；</w:t>
      </w:r>
    </w:p>
    <w:p>
      <w:pPr>
        <w:pStyle w:val="29"/>
        <w:rPr>
          <w:rFonts w:hint="eastAsia" w:ascii="仿宋" w:hAnsi="仿宋" w:eastAsia="仿宋" w:cs="仿宋"/>
          <w:b/>
          <w:bCs/>
          <w:color w:val="auto"/>
          <w:lang w:eastAsia="zh-CN"/>
        </w:rPr>
      </w:pPr>
    </w:p>
    <w:p>
      <w:pPr>
        <w:rPr>
          <w:rFonts w:hint="eastAsia" w:ascii="仿宋" w:hAnsi="仿宋" w:eastAsia="仿宋" w:cs="仿宋"/>
          <w:color w:val="auto"/>
          <w:lang w:eastAsia="zh-CN"/>
        </w:rPr>
      </w:pPr>
    </w:p>
    <w:p>
      <w:pPr>
        <w:spacing w:line="400" w:lineRule="exact"/>
        <w:ind w:firstLine="486" w:firstLineChars="200"/>
        <w:rPr>
          <w:rFonts w:hint="eastAsia" w:ascii="仿宋" w:hAnsi="仿宋" w:eastAsia="仿宋" w:cs="仿宋"/>
          <w:b/>
          <w:bCs/>
          <w:color w:val="auto"/>
          <w:lang w:eastAsia="zh-CN"/>
        </w:rPr>
      </w:pPr>
      <w:r>
        <w:rPr>
          <w:rFonts w:hint="eastAsia" w:ascii="仿宋" w:hAnsi="仿宋" w:eastAsia="仿宋" w:cs="仿宋"/>
          <w:b/>
          <w:bCs/>
          <w:color w:val="auto"/>
          <w:lang w:val="en-US" w:eastAsia="zh-CN"/>
        </w:rPr>
        <w:t>9、</w:t>
      </w:r>
      <w:r>
        <w:rPr>
          <w:rFonts w:hint="eastAsia" w:ascii="仿宋" w:hAnsi="仿宋" w:eastAsia="仿宋" w:cs="仿宋"/>
          <w:b/>
          <w:bCs/>
          <w:color w:val="auto"/>
          <w:lang w:eastAsia="zh-CN"/>
        </w:rPr>
        <w:t>投标人须知资料表要求的其他资格证明文件</w:t>
      </w:r>
    </w:p>
    <w:p>
      <w:pPr>
        <w:pStyle w:val="8"/>
        <w:rPr>
          <w:rFonts w:hint="eastAsia" w:ascii="仿宋" w:hAnsi="仿宋" w:eastAsia="仿宋" w:cs="仿宋"/>
          <w:color w:val="auto"/>
          <w:lang w:eastAsia="zh-CN"/>
        </w:rPr>
      </w:pPr>
    </w:p>
    <w:p>
      <w:pPr>
        <w:rPr>
          <w:rFonts w:hint="eastAsia" w:ascii="仿宋" w:hAnsi="仿宋" w:eastAsia="仿宋" w:cs="仿宋"/>
          <w:b/>
          <w:bCs/>
          <w:color w:val="auto"/>
          <w:lang w:eastAsia="zh-CN"/>
        </w:rPr>
      </w:pPr>
    </w:p>
    <w:p>
      <w:pPr>
        <w:pStyle w:val="8"/>
        <w:rPr>
          <w:rFonts w:hint="eastAsia" w:ascii="仿宋" w:hAnsi="仿宋" w:eastAsia="仿宋" w:cs="仿宋"/>
          <w:color w:val="auto"/>
          <w:lang w:eastAsia="zh-CN"/>
        </w:rPr>
      </w:pPr>
    </w:p>
    <w:p>
      <w:pPr>
        <w:rPr>
          <w:rFonts w:hint="eastAsia" w:ascii="仿宋" w:hAnsi="仿宋" w:eastAsia="仿宋" w:cs="仿宋"/>
          <w:b/>
          <w:bCs/>
          <w:color w:val="auto"/>
          <w:lang w:eastAsia="zh-CN"/>
        </w:rPr>
      </w:pPr>
    </w:p>
    <w:p>
      <w:pPr>
        <w:rPr>
          <w:rFonts w:hint="eastAsia" w:ascii="仿宋" w:hAnsi="仿宋" w:eastAsia="仿宋" w:cs="仿宋"/>
          <w:b/>
          <w:bCs/>
          <w:color w:val="auto"/>
          <w:lang w:eastAsia="zh-CN"/>
        </w:rPr>
      </w:pPr>
    </w:p>
    <w:p>
      <w:pPr>
        <w:pStyle w:val="12"/>
        <w:tabs>
          <w:tab w:val="left" w:pos="5580"/>
        </w:tabs>
        <w:spacing w:line="240" w:lineRule="atLeast"/>
        <w:ind w:firstLine="486" w:firstLineChars="200"/>
        <w:rPr>
          <w:rFonts w:hint="eastAsia" w:ascii="仿宋" w:hAnsi="仿宋" w:eastAsia="仿宋" w:cs="仿宋"/>
          <w:color w:val="auto"/>
          <w:lang w:eastAsia="zh-CN"/>
        </w:rPr>
      </w:pPr>
    </w:p>
    <w:p>
      <w:pPr>
        <w:pStyle w:val="13"/>
        <w:ind w:left="2917"/>
        <w:rPr>
          <w:rFonts w:hint="eastAsia" w:ascii="仿宋" w:hAnsi="仿宋" w:eastAsia="仿宋" w:cs="仿宋"/>
          <w:color w:val="auto"/>
          <w:lang w:eastAsia="zh-CN"/>
        </w:rPr>
      </w:pPr>
    </w:p>
    <w:p>
      <w:pPr>
        <w:pStyle w:val="6"/>
        <w:spacing w:before="40" w:after="40" w:line="579" w:lineRule="auto"/>
        <w:rPr>
          <w:rFonts w:hint="eastAsia" w:ascii="仿宋" w:hAnsi="仿宋" w:eastAsia="仿宋" w:cs="仿宋"/>
          <w:color w:val="auto"/>
          <w:sz w:val="32"/>
          <w:szCs w:val="32"/>
          <w:lang w:eastAsia="zh-CN"/>
        </w:rPr>
      </w:pPr>
      <w:bookmarkStart w:id="83" w:name="_Toc11180"/>
      <w:bookmarkStart w:id="84" w:name="_Toc515647816"/>
      <w:bookmarkStart w:id="85" w:name="_Toc5695"/>
      <w:bookmarkStart w:id="86" w:name="_Toc22967"/>
    </w:p>
    <w:p>
      <w:pPr>
        <w:rPr>
          <w:rFonts w:hint="eastAsia" w:ascii="仿宋" w:hAnsi="仿宋" w:eastAsia="仿宋" w:cs="仿宋"/>
          <w:color w:val="auto"/>
          <w:sz w:val="32"/>
          <w:szCs w:val="32"/>
          <w:lang w:eastAsia="zh-CN"/>
        </w:rPr>
      </w:pPr>
    </w:p>
    <w:p>
      <w:pPr>
        <w:pStyle w:val="11"/>
        <w:numPr>
          <w:ilvl w:val="0"/>
          <w:numId w:val="0"/>
        </w:numPr>
        <w:ind w:leftChars="0"/>
        <w:rPr>
          <w:rFonts w:hint="eastAsia"/>
          <w:color w:val="auto"/>
          <w:lang w:eastAsia="zh-CN"/>
        </w:rPr>
      </w:pPr>
    </w:p>
    <w:p>
      <w:pPr>
        <w:pStyle w:val="6"/>
        <w:spacing w:before="40" w:after="40" w:line="579" w:lineRule="auto"/>
        <w:rPr>
          <w:rFonts w:hint="eastAsia" w:ascii="仿宋" w:hAnsi="仿宋" w:eastAsia="仿宋" w:cs="仿宋"/>
          <w:color w:val="auto"/>
          <w:sz w:val="32"/>
          <w:szCs w:val="32"/>
          <w:lang w:eastAsia="zh-CN"/>
        </w:rPr>
      </w:pPr>
    </w:p>
    <w:p>
      <w:pPr>
        <w:pStyle w:val="6"/>
        <w:spacing w:before="40" w:after="40" w:line="579" w:lineRule="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第二部分  商务及技术文件</w:t>
      </w:r>
      <w:bookmarkEnd w:id="83"/>
      <w:bookmarkEnd w:id="84"/>
      <w:bookmarkEnd w:id="85"/>
      <w:bookmarkEnd w:id="86"/>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1、投标函</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2、开标一览表</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3、货物说明一览表</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4、投标分项报价表</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5、技术规格偏离表</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6、商务条款偏离表</w:t>
      </w:r>
    </w:p>
    <w:p>
      <w:pPr>
        <w:pStyle w:val="12"/>
        <w:spacing w:line="400" w:lineRule="exac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7、投标人基本情况表</w:t>
      </w:r>
    </w:p>
    <w:p>
      <w:pPr>
        <w:pStyle w:val="12"/>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eastAsia="zh-CN"/>
        </w:rPr>
        <w:t>8、中小企业声明函(货物)</w:t>
      </w:r>
    </w:p>
    <w:p>
      <w:pPr>
        <w:pStyle w:val="12"/>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val="en-US" w:eastAsia="zh-CN"/>
        </w:rPr>
        <w:t>9</w:t>
      </w:r>
      <w:r>
        <w:rPr>
          <w:rFonts w:hint="eastAsia" w:ascii="仿宋" w:hAnsi="仿宋" w:eastAsia="仿宋" w:cs="仿宋"/>
          <w:color w:val="auto"/>
          <w:lang w:eastAsia="zh-CN"/>
        </w:rPr>
        <w:t>、《残疾人福利性单位声明函》</w:t>
      </w:r>
    </w:p>
    <w:p>
      <w:pPr>
        <w:pStyle w:val="12"/>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val="en-US" w:eastAsia="zh-CN"/>
        </w:rPr>
        <w:t>10</w:t>
      </w:r>
      <w:r>
        <w:rPr>
          <w:rFonts w:hint="eastAsia" w:ascii="仿宋" w:hAnsi="仿宋" w:eastAsia="仿宋" w:cs="仿宋"/>
          <w:color w:val="auto"/>
          <w:lang w:eastAsia="zh-CN"/>
        </w:rPr>
        <w:t>、评分标准和细则中技术部分证明材料</w:t>
      </w:r>
    </w:p>
    <w:p>
      <w:pPr>
        <w:pStyle w:val="12"/>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val="en-US" w:eastAsia="zh-CN"/>
        </w:rPr>
        <w:t>11</w:t>
      </w:r>
      <w:r>
        <w:rPr>
          <w:rFonts w:hint="eastAsia" w:ascii="仿宋" w:hAnsi="仿宋" w:eastAsia="仿宋" w:cs="仿宋"/>
          <w:color w:val="auto"/>
          <w:lang w:eastAsia="zh-CN"/>
        </w:rPr>
        <w:t>、评分标准和细则中技术部分证明材料（格式自拟）</w:t>
      </w:r>
    </w:p>
    <w:p>
      <w:pPr>
        <w:pStyle w:val="12"/>
        <w:spacing w:line="400" w:lineRule="exact"/>
        <w:ind w:left="359" w:leftChars="148" w:firstLine="228"/>
        <w:rPr>
          <w:rFonts w:hint="eastAsia" w:ascii="仿宋" w:hAnsi="仿宋" w:eastAsia="仿宋" w:cs="仿宋"/>
          <w:color w:val="auto"/>
          <w:lang w:eastAsia="zh-CN"/>
        </w:rPr>
      </w:pPr>
      <w:r>
        <w:rPr>
          <w:rFonts w:hint="eastAsia" w:ascii="仿宋" w:hAnsi="仿宋" w:eastAsia="仿宋" w:cs="仿宋"/>
          <w:color w:val="auto"/>
          <w:lang w:val="en-US" w:eastAsia="zh-CN"/>
        </w:rPr>
        <w:t>12</w:t>
      </w:r>
      <w:r>
        <w:rPr>
          <w:rFonts w:hint="eastAsia" w:ascii="仿宋" w:hAnsi="仿宋" w:eastAsia="仿宋" w:cs="仿宋"/>
          <w:color w:val="auto"/>
          <w:lang w:eastAsia="zh-CN"/>
        </w:rPr>
        <w:t>、投标人认为有必要提供的其他证明材料（格式自拟）</w:t>
      </w:r>
    </w:p>
    <w:p>
      <w:pPr>
        <w:pStyle w:val="12"/>
        <w:tabs>
          <w:tab w:val="left" w:pos="5580"/>
        </w:tabs>
        <w:spacing w:line="400" w:lineRule="exact"/>
        <w:ind w:left="648" w:leftChars="267"/>
        <w:rPr>
          <w:rFonts w:hint="eastAsia" w:ascii="仿宋" w:hAnsi="仿宋" w:eastAsia="仿宋" w:cs="仿宋"/>
          <w:color w:val="auto"/>
          <w:sz w:val="21"/>
          <w:szCs w:val="21"/>
          <w:lang w:eastAsia="zh-CN"/>
        </w:rPr>
      </w:pPr>
      <w:r>
        <w:rPr>
          <w:rFonts w:hint="eastAsia" w:ascii="仿宋" w:hAnsi="仿宋" w:eastAsia="仿宋" w:cs="仿宋"/>
          <w:color w:val="auto"/>
          <w:lang w:eastAsia="zh-CN"/>
        </w:rPr>
        <w:br w:type="page"/>
      </w:r>
    </w:p>
    <w:p>
      <w:pPr>
        <w:pStyle w:val="11"/>
        <w:numPr>
          <w:ilvl w:val="0"/>
          <w:numId w:val="0"/>
        </w:numPr>
        <w:kinsoku w:val="0"/>
        <w:overflowPunct w:val="0"/>
        <w:spacing w:before="130" w:line="355" w:lineRule="auto"/>
        <w:ind w:left="480" w:right="7"/>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eastAsia="zh-CN"/>
        </w:rPr>
        <w:t>1、投标函</w:t>
      </w:r>
    </w:p>
    <w:p>
      <w:pPr>
        <w:spacing w:line="440" w:lineRule="exact"/>
        <w:rPr>
          <w:rFonts w:hint="eastAsia" w:ascii="仿宋" w:hAnsi="仿宋" w:eastAsia="仿宋" w:cs="仿宋"/>
          <w:color w:val="auto"/>
          <w:u w:val="single"/>
          <w:lang w:eastAsia="zh-CN"/>
        </w:rPr>
      </w:pPr>
      <w:r>
        <w:rPr>
          <w:rFonts w:hint="eastAsia" w:ascii="仿宋" w:hAnsi="仿宋" w:eastAsia="仿宋" w:cs="仿宋"/>
          <w:color w:val="auto"/>
          <w:lang w:eastAsia="zh-CN"/>
        </w:rPr>
        <w:t>致：</w:t>
      </w:r>
      <w:r>
        <w:rPr>
          <w:rFonts w:hint="eastAsia" w:ascii="仿宋" w:hAnsi="仿宋" w:eastAsia="仿宋" w:cs="仿宋"/>
          <w:color w:val="auto"/>
          <w:u w:val="single"/>
          <w:lang w:eastAsia="zh-CN"/>
        </w:rPr>
        <w:t xml:space="preserve">                     </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为响应你方组织的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项目的招标[项目编号为：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]，我方愿参与投标。</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我方确认收到贵方提供的</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招标文件的全部内容。</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 xml:space="preserve">      (投标人名称)      </w:t>
      </w:r>
      <w:r>
        <w:rPr>
          <w:rFonts w:hint="eastAsia" w:ascii="仿宋" w:hAnsi="仿宋" w:eastAsia="仿宋" w:cs="仿宋"/>
          <w:color w:val="auto"/>
          <w:lang w:eastAsia="zh-CN"/>
        </w:rPr>
        <w:t>作为投标人正式授权</w:t>
      </w:r>
      <w:r>
        <w:rPr>
          <w:rFonts w:hint="eastAsia" w:ascii="仿宋" w:hAnsi="仿宋" w:eastAsia="仿宋" w:cs="仿宋"/>
          <w:color w:val="auto"/>
          <w:u w:val="single"/>
          <w:lang w:eastAsia="zh-CN"/>
        </w:rPr>
        <w:t xml:space="preserve">  (授权代表全名, 职务)  </w:t>
      </w:r>
      <w:r>
        <w:rPr>
          <w:rFonts w:hint="eastAsia" w:ascii="仿宋" w:hAnsi="仿宋" w:eastAsia="仿宋" w:cs="仿宋"/>
          <w:color w:val="auto"/>
          <w:lang w:eastAsia="zh-CN"/>
        </w:rPr>
        <w:t>代表我方全权处理有关本报价的一切事宜。</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我方已完全明白招标文件的所有条款要求，并申明如下：</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（一）按招标文件提供的全部货物与相关服务的投标总价详见《报价一览表》。</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（二）本投标文件的有效期为投标截止时间起</w:t>
      </w:r>
      <w:r>
        <w:rPr>
          <w:rFonts w:hint="eastAsia" w:ascii="仿宋" w:hAnsi="仿宋" w:eastAsia="仿宋" w:cs="仿宋"/>
          <w:color w:val="auto"/>
          <w:u w:val="single"/>
          <w:lang w:eastAsia="zh-CN"/>
        </w:rPr>
        <w:t>60</w:t>
      </w:r>
      <w:r>
        <w:rPr>
          <w:rFonts w:hint="eastAsia" w:ascii="仿宋" w:hAnsi="仿宋" w:eastAsia="仿宋" w:cs="仿宋"/>
          <w:color w:val="auto"/>
          <w:lang w:eastAsia="zh-CN"/>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（三）我方同意按照贵方可能提出的要求而提供与投标有关的任何其它数据、信息或资料。</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（四）我方理解贵方不一定接受最低投标价或任何贵方可能收到的投标。</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（五）我方如果中标，将保证履行招标文件及其澄清、修改文件（如果有）中的全部责任和义务，按质、按量、按期完成《招标内容》及《合同书》中的全部任务。</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（六）如我方被授予合同，我方承诺支付就本次招标应支付或将支付的中标服务费（详见按招标文件要求格式填写的《中标服务费支付承诺书》）。</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（七）我方作为在法律、财务和运作上独立于采购人、招标代理机构的投标人，在此保证所提交的所有文件和全部说明是真实的和正确的。</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（八）我方投标报价已包含应向知识产权所有权人支付的所有相关税费，并保证采购人在中国使用我方提供的货物时，如有第三方提出侵犯其知识产权主张的，责任由我方承担。</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（九）我方与其他投标人不存在单位负责人为同一人或者存在直接控股、管理关系。</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（十）我方承诺未为本项目提供整体设计、规范编制或者项目管理、监理、检测等服务。</w:t>
      </w:r>
    </w:p>
    <w:p>
      <w:pPr>
        <w:spacing w:line="48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（十一）我方具备《政府采购法》第二十二条规定的条件，承诺如下：</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（1）我方已依法缴纳了各项税费及社会保险费用，如有需要，可随时向采购人提供近三个月内的相关缴费证明，以便核查。</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（2）我方已依法建立健全的财务会计制度，如有需要，可随时向采购人提供相关的证明材料，以便核查。</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（3）我方参加本项目政府采购活动前3年内在经营活动中没有重大违法记录。</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（4）我方具备履行合同所必需的设备和专业技术能力。</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（5）我方符合法律、行政法规规定的其他条件。</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以上内容如有虚假或与事实不符的，评审委员会可将我方做无效投标处理，我方愿意承担相应的法律责任。</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（十三）我方对在本函及投标文件中所作的所有承诺承担法律责任。</w:t>
      </w:r>
    </w:p>
    <w:p>
      <w:pPr>
        <w:spacing w:line="440" w:lineRule="exact"/>
        <w:ind w:firstLine="486" w:firstLineChars="200"/>
        <w:rPr>
          <w:rFonts w:hint="eastAsia" w:ascii="仿宋" w:hAnsi="仿宋" w:eastAsia="仿宋" w:cs="仿宋"/>
          <w:color w:val="auto"/>
          <w:lang w:eastAsia="zh-CN"/>
        </w:rPr>
      </w:pPr>
      <w:r>
        <w:rPr>
          <w:rFonts w:hint="eastAsia" w:ascii="仿宋" w:hAnsi="仿宋" w:eastAsia="仿宋" w:cs="仿宋"/>
          <w:color w:val="auto"/>
          <w:lang w:eastAsia="zh-CN"/>
        </w:rPr>
        <w:t>（十四）所有与本招标有关的函件请发往下列地址：</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地    址：</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.邮政编码：</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电    话：</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传    真：</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rPr>
          <w:rFonts w:hint="eastAsia" w:ascii="仿宋" w:hAnsi="仿宋" w:eastAsia="仿宋" w:cs="仿宋"/>
          <w:color w:val="auto"/>
          <w:lang w:eastAsia="zh-CN"/>
        </w:rPr>
      </w:pPr>
      <w:r>
        <w:rPr>
          <w:rFonts w:hint="eastAsia" w:ascii="仿宋" w:hAnsi="仿宋" w:eastAsia="仿宋" w:cs="仿宋"/>
          <w:color w:val="auto"/>
          <w:lang w:eastAsia="zh-CN"/>
        </w:rPr>
        <w:t>代表姓名：</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.职    务：</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w:t>
      </w:r>
    </w:p>
    <w:p>
      <w:pPr>
        <w:spacing w:line="440" w:lineRule="exact"/>
        <w:ind w:right="480"/>
        <w:jc w:val="right"/>
        <w:rPr>
          <w:rFonts w:hint="eastAsia" w:ascii="仿宋" w:hAnsi="仿宋" w:eastAsia="仿宋" w:cs="仿宋"/>
          <w:color w:val="auto"/>
          <w:lang w:eastAsia="zh-CN"/>
        </w:rPr>
      </w:pPr>
      <w:r>
        <w:rPr>
          <w:rFonts w:hint="eastAsia" w:ascii="仿宋" w:hAnsi="仿宋" w:eastAsia="仿宋" w:cs="仿宋"/>
          <w:color w:val="auto"/>
          <w:lang w:eastAsia="zh-CN"/>
        </w:rPr>
        <w:t>投标人：</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（公章） </w:t>
      </w:r>
    </w:p>
    <w:p>
      <w:pPr>
        <w:wordWrap w:val="0"/>
        <w:spacing w:line="440" w:lineRule="exact"/>
        <w:ind w:firstLine="486" w:firstLineChars="200"/>
        <w:jc w:val="right"/>
        <w:rPr>
          <w:rFonts w:hint="eastAsia" w:ascii="仿宋" w:hAnsi="仿宋" w:eastAsia="仿宋" w:cs="仿宋"/>
          <w:color w:val="auto"/>
          <w:lang w:eastAsia="zh-CN"/>
        </w:rPr>
      </w:pPr>
      <w:r>
        <w:rPr>
          <w:rFonts w:hint="eastAsia" w:ascii="仿宋" w:hAnsi="仿宋" w:eastAsia="仿宋" w:cs="仿宋"/>
          <w:color w:val="auto"/>
          <w:lang w:eastAsia="zh-CN"/>
        </w:rPr>
        <w:t>法定代表人或委托人：</w:t>
      </w:r>
      <w:r>
        <w:rPr>
          <w:rFonts w:hint="eastAsia" w:ascii="仿宋" w:hAnsi="仿宋" w:eastAsia="仿宋" w:cs="仿宋"/>
          <w:color w:val="auto"/>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（签章）  </w:t>
      </w:r>
    </w:p>
    <w:p>
      <w:pPr>
        <w:wordWrap w:val="0"/>
        <w:spacing w:line="440" w:lineRule="exact"/>
        <w:ind w:firstLine="486" w:firstLineChars="200"/>
        <w:jc w:val="right"/>
        <w:rPr>
          <w:rFonts w:hint="eastAsia" w:ascii="仿宋" w:hAnsi="仿宋" w:eastAsia="仿宋" w:cs="仿宋"/>
          <w:color w:val="auto"/>
          <w:lang w:eastAsia="zh-CN"/>
        </w:rPr>
      </w:pPr>
      <w:r>
        <w:rPr>
          <w:rFonts w:hint="eastAsia" w:ascii="仿宋" w:hAnsi="仿宋" w:eastAsia="仿宋" w:cs="仿宋"/>
          <w:color w:val="auto"/>
          <w:lang w:eastAsia="zh-CN"/>
        </w:rPr>
        <w:t xml:space="preserve">  </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lang w:eastAsia="zh-CN"/>
        </w:rPr>
        <w:t>年</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月</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日</w:t>
      </w:r>
    </w:p>
    <w:p>
      <w:pPr>
        <w:pStyle w:val="29"/>
        <w:rPr>
          <w:rFonts w:hint="eastAsia" w:ascii="仿宋" w:hAnsi="仿宋" w:eastAsia="仿宋" w:cs="仿宋"/>
          <w:color w:val="auto"/>
          <w:lang w:eastAsia="zh-CN"/>
        </w:rPr>
      </w:pPr>
      <w:r>
        <w:rPr>
          <w:rFonts w:hint="eastAsia" w:ascii="仿宋" w:hAnsi="仿宋" w:eastAsia="仿宋" w:cs="仿宋"/>
          <w:color w:val="auto"/>
          <w:lang w:eastAsia="zh-CN"/>
        </w:rPr>
        <w:br w:type="page"/>
      </w:r>
    </w:p>
    <w:p>
      <w:pPr>
        <w:pStyle w:val="9"/>
        <w:tabs>
          <w:tab w:val="left" w:pos="5580"/>
        </w:tabs>
        <w:spacing w:line="240" w:lineRule="atLeast"/>
        <w:ind w:firstLine="3364" w:firstLineChars="927"/>
        <w:jc w:val="both"/>
        <w:rPr>
          <w:rFonts w:hint="eastAsia" w:ascii="仿宋" w:hAnsi="仿宋" w:eastAsia="仿宋" w:cs="仿宋"/>
          <w:color w:val="auto"/>
          <w:lang w:eastAsia="zh-CN"/>
        </w:rPr>
      </w:pPr>
      <w:r>
        <w:rPr>
          <w:rFonts w:hint="eastAsia" w:ascii="仿宋" w:hAnsi="仿宋" w:eastAsia="仿宋" w:cs="仿宋"/>
          <w:b/>
          <w:color w:val="auto"/>
          <w:sz w:val="36"/>
          <w:szCs w:val="24"/>
          <w:lang w:eastAsia="zh-CN"/>
        </w:rPr>
        <w:t>2、开标一览表</w:t>
      </w:r>
      <w:r>
        <w:rPr>
          <w:rFonts w:hint="eastAsia" w:ascii="仿宋" w:hAnsi="仿宋" w:eastAsia="仿宋" w:cs="仿宋"/>
          <w:b/>
          <w:color w:val="auto"/>
          <w:sz w:val="36"/>
          <w:szCs w:val="24"/>
          <w:lang w:eastAsia="zh-CN"/>
        </w:rPr>
        <w:cr/>
      </w:r>
    </w:p>
    <w:p>
      <w:pPr>
        <w:adjustRightInd w:val="0"/>
        <w:snapToGrid w:val="0"/>
        <w:spacing w:line="500" w:lineRule="exact"/>
        <w:rPr>
          <w:rFonts w:hint="eastAsia" w:ascii="仿宋" w:hAnsi="仿宋" w:eastAsia="仿宋" w:cs="仿宋"/>
          <w:color w:val="auto"/>
          <w:szCs w:val="21"/>
          <w:u w:val="single"/>
          <w:lang w:eastAsia="zh-CN"/>
        </w:rPr>
      </w:pPr>
      <w:r>
        <w:rPr>
          <w:rFonts w:hint="eastAsia" w:ascii="仿宋" w:hAnsi="仿宋" w:eastAsia="仿宋" w:cs="仿宋"/>
          <w:color w:val="auto"/>
          <w:szCs w:val="21"/>
          <w:lang w:eastAsia="zh-CN"/>
        </w:rPr>
        <w:t xml:space="preserve">招标项目名称： </w:t>
      </w:r>
      <w:r>
        <w:rPr>
          <w:rFonts w:hint="eastAsia" w:ascii="仿宋" w:hAnsi="仿宋" w:eastAsia="仿宋" w:cs="仿宋"/>
          <w:color w:val="auto"/>
          <w:szCs w:val="21"/>
          <w:u w:val="single"/>
          <w:lang w:eastAsia="zh-CN"/>
        </w:rPr>
        <w:t xml:space="preserve">                         </w:t>
      </w:r>
    </w:p>
    <w:p>
      <w:pPr>
        <w:adjustRightInd w:val="0"/>
        <w:snapToGrid w:val="0"/>
        <w:spacing w:line="500" w:lineRule="exact"/>
        <w:rPr>
          <w:rFonts w:hint="eastAsia" w:ascii="仿宋" w:hAnsi="仿宋" w:eastAsia="仿宋" w:cs="仿宋"/>
          <w:i/>
          <w:iCs/>
          <w:color w:val="auto"/>
          <w:szCs w:val="21"/>
          <w:lang w:eastAsia="zh-CN"/>
        </w:rPr>
      </w:pPr>
      <w:r>
        <w:rPr>
          <w:rFonts w:hint="eastAsia" w:ascii="仿宋" w:hAnsi="仿宋" w:eastAsia="仿宋" w:cs="仿宋"/>
          <w:color w:val="auto"/>
          <w:szCs w:val="21"/>
          <w:lang w:eastAsia="zh-CN"/>
        </w:rPr>
        <w:t>招标项目编号：</w:t>
      </w:r>
      <w:r>
        <w:rPr>
          <w:rFonts w:hint="eastAsia" w:ascii="仿宋" w:hAnsi="仿宋" w:eastAsia="仿宋" w:cs="仿宋"/>
          <w:i/>
          <w:iCs/>
          <w:color w:val="auto"/>
          <w:szCs w:val="21"/>
          <w:lang w:eastAsia="zh-CN"/>
        </w:rPr>
        <w:t xml:space="preserve"> </w:t>
      </w:r>
      <w:r>
        <w:rPr>
          <w:rFonts w:hint="eastAsia" w:ascii="仿宋" w:hAnsi="仿宋" w:eastAsia="仿宋" w:cs="仿宋"/>
          <w:color w:val="auto"/>
          <w:szCs w:val="21"/>
          <w:u w:val="single"/>
          <w:lang w:eastAsia="zh-CN"/>
        </w:rPr>
        <w:t xml:space="preserve">                         </w:t>
      </w:r>
    </w:p>
    <w:p>
      <w:pPr>
        <w:spacing w:line="500" w:lineRule="exact"/>
        <w:rPr>
          <w:rFonts w:hint="eastAsia" w:ascii="仿宋" w:hAnsi="仿宋" w:eastAsia="仿宋" w:cs="仿宋"/>
          <w:color w:val="auto"/>
          <w:szCs w:val="21"/>
          <w:lang w:eastAsia="zh-CN"/>
        </w:rPr>
      </w:pPr>
      <w:r>
        <w:rPr>
          <w:rFonts w:hint="eastAsia" w:ascii="仿宋" w:hAnsi="仿宋" w:eastAsia="仿宋" w:cs="仿宋"/>
          <w:color w:val="auto"/>
          <w:szCs w:val="21"/>
          <w:lang w:eastAsia="zh-CN"/>
        </w:rPr>
        <w:t xml:space="preserve">                                                 单位：元（人民币）</w:t>
      </w:r>
    </w:p>
    <w:tbl>
      <w:tblPr>
        <w:tblStyle w:val="22"/>
        <w:tblW w:w="8780" w:type="dxa"/>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项目名称</w:t>
            </w:r>
          </w:p>
        </w:tc>
        <w:tc>
          <w:tcPr>
            <w:tcW w:w="6185" w:type="dxa"/>
            <w:vAlign w:val="center"/>
          </w:tcPr>
          <w:p>
            <w:pP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供货期</w:t>
            </w:r>
            <w:r>
              <w:rPr>
                <w:rFonts w:hint="eastAsia" w:ascii="仿宋" w:hAnsi="仿宋" w:eastAsia="仿宋" w:cs="仿宋"/>
                <w:color w:val="auto"/>
                <w:szCs w:val="21"/>
                <w:lang w:eastAsia="zh-CN"/>
              </w:rPr>
              <w:t>（天）</w:t>
            </w:r>
          </w:p>
        </w:tc>
        <w:tc>
          <w:tcPr>
            <w:tcW w:w="6185" w:type="dxa"/>
            <w:vAlign w:val="center"/>
          </w:tcPr>
          <w:p>
            <w:pPr>
              <w:jc w:val="center"/>
              <w:rPr>
                <w:rFonts w:hint="eastAsia" w:ascii="仿宋" w:hAnsi="仿宋" w:eastAsia="仿宋" w:cs="仿宋"/>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投标有效期</w:t>
            </w:r>
          </w:p>
        </w:tc>
        <w:tc>
          <w:tcPr>
            <w:tcW w:w="618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投标报价</w:t>
            </w:r>
          </w:p>
          <w:p>
            <w:pPr>
              <w:jc w:val="center"/>
              <w:rPr>
                <w:rFonts w:hint="eastAsia" w:ascii="仿宋" w:hAnsi="仿宋" w:eastAsia="仿宋" w:cs="仿宋"/>
                <w:color w:val="auto"/>
                <w:szCs w:val="21"/>
              </w:rPr>
            </w:pPr>
            <w:r>
              <w:rPr>
                <w:rFonts w:hint="eastAsia" w:ascii="仿宋" w:hAnsi="仿宋" w:eastAsia="仿宋" w:cs="仿宋"/>
                <w:color w:val="auto"/>
                <w:szCs w:val="21"/>
              </w:rPr>
              <w:t>（人民币）</w:t>
            </w: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小写</w:t>
            </w:r>
          </w:p>
        </w:tc>
        <w:tc>
          <w:tcPr>
            <w:tcW w:w="6185" w:type="dxa"/>
            <w:vAlign w:val="center"/>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vAlign w:val="center"/>
          </w:tcPr>
          <w:p>
            <w:pPr>
              <w:jc w:val="center"/>
              <w:rPr>
                <w:rFonts w:hint="eastAsia" w:ascii="仿宋" w:hAnsi="仿宋" w:eastAsia="仿宋" w:cs="仿宋"/>
                <w:color w:val="auto"/>
                <w:szCs w:val="21"/>
              </w:rPr>
            </w:pPr>
          </w:p>
        </w:tc>
        <w:tc>
          <w:tcPr>
            <w:tcW w:w="974" w:type="dxa"/>
            <w:tcBorders>
              <w:top w:val="single" w:color="auto" w:sz="4" w:space="0"/>
              <w:bottom w:val="single" w:color="auto" w:sz="4" w:space="0"/>
            </w:tcBorders>
            <w:vAlign w:val="center"/>
          </w:tcPr>
          <w:p>
            <w:pPr>
              <w:widowControl/>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大写</w:t>
            </w:r>
          </w:p>
        </w:tc>
        <w:tc>
          <w:tcPr>
            <w:tcW w:w="6185" w:type="dxa"/>
            <w:vAlign w:val="center"/>
          </w:tcPr>
          <w:p>
            <w:pPr>
              <w:jc w:val="center"/>
              <w:rPr>
                <w:rFonts w:hint="eastAsia" w:ascii="仿宋" w:hAnsi="仿宋" w:eastAsia="仿宋" w:cs="仿宋"/>
                <w:color w:val="auto"/>
                <w:szCs w:val="21"/>
              </w:rPr>
            </w:pPr>
          </w:p>
        </w:tc>
      </w:tr>
    </w:tbl>
    <w:p>
      <w:pPr>
        <w:spacing w:line="500" w:lineRule="exact"/>
        <w:ind w:firstLine="475" w:firstLineChars="196"/>
        <w:rPr>
          <w:rFonts w:hint="eastAsia" w:ascii="仿宋" w:hAnsi="仿宋" w:eastAsia="仿宋" w:cs="仿宋"/>
          <w:color w:val="auto"/>
          <w:szCs w:val="21"/>
        </w:rPr>
      </w:pPr>
      <w:r>
        <w:rPr>
          <w:rFonts w:hint="eastAsia" w:ascii="仿宋" w:hAnsi="仿宋" w:eastAsia="仿宋" w:cs="仿宋"/>
          <w:color w:val="auto"/>
          <w:szCs w:val="21"/>
        </w:rPr>
        <w:t>填写说明：</w:t>
      </w:r>
    </w:p>
    <w:p>
      <w:pPr>
        <w:spacing w:line="500" w:lineRule="exact"/>
        <w:ind w:firstLine="475" w:firstLineChars="196"/>
        <w:rPr>
          <w:rFonts w:hint="eastAsia" w:ascii="仿宋" w:hAnsi="仿宋" w:eastAsia="仿宋" w:cs="仿宋"/>
          <w:color w:val="auto"/>
          <w:szCs w:val="21"/>
          <w:lang w:eastAsia="zh-CN"/>
        </w:rPr>
      </w:pPr>
      <w:r>
        <w:rPr>
          <w:rFonts w:hint="eastAsia" w:ascii="仿宋" w:hAnsi="仿宋" w:eastAsia="仿宋" w:cs="仿宋"/>
          <w:color w:val="auto"/>
          <w:szCs w:val="21"/>
          <w:lang w:eastAsia="zh-CN"/>
        </w:rPr>
        <w:t>1.为方便开标唱标，投标人应将开标一览表单独密封，并在信封上标明“开标一览表”字样，然后在递交投标文件时单独递交</w:t>
      </w:r>
      <w:r>
        <w:rPr>
          <w:rFonts w:hint="eastAsia" w:ascii="仿宋" w:hAnsi="仿宋" w:eastAsia="仿宋" w:cs="仿宋"/>
          <w:b/>
          <w:bCs/>
          <w:color w:val="auto"/>
          <w:lang w:eastAsia="zh-CN"/>
        </w:rPr>
        <w:t>。</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2.开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3.投标总价为招标范围所列全部招标项目的报价总和，并应与投标报价明细表及分项价格表保持一致。</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4.必须在投标文件中装订。</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5.投标报价不得填报选择性报价。</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投标人名称：</w:t>
      </w:r>
      <w:r>
        <w:rPr>
          <w:rFonts w:hint="eastAsia" w:ascii="仿宋" w:hAnsi="仿宋" w:eastAsia="仿宋" w:cs="仿宋"/>
          <w:color w:val="auto"/>
          <w:szCs w:val="21"/>
          <w:u w:val="single"/>
          <w:lang w:eastAsia="zh-CN"/>
        </w:rPr>
        <w:t xml:space="preserve">    （加盖公章）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法定代表人签字或盖章：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授权代表签字或盖章：</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w:t>
      </w:r>
    </w:p>
    <w:p>
      <w:pPr>
        <w:spacing w:line="500" w:lineRule="exact"/>
        <w:ind w:firstLine="486" w:firstLineChars="200"/>
        <w:rPr>
          <w:rFonts w:hint="eastAsia" w:ascii="仿宋" w:hAnsi="仿宋" w:eastAsia="仿宋" w:cs="仿宋"/>
          <w:color w:val="auto"/>
          <w:szCs w:val="21"/>
          <w:lang w:eastAsia="zh-CN"/>
        </w:rPr>
      </w:pPr>
      <w:r>
        <w:rPr>
          <w:rFonts w:hint="eastAsia" w:ascii="仿宋" w:hAnsi="仿宋" w:eastAsia="仿宋" w:cs="仿宋"/>
          <w:color w:val="auto"/>
          <w:szCs w:val="21"/>
          <w:lang w:eastAsia="zh-CN"/>
        </w:rPr>
        <w:t>签署日期：</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 年</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 xml:space="preserve">月 </w:t>
      </w:r>
      <w:r>
        <w:rPr>
          <w:rFonts w:hint="eastAsia" w:ascii="仿宋" w:hAnsi="仿宋" w:eastAsia="仿宋" w:cs="仿宋"/>
          <w:color w:val="auto"/>
          <w:szCs w:val="21"/>
          <w:u w:val="single"/>
          <w:lang w:eastAsia="zh-CN"/>
        </w:rPr>
        <w:t xml:space="preserve">    </w:t>
      </w:r>
      <w:r>
        <w:rPr>
          <w:rFonts w:hint="eastAsia" w:ascii="仿宋" w:hAnsi="仿宋" w:eastAsia="仿宋" w:cs="仿宋"/>
          <w:color w:val="auto"/>
          <w:szCs w:val="21"/>
          <w:lang w:eastAsia="zh-CN"/>
        </w:rPr>
        <w:t>日</w:t>
      </w:r>
    </w:p>
    <w:p>
      <w:pPr>
        <w:pStyle w:val="7"/>
        <w:spacing w:line="240" w:lineRule="atLeast"/>
        <w:rPr>
          <w:rFonts w:hint="eastAsia" w:ascii="仿宋" w:hAnsi="仿宋" w:eastAsia="仿宋" w:cs="仿宋"/>
          <w:bCs/>
          <w:color w:val="auto"/>
          <w:sz w:val="24"/>
          <w:lang w:eastAsia="zh-CN"/>
        </w:rPr>
      </w:pPr>
    </w:p>
    <w:p>
      <w:pPr>
        <w:pStyle w:val="7"/>
        <w:spacing w:line="240" w:lineRule="atLeast"/>
        <w:rPr>
          <w:rFonts w:hint="eastAsia" w:ascii="仿宋" w:hAnsi="仿宋" w:eastAsia="仿宋" w:cs="仿宋"/>
          <w:bCs/>
          <w:color w:val="auto"/>
          <w:sz w:val="24"/>
          <w:lang w:eastAsia="zh-CN"/>
        </w:rPr>
      </w:pPr>
    </w:p>
    <w:p>
      <w:pPr>
        <w:pStyle w:val="32"/>
        <w:keepNext/>
        <w:keepLines/>
        <w:spacing w:before="0" w:after="220"/>
        <w:rPr>
          <w:rFonts w:hint="eastAsia" w:ascii="仿宋" w:hAnsi="仿宋" w:eastAsia="仿宋" w:cs="仿宋"/>
          <w:color w:val="auto"/>
          <w:lang w:val="en-US" w:eastAsia="zh-CN"/>
        </w:rPr>
      </w:pPr>
      <w:r>
        <w:rPr>
          <w:rFonts w:hint="eastAsia" w:ascii="仿宋" w:hAnsi="仿宋" w:eastAsia="仿宋" w:cs="仿宋"/>
          <w:color w:val="auto"/>
          <w:lang w:val="en-US" w:eastAsia="zh-CN"/>
        </w:rPr>
        <w:t>3、货物说明一览表</w:t>
      </w:r>
    </w:p>
    <w:p>
      <w:pPr>
        <w:pStyle w:val="12"/>
        <w:spacing w:line="240" w:lineRule="atLeast"/>
        <w:ind w:left="1164" w:leftChars="257" w:hanging="540"/>
        <w:rPr>
          <w:rFonts w:hint="eastAsia" w:ascii="仿宋" w:hAnsi="仿宋" w:eastAsia="仿宋" w:cs="仿宋"/>
          <w:color w:val="auto"/>
          <w:lang w:eastAsia="zh-CN"/>
        </w:rPr>
      </w:pPr>
    </w:p>
    <w:p>
      <w:pPr>
        <w:pStyle w:val="12"/>
        <w:spacing w:line="240" w:lineRule="atLeas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项目名称:                           </w:t>
      </w:r>
    </w:p>
    <w:p>
      <w:pPr>
        <w:pStyle w:val="12"/>
        <w:spacing w:line="240" w:lineRule="atLeast"/>
        <w:ind w:left="1164" w:leftChars="257" w:hanging="540"/>
        <w:rPr>
          <w:rFonts w:hint="eastAsia" w:ascii="仿宋" w:hAnsi="仿宋" w:eastAsia="仿宋" w:cs="仿宋"/>
          <w:color w:val="auto"/>
          <w:lang w:eastAsia="zh-CN"/>
        </w:rPr>
      </w:pPr>
      <w:r>
        <w:rPr>
          <w:rFonts w:hint="eastAsia" w:ascii="仿宋" w:hAnsi="仿宋" w:eastAsia="仿宋" w:cs="仿宋"/>
          <w:color w:val="auto"/>
          <w:lang w:eastAsia="zh-CN"/>
        </w:rPr>
        <w:t xml:space="preserve">招标编号:                       包号:                      </w:t>
      </w:r>
    </w:p>
    <w:p>
      <w:pPr>
        <w:pStyle w:val="12"/>
        <w:spacing w:line="240" w:lineRule="atLeast"/>
        <w:ind w:left="1164" w:leftChars="257" w:hanging="540"/>
        <w:rPr>
          <w:rFonts w:hint="eastAsia" w:ascii="仿宋" w:hAnsi="仿宋" w:eastAsia="仿宋" w:cs="仿宋"/>
          <w:color w:val="auto"/>
          <w:lang w:eastAsia="zh-CN"/>
        </w:rPr>
      </w:pPr>
    </w:p>
    <w:tbl>
      <w:tblPr>
        <w:tblStyle w:val="22"/>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
        <w:gridCol w:w="1388"/>
        <w:gridCol w:w="1250"/>
        <w:gridCol w:w="1425"/>
        <w:gridCol w:w="903"/>
        <w:gridCol w:w="1284"/>
        <w:gridCol w:w="161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81"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序号</w:t>
            </w:r>
          </w:p>
        </w:tc>
        <w:tc>
          <w:tcPr>
            <w:tcW w:w="1388"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货物名称</w:t>
            </w:r>
          </w:p>
        </w:tc>
        <w:tc>
          <w:tcPr>
            <w:tcW w:w="1250"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品牌型号</w:t>
            </w:r>
          </w:p>
        </w:tc>
        <w:tc>
          <w:tcPr>
            <w:tcW w:w="1425"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规格要求</w:t>
            </w:r>
          </w:p>
        </w:tc>
        <w:tc>
          <w:tcPr>
            <w:tcW w:w="903"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数量</w:t>
            </w:r>
          </w:p>
        </w:tc>
        <w:tc>
          <w:tcPr>
            <w:tcW w:w="1284"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交货期</w:t>
            </w:r>
          </w:p>
        </w:tc>
        <w:tc>
          <w:tcPr>
            <w:tcW w:w="1613"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交货地点</w:t>
            </w:r>
          </w:p>
        </w:tc>
        <w:tc>
          <w:tcPr>
            <w:tcW w:w="1050" w:type="dxa"/>
            <w:vAlign w:val="center"/>
          </w:tcPr>
          <w:p>
            <w:pPr>
              <w:jc w:val="center"/>
              <w:rPr>
                <w:rFonts w:hint="eastAsia" w:ascii="仿宋" w:hAnsi="仿宋" w:eastAsia="仿宋" w:cs="仿宋"/>
                <w:color w:val="auto"/>
                <w:kern w:val="2"/>
                <w:szCs w:val="20"/>
                <w:u w:color="000000"/>
                <w:lang w:eastAsia="zh-CN" w:bidi="ar-SA"/>
              </w:rPr>
            </w:pPr>
            <w:r>
              <w:rPr>
                <w:rFonts w:hint="eastAsia" w:ascii="仿宋" w:hAnsi="仿宋" w:eastAsia="仿宋" w:cs="仿宋"/>
                <w:color w:val="auto"/>
                <w:kern w:val="2"/>
                <w:szCs w:val="20"/>
                <w:u w:color="000000"/>
                <w:lang w:eastAsia="zh-CN" w:bidi="ar-SA"/>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81" w:type="dxa"/>
          </w:tcPr>
          <w:p>
            <w:pPr>
              <w:pStyle w:val="12"/>
              <w:spacing w:line="240" w:lineRule="atLeast"/>
              <w:ind w:left="1164" w:leftChars="257" w:hanging="540"/>
              <w:rPr>
                <w:rFonts w:hint="eastAsia" w:ascii="仿宋" w:hAnsi="仿宋" w:eastAsia="仿宋" w:cs="仿宋"/>
                <w:color w:val="auto"/>
                <w:lang w:eastAsia="zh-CN"/>
              </w:rPr>
            </w:pPr>
          </w:p>
        </w:tc>
        <w:tc>
          <w:tcPr>
            <w:tcW w:w="1388" w:type="dxa"/>
          </w:tcPr>
          <w:p>
            <w:pPr>
              <w:pStyle w:val="12"/>
              <w:spacing w:line="240" w:lineRule="atLeast"/>
              <w:ind w:left="1164" w:leftChars="257" w:hanging="540"/>
              <w:rPr>
                <w:rFonts w:hint="eastAsia" w:ascii="仿宋" w:hAnsi="仿宋" w:eastAsia="仿宋" w:cs="仿宋"/>
                <w:color w:val="auto"/>
                <w:lang w:eastAsia="zh-CN"/>
              </w:rPr>
            </w:pPr>
          </w:p>
        </w:tc>
        <w:tc>
          <w:tcPr>
            <w:tcW w:w="1250" w:type="dxa"/>
          </w:tcPr>
          <w:p>
            <w:pPr>
              <w:pStyle w:val="12"/>
              <w:spacing w:line="240" w:lineRule="atLeast"/>
              <w:ind w:left="1164" w:leftChars="257" w:hanging="540"/>
              <w:rPr>
                <w:rFonts w:hint="eastAsia" w:ascii="仿宋" w:hAnsi="仿宋" w:eastAsia="仿宋" w:cs="仿宋"/>
                <w:color w:val="auto"/>
                <w:lang w:eastAsia="zh-CN"/>
              </w:rPr>
            </w:pPr>
          </w:p>
        </w:tc>
        <w:tc>
          <w:tcPr>
            <w:tcW w:w="1425" w:type="dxa"/>
          </w:tcPr>
          <w:p>
            <w:pPr>
              <w:pStyle w:val="12"/>
              <w:spacing w:line="240" w:lineRule="atLeast"/>
              <w:ind w:left="1164" w:leftChars="257" w:hanging="540"/>
              <w:rPr>
                <w:rFonts w:hint="eastAsia" w:ascii="仿宋" w:hAnsi="仿宋" w:eastAsia="仿宋" w:cs="仿宋"/>
                <w:color w:val="auto"/>
                <w:lang w:eastAsia="zh-CN"/>
              </w:rPr>
            </w:pPr>
          </w:p>
        </w:tc>
        <w:tc>
          <w:tcPr>
            <w:tcW w:w="903" w:type="dxa"/>
          </w:tcPr>
          <w:p>
            <w:pPr>
              <w:pStyle w:val="12"/>
              <w:spacing w:line="240" w:lineRule="atLeast"/>
              <w:ind w:left="1164" w:leftChars="257" w:hanging="540"/>
              <w:rPr>
                <w:rFonts w:hint="eastAsia" w:ascii="仿宋" w:hAnsi="仿宋" w:eastAsia="仿宋" w:cs="仿宋"/>
                <w:color w:val="auto"/>
                <w:lang w:eastAsia="zh-CN"/>
              </w:rPr>
            </w:pPr>
          </w:p>
        </w:tc>
        <w:tc>
          <w:tcPr>
            <w:tcW w:w="1284" w:type="dxa"/>
          </w:tcPr>
          <w:p>
            <w:pPr>
              <w:pStyle w:val="12"/>
              <w:spacing w:line="240" w:lineRule="atLeast"/>
              <w:ind w:left="1164" w:leftChars="257" w:hanging="540"/>
              <w:rPr>
                <w:rFonts w:hint="eastAsia" w:ascii="仿宋" w:hAnsi="仿宋" w:eastAsia="仿宋" w:cs="仿宋"/>
                <w:color w:val="auto"/>
                <w:lang w:eastAsia="zh-CN"/>
              </w:rPr>
            </w:pPr>
          </w:p>
        </w:tc>
        <w:tc>
          <w:tcPr>
            <w:tcW w:w="1613" w:type="dxa"/>
          </w:tcPr>
          <w:p>
            <w:pPr>
              <w:pStyle w:val="12"/>
              <w:spacing w:line="240" w:lineRule="atLeast"/>
              <w:ind w:left="1164" w:leftChars="257" w:hanging="540"/>
              <w:rPr>
                <w:rFonts w:hint="eastAsia" w:ascii="仿宋" w:hAnsi="仿宋" w:eastAsia="仿宋" w:cs="仿宋"/>
                <w:color w:val="auto"/>
                <w:lang w:eastAsia="zh-CN"/>
              </w:rPr>
            </w:pPr>
          </w:p>
        </w:tc>
        <w:tc>
          <w:tcPr>
            <w:tcW w:w="1050" w:type="dxa"/>
          </w:tcPr>
          <w:p>
            <w:pPr>
              <w:pStyle w:val="12"/>
              <w:spacing w:line="240" w:lineRule="atLeast"/>
              <w:ind w:left="1164" w:leftChars="257" w:hanging="540"/>
              <w:rPr>
                <w:rFonts w:hint="eastAsia" w:ascii="仿宋" w:hAnsi="仿宋" w:eastAsia="仿宋" w:cs="仿宋"/>
                <w:color w:val="auto"/>
                <w:lang w:eastAsia="zh-CN"/>
              </w:rPr>
            </w:pPr>
          </w:p>
        </w:tc>
      </w:tr>
    </w:tbl>
    <w:p>
      <w:pPr>
        <w:pStyle w:val="12"/>
        <w:spacing w:line="240" w:lineRule="atLeast"/>
        <w:ind w:left="1164" w:leftChars="257" w:hanging="540"/>
        <w:rPr>
          <w:rFonts w:hint="eastAsia" w:ascii="仿宋" w:hAnsi="仿宋" w:eastAsia="仿宋" w:cs="仿宋"/>
          <w:color w:val="auto"/>
        </w:rPr>
      </w:pPr>
    </w:p>
    <w:p>
      <w:pPr>
        <w:pStyle w:val="12"/>
        <w:spacing w:line="240" w:lineRule="atLeast"/>
        <w:ind w:left="1348" w:leftChars="555" w:firstLine="1397" w:firstLineChars="575"/>
        <w:rPr>
          <w:rFonts w:hint="eastAsia" w:ascii="仿宋" w:hAnsi="仿宋" w:eastAsia="仿宋" w:cs="仿宋"/>
          <w:color w:val="auto"/>
          <w:lang w:eastAsia="zh-CN"/>
        </w:rPr>
      </w:pPr>
      <w:r>
        <w:rPr>
          <w:rFonts w:hint="eastAsia" w:ascii="仿宋" w:hAnsi="仿宋" w:eastAsia="仿宋" w:cs="仿宋"/>
          <w:color w:val="auto"/>
          <w:lang w:eastAsia="zh-CN"/>
        </w:rPr>
        <w:t>法定代表人或其委托代理人签字:</w:t>
      </w:r>
      <w:r>
        <w:rPr>
          <w:rFonts w:hint="eastAsia" w:ascii="仿宋" w:hAnsi="仿宋" w:eastAsia="仿宋" w:cs="仿宋"/>
          <w:color w:val="auto"/>
          <w:u w:val="single"/>
          <w:lang w:eastAsia="zh-CN"/>
        </w:rPr>
        <w:t xml:space="preserve"> </w:t>
      </w:r>
      <w:r>
        <w:rPr>
          <w:rFonts w:hint="eastAsia" w:ascii="仿宋" w:hAnsi="仿宋" w:eastAsia="仿宋" w:cs="仿宋"/>
          <w:color w:val="auto"/>
          <w:u w:val="single"/>
          <w:lang w:eastAsia="zh-CN"/>
        </w:rPr>
        <w:tab/>
      </w:r>
      <w:r>
        <w:rPr>
          <w:rFonts w:hint="eastAsia" w:ascii="仿宋" w:hAnsi="仿宋" w:eastAsia="仿宋" w:cs="仿宋"/>
          <w:color w:val="auto"/>
          <w:u w:val="single"/>
          <w:lang w:eastAsia="zh-CN"/>
        </w:rPr>
        <w:t xml:space="preserve">                 </w:t>
      </w:r>
    </w:p>
    <w:p>
      <w:pPr>
        <w:pStyle w:val="12"/>
        <w:tabs>
          <w:tab w:val="left" w:pos="5370"/>
        </w:tabs>
        <w:spacing w:line="240" w:lineRule="atLeast"/>
        <w:ind w:left="1164" w:leftChars="257" w:hanging="540"/>
        <w:rPr>
          <w:rFonts w:hint="eastAsia" w:ascii="仿宋" w:hAnsi="仿宋" w:eastAsia="仿宋" w:cs="仿宋"/>
          <w:color w:val="auto"/>
          <w:lang w:eastAsia="zh-CN"/>
        </w:rPr>
      </w:pPr>
    </w:p>
    <w:p>
      <w:pPr>
        <w:pStyle w:val="12"/>
        <w:tabs>
          <w:tab w:val="left" w:pos="5370"/>
        </w:tabs>
        <w:spacing w:line="240" w:lineRule="atLeast"/>
        <w:ind w:left="1348" w:leftChars="555" w:firstLine="1397" w:firstLineChars="575"/>
        <w:rPr>
          <w:rFonts w:hint="eastAsia" w:ascii="仿宋" w:hAnsi="仿宋" w:eastAsia="仿宋" w:cs="仿宋"/>
          <w:color w:val="auto"/>
          <w:u w:val="single"/>
          <w:lang w:eastAsia="zh-CN"/>
        </w:rPr>
      </w:pPr>
      <w:r>
        <w:rPr>
          <w:rFonts w:hint="eastAsia" w:ascii="仿宋" w:hAnsi="仿宋" w:eastAsia="仿宋" w:cs="仿宋"/>
          <w:color w:val="auto"/>
          <w:lang w:eastAsia="zh-CN"/>
        </w:rPr>
        <w:t>投标人(盖单位章):</w:t>
      </w:r>
      <w:r>
        <w:rPr>
          <w:rFonts w:hint="eastAsia" w:ascii="仿宋" w:hAnsi="仿宋" w:eastAsia="仿宋" w:cs="仿宋"/>
          <w:color w:val="auto"/>
          <w:u w:val="single"/>
          <w:lang w:eastAsia="zh-CN"/>
        </w:rPr>
        <w:tab/>
      </w:r>
    </w:p>
    <w:p>
      <w:pPr>
        <w:pStyle w:val="12"/>
        <w:spacing w:line="240" w:lineRule="atLeast"/>
        <w:ind w:left="1164" w:leftChars="257" w:hanging="540"/>
        <w:rPr>
          <w:rFonts w:hint="eastAsia" w:ascii="仿宋" w:hAnsi="仿宋" w:eastAsia="仿宋" w:cs="仿宋"/>
          <w:color w:val="auto"/>
          <w:lang w:eastAsia="zh-CN"/>
        </w:rPr>
      </w:pPr>
    </w:p>
    <w:p>
      <w:pPr>
        <w:pStyle w:val="12"/>
        <w:spacing w:line="240" w:lineRule="atLeast"/>
        <w:ind w:left="1348" w:leftChars="555" w:firstLine="1154" w:firstLineChars="475"/>
        <w:rPr>
          <w:rFonts w:hint="eastAsia" w:ascii="仿宋" w:hAnsi="仿宋" w:eastAsia="仿宋" w:cs="仿宋"/>
          <w:color w:val="auto"/>
          <w:lang w:eastAsia="zh-CN"/>
        </w:rPr>
      </w:pPr>
      <w:r>
        <w:rPr>
          <w:rFonts w:hint="eastAsia" w:ascii="仿宋" w:hAnsi="仿宋" w:eastAsia="仿宋" w:cs="仿宋"/>
          <w:color w:val="auto"/>
          <w:lang w:eastAsia="zh-CN"/>
        </w:rPr>
        <w:t>注: 各项货物详细技术性能应另页描述。</w:t>
      </w:r>
    </w:p>
    <w:p>
      <w:pPr>
        <w:pStyle w:val="12"/>
        <w:spacing w:line="240" w:lineRule="atLeast"/>
        <w:ind w:left="1164" w:leftChars="257" w:hanging="540"/>
        <w:jc w:val="center"/>
        <w:rPr>
          <w:rFonts w:hint="eastAsia" w:ascii="仿宋" w:hAnsi="仿宋" w:eastAsia="仿宋" w:cs="仿宋"/>
          <w:color w:val="auto"/>
          <w:lang w:eastAsia="zh-CN"/>
        </w:rPr>
      </w:pPr>
    </w:p>
    <w:p>
      <w:pPr>
        <w:pStyle w:val="12"/>
        <w:spacing w:line="240" w:lineRule="atLeast"/>
        <w:ind w:left="1164" w:leftChars="257" w:hanging="540"/>
        <w:jc w:val="center"/>
        <w:rPr>
          <w:rFonts w:hint="eastAsia" w:ascii="仿宋" w:hAnsi="仿宋" w:eastAsia="仿宋" w:cs="仿宋"/>
          <w:color w:val="auto"/>
          <w:lang w:eastAsia="zh-CN"/>
        </w:rPr>
        <w:sectPr>
          <w:footerReference r:id="rId9" w:type="default"/>
          <w:pgSz w:w="11905" w:h="16838"/>
          <w:pgMar w:top="1440" w:right="1797" w:bottom="1440" w:left="1797" w:header="850" w:footer="992" w:gutter="0"/>
          <w:cols w:space="720" w:num="1"/>
          <w:docGrid w:type="linesAndChars" w:linePitch="325" w:charSpace="635"/>
        </w:sectPr>
      </w:pPr>
    </w:p>
    <w:p>
      <w:pPr>
        <w:pStyle w:val="32"/>
        <w:keepNext/>
        <w:keepLines/>
        <w:spacing w:before="0" w:after="220"/>
        <w:rPr>
          <w:rFonts w:hint="eastAsia" w:ascii="仿宋" w:hAnsi="仿宋" w:eastAsia="仿宋" w:cs="仿宋"/>
          <w:b/>
          <w:bCs/>
          <w:color w:val="auto"/>
        </w:rPr>
      </w:pPr>
      <w:r>
        <w:rPr>
          <w:rFonts w:hint="eastAsia" w:ascii="仿宋" w:hAnsi="仿宋" w:eastAsia="仿宋" w:cs="仿宋"/>
          <w:b/>
          <w:bCs/>
          <w:color w:val="auto"/>
          <w:lang w:val="en-US" w:eastAsia="zh-CN"/>
        </w:rPr>
        <w:t>4</w:t>
      </w:r>
      <w:r>
        <w:rPr>
          <w:rFonts w:hint="eastAsia" w:ascii="仿宋" w:hAnsi="仿宋" w:eastAsia="仿宋" w:cs="仿宋"/>
          <w:b/>
          <w:bCs/>
          <w:color w:val="auto"/>
          <w:lang w:eastAsia="zh-CN"/>
        </w:rPr>
        <w:t>、投标分项报价表</w:t>
      </w:r>
    </w:p>
    <w:p>
      <w:pPr>
        <w:pStyle w:val="32"/>
        <w:keepNext/>
        <w:keepLines/>
        <w:spacing w:before="0" w:after="220"/>
        <w:jc w:val="both"/>
        <w:rPr>
          <w:rFonts w:hint="eastAsia" w:ascii="仿宋" w:hAnsi="仿宋" w:eastAsia="仿宋" w:cs="仿宋"/>
          <w:color w:val="auto"/>
          <w:sz w:val="24"/>
        </w:rPr>
      </w:pPr>
      <w:r>
        <w:rPr>
          <w:rFonts w:hint="eastAsia" w:ascii="仿宋" w:hAnsi="仿宋" w:eastAsia="仿宋" w:cs="仿宋"/>
          <w:color w:val="auto"/>
          <w:sz w:val="24"/>
        </w:rPr>
        <w:t xml:space="preserve">项目名称:                      </w:t>
      </w:r>
    </w:p>
    <w:p>
      <w:pPr>
        <w:pStyle w:val="32"/>
        <w:keepNext/>
        <w:keepLines/>
        <w:spacing w:before="0" w:after="220"/>
        <w:jc w:val="both"/>
        <w:rPr>
          <w:rFonts w:hint="eastAsia" w:ascii="仿宋" w:hAnsi="仿宋" w:eastAsia="仿宋" w:cs="仿宋"/>
          <w:color w:val="auto"/>
          <w:sz w:val="24"/>
        </w:rPr>
      </w:pPr>
      <w:r>
        <w:rPr>
          <w:rFonts w:hint="eastAsia" w:ascii="仿宋" w:hAnsi="仿宋" w:eastAsia="仿宋" w:cs="仿宋"/>
          <w:color w:val="auto"/>
          <w:sz w:val="24"/>
        </w:rPr>
        <w:t xml:space="preserve">招标编号: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包号: 　 </w:t>
      </w:r>
    </w:p>
    <w:p>
      <w:pPr>
        <w:pStyle w:val="12"/>
        <w:spacing w:line="240" w:lineRule="atLeast"/>
        <w:ind w:left="1157" w:leftChars="257" w:hanging="540"/>
        <w:jc w:val="center"/>
        <w:rPr>
          <w:rFonts w:hint="eastAsia" w:ascii="仿宋" w:hAnsi="仿宋" w:eastAsia="仿宋" w:cs="仿宋"/>
          <w:color w:val="auto"/>
          <w:lang w:eastAsia="zh-CN"/>
        </w:rPr>
      </w:pPr>
      <w:r>
        <w:rPr>
          <w:rFonts w:hint="eastAsia" w:ascii="仿宋" w:hAnsi="仿宋" w:eastAsia="仿宋" w:cs="仿宋"/>
          <w:color w:val="auto"/>
          <w:lang w:eastAsia="zh-CN"/>
        </w:rPr>
        <w:t xml:space="preserve">                                         　 单位：</w:t>
      </w:r>
      <w:r>
        <w:rPr>
          <w:rFonts w:hint="eastAsia" w:ascii="仿宋" w:hAnsi="仿宋" w:eastAsia="仿宋" w:cs="仿宋"/>
          <w:color w:val="auto"/>
          <w:szCs w:val="21"/>
          <w:lang w:eastAsia="zh-CN"/>
        </w:rPr>
        <w:t>元（人民币）</w:t>
      </w:r>
    </w:p>
    <w:tbl>
      <w:tblPr>
        <w:tblStyle w:val="22"/>
        <w:tblW w:w="885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2"/>
        <w:gridCol w:w="1412"/>
        <w:gridCol w:w="1350"/>
        <w:gridCol w:w="969"/>
        <w:gridCol w:w="906"/>
        <w:gridCol w:w="939"/>
        <w:gridCol w:w="962"/>
        <w:gridCol w:w="813"/>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rPr>
              <w:t>产品名称</w:t>
            </w: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品牌</w:t>
            </w:r>
            <w:r>
              <w:rPr>
                <w:rFonts w:hint="eastAsia" w:ascii="仿宋" w:hAnsi="仿宋" w:eastAsia="仿宋" w:cs="仿宋"/>
                <w:color w:val="auto"/>
                <w:szCs w:val="21"/>
                <w:lang w:val="en-US" w:eastAsia="zh-CN"/>
              </w:rPr>
              <w:t>/</w:t>
            </w:r>
            <w:r>
              <w:rPr>
                <w:rFonts w:hint="eastAsia" w:ascii="仿宋" w:hAnsi="仿宋" w:eastAsia="仿宋" w:cs="仿宋"/>
                <w:color w:val="auto"/>
                <w:szCs w:val="21"/>
                <w:lang w:eastAsia="zh-CN"/>
              </w:rPr>
              <w:t>型号</w:t>
            </w: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参数</w:t>
            </w: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数量</w:t>
            </w: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r>
              <w:rPr>
                <w:rFonts w:hint="eastAsia" w:ascii="仿宋" w:hAnsi="仿宋" w:eastAsia="仿宋" w:cs="仿宋"/>
                <w:color w:val="auto"/>
                <w:szCs w:val="21"/>
                <w:lang w:eastAsia="zh-CN"/>
              </w:rPr>
              <w:t>单位</w:t>
            </w: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单价</w:t>
            </w: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总价</w:t>
            </w: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63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41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135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0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96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1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c>
          <w:tcPr>
            <w:tcW w:w="86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 w:hAnsi="仿宋" w:eastAsia="仿宋" w:cs="仿宋"/>
                <w:color w:val="auto"/>
                <w:szCs w:val="21"/>
              </w:rPr>
            </w:pPr>
          </w:p>
        </w:tc>
      </w:tr>
    </w:tbl>
    <w:p>
      <w:pPr>
        <w:pStyle w:val="36"/>
        <w:spacing w:line="317" w:lineRule="exact"/>
        <w:rPr>
          <w:rFonts w:hint="eastAsia" w:ascii="仿宋" w:hAnsi="仿宋" w:eastAsia="仿宋" w:cs="仿宋"/>
          <w:color w:val="auto"/>
          <w:sz w:val="24"/>
          <w:szCs w:val="24"/>
        </w:rPr>
      </w:pPr>
      <w:r>
        <w:rPr>
          <w:rFonts w:hint="eastAsia" w:ascii="仿宋" w:hAnsi="仿宋" w:eastAsia="仿宋" w:cs="仿宋"/>
          <w:color w:val="auto"/>
          <w:sz w:val="24"/>
          <w:szCs w:val="24"/>
        </w:rPr>
        <w:t>说明：</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所有价格均用人民币表示，单位为元。</w:t>
      </w:r>
    </w:p>
    <w:p>
      <w:pPr>
        <w:pStyle w:val="36"/>
        <w:tabs>
          <w:tab w:val="left" w:pos="378"/>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报价总计价格必须与《</w:t>
      </w:r>
      <w:r>
        <w:rPr>
          <w:rFonts w:hint="eastAsia" w:ascii="仿宋" w:hAnsi="仿宋" w:eastAsia="仿宋" w:cs="仿宋"/>
          <w:color w:val="auto"/>
          <w:sz w:val="24"/>
          <w:szCs w:val="24"/>
          <w:lang w:eastAsia="zh-CN"/>
        </w:rPr>
        <w:t>投标报价单</w:t>
      </w:r>
      <w:r>
        <w:rPr>
          <w:rFonts w:hint="eastAsia" w:ascii="仿宋" w:hAnsi="仿宋" w:eastAsia="仿宋" w:cs="仿宋"/>
          <w:color w:val="auto"/>
          <w:sz w:val="24"/>
          <w:szCs w:val="24"/>
        </w:rPr>
        <w:t>》报价一致。</w:t>
      </w:r>
    </w:p>
    <w:p>
      <w:pPr>
        <w:pStyle w:val="36"/>
        <w:tabs>
          <w:tab w:val="left" w:pos="490"/>
        </w:tabs>
        <w:spacing w:line="317" w:lineRule="exact"/>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如果不提供详细的分项报价表将被视为没有实质性</w:t>
      </w:r>
      <w:r>
        <w:rPr>
          <w:rFonts w:hint="eastAsia" w:ascii="仿宋" w:hAnsi="仿宋" w:eastAsia="仿宋" w:cs="仿宋"/>
          <w:color w:val="auto"/>
          <w:sz w:val="24"/>
          <w:szCs w:val="24"/>
          <w:lang w:eastAsia="zh-CN"/>
        </w:rPr>
        <w:t>投标文件</w:t>
      </w:r>
      <w:r>
        <w:rPr>
          <w:rFonts w:hint="eastAsia" w:ascii="仿宋" w:hAnsi="仿宋" w:eastAsia="仿宋" w:cs="仿宋"/>
          <w:color w:val="auto"/>
          <w:sz w:val="24"/>
          <w:szCs w:val="24"/>
        </w:rPr>
        <w:t>。</w:t>
      </w:r>
    </w:p>
    <w:p>
      <w:pPr>
        <w:pStyle w:val="36"/>
        <w:tabs>
          <w:tab w:val="left" w:pos="493"/>
        </w:tabs>
        <w:spacing w:line="317" w:lineRule="exact"/>
        <w:ind w:left="240" w:leftChars="10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投标人必须按此表格式中的对应栏目内容填写，若需增加栏目，请在栏目</w:t>
      </w:r>
      <w:r>
        <w:rPr>
          <w:rFonts w:hint="eastAsia" w:ascii="仿宋" w:hAnsi="仿宋" w:eastAsia="仿宋" w:cs="仿宋"/>
          <w:color w:val="auto"/>
          <w:sz w:val="24"/>
          <w:szCs w:val="24"/>
          <w:lang w:val="zh-CN" w:eastAsia="zh-CN" w:bidi="zh-CN"/>
        </w:rPr>
        <w:t>“其</w:t>
      </w:r>
      <w:r>
        <w:rPr>
          <w:rFonts w:hint="eastAsia" w:ascii="仿宋" w:hAnsi="仿宋" w:eastAsia="仿宋" w:cs="仿宋"/>
          <w:color w:val="auto"/>
          <w:sz w:val="24"/>
          <w:szCs w:val="24"/>
        </w:rPr>
        <w:t>它”中填写，并作详细说明。</w:t>
      </w:r>
    </w:p>
    <w:p>
      <w:pPr>
        <w:pStyle w:val="36"/>
        <w:tabs>
          <w:tab w:val="left" w:pos="493"/>
        </w:tabs>
        <w:spacing w:line="317" w:lineRule="exact"/>
        <w:ind w:left="176"/>
        <w:rPr>
          <w:rFonts w:hint="eastAsia" w:ascii="仿宋" w:hAnsi="仿宋" w:eastAsia="仿宋" w:cs="仿宋"/>
          <w:color w:val="auto"/>
          <w:sz w:val="20"/>
          <w:szCs w:val="20"/>
        </w:rPr>
      </w:pPr>
    </w:p>
    <w:p>
      <w:pPr>
        <w:pStyle w:val="36"/>
        <w:tabs>
          <w:tab w:val="left" w:pos="493"/>
        </w:tabs>
        <w:spacing w:line="317" w:lineRule="exact"/>
        <w:ind w:left="176"/>
        <w:rPr>
          <w:rFonts w:hint="eastAsia" w:ascii="仿宋" w:hAnsi="仿宋" w:eastAsia="仿宋" w:cs="仿宋"/>
          <w:color w:val="auto"/>
          <w:sz w:val="20"/>
          <w:szCs w:val="20"/>
        </w:rPr>
      </w:pP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11"/>
        <w:numPr>
          <w:ilvl w:val="0"/>
          <w:numId w:val="0"/>
        </w:numPr>
        <w:tabs>
          <w:tab w:val="left" w:pos="5551"/>
          <w:tab w:val="left" w:pos="6511"/>
          <w:tab w:val="left" w:pos="7111"/>
          <w:tab w:val="left" w:pos="7711"/>
        </w:tabs>
        <w:kinsoku w:val="0"/>
        <w:overflowPunct w:val="0"/>
        <w:spacing w:before="46"/>
        <w:ind w:left="3928"/>
        <w:rPr>
          <w:rFonts w:hint="eastAsia" w:ascii="仿宋" w:hAnsi="仿宋" w:eastAsia="仿宋" w:cs="仿宋"/>
          <w:color w:val="auto"/>
          <w:sz w:val="24"/>
          <w:lang w:eastAsia="zh-CN"/>
        </w:rPr>
      </w:pPr>
      <w:r>
        <w:rPr>
          <w:rFonts w:hint="eastAsia" w:ascii="仿宋" w:hAnsi="仿宋" w:eastAsia="仿宋" w:cs="仿宋"/>
          <w:color w:val="auto"/>
          <w:sz w:val="24"/>
          <w:lang w:eastAsia="zh-CN"/>
        </w:rPr>
        <w:t>日期：</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年</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月</w:t>
      </w:r>
      <w:r>
        <w:rPr>
          <w:rFonts w:hint="eastAsia" w:ascii="仿宋" w:hAnsi="仿宋" w:eastAsia="仿宋" w:cs="仿宋"/>
          <w:color w:val="auto"/>
          <w:sz w:val="24"/>
          <w:u w:val="single"/>
          <w:lang w:eastAsia="zh-CN"/>
        </w:rPr>
        <w:tab/>
      </w:r>
      <w:r>
        <w:rPr>
          <w:rFonts w:hint="eastAsia" w:ascii="仿宋" w:hAnsi="仿宋" w:eastAsia="仿宋" w:cs="仿宋"/>
          <w:color w:val="auto"/>
          <w:sz w:val="24"/>
          <w:lang w:eastAsia="zh-CN"/>
        </w:rPr>
        <w:t>日</w:t>
      </w:r>
    </w:p>
    <w:p>
      <w:pPr>
        <w:pStyle w:val="11"/>
        <w:numPr>
          <w:ilvl w:val="0"/>
          <w:numId w:val="0"/>
        </w:numPr>
        <w:kinsoku w:val="0"/>
        <w:overflowPunct w:val="0"/>
        <w:spacing w:before="34" w:line="357" w:lineRule="auto"/>
        <w:ind w:left="480" w:right="126"/>
        <w:jc w:val="center"/>
        <w:rPr>
          <w:rFonts w:hint="eastAsia" w:ascii="仿宋" w:hAnsi="仿宋" w:eastAsia="仿宋" w:cs="仿宋"/>
          <w:b/>
          <w:bCs/>
          <w:color w:val="auto"/>
          <w:sz w:val="36"/>
          <w:szCs w:val="36"/>
          <w:lang w:eastAsia="zh-CN"/>
        </w:rPr>
      </w:pPr>
    </w:p>
    <w:p>
      <w:pPr>
        <w:spacing w:line="360" w:lineRule="auto"/>
        <w:jc w:val="center"/>
        <w:rPr>
          <w:rFonts w:hint="eastAsia" w:ascii="仿宋" w:hAnsi="仿宋" w:eastAsia="仿宋" w:cs="仿宋"/>
          <w:b/>
          <w:color w:val="auto"/>
          <w:sz w:val="36"/>
          <w:szCs w:val="36"/>
          <w:lang w:eastAsia="zh-CN"/>
        </w:rPr>
      </w:pPr>
    </w:p>
    <w:p>
      <w:pPr>
        <w:spacing w:line="360" w:lineRule="auto"/>
        <w:jc w:val="center"/>
        <w:rPr>
          <w:rFonts w:hint="eastAsia" w:ascii="仿宋" w:hAnsi="仿宋" w:eastAsia="仿宋" w:cs="仿宋"/>
          <w:b/>
          <w:bCs/>
          <w:color w:val="auto"/>
          <w:sz w:val="32"/>
          <w:szCs w:val="32"/>
          <w:lang w:eastAsia="zh-CN"/>
        </w:rPr>
      </w:pPr>
      <w:r>
        <w:rPr>
          <w:rFonts w:hint="eastAsia" w:ascii="仿宋" w:hAnsi="仿宋" w:eastAsia="仿宋" w:cs="仿宋"/>
          <w:b/>
          <w:color w:val="auto"/>
          <w:sz w:val="36"/>
          <w:szCs w:val="36"/>
          <w:lang w:eastAsia="zh-CN"/>
        </w:rPr>
        <w:t>5、</w:t>
      </w:r>
      <w:r>
        <w:rPr>
          <w:rFonts w:hint="eastAsia" w:ascii="仿宋" w:hAnsi="仿宋" w:eastAsia="仿宋" w:cs="仿宋"/>
          <w:b/>
          <w:bCs/>
          <w:color w:val="auto"/>
          <w:sz w:val="32"/>
          <w:szCs w:val="32"/>
          <w:lang w:eastAsia="zh-CN"/>
        </w:rPr>
        <w:t>技术条款偏离表</w:t>
      </w:r>
    </w:p>
    <w:tbl>
      <w:tblPr>
        <w:tblStyle w:val="22"/>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5"/>
        <w:gridCol w:w="1357"/>
        <w:gridCol w:w="1326"/>
        <w:gridCol w:w="1326"/>
        <w:gridCol w:w="1326"/>
        <w:gridCol w:w="1327"/>
        <w:gridCol w:w="13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vAlign w:val="center"/>
          </w:tcPr>
          <w:p>
            <w:pPr>
              <w:jc w:val="center"/>
              <w:rPr>
                <w:rFonts w:hint="eastAsia" w:ascii="仿宋" w:hAnsi="仿宋" w:eastAsia="仿宋" w:cs="仿宋"/>
                <w:bCs/>
                <w:color w:val="auto"/>
              </w:rPr>
            </w:pPr>
            <w:r>
              <w:rPr>
                <w:rFonts w:hint="eastAsia" w:ascii="仿宋" w:hAnsi="仿宋" w:eastAsia="仿宋" w:cs="仿宋"/>
                <w:bCs/>
                <w:color w:val="auto"/>
              </w:rPr>
              <w:t>序号</w:t>
            </w:r>
          </w:p>
        </w:tc>
        <w:tc>
          <w:tcPr>
            <w:tcW w:w="1357" w:type="dxa"/>
            <w:vAlign w:val="center"/>
          </w:tcPr>
          <w:p>
            <w:pPr>
              <w:jc w:val="center"/>
              <w:rPr>
                <w:rFonts w:hint="eastAsia" w:ascii="仿宋" w:hAnsi="仿宋" w:eastAsia="仿宋" w:cs="仿宋"/>
                <w:bCs/>
                <w:color w:val="auto"/>
              </w:rPr>
            </w:pPr>
            <w:r>
              <w:rPr>
                <w:rFonts w:hint="eastAsia" w:ascii="仿宋" w:hAnsi="仿宋" w:eastAsia="仿宋" w:cs="仿宋"/>
                <w:bCs/>
                <w:color w:val="auto"/>
              </w:rPr>
              <w:t>货物名称</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招标文件条目号</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招标文件要求规格</w:t>
            </w:r>
          </w:p>
        </w:tc>
        <w:tc>
          <w:tcPr>
            <w:tcW w:w="1326" w:type="dxa"/>
            <w:vAlign w:val="center"/>
          </w:tcPr>
          <w:p>
            <w:pPr>
              <w:jc w:val="center"/>
              <w:rPr>
                <w:rFonts w:hint="eastAsia" w:ascii="仿宋" w:hAnsi="仿宋" w:eastAsia="仿宋" w:cs="仿宋"/>
                <w:bCs/>
                <w:color w:val="auto"/>
              </w:rPr>
            </w:pPr>
            <w:r>
              <w:rPr>
                <w:rFonts w:hint="eastAsia" w:ascii="仿宋" w:hAnsi="仿宋" w:eastAsia="仿宋" w:cs="仿宋"/>
                <w:bCs/>
                <w:color w:val="auto"/>
              </w:rPr>
              <w:t>投标规格</w:t>
            </w:r>
          </w:p>
        </w:tc>
        <w:tc>
          <w:tcPr>
            <w:tcW w:w="1327" w:type="dxa"/>
            <w:vAlign w:val="center"/>
          </w:tcPr>
          <w:p>
            <w:pPr>
              <w:jc w:val="center"/>
              <w:rPr>
                <w:rFonts w:hint="eastAsia" w:ascii="仿宋" w:hAnsi="仿宋" w:eastAsia="仿宋" w:cs="仿宋"/>
                <w:bCs/>
                <w:color w:val="auto"/>
              </w:rPr>
            </w:pPr>
            <w:r>
              <w:rPr>
                <w:rFonts w:hint="eastAsia" w:ascii="仿宋" w:hAnsi="仿宋" w:eastAsia="仿宋" w:cs="仿宋"/>
                <w:bCs/>
                <w:color w:val="auto"/>
              </w:rPr>
              <w:t>偏离</w:t>
            </w:r>
          </w:p>
        </w:tc>
        <w:tc>
          <w:tcPr>
            <w:tcW w:w="1327" w:type="dxa"/>
            <w:vAlign w:val="center"/>
          </w:tcPr>
          <w:p>
            <w:pPr>
              <w:jc w:val="center"/>
              <w:rPr>
                <w:rFonts w:hint="eastAsia" w:ascii="仿宋" w:hAnsi="仿宋" w:eastAsia="仿宋" w:cs="仿宋"/>
                <w:bCs/>
                <w:color w:val="auto"/>
              </w:rPr>
            </w:pPr>
            <w:r>
              <w:rPr>
                <w:rFonts w:hint="eastAsia" w:ascii="仿宋" w:hAnsi="仿宋" w:eastAsia="仿宋" w:cs="仿宋"/>
                <w:bCs/>
                <w:color w:val="auto"/>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rPr>
            </w:pPr>
          </w:p>
        </w:tc>
        <w:tc>
          <w:tcPr>
            <w:tcW w:w="1357"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6" w:type="dxa"/>
          </w:tcPr>
          <w:p>
            <w:pPr>
              <w:jc w:val="center"/>
              <w:rPr>
                <w:rFonts w:hint="eastAsia" w:ascii="仿宋" w:hAnsi="仿宋" w:eastAsia="仿宋" w:cs="仿宋"/>
                <w:b/>
                <w:bCs/>
                <w:color w:val="auto"/>
              </w:rPr>
            </w:pPr>
          </w:p>
        </w:tc>
        <w:tc>
          <w:tcPr>
            <w:tcW w:w="1327" w:type="dxa"/>
          </w:tcPr>
          <w:p>
            <w:pPr>
              <w:jc w:val="center"/>
              <w:rPr>
                <w:rFonts w:hint="eastAsia" w:ascii="仿宋" w:hAnsi="仿宋" w:eastAsia="仿宋" w:cs="仿宋"/>
                <w:b/>
                <w:bCs/>
                <w:color w:val="auto"/>
                <w:lang w:eastAsia="zh-CN"/>
              </w:rPr>
            </w:pPr>
            <w:r>
              <w:rPr>
                <w:rFonts w:hint="eastAsia" w:ascii="仿宋" w:hAnsi="仿宋" w:eastAsia="仿宋" w:cs="仿宋"/>
                <w:bCs/>
                <w:color w:val="auto"/>
                <w:lang w:eastAsia="zh-CN"/>
              </w:rPr>
              <w:t>如有正偏离需提供证明材料，证明材料附后(并注明页码)</w:t>
            </w: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5" w:type="dxa"/>
          </w:tcPr>
          <w:p>
            <w:pPr>
              <w:jc w:val="center"/>
              <w:rPr>
                <w:rFonts w:hint="eastAsia" w:ascii="仿宋" w:hAnsi="仿宋" w:eastAsia="仿宋" w:cs="仿宋"/>
                <w:b/>
                <w:bCs/>
                <w:color w:val="auto"/>
                <w:lang w:eastAsia="zh-CN"/>
              </w:rPr>
            </w:pPr>
          </w:p>
        </w:tc>
        <w:tc>
          <w:tcPr>
            <w:tcW w:w="1357"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6"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c>
          <w:tcPr>
            <w:tcW w:w="1327" w:type="dxa"/>
          </w:tcPr>
          <w:p>
            <w:pPr>
              <w:jc w:val="center"/>
              <w:rPr>
                <w:rFonts w:hint="eastAsia" w:ascii="仿宋" w:hAnsi="仿宋" w:eastAsia="仿宋" w:cs="仿宋"/>
                <w:b/>
                <w:bCs/>
                <w:color w:val="auto"/>
                <w:lang w:eastAsia="zh-CN"/>
              </w:rPr>
            </w:pPr>
          </w:p>
        </w:tc>
      </w:tr>
    </w:tbl>
    <w:p>
      <w:pPr>
        <w:spacing w:line="360" w:lineRule="auto"/>
        <w:ind w:firstLine="475" w:firstLineChars="198"/>
        <w:rPr>
          <w:rFonts w:hint="eastAsia" w:ascii="仿宋" w:hAnsi="仿宋" w:eastAsia="仿宋" w:cs="仿宋"/>
          <w:color w:val="auto"/>
          <w:lang w:eastAsia="zh-CN"/>
        </w:rPr>
      </w:pPr>
      <w:r>
        <w:rPr>
          <w:rFonts w:hint="eastAsia" w:ascii="仿宋" w:hAnsi="仿宋" w:eastAsia="仿宋" w:cs="仿宋"/>
          <w:color w:val="auto"/>
          <w:lang w:eastAsia="zh-CN"/>
        </w:rPr>
        <w:t>备注：投标人应根据其提供的货物，对照招标文件第四章“技术标准和要求”中的要求，有差异的，则在此表中列明实际响应的内容提要并加以说明，以便查对。本表包括所有的技术响应及差异。无差异说明表示完全响应。</w:t>
      </w:r>
    </w:p>
    <w:p>
      <w:pPr>
        <w:pStyle w:val="12"/>
        <w:tabs>
          <w:tab w:val="left" w:pos="5580"/>
        </w:tabs>
        <w:spacing w:line="360" w:lineRule="auto"/>
        <w:ind w:firstLine="3120" w:firstLineChars="1300"/>
        <w:rPr>
          <w:rFonts w:hint="eastAsia" w:ascii="仿宋" w:hAnsi="仿宋" w:eastAsia="仿宋" w:cs="仿宋"/>
          <w:color w:val="auto"/>
          <w:lang w:eastAsia="zh-CN"/>
        </w:rPr>
      </w:pPr>
    </w:p>
    <w:p>
      <w:pPr>
        <w:pStyle w:val="12"/>
        <w:tabs>
          <w:tab w:val="left" w:pos="5580"/>
        </w:tabs>
        <w:spacing w:line="360" w:lineRule="auto"/>
        <w:ind w:firstLine="3120" w:firstLineChars="1300"/>
        <w:rPr>
          <w:rFonts w:hint="eastAsia" w:ascii="仿宋" w:hAnsi="仿宋" w:eastAsia="仿宋" w:cs="仿宋"/>
          <w:color w:val="auto"/>
          <w:lang w:eastAsia="zh-CN"/>
        </w:rPr>
      </w:pPr>
      <w:r>
        <w:rPr>
          <w:rFonts w:hint="eastAsia" w:ascii="仿宋" w:hAnsi="仿宋" w:eastAsia="仿宋" w:cs="仿宋"/>
          <w:color w:val="auto"/>
          <w:lang w:eastAsia="zh-CN"/>
        </w:rPr>
        <w:t>投标人（盖章）：</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 xml:space="preserve">                    </w:t>
      </w:r>
    </w:p>
    <w:p>
      <w:pPr>
        <w:pStyle w:val="12"/>
        <w:tabs>
          <w:tab w:val="left" w:pos="5580"/>
        </w:tabs>
        <w:spacing w:line="360" w:lineRule="auto"/>
        <w:ind w:firstLine="3120" w:firstLineChars="1300"/>
        <w:rPr>
          <w:rFonts w:hint="eastAsia" w:ascii="仿宋" w:hAnsi="仿宋" w:eastAsia="仿宋" w:cs="仿宋"/>
          <w:color w:val="auto"/>
          <w:szCs w:val="24"/>
          <w:u w:val="single"/>
          <w:lang w:eastAsia="zh-CN"/>
        </w:rPr>
      </w:pPr>
      <w:r>
        <w:rPr>
          <w:rFonts w:hint="eastAsia" w:ascii="仿宋" w:hAnsi="仿宋" w:eastAsia="仿宋" w:cs="仿宋"/>
          <w:color w:val="auto"/>
          <w:lang w:eastAsia="zh-CN"/>
        </w:rPr>
        <w:t>法定代表人或</w:t>
      </w:r>
      <w:r>
        <w:rPr>
          <w:rFonts w:hint="eastAsia" w:ascii="仿宋" w:hAnsi="仿宋" w:eastAsia="仿宋" w:cs="仿宋"/>
          <w:color w:val="auto"/>
          <w:szCs w:val="24"/>
          <w:lang w:eastAsia="zh-CN"/>
        </w:rPr>
        <w:t>委托代理人</w:t>
      </w:r>
      <w:r>
        <w:rPr>
          <w:rFonts w:hint="eastAsia" w:ascii="仿宋" w:hAnsi="仿宋" w:eastAsia="仿宋" w:cs="仿宋"/>
          <w:color w:val="auto"/>
          <w:lang w:eastAsia="zh-CN"/>
        </w:rPr>
        <w:t>（签章）</w:t>
      </w:r>
      <w:r>
        <w:rPr>
          <w:rFonts w:hint="eastAsia" w:ascii="仿宋" w:hAnsi="仿宋" w:eastAsia="仿宋" w:cs="仿宋"/>
          <w:color w:val="auto"/>
          <w:szCs w:val="24"/>
          <w:lang w:eastAsia="zh-CN"/>
        </w:rPr>
        <w:t>：</w:t>
      </w:r>
      <w:r>
        <w:rPr>
          <w:rFonts w:hint="eastAsia" w:ascii="仿宋" w:hAnsi="仿宋" w:eastAsia="仿宋" w:cs="仿宋"/>
          <w:color w:val="auto"/>
          <w:szCs w:val="24"/>
          <w:u w:val="single"/>
          <w:lang w:eastAsia="zh-CN"/>
        </w:rPr>
        <w:t xml:space="preserve">             </w:t>
      </w:r>
    </w:p>
    <w:p>
      <w:pPr>
        <w:spacing w:line="360" w:lineRule="auto"/>
        <w:ind w:firstLine="3120" w:firstLineChars="1300"/>
        <w:rPr>
          <w:rFonts w:hint="eastAsia" w:ascii="仿宋" w:hAnsi="仿宋" w:eastAsia="仿宋" w:cs="仿宋"/>
          <w:color w:val="auto"/>
          <w:lang w:eastAsia="zh-CN"/>
        </w:rPr>
      </w:pPr>
      <w:r>
        <w:rPr>
          <w:rFonts w:hint="eastAsia" w:ascii="仿宋" w:hAnsi="仿宋" w:eastAsia="仿宋" w:cs="仿宋"/>
          <w:color w:val="auto"/>
          <w:lang w:eastAsia="zh-CN"/>
        </w:rPr>
        <w:t>日期：       年   月   日</w:t>
      </w:r>
    </w:p>
    <w:p>
      <w:pPr>
        <w:pStyle w:val="8"/>
        <w:rPr>
          <w:rFonts w:hint="eastAsia" w:ascii="仿宋" w:hAnsi="仿宋" w:eastAsia="仿宋" w:cs="仿宋"/>
          <w:color w:val="auto"/>
          <w:sz w:val="36"/>
          <w:szCs w:val="36"/>
          <w:lang w:eastAsia="zh-CN"/>
        </w:rPr>
      </w:pPr>
    </w:p>
    <w:p>
      <w:pPr>
        <w:rPr>
          <w:rFonts w:hint="eastAsia" w:ascii="仿宋" w:hAnsi="仿宋" w:eastAsia="仿宋" w:cs="仿宋"/>
          <w:color w:val="auto"/>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pStyle w:val="33"/>
        <w:spacing w:after="0"/>
        <w:ind w:firstLine="420"/>
        <w:jc w:val="center"/>
        <w:rPr>
          <w:rFonts w:hint="eastAsia" w:ascii="仿宋" w:hAnsi="仿宋" w:eastAsia="仿宋" w:cs="仿宋"/>
          <w:color w:val="auto"/>
          <w:sz w:val="36"/>
          <w:szCs w:val="36"/>
          <w:lang w:eastAsia="zh-CN"/>
        </w:rPr>
      </w:pPr>
    </w:p>
    <w:p>
      <w:pPr>
        <w:jc w:val="center"/>
        <w:rPr>
          <w:rFonts w:hint="eastAsia" w:ascii="仿宋" w:hAnsi="仿宋" w:eastAsia="仿宋" w:cs="仿宋"/>
          <w:b/>
          <w:bCs/>
          <w:color w:val="auto"/>
          <w:sz w:val="30"/>
          <w:szCs w:val="30"/>
          <w:lang w:eastAsia="zh-CN"/>
        </w:rPr>
      </w:pPr>
      <w:r>
        <w:rPr>
          <w:rFonts w:hint="eastAsia" w:ascii="仿宋" w:hAnsi="仿宋" w:eastAsia="仿宋" w:cs="仿宋"/>
          <w:b/>
          <w:bCs/>
          <w:color w:val="auto"/>
          <w:sz w:val="30"/>
          <w:szCs w:val="30"/>
          <w:lang w:eastAsia="zh-CN"/>
        </w:rPr>
        <w:t>6、商务条款偏离表</w:t>
      </w:r>
    </w:p>
    <w:tbl>
      <w:tblPr>
        <w:tblStyle w:val="22"/>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154"/>
        <w:gridCol w:w="2477"/>
        <w:gridCol w:w="2454"/>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序号</w:t>
            </w:r>
          </w:p>
        </w:tc>
        <w:tc>
          <w:tcPr>
            <w:tcW w:w="2154" w:type="dxa"/>
          </w:tcPr>
          <w:p>
            <w:pPr>
              <w:pStyle w:val="12"/>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招标文件条款号</w:t>
            </w:r>
          </w:p>
        </w:tc>
        <w:tc>
          <w:tcPr>
            <w:tcW w:w="2477" w:type="dxa"/>
          </w:tcPr>
          <w:p>
            <w:pPr>
              <w:pStyle w:val="12"/>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招标文件的商务条款</w:t>
            </w:r>
          </w:p>
        </w:tc>
        <w:tc>
          <w:tcPr>
            <w:tcW w:w="2454" w:type="dxa"/>
          </w:tcPr>
          <w:p>
            <w:pPr>
              <w:pStyle w:val="12"/>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投标文件的商务条款</w:t>
            </w:r>
          </w:p>
        </w:tc>
        <w:tc>
          <w:tcPr>
            <w:tcW w:w="1130" w:type="dxa"/>
          </w:tcPr>
          <w:p>
            <w:pPr>
              <w:pStyle w:val="12"/>
              <w:spacing w:line="240" w:lineRule="atLeast"/>
              <w:jc w:val="center"/>
              <w:rPr>
                <w:rFonts w:hint="eastAsia" w:ascii="仿宋" w:hAnsi="仿宋" w:eastAsia="仿宋" w:cs="仿宋"/>
                <w:color w:val="auto"/>
                <w:spacing w:val="-1"/>
              </w:rPr>
            </w:pPr>
            <w:r>
              <w:rPr>
                <w:rFonts w:hint="eastAsia" w:ascii="仿宋" w:hAnsi="仿宋" w:eastAsia="仿宋" w:cs="仿宋"/>
                <w:color w:val="auto"/>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2</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3</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4</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5</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6</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7</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8</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9</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10</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11</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12</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13</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14</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8" w:type="dxa"/>
            <w:vAlign w:val="center"/>
          </w:tcPr>
          <w:p>
            <w:pPr>
              <w:rPr>
                <w:rFonts w:hint="eastAsia" w:ascii="仿宋" w:hAnsi="仿宋" w:eastAsia="仿宋" w:cs="仿宋"/>
                <w:color w:val="auto"/>
                <w:spacing w:val="-1"/>
              </w:rPr>
            </w:pPr>
            <w:r>
              <w:rPr>
                <w:rFonts w:hint="eastAsia" w:ascii="仿宋" w:hAnsi="仿宋" w:eastAsia="仿宋" w:cs="仿宋"/>
                <w:color w:val="auto"/>
                <w:spacing w:val="-1"/>
              </w:rPr>
              <w:t>15</w:t>
            </w:r>
          </w:p>
        </w:tc>
        <w:tc>
          <w:tcPr>
            <w:tcW w:w="2154" w:type="dxa"/>
            <w:vAlign w:val="center"/>
          </w:tcPr>
          <w:p>
            <w:pPr>
              <w:rPr>
                <w:rFonts w:hint="eastAsia" w:ascii="仿宋" w:hAnsi="仿宋" w:eastAsia="仿宋" w:cs="仿宋"/>
                <w:color w:val="auto"/>
                <w:spacing w:val="-1"/>
              </w:rPr>
            </w:pPr>
          </w:p>
        </w:tc>
        <w:tc>
          <w:tcPr>
            <w:tcW w:w="2477" w:type="dxa"/>
            <w:vAlign w:val="center"/>
          </w:tcPr>
          <w:p>
            <w:pPr>
              <w:rPr>
                <w:rFonts w:hint="eastAsia" w:ascii="仿宋" w:hAnsi="仿宋" w:eastAsia="仿宋" w:cs="仿宋"/>
                <w:color w:val="auto"/>
                <w:spacing w:val="-1"/>
              </w:rPr>
            </w:pPr>
          </w:p>
        </w:tc>
        <w:tc>
          <w:tcPr>
            <w:tcW w:w="2454" w:type="dxa"/>
            <w:vAlign w:val="center"/>
          </w:tcPr>
          <w:p>
            <w:pPr>
              <w:rPr>
                <w:rFonts w:hint="eastAsia" w:ascii="仿宋" w:hAnsi="仿宋" w:eastAsia="仿宋" w:cs="仿宋"/>
                <w:color w:val="auto"/>
                <w:spacing w:val="-1"/>
              </w:rPr>
            </w:pPr>
          </w:p>
        </w:tc>
        <w:tc>
          <w:tcPr>
            <w:tcW w:w="1130" w:type="dxa"/>
            <w:vAlign w:val="center"/>
          </w:tcPr>
          <w:p>
            <w:pPr>
              <w:rPr>
                <w:rFonts w:hint="eastAsia" w:ascii="仿宋" w:hAnsi="仿宋" w:eastAsia="仿宋" w:cs="仿宋"/>
                <w:color w:val="auto"/>
                <w:spacing w:val="-1"/>
              </w:rPr>
            </w:pPr>
          </w:p>
        </w:tc>
      </w:tr>
    </w:tbl>
    <w:p>
      <w:pPr>
        <w:rPr>
          <w:rFonts w:hint="eastAsia" w:ascii="仿宋" w:hAnsi="仿宋" w:eastAsia="仿宋" w:cs="仿宋"/>
          <w:color w:val="auto"/>
          <w:spacing w:val="-1"/>
          <w:lang w:eastAsia="zh-CN"/>
        </w:rPr>
      </w:pPr>
      <w:r>
        <w:rPr>
          <w:rFonts w:hint="eastAsia" w:ascii="仿宋" w:hAnsi="仿宋" w:eastAsia="仿宋" w:cs="仿宋"/>
          <w:color w:val="auto"/>
          <w:spacing w:val="-1"/>
          <w:lang w:eastAsia="zh-CN"/>
        </w:rPr>
        <w:t>注：请在“偏离说明”栏内扼要说明偏离情况，如无偏离则不需列明。</w:t>
      </w: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lang w:eastAsia="zh-CN"/>
        </w:rPr>
      </w:pP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lang w:eastAsia="zh-CN"/>
        </w:rPr>
      </w:pP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（盖章）</w:t>
      </w:r>
      <w:r>
        <w:rPr>
          <w:rFonts w:hint="eastAsia" w:ascii="仿宋" w:hAnsi="仿宋" w:eastAsia="仿宋" w:cs="仿宋"/>
          <w:color w:val="auto"/>
          <w:sz w:val="24"/>
          <w:lang w:eastAsia="zh-CN"/>
        </w:rPr>
        <w:t xml:space="preserve"> </w:t>
      </w:r>
    </w:p>
    <w:p>
      <w:pPr>
        <w:pStyle w:val="11"/>
        <w:numPr>
          <w:ilvl w:val="0"/>
          <w:numId w:val="0"/>
        </w:numPr>
        <w:tabs>
          <w:tab w:val="left" w:pos="8227"/>
        </w:tabs>
        <w:kinsoku w:val="0"/>
        <w:overflowPunct w:val="0"/>
        <w:spacing w:line="381" w:lineRule="auto"/>
        <w:ind w:left="1680" w:right="118"/>
        <w:rPr>
          <w:rFonts w:hint="eastAsia" w:ascii="仿宋" w:hAnsi="仿宋" w:eastAsia="仿宋" w:cs="仿宋"/>
          <w:color w:val="auto"/>
          <w:w w:val="95"/>
          <w:sz w:val="24"/>
          <w:lang w:eastAsia="zh-CN"/>
        </w:rPr>
      </w:pPr>
      <w:r>
        <w:rPr>
          <w:rFonts w:hint="eastAsia" w:ascii="仿宋" w:hAnsi="仿宋" w:eastAsia="仿宋" w:cs="仿宋"/>
          <w:color w:val="auto"/>
          <w:sz w:val="24"/>
          <w:lang w:eastAsia="zh-CN"/>
        </w:rPr>
        <w:t>法定代表人或被授权人：</w:t>
      </w:r>
      <w:r>
        <w:rPr>
          <w:rFonts w:hint="eastAsia" w:ascii="仿宋" w:hAnsi="仿宋" w:eastAsia="仿宋" w:cs="仿宋"/>
          <w:color w:val="auto"/>
          <w:sz w:val="24"/>
          <w:u w:val="single"/>
          <w:lang w:eastAsia="zh-CN"/>
        </w:rPr>
        <w:tab/>
      </w:r>
      <w:r>
        <w:rPr>
          <w:rFonts w:hint="eastAsia" w:ascii="仿宋" w:hAnsi="仿宋" w:eastAsia="仿宋" w:cs="仿宋"/>
          <w:color w:val="auto"/>
          <w:w w:val="95"/>
          <w:sz w:val="24"/>
          <w:lang w:eastAsia="zh-CN"/>
        </w:rPr>
        <w:t>（签章）</w:t>
      </w:r>
    </w:p>
    <w:p>
      <w:pPr>
        <w:pStyle w:val="33"/>
        <w:spacing w:after="0"/>
        <w:ind w:firstLine="420"/>
        <w:jc w:val="center"/>
        <w:rPr>
          <w:rFonts w:hint="eastAsia" w:ascii="仿宋" w:hAnsi="仿宋" w:eastAsia="仿宋" w:cs="仿宋"/>
          <w:color w:val="auto"/>
          <w:sz w:val="36"/>
          <w:szCs w:val="36"/>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ab/>
      </w:r>
      <w:r>
        <w:rPr>
          <w:rFonts w:hint="eastAsia" w:ascii="仿宋" w:hAnsi="仿宋" w:eastAsia="仿宋" w:cs="仿宋"/>
          <w:color w:val="auto"/>
          <w:sz w:val="24"/>
          <w:szCs w:val="24"/>
        </w:rPr>
        <w:t>日</w:t>
      </w:r>
    </w:p>
    <w:p>
      <w:pPr>
        <w:pStyle w:val="33"/>
        <w:spacing w:after="0"/>
        <w:ind w:firstLine="420"/>
        <w:jc w:val="center"/>
        <w:rPr>
          <w:rFonts w:hint="eastAsia" w:ascii="仿宋" w:hAnsi="仿宋" w:eastAsia="仿宋" w:cs="仿宋"/>
          <w:color w:val="auto"/>
          <w:sz w:val="36"/>
          <w:szCs w:val="36"/>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pStyle w:val="34"/>
        <w:tabs>
          <w:tab w:val="left" w:pos="826"/>
        </w:tabs>
        <w:spacing w:line="470" w:lineRule="exact"/>
        <w:ind w:firstLine="0"/>
        <w:jc w:val="center"/>
        <w:rPr>
          <w:rFonts w:hint="eastAsia" w:ascii="仿宋" w:hAnsi="仿宋" w:eastAsia="仿宋" w:cs="仿宋"/>
          <w:color w:val="auto"/>
          <w:sz w:val="21"/>
          <w:szCs w:val="21"/>
        </w:rPr>
      </w:pPr>
    </w:p>
    <w:p>
      <w:pPr>
        <w:jc w:val="center"/>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eastAsia="zh-CN"/>
        </w:rPr>
        <w:t>7、投标人基本情况表</w:t>
      </w:r>
    </w:p>
    <w:p>
      <w:pPr>
        <w:pStyle w:val="11"/>
        <w:numPr>
          <w:ilvl w:val="0"/>
          <w:numId w:val="0"/>
        </w:numPr>
        <w:kinsoku w:val="0"/>
        <w:overflowPunct w:val="0"/>
        <w:spacing w:before="5"/>
        <w:rPr>
          <w:rFonts w:hint="eastAsia" w:ascii="仿宋" w:hAnsi="仿宋" w:eastAsia="仿宋" w:cs="仿宋"/>
          <w:b/>
          <w:bCs/>
          <w:color w:val="auto"/>
          <w:sz w:val="6"/>
          <w:szCs w:val="6"/>
          <w:lang w:eastAsia="zh-CN"/>
        </w:rPr>
      </w:pPr>
    </w:p>
    <w:tbl>
      <w:tblPr>
        <w:tblStyle w:val="22"/>
        <w:tblW w:w="8714" w:type="dxa"/>
        <w:jc w:val="center"/>
        <w:tblLayout w:type="fixed"/>
        <w:tblCellMar>
          <w:top w:w="0" w:type="dxa"/>
          <w:left w:w="0" w:type="dxa"/>
          <w:bottom w:w="0" w:type="dxa"/>
          <w:right w:w="0" w:type="dxa"/>
        </w:tblCellMar>
      </w:tblPr>
      <w:tblGrid>
        <w:gridCol w:w="1242"/>
        <w:gridCol w:w="1445"/>
        <w:gridCol w:w="849"/>
        <w:gridCol w:w="493"/>
        <w:gridCol w:w="655"/>
        <w:gridCol w:w="688"/>
        <w:gridCol w:w="458"/>
        <w:gridCol w:w="367"/>
        <w:gridCol w:w="552"/>
        <w:gridCol w:w="1965"/>
      </w:tblGrid>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单位名称</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单位地址</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主管部门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37"/>
              <w:rPr>
                <w:rFonts w:hint="eastAsia" w:ascii="仿宋" w:hAnsi="仿宋" w:eastAsia="仿宋" w:cs="仿宋"/>
                <w:color w:val="auto"/>
              </w:rPr>
            </w:pPr>
            <w:r>
              <w:rPr>
                <w:rFonts w:hint="eastAsia" w:ascii="仿宋" w:hAnsi="仿宋" w:eastAsia="仿宋" w:cs="仿宋"/>
                <w:color w:val="auto"/>
              </w:rPr>
              <w:t>成立时间</w:t>
            </w:r>
          </w:p>
        </w:tc>
        <w:tc>
          <w:tcPr>
            <w:tcW w:w="2294"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294"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181"/>
              <w:rPr>
                <w:rFonts w:hint="eastAsia" w:ascii="仿宋" w:hAnsi="仿宋" w:eastAsia="仿宋" w:cs="仿宋"/>
                <w:color w:val="auto"/>
              </w:rPr>
            </w:pPr>
            <w:r>
              <w:rPr>
                <w:rFonts w:hint="eastAsia" w:ascii="仿宋" w:hAnsi="仿宋" w:eastAsia="仿宋" w:cs="仿宋"/>
                <w:color w:val="auto"/>
              </w:rPr>
              <w:t>注册资金（万元）</w:t>
            </w:r>
          </w:p>
        </w:tc>
        <w:tc>
          <w:tcPr>
            <w:tcW w:w="2884"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6"/>
              <w:ind w:left="137"/>
              <w:rPr>
                <w:rFonts w:hint="eastAsia" w:ascii="仿宋" w:hAnsi="仿宋" w:eastAsia="仿宋" w:cs="仿宋"/>
                <w:color w:val="auto"/>
              </w:rPr>
            </w:pPr>
            <w:r>
              <w:rPr>
                <w:rFonts w:hint="eastAsia" w:ascii="仿宋" w:hAnsi="仿宋" w:eastAsia="仿宋" w:cs="仿宋"/>
                <w:color w:val="auto"/>
              </w:rPr>
              <w:t>单位性质</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933"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1" w:line="312" w:lineRule="exact"/>
              <w:ind w:left="257" w:right="133" w:hanging="120"/>
              <w:rPr>
                <w:rFonts w:hint="eastAsia" w:ascii="仿宋" w:hAnsi="仿宋" w:eastAsia="仿宋" w:cs="仿宋"/>
                <w:color w:val="auto"/>
              </w:rPr>
            </w:pPr>
            <w:r>
              <w:rPr>
                <w:rFonts w:hint="eastAsia" w:ascii="仿宋" w:hAnsi="仿宋" w:eastAsia="仿宋" w:cs="仿宋"/>
                <w:color w:val="auto"/>
              </w:rPr>
              <w:t>投标期间 联系人</w:t>
            </w: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342" w:type="dxa"/>
            <w:gridSpan w:val="2"/>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hint="eastAsia" w:ascii="仿宋" w:hAnsi="仿宋" w:eastAsia="仿宋" w:cs="仿宋"/>
                <w:b/>
                <w:bCs/>
                <w:color w:val="auto"/>
                <w:sz w:val="20"/>
                <w:szCs w:val="20"/>
              </w:rPr>
            </w:pPr>
          </w:p>
          <w:p>
            <w:pPr>
              <w:pStyle w:val="37"/>
              <w:kinsoku w:val="0"/>
              <w:overflowPunct w:val="0"/>
              <w:ind w:left="366"/>
              <w:rPr>
                <w:rFonts w:hint="eastAsia" w:ascii="仿宋" w:hAnsi="仿宋" w:eastAsia="仿宋" w:cs="仿宋"/>
                <w:color w:val="auto"/>
              </w:rPr>
            </w:pPr>
            <w:r>
              <w:rPr>
                <w:rFonts w:hint="eastAsia" w:ascii="仿宋" w:hAnsi="仿宋" w:eastAsia="仿宋" w:cs="仿宋"/>
                <w:color w:val="auto"/>
              </w:rPr>
              <w:t>电 话</w:t>
            </w:r>
          </w:p>
        </w:tc>
        <w:tc>
          <w:tcPr>
            <w:tcW w:w="1343"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37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4"/>
              <w:rPr>
                <w:rFonts w:hint="eastAsia" w:ascii="仿宋" w:hAnsi="仿宋" w:eastAsia="仿宋" w:cs="仿宋"/>
                <w:b/>
                <w:bCs/>
                <w:color w:val="auto"/>
                <w:sz w:val="20"/>
                <w:szCs w:val="20"/>
              </w:rPr>
            </w:pPr>
          </w:p>
          <w:p>
            <w:pPr>
              <w:pStyle w:val="37"/>
              <w:kinsoku w:val="0"/>
              <w:overflowPunct w:val="0"/>
              <w:ind w:left="383"/>
              <w:rPr>
                <w:rFonts w:hint="eastAsia" w:ascii="仿宋" w:hAnsi="仿宋" w:eastAsia="仿宋" w:cs="仿宋"/>
                <w:color w:val="auto"/>
              </w:rPr>
            </w:pPr>
            <w:r>
              <w:rPr>
                <w:rFonts w:hint="eastAsia" w:ascii="仿宋" w:hAnsi="仿宋" w:eastAsia="仿宋" w:cs="仿宋"/>
                <w:color w:val="auto"/>
              </w:rPr>
              <w:t>传 真</w:t>
            </w:r>
          </w:p>
        </w:tc>
        <w:tc>
          <w:tcPr>
            <w:tcW w:w="196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restart"/>
            <w:tcBorders>
              <w:top w:val="single" w:color="000000" w:sz="4" w:space="0"/>
              <w:left w:val="single" w:color="000000" w:sz="4" w:space="0"/>
              <w:bottom w:val="single" w:color="000000" w:sz="4" w:space="0"/>
              <w:right w:val="single" w:color="000000" w:sz="4" w:space="0"/>
            </w:tcBorders>
          </w:tcPr>
          <w:p>
            <w:pPr>
              <w:pStyle w:val="37"/>
              <w:kinsoku w:val="0"/>
              <w:overflowPunct w:val="0"/>
              <w:rPr>
                <w:rFonts w:hint="eastAsia" w:ascii="仿宋" w:hAnsi="仿宋" w:eastAsia="仿宋" w:cs="仿宋"/>
                <w:b/>
                <w:bCs/>
                <w:color w:val="auto"/>
              </w:rPr>
            </w:pPr>
          </w:p>
          <w:p>
            <w:pPr>
              <w:pStyle w:val="37"/>
              <w:kinsoku w:val="0"/>
              <w:overflowPunct w:val="0"/>
              <w:rPr>
                <w:rFonts w:hint="eastAsia" w:ascii="仿宋" w:hAnsi="仿宋" w:eastAsia="仿宋" w:cs="仿宋"/>
                <w:b/>
                <w:bCs/>
                <w:color w:val="auto"/>
              </w:rPr>
            </w:pPr>
          </w:p>
          <w:p>
            <w:pPr>
              <w:pStyle w:val="37"/>
              <w:kinsoku w:val="0"/>
              <w:overflowPunct w:val="0"/>
              <w:rPr>
                <w:rFonts w:hint="eastAsia" w:ascii="仿宋" w:hAnsi="仿宋" w:eastAsia="仿宋" w:cs="仿宋"/>
                <w:b/>
                <w:bCs/>
                <w:color w:val="auto"/>
              </w:rPr>
            </w:pPr>
          </w:p>
          <w:p>
            <w:pPr>
              <w:pStyle w:val="37"/>
              <w:kinsoku w:val="0"/>
              <w:overflowPunct w:val="0"/>
              <w:spacing w:line="475" w:lineRule="auto"/>
              <w:ind w:left="497" w:right="493"/>
              <w:jc w:val="both"/>
              <w:rPr>
                <w:rFonts w:hint="eastAsia" w:ascii="仿宋" w:hAnsi="仿宋" w:eastAsia="仿宋" w:cs="仿宋"/>
                <w:color w:val="auto"/>
              </w:rPr>
            </w:pPr>
            <w:r>
              <w:rPr>
                <w:rFonts w:hint="eastAsia" w:ascii="仿宋" w:hAnsi="仿宋" w:eastAsia="仿宋" w:cs="仿宋"/>
                <w:color w:val="auto"/>
              </w:rPr>
              <w:t>职 工 概 况</w:t>
            </w: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236"/>
              <w:rPr>
                <w:rFonts w:hint="eastAsia" w:ascii="仿宋" w:hAnsi="仿宋" w:eastAsia="仿宋" w:cs="仿宋"/>
                <w:color w:val="auto"/>
              </w:rPr>
            </w:pPr>
            <w:r>
              <w:rPr>
                <w:rFonts w:hint="eastAsia" w:ascii="仿宋" w:hAnsi="仿宋" w:eastAsia="仿宋" w:cs="仿宋"/>
                <w:color w:val="auto"/>
              </w:rPr>
              <w:t>职工总数</w:t>
            </w:r>
          </w:p>
        </w:tc>
        <w:tc>
          <w:tcPr>
            <w:tcW w:w="1342"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168" w:type="dxa"/>
            <w:gridSpan w:val="4"/>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4"/>
              <w:ind w:left="118"/>
              <w:rPr>
                <w:rFonts w:hint="eastAsia" w:ascii="仿宋" w:hAnsi="仿宋" w:eastAsia="仿宋" w:cs="仿宋"/>
                <w:color w:val="auto"/>
              </w:rPr>
            </w:pPr>
            <w:r>
              <w:rPr>
                <w:rFonts w:hint="eastAsia" w:ascii="仿宋" w:hAnsi="仿宋" w:eastAsia="仿宋" w:cs="仿宋"/>
                <w:color w:val="auto"/>
              </w:rPr>
              <w:t>其中：技术人员数</w:t>
            </w: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7472" w:type="dxa"/>
            <w:gridSpan w:val="9"/>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hint="eastAsia" w:ascii="仿宋" w:hAnsi="仿宋" w:eastAsia="仿宋" w:cs="仿宋"/>
                <w:color w:val="auto"/>
                <w:lang w:eastAsia="zh-CN"/>
              </w:rPr>
            </w:pPr>
            <w:r>
              <w:rPr>
                <w:rFonts w:hint="eastAsia" w:ascii="仿宋" w:hAnsi="仿宋" w:eastAsia="仿宋" w:cs="仿宋"/>
                <w:color w:val="auto"/>
                <w:lang w:eastAsia="zh-CN"/>
              </w:rPr>
              <w:t>单位行政和技术负责人</w:t>
            </w:r>
          </w:p>
        </w:tc>
      </w:tr>
      <w:tr>
        <w:tblPrEx>
          <w:tblCellMar>
            <w:top w:w="0" w:type="dxa"/>
            <w:left w:w="0" w:type="dxa"/>
            <w:bottom w:w="0" w:type="dxa"/>
            <w:right w:w="0" w:type="dxa"/>
          </w:tblCellMar>
        </w:tblPrEx>
        <w:trPr>
          <w:trHeight w:val="69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jc w:val="center"/>
              <w:rPr>
                <w:rFonts w:hint="eastAsia" w:ascii="仿宋" w:hAnsi="仿宋" w:eastAsia="仿宋" w:cs="仿宋"/>
                <w:color w:val="auto"/>
                <w:lang w:eastAsia="zh-CN"/>
              </w:rPr>
            </w:pPr>
          </w:p>
        </w:tc>
        <w:tc>
          <w:tcPr>
            <w:tcW w:w="1445"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16"/>
              <w:rPr>
                <w:rFonts w:hint="eastAsia" w:ascii="仿宋" w:hAnsi="仿宋" w:eastAsia="仿宋" w:cs="仿宋"/>
                <w:color w:val="auto"/>
              </w:rPr>
            </w:pPr>
            <w:r>
              <w:rPr>
                <w:rFonts w:hint="eastAsia" w:ascii="仿宋" w:hAnsi="仿宋" w:eastAsia="仿宋" w:cs="仿宋"/>
                <w:color w:val="auto"/>
              </w:rPr>
              <w:t>姓 名</w:t>
            </w:r>
          </w:p>
        </w:tc>
        <w:tc>
          <w:tcPr>
            <w:tcW w:w="1997"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2"/>
              <w:rPr>
                <w:rFonts w:hint="eastAsia" w:ascii="仿宋" w:hAnsi="仿宋" w:eastAsia="仿宋" w:cs="仿宋"/>
                <w:color w:val="auto"/>
              </w:rPr>
            </w:pPr>
            <w:r>
              <w:rPr>
                <w:rFonts w:hint="eastAsia" w:ascii="仿宋" w:hAnsi="仿宋" w:eastAsia="仿宋" w:cs="仿宋"/>
                <w:color w:val="auto"/>
              </w:rPr>
              <w:t>职务/职称</w:t>
            </w:r>
          </w:p>
        </w:tc>
        <w:tc>
          <w:tcPr>
            <w:tcW w:w="1513" w:type="dxa"/>
            <w:gridSpan w:val="3"/>
            <w:tcBorders>
              <w:top w:val="single" w:color="000000" w:sz="4" w:space="0"/>
              <w:left w:val="single" w:color="000000" w:sz="4" w:space="0"/>
              <w:bottom w:val="single" w:color="000000" w:sz="4" w:space="0"/>
              <w:right w:val="single" w:color="000000" w:sz="4" w:space="0"/>
            </w:tcBorders>
          </w:tcPr>
          <w:p>
            <w:pPr>
              <w:pStyle w:val="37"/>
              <w:kinsoku w:val="0"/>
              <w:overflowPunct w:val="0"/>
              <w:spacing w:before="145"/>
              <w:ind w:left="450"/>
              <w:rPr>
                <w:rFonts w:hint="eastAsia" w:ascii="仿宋" w:hAnsi="仿宋" w:eastAsia="仿宋" w:cs="仿宋"/>
                <w:color w:val="auto"/>
              </w:rPr>
            </w:pPr>
            <w:r>
              <w:rPr>
                <w:rFonts w:hint="eastAsia" w:ascii="仿宋" w:hAnsi="仿宋" w:eastAsia="仿宋" w:cs="仿宋"/>
                <w:color w:val="auto"/>
              </w:rPr>
              <w:t>年 龄</w:t>
            </w:r>
          </w:p>
        </w:tc>
        <w:tc>
          <w:tcPr>
            <w:tcW w:w="2517" w:type="dxa"/>
            <w:gridSpan w:val="2"/>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hint="eastAsia" w:ascii="仿宋" w:hAnsi="仿宋" w:eastAsia="仿宋" w:cs="仿宋"/>
                <w:color w:val="auto"/>
              </w:rPr>
            </w:pPr>
            <w:r>
              <w:rPr>
                <w:rFonts w:hint="eastAsia" w:ascii="仿宋" w:hAnsi="仿宋" w:eastAsia="仿宋" w:cs="仿宋"/>
                <w:color w:val="auto"/>
              </w:rPr>
              <w:t>专</w:t>
            </w:r>
            <w:r>
              <w:rPr>
                <w:rFonts w:hint="eastAsia" w:ascii="仿宋" w:hAnsi="仿宋" w:eastAsia="仿宋" w:cs="仿宋"/>
                <w:color w:val="auto"/>
              </w:rPr>
              <w:tab/>
            </w:r>
            <w:r>
              <w:rPr>
                <w:rFonts w:hint="eastAsia" w:ascii="仿宋" w:hAnsi="仿宋" w:eastAsia="仿宋" w:cs="仿宋"/>
                <w:color w:val="auto"/>
              </w:rPr>
              <w:t>业</w:t>
            </w:r>
          </w:p>
        </w:tc>
      </w:tr>
      <w:tr>
        <w:tblPrEx>
          <w:tblCellMar>
            <w:top w:w="0" w:type="dxa"/>
            <w:left w:w="0" w:type="dxa"/>
            <w:bottom w:w="0" w:type="dxa"/>
            <w:right w:w="0" w:type="dxa"/>
          </w:tblCellMar>
        </w:tblPrEx>
        <w:trPr>
          <w:trHeight w:val="425"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pStyle w:val="37"/>
              <w:tabs>
                <w:tab w:val="left" w:pos="479"/>
              </w:tabs>
              <w:kinsoku w:val="0"/>
              <w:overflowPunct w:val="0"/>
              <w:spacing w:before="145"/>
              <w:ind w:right="1"/>
              <w:jc w:val="cente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371"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439" w:hRule="exact"/>
          <w:jc w:val="center"/>
        </w:trPr>
        <w:tc>
          <w:tcPr>
            <w:tcW w:w="1242" w:type="dxa"/>
            <w:vMerge w:val="continue"/>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445" w:type="dxa"/>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997"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1513" w:type="dxa"/>
            <w:gridSpan w:val="3"/>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c>
          <w:tcPr>
            <w:tcW w:w="2517" w:type="dxa"/>
            <w:gridSpan w:val="2"/>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r>
        <w:tblPrEx>
          <w:tblCellMar>
            <w:top w:w="0" w:type="dxa"/>
            <w:left w:w="0" w:type="dxa"/>
            <w:bottom w:w="0" w:type="dxa"/>
            <w:right w:w="0" w:type="dxa"/>
          </w:tblCellMar>
        </w:tblPrEx>
        <w:trPr>
          <w:trHeight w:val="1620" w:hRule="exact"/>
          <w:jc w:val="center"/>
        </w:trPr>
        <w:tc>
          <w:tcPr>
            <w:tcW w:w="1242" w:type="dxa"/>
            <w:tcBorders>
              <w:top w:val="single" w:color="000000" w:sz="4" w:space="0"/>
              <w:left w:val="single" w:color="000000" w:sz="4" w:space="0"/>
              <w:bottom w:val="single" w:color="000000" w:sz="4" w:space="0"/>
              <w:right w:val="single" w:color="000000" w:sz="4" w:space="0"/>
            </w:tcBorders>
          </w:tcPr>
          <w:p>
            <w:pPr>
              <w:pStyle w:val="37"/>
              <w:kinsoku w:val="0"/>
              <w:overflowPunct w:val="0"/>
              <w:spacing w:before="1"/>
              <w:rPr>
                <w:rFonts w:hint="eastAsia" w:ascii="仿宋" w:hAnsi="仿宋" w:eastAsia="仿宋" w:cs="仿宋"/>
                <w:b/>
                <w:bCs/>
                <w:color w:val="auto"/>
                <w:sz w:val="23"/>
                <w:szCs w:val="23"/>
              </w:rPr>
            </w:pPr>
          </w:p>
          <w:p>
            <w:pPr>
              <w:pStyle w:val="37"/>
              <w:kinsoku w:val="0"/>
              <w:overflowPunct w:val="0"/>
              <w:spacing w:line="237" w:lineRule="auto"/>
              <w:ind w:left="497" w:right="493"/>
              <w:jc w:val="both"/>
              <w:rPr>
                <w:rFonts w:hint="eastAsia" w:ascii="仿宋" w:hAnsi="仿宋" w:eastAsia="仿宋" w:cs="仿宋"/>
                <w:color w:val="auto"/>
              </w:rPr>
            </w:pPr>
            <w:r>
              <w:rPr>
                <w:rFonts w:hint="eastAsia" w:ascii="仿宋" w:hAnsi="仿宋" w:eastAsia="仿宋" w:cs="仿宋"/>
                <w:color w:val="auto"/>
              </w:rPr>
              <w:t>单 位 概 况</w:t>
            </w:r>
          </w:p>
        </w:tc>
        <w:tc>
          <w:tcPr>
            <w:tcW w:w="7472" w:type="dxa"/>
            <w:gridSpan w:val="9"/>
            <w:tcBorders>
              <w:top w:val="single" w:color="000000" w:sz="4" w:space="0"/>
              <w:left w:val="single" w:color="000000" w:sz="4" w:space="0"/>
              <w:bottom w:val="single" w:color="000000" w:sz="4" w:space="0"/>
              <w:right w:val="single" w:color="000000" w:sz="4" w:space="0"/>
            </w:tcBorders>
          </w:tcPr>
          <w:p>
            <w:pPr>
              <w:rPr>
                <w:rFonts w:hint="eastAsia" w:ascii="仿宋" w:hAnsi="仿宋" w:eastAsia="仿宋" w:cs="仿宋"/>
                <w:color w:val="auto"/>
              </w:rPr>
            </w:pPr>
          </w:p>
        </w:tc>
      </w:tr>
    </w:tbl>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34"/>
        <w:spacing w:line="440" w:lineRule="exact"/>
        <w:ind w:firstLine="0"/>
        <w:jc w:val="both"/>
        <w:rPr>
          <w:rFonts w:hint="eastAsia" w:ascii="仿宋" w:hAnsi="仿宋" w:eastAsia="仿宋" w:cs="仿宋"/>
          <w:b/>
          <w:color w:val="auto"/>
          <w:sz w:val="30"/>
          <w:szCs w:val="30"/>
        </w:rPr>
      </w:pPr>
    </w:p>
    <w:p>
      <w:pPr>
        <w:pStyle w:val="11"/>
        <w:numPr>
          <w:ilvl w:val="0"/>
          <w:numId w:val="0"/>
        </w:numPr>
        <w:kinsoku w:val="0"/>
        <w:overflowPunct w:val="0"/>
        <w:spacing w:before="34" w:line="357" w:lineRule="auto"/>
        <w:ind w:left="480" w:right="126"/>
        <w:jc w:val="center"/>
        <w:rPr>
          <w:rFonts w:hint="eastAsia" w:ascii="仿宋" w:hAnsi="仿宋" w:eastAsia="仿宋" w:cs="仿宋"/>
          <w:bCs/>
          <w:color w:val="auto"/>
          <w:sz w:val="36"/>
          <w:szCs w:val="36"/>
          <w:lang w:eastAsia="zh-CN"/>
        </w:rPr>
      </w:pPr>
    </w:p>
    <w:p>
      <w:pPr>
        <w:spacing w:line="360" w:lineRule="auto"/>
        <w:jc w:val="center"/>
        <w:rPr>
          <w:rFonts w:hint="eastAsia" w:ascii="仿宋" w:hAnsi="仿宋" w:eastAsia="仿宋" w:cs="仿宋"/>
          <w:b/>
          <w:color w:val="auto"/>
          <w:sz w:val="32"/>
          <w:szCs w:val="32"/>
          <w:lang w:eastAsia="zh-CN"/>
        </w:rPr>
      </w:pPr>
      <w:r>
        <w:rPr>
          <w:rFonts w:hint="eastAsia" w:ascii="仿宋" w:hAnsi="仿宋" w:eastAsia="仿宋" w:cs="仿宋"/>
          <w:b/>
          <w:color w:val="auto"/>
          <w:sz w:val="36"/>
          <w:szCs w:val="36"/>
          <w:lang w:val="en-US" w:eastAsia="zh-CN"/>
        </w:rPr>
        <w:t>8</w:t>
      </w:r>
      <w:r>
        <w:rPr>
          <w:rFonts w:hint="eastAsia" w:ascii="仿宋" w:hAnsi="仿宋" w:eastAsia="仿宋" w:cs="仿宋"/>
          <w:b/>
          <w:color w:val="auto"/>
          <w:sz w:val="36"/>
          <w:szCs w:val="36"/>
          <w:lang w:eastAsia="zh-CN"/>
        </w:rPr>
        <w:t>、中小企业声明函(货物)</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pPr>
        <w:numPr>
          <w:ilvl w:val="0"/>
          <w:numId w:val="11"/>
        </w:num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u w:val="single"/>
          <w:lang w:eastAsia="zh-CN"/>
        </w:rPr>
        <w:t>（标的名称）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（采购文件中明确的所属行业）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2. </w:t>
      </w:r>
      <w:r>
        <w:rPr>
          <w:rFonts w:hint="eastAsia" w:ascii="仿宋" w:hAnsi="仿宋" w:eastAsia="仿宋" w:cs="仿宋"/>
          <w:color w:val="auto"/>
          <w:u w:val="single"/>
          <w:lang w:eastAsia="zh-CN"/>
        </w:rPr>
        <w:t xml:space="preserve"> （标的名称）</w:t>
      </w:r>
      <w:r>
        <w:rPr>
          <w:rFonts w:hint="eastAsia" w:ascii="仿宋" w:hAnsi="仿宋" w:eastAsia="仿宋" w:cs="仿宋"/>
          <w:color w:val="auto"/>
          <w:lang w:eastAsia="zh-CN"/>
        </w:rPr>
        <w:t>，属于</w:t>
      </w:r>
      <w:r>
        <w:rPr>
          <w:rFonts w:hint="eastAsia" w:ascii="仿宋" w:hAnsi="仿宋" w:eastAsia="仿宋" w:cs="仿宋"/>
          <w:color w:val="auto"/>
          <w:u w:val="single"/>
          <w:lang w:eastAsia="zh-CN"/>
        </w:rPr>
        <w:t xml:space="preserve">  （采购文件中明确的所属行业） </w:t>
      </w:r>
      <w:r>
        <w:rPr>
          <w:rFonts w:hint="eastAsia" w:ascii="仿宋" w:hAnsi="仿宋" w:eastAsia="仿宋" w:cs="仿宋"/>
          <w:color w:val="auto"/>
          <w:lang w:eastAsia="zh-CN"/>
        </w:rPr>
        <w:t>；制造商为</w:t>
      </w:r>
      <w:r>
        <w:rPr>
          <w:rFonts w:hint="eastAsia" w:ascii="仿宋" w:hAnsi="仿宋" w:eastAsia="仿宋" w:cs="仿宋"/>
          <w:color w:val="auto"/>
          <w:u w:val="single"/>
          <w:lang w:eastAsia="zh-CN"/>
        </w:rPr>
        <w:t xml:space="preserve">  （企业名称）</w:t>
      </w:r>
      <w:r>
        <w:rPr>
          <w:rFonts w:hint="eastAsia" w:ascii="仿宋" w:hAnsi="仿宋" w:eastAsia="仿宋" w:cs="仿宋"/>
          <w:color w:val="auto"/>
          <w:lang w:eastAsia="zh-CN"/>
        </w:rPr>
        <w:t>，从业人员</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人，营业收入为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万元，资产总额为</w:t>
      </w:r>
      <w:r>
        <w:rPr>
          <w:rFonts w:hint="eastAsia" w:ascii="仿宋" w:hAnsi="仿宋" w:eastAsia="仿宋" w:cs="仿宋"/>
          <w:color w:val="auto"/>
          <w:u w:val="single"/>
          <w:lang w:eastAsia="zh-CN"/>
        </w:rPr>
        <w:t xml:space="preserve">    </w:t>
      </w:r>
      <w:r>
        <w:rPr>
          <w:rFonts w:hint="eastAsia" w:ascii="仿宋" w:hAnsi="仿宋" w:eastAsia="仿宋" w:cs="仿宋"/>
          <w:color w:val="auto"/>
          <w:lang w:eastAsia="zh-CN"/>
        </w:rPr>
        <w:t>万元，属于</w:t>
      </w:r>
      <w:r>
        <w:rPr>
          <w:rFonts w:hint="eastAsia" w:ascii="仿宋" w:hAnsi="仿宋" w:eastAsia="仿宋" w:cs="仿宋"/>
          <w:color w:val="auto"/>
          <w:u w:val="single"/>
          <w:lang w:val="en-US" w:eastAsia="zh-CN"/>
        </w:rPr>
        <w:t xml:space="preserve">        （</w:t>
      </w:r>
      <w:r>
        <w:rPr>
          <w:rFonts w:hint="eastAsia" w:ascii="仿宋" w:hAnsi="仿宋" w:eastAsia="仿宋" w:cs="仿宋"/>
          <w:color w:val="auto"/>
          <w:u w:val="single"/>
          <w:lang w:eastAsia="zh-CN"/>
        </w:rPr>
        <w:t>中型企业、小型企业、微型企业）</w:t>
      </w: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eastAsia="仿宋" w:cs="仿宋"/>
          <w:color w:val="auto"/>
          <w:lang w:eastAsia="zh-CN"/>
        </w:rPr>
      </w:pP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本企业对上述声明内容的真实性负责。如有虚假，将依法承担相应责任。</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                     </w:t>
      </w:r>
    </w:p>
    <w:p>
      <w:pPr>
        <w:spacing w:line="360" w:lineRule="auto"/>
        <w:ind w:firstLine="480" w:firstLineChars="200"/>
        <w:rPr>
          <w:rFonts w:hint="eastAsia" w:ascii="仿宋" w:hAnsi="仿宋" w:eastAsia="仿宋" w:cs="仿宋"/>
          <w:color w:val="auto"/>
          <w:lang w:eastAsia="zh-CN"/>
        </w:rPr>
      </w:pPr>
    </w:p>
    <w:p>
      <w:pPr>
        <w:spacing w:line="360" w:lineRule="auto"/>
        <w:ind w:firstLine="4560" w:firstLineChars="1900"/>
        <w:rPr>
          <w:rFonts w:hint="eastAsia" w:ascii="仿宋" w:hAnsi="仿宋" w:eastAsia="仿宋" w:cs="仿宋"/>
          <w:color w:val="auto"/>
          <w:lang w:eastAsia="zh-CN"/>
        </w:rPr>
      </w:pPr>
      <w:r>
        <w:rPr>
          <w:rFonts w:hint="eastAsia" w:ascii="仿宋" w:hAnsi="仿宋" w:eastAsia="仿宋" w:cs="仿宋"/>
          <w:color w:val="auto"/>
          <w:lang w:eastAsia="zh-CN"/>
        </w:rPr>
        <w:t xml:space="preserve"> 企业名称（盖章）：</w:t>
      </w:r>
    </w:p>
    <w:p>
      <w:pPr>
        <w:spacing w:line="360" w:lineRule="auto"/>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 xml:space="preserve">                                               日期：</w:t>
      </w: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pStyle w:val="18"/>
        <w:rPr>
          <w:rFonts w:hint="eastAsia" w:ascii="仿宋" w:hAnsi="仿宋" w:eastAsia="仿宋" w:cs="仿宋"/>
          <w:color w:val="auto"/>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p>
    <w:p>
      <w:pPr>
        <w:tabs>
          <w:tab w:val="left" w:pos="3600"/>
        </w:tabs>
        <w:adjustRightInd w:val="0"/>
        <w:snapToGrid w:val="0"/>
        <w:spacing w:line="440" w:lineRule="exact"/>
        <w:jc w:val="center"/>
        <w:rPr>
          <w:rFonts w:hint="eastAsia" w:ascii="仿宋" w:hAnsi="仿宋" w:eastAsia="仿宋" w:cs="仿宋"/>
          <w:b/>
          <w:bCs/>
          <w:color w:val="auto"/>
          <w:spacing w:val="6"/>
          <w:sz w:val="36"/>
          <w:szCs w:val="36"/>
          <w:lang w:eastAsia="zh-CN"/>
        </w:rPr>
      </w:pPr>
      <w:r>
        <w:rPr>
          <w:rFonts w:hint="eastAsia" w:ascii="仿宋" w:hAnsi="仿宋" w:eastAsia="仿宋" w:cs="仿宋"/>
          <w:color w:val="auto"/>
          <w:sz w:val="36"/>
          <w:szCs w:val="36"/>
          <w:lang w:val="en-US" w:eastAsia="zh-CN"/>
        </w:rPr>
        <w:t>9</w:t>
      </w:r>
      <w:r>
        <w:rPr>
          <w:rFonts w:hint="eastAsia" w:ascii="仿宋" w:hAnsi="仿宋" w:eastAsia="仿宋" w:cs="仿宋"/>
          <w:color w:val="auto"/>
          <w:sz w:val="36"/>
          <w:szCs w:val="36"/>
          <w:lang w:eastAsia="zh-CN"/>
        </w:rPr>
        <w:t>、</w:t>
      </w:r>
      <w:r>
        <w:rPr>
          <w:rFonts w:hint="eastAsia" w:ascii="仿宋" w:hAnsi="仿宋" w:eastAsia="仿宋" w:cs="仿宋"/>
          <w:b/>
          <w:bCs/>
          <w:color w:val="auto"/>
          <w:spacing w:val="6"/>
          <w:sz w:val="36"/>
          <w:szCs w:val="36"/>
          <w:lang w:eastAsia="zh-CN"/>
        </w:rPr>
        <w:t>残疾人福利性单位声明函</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单位的</w:t>
      </w:r>
      <w:r>
        <w:rPr>
          <w:rFonts w:hint="eastAsia" w:ascii="仿宋" w:hAnsi="仿宋" w:eastAsia="仿宋" w:cs="仿宋"/>
          <w:color w:val="auto"/>
          <w:spacing w:val="6"/>
          <w:u w:val="single"/>
          <w:lang w:eastAsia="zh-CN"/>
        </w:rPr>
        <w:t xml:space="preserve">     </w:t>
      </w:r>
      <w:r>
        <w:rPr>
          <w:rFonts w:hint="eastAsia" w:ascii="仿宋" w:hAnsi="仿宋" w:eastAsia="仿宋" w:cs="仿宋"/>
          <w:color w:val="auto"/>
          <w:spacing w:val="6"/>
          <w:lang w:eastAsia="zh-CN"/>
        </w:rPr>
        <w:t>项目采购活动提供本单位制造的货物（由本单位承担工程/提供服务），或者提供其他残疾人福利性单位制造的货物（不包括使用非残疾人福利性单位注册商标的货物）。</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本单位对上述声明的真实性负责。如有虚假，将依法承担相应责任。</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 xml:space="preserve">                                     </w:t>
      </w:r>
    </w:p>
    <w:p>
      <w:pPr>
        <w:widowControl/>
        <w:adjustRightInd w:val="0"/>
        <w:snapToGrid w:val="0"/>
        <w:spacing w:line="440" w:lineRule="exact"/>
        <w:ind w:firstLine="5544" w:firstLineChars="2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单位名称（盖章）：</w:t>
      </w:r>
    </w:p>
    <w:p>
      <w:pPr>
        <w:widowControl/>
        <w:adjustRightInd w:val="0"/>
        <w:snapToGrid w:val="0"/>
        <w:spacing w:line="440" w:lineRule="exact"/>
        <w:ind w:firstLine="504" w:firstLineChars="200"/>
        <w:rPr>
          <w:rFonts w:hint="eastAsia" w:ascii="仿宋" w:hAnsi="仿宋" w:eastAsia="仿宋" w:cs="仿宋"/>
          <w:color w:val="auto"/>
          <w:spacing w:val="6"/>
          <w:lang w:eastAsia="zh-CN"/>
        </w:rPr>
      </w:pPr>
      <w:r>
        <w:rPr>
          <w:rFonts w:hint="eastAsia" w:ascii="仿宋" w:hAnsi="仿宋" w:eastAsia="仿宋" w:cs="仿宋"/>
          <w:color w:val="auto"/>
          <w:spacing w:val="6"/>
          <w:lang w:eastAsia="zh-CN"/>
        </w:rPr>
        <w:t xml:space="preserve">                                      日  期：</w:t>
      </w:r>
    </w:p>
    <w:p>
      <w:pPr>
        <w:pStyle w:val="7"/>
        <w:numPr>
          <w:ilvl w:val="1"/>
          <w:numId w:val="0"/>
        </w:numPr>
        <w:spacing w:line="240" w:lineRule="atLeast"/>
        <w:jc w:val="left"/>
        <w:rPr>
          <w:rFonts w:hint="eastAsia" w:ascii="仿宋" w:hAnsi="仿宋" w:eastAsia="仿宋" w:cs="仿宋"/>
          <w:bCs/>
          <w:color w:val="auto"/>
          <w:sz w:val="24"/>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29"/>
        <w:rPr>
          <w:rFonts w:hint="eastAsia" w:ascii="仿宋" w:hAnsi="仿宋" w:eastAsia="仿宋" w:cs="仿宋"/>
          <w:b/>
          <w:bCs/>
          <w:color w:val="auto"/>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tabs>
          <w:tab w:val="left" w:pos="3600"/>
        </w:tabs>
        <w:adjustRightInd w:val="0"/>
        <w:snapToGrid w:val="0"/>
        <w:spacing w:line="440" w:lineRule="exact"/>
        <w:jc w:val="center"/>
        <w:rPr>
          <w:rFonts w:hint="eastAsia" w:ascii="仿宋" w:hAnsi="仿宋" w:eastAsia="仿宋" w:cs="仿宋"/>
          <w:color w:val="auto"/>
          <w:sz w:val="36"/>
          <w:szCs w:val="36"/>
          <w:lang w:eastAsia="zh-CN"/>
        </w:rPr>
      </w:pPr>
      <w:r>
        <w:rPr>
          <w:rFonts w:hint="eastAsia" w:ascii="仿宋" w:hAnsi="仿宋" w:eastAsia="仿宋" w:cs="仿宋"/>
          <w:b/>
          <w:bCs/>
          <w:color w:val="auto"/>
          <w:sz w:val="36"/>
          <w:szCs w:val="36"/>
          <w:lang w:val="en-US" w:eastAsia="zh-CN"/>
        </w:rPr>
        <w:t>10</w:t>
      </w:r>
      <w:r>
        <w:rPr>
          <w:rFonts w:hint="eastAsia" w:ascii="仿宋" w:hAnsi="仿宋" w:eastAsia="仿宋" w:cs="仿宋"/>
          <w:b/>
          <w:bCs/>
          <w:color w:val="auto"/>
          <w:sz w:val="36"/>
          <w:szCs w:val="36"/>
          <w:lang w:eastAsia="zh-CN"/>
        </w:rPr>
        <w:t>、评分标准和细则中技术部分证明材料（格式自拟</w:t>
      </w:r>
      <w:r>
        <w:rPr>
          <w:rFonts w:hint="eastAsia" w:ascii="仿宋" w:hAnsi="仿宋" w:eastAsia="仿宋" w:cs="仿宋"/>
          <w:color w:val="auto"/>
          <w:sz w:val="36"/>
          <w:szCs w:val="36"/>
          <w:lang w:eastAsia="zh-CN"/>
        </w:rPr>
        <w:t>）</w:t>
      </w:r>
    </w:p>
    <w:p>
      <w:pPr>
        <w:pStyle w:val="7"/>
        <w:numPr>
          <w:ilvl w:val="1"/>
          <w:numId w:val="0"/>
        </w:numPr>
        <w:spacing w:line="240" w:lineRule="atLeast"/>
        <w:ind w:left="617" w:leftChars="257"/>
        <w:rPr>
          <w:rFonts w:hint="eastAsia" w:ascii="仿宋" w:hAnsi="仿宋" w:eastAsia="仿宋" w:cs="仿宋"/>
          <w:color w:val="auto"/>
          <w:sz w:val="24"/>
          <w:lang w:eastAsia="zh-CN"/>
        </w:rPr>
      </w:pPr>
    </w:p>
    <w:p>
      <w:pPr>
        <w:spacing w:line="440" w:lineRule="exact"/>
        <w:jc w:val="left"/>
        <w:rPr>
          <w:rFonts w:hint="eastAsia"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评分标准和细则中技术部分</w:t>
      </w:r>
      <w:r>
        <w:rPr>
          <w:rFonts w:hint="eastAsia" w:ascii="仿宋" w:hAnsi="仿宋" w:eastAsia="仿宋" w:cs="仿宋"/>
          <w:color w:val="auto"/>
          <w:lang w:eastAsia="zh-CN"/>
        </w:rPr>
        <w:t>要求的其他资格证明文件（主要包括：</w:t>
      </w:r>
      <w:r>
        <w:rPr>
          <w:rFonts w:hint="eastAsia" w:ascii="仿宋" w:hAnsi="仿宋" w:eastAsia="仿宋" w:cs="仿宋"/>
          <w:color w:val="auto"/>
          <w:szCs w:val="21"/>
          <w:lang w:val="zh-CN" w:eastAsia="zh-CN" w:bidi="ar-SA"/>
        </w:rPr>
        <w:t>技术指标、参数响应情况</w:t>
      </w:r>
      <w:r>
        <w:rPr>
          <w:rFonts w:hint="eastAsia" w:ascii="仿宋" w:hAnsi="仿宋" w:eastAsia="仿宋" w:cs="仿宋"/>
          <w:color w:val="auto"/>
          <w:szCs w:val="21"/>
          <w:lang w:eastAsia="zh-CN" w:bidi="ar-SA"/>
        </w:rPr>
        <w:t>等</w:t>
      </w:r>
      <w:r>
        <w:rPr>
          <w:rFonts w:hint="eastAsia" w:ascii="仿宋" w:hAnsi="仿宋" w:eastAsia="仿宋" w:cs="仿宋"/>
          <w:color w:val="auto"/>
          <w:lang w:eastAsia="zh-CN"/>
        </w:rPr>
        <w:t>）。</w:t>
      </w:r>
    </w:p>
    <w:p>
      <w:pPr>
        <w:pStyle w:val="12"/>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8"/>
        <w:rPr>
          <w:rFonts w:hint="eastAsia" w:ascii="仿宋" w:hAnsi="仿宋" w:eastAsia="仿宋" w:cs="仿宋"/>
          <w:color w:val="auto"/>
          <w:sz w:val="24"/>
          <w:lang w:eastAsia="zh-CN"/>
        </w:rPr>
      </w:pPr>
      <w:r>
        <w:rPr>
          <w:rFonts w:hint="eastAsia" w:ascii="仿宋" w:hAnsi="仿宋" w:eastAsia="仿宋" w:cs="仿宋"/>
          <w:color w:val="auto"/>
          <w:sz w:val="24"/>
          <w:lang w:eastAsia="zh-CN"/>
        </w:rPr>
        <w:t xml:space="preserve">   </w:t>
      </w:r>
      <w:bookmarkStart w:id="87" w:name="_GoBack"/>
      <w:bookmarkEnd w:id="87"/>
    </w:p>
    <w:p>
      <w:pPr>
        <w:rPr>
          <w:rFonts w:hint="eastAsia" w:ascii="仿宋" w:hAnsi="仿宋" w:eastAsia="仿宋" w:cs="仿宋"/>
          <w:color w:val="auto"/>
          <w:lang w:eastAsia="zh-CN"/>
        </w:rPr>
      </w:pPr>
    </w:p>
    <w:p>
      <w:pPr>
        <w:tabs>
          <w:tab w:val="left" w:pos="3600"/>
        </w:tabs>
        <w:adjustRightInd w:val="0"/>
        <w:snapToGrid w:val="0"/>
        <w:spacing w:line="440" w:lineRule="exact"/>
        <w:jc w:val="center"/>
        <w:rPr>
          <w:rFonts w:hint="eastAsia" w:ascii="仿宋" w:hAnsi="仿宋" w:eastAsia="仿宋" w:cs="仿宋"/>
          <w:b/>
          <w:bCs/>
          <w:color w:val="auto"/>
          <w:sz w:val="36"/>
          <w:szCs w:val="36"/>
          <w:lang w:eastAsia="zh-CN"/>
        </w:rPr>
      </w:pPr>
      <w:r>
        <w:rPr>
          <w:rFonts w:hint="eastAsia" w:ascii="仿宋" w:hAnsi="仿宋" w:eastAsia="仿宋" w:cs="仿宋"/>
          <w:b/>
          <w:bCs/>
          <w:color w:val="auto"/>
          <w:sz w:val="36"/>
          <w:szCs w:val="36"/>
          <w:lang w:val="en-US" w:eastAsia="zh-CN"/>
        </w:rPr>
        <w:t>11</w:t>
      </w:r>
      <w:r>
        <w:rPr>
          <w:rFonts w:hint="eastAsia" w:ascii="仿宋" w:hAnsi="仿宋" w:eastAsia="仿宋" w:cs="仿宋"/>
          <w:b/>
          <w:bCs/>
          <w:color w:val="auto"/>
          <w:sz w:val="36"/>
          <w:szCs w:val="36"/>
          <w:lang w:eastAsia="zh-CN"/>
        </w:rPr>
        <w:t>、评分标准和细则中商务部分证明材料（格式自拟）</w:t>
      </w:r>
    </w:p>
    <w:p>
      <w:pPr>
        <w:pStyle w:val="12"/>
        <w:tabs>
          <w:tab w:val="left" w:pos="5580"/>
        </w:tabs>
        <w:spacing w:line="240" w:lineRule="atLeast"/>
        <w:rPr>
          <w:rFonts w:hint="eastAsia" w:ascii="仿宋" w:hAnsi="仿宋" w:eastAsia="仿宋" w:cs="仿宋"/>
          <w:color w:val="auto"/>
          <w:lang w:eastAsia="zh-CN"/>
        </w:rPr>
      </w:pPr>
    </w:p>
    <w:p>
      <w:pPr>
        <w:spacing w:line="440" w:lineRule="exact"/>
        <w:jc w:val="center"/>
        <w:rPr>
          <w:rFonts w:hint="eastAsia" w:ascii="仿宋" w:hAnsi="仿宋" w:eastAsia="仿宋" w:cs="仿宋"/>
          <w:color w:val="auto"/>
          <w:lang w:eastAsia="zh-CN"/>
        </w:rPr>
      </w:pPr>
      <w:r>
        <w:rPr>
          <w:rFonts w:hint="eastAsia" w:ascii="仿宋" w:hAnsi="仿宋" w:eastAsia="仿宋" w:cs="仿宋"/>
          <w:color w:val="auto"/>
          <w:lang w:eastAsia="zh-CN"/>
        </w:rPr>
        <w:t>说明：1.应提供</w:t>
      </w:r>
      <w:r>
        <w:rPr>
          <w:rFonts w:hint="eastAsia" w:ascii="仿宋" w:hAnsi="仿宋" w:eastAsia="仿宋" w:cs="仿宋"/>
          <w:color w:val="auto"/>
          <w:u w:val="single"/>
          <w:lang w:eastAsia="zh-CN"/>
        </w:rPr>
        <w:t>评分标准和细则中</w:t>
      </w:r>
      <w:r>
        <w:rPr>
          <w:rFonts w:hint="eastAsia" w:ascii="仿宋" w:hAnsi="仿宋" w:eastAsia="仿宋" w:cs="仿宋"/>
          <w:color w:val="auto"/>
          <w:u w:val="single"/>
          <w:lang w:val="en-US" w:eastAsia="zh-CN"/>
        </w:rPr>
        <w:t>商务</w:t>
      </w:r>
      <w:r>
        <w:rPr>
          <w:rFonts w:hint="eastAsia" w:ascii="仿宋" w:hAnsi="仿宋" w:eastAsia="仿宋" w:cs="仿宋"/>
          <w:color w:val="auto"/>
          <w:u w:val="single"/>
          <w:lang w:eastAsia="zh-CN"/>
        </w:rPr>
        <w:t>部分</w:t>
      </w:r>
      <w:r>
        <w:rPr>
          <w:rFonts w:hint="eastAsia" w:ascii="仿宋" w:hAnsi="仿宋" w:eastAsia="仿宋" w:cs="仿宋"/>
          <w:color w:val="auto"/>
          <w:lang w:eastAsia="zh-CN"/>
        </w:rPr>
        <w:t>要求的其他资格证明文件（主要包括：类似业绩；</w:t>
      </w:r>
      <w:r>
        <w:rPr>
          <w:rFonts w:hint="eastAsia" w:ascii="仿宋" w:hAnsi="仿宋" w:eastAsia="仿宋" w:cs="仿宋"/>
          <w:color w:val="auto"/>
          <w:szCs w:val="21"/>
          <w:lang w:eastAsia="zh-CN" w:bidi="ar-SA"/>
        </w:rPr>
        <w:t>供货、安装、调试方案；</w:t>
      </w:r>
      <w:r>
        <w:rPr>
          <w:rFonts w:hint="eastAsia" w:ascii="仿宋" w:hAnsi="仿宋" w:eastAsia="仿宋" w:cs="仿宋"/>
          <w:color w:val="auto"/>
          <w:lang w:eastAsia="zh-CN"/>
        </w:rPr>
        <w:t>质保期及交货期；</w:t>
      </w:r>
      <w:r>
        <w:rPr>
          <w:rFonts w:hint="eastAsia" w:ascii="仿宋" w:hAnsi="仿宋" w:eastAsia="仿宋" w:cs="仿宋"/>
          <w:color w:val="auto"/>
          <w:lang w:val="en-US" w:eastAsia="zh-CN"/>
        </w:rPr>
        <w:t>售后服务；培训方案</w:t>
      </w:r>
      <w:r>
        <w:rPr>
          <w:rFonts w:hint="eastAsia" w:ascii="仿宋" w:hAnsi="仿宋" w:eastAsia="仿宋" w:cs="仿宋"/>
          <w:color w:val="auto"/>
          <w:lang w:eastAsia="zh-CN"/>
        </w:rPr>
        <w:t>等）。</w:t>
      </w:r>
    </w:p>
    <w:p>
      <w:pPr>
        <w:pStyle w:val="12"/>
        <w:tabs>
          <w:tab w:val="left" w:pos="5580"/>
        </w:tabs>
        <w:spacing w:line="240" w:lineRule="atLeast"/>
        <w:ind w:firstLine="720" w:firstLineChars="300"/>
        <w:rPr>
          <w:rFonts w:hint="eastAsia" w:ascii="仿宋" w:hAnsi="仿宋" w:eastAsia="仿宋" w:cs="仿宋"/>
          <w:color w:val="auto"/>
          <w:lang w:eastAsia="zh-CN"/>
        </w:rPr>
      </w:pPr>
      <w:r>
        <w:rPr>
          <w:rFonts w:hint="eastAsia" w:ascii="仿宋" w:hAnsi="仿宋" w:eastAsia="仿宋" w:cs="仿宋"/>
          <w:color w:val="auto"/>
          <w:lang w:eastAsia="zh-CN"/>
        </w:rPr>
        <w:t>2.复印件上应加盖本单位章（自然人投标的无需盖章，需要签字）。</w:t>
      </w:r>
    </w:p>
    <w:p>
      <w:pPr>
        <w:pStyle w:val="7"/>
        <w:numPr>
          <w:ilvl w:val="1"/>
          <w:numId w:val="0"/>
        </w:numPr>
        <w:spacing w:line="240" w:lineRule="atLeast"/>
        <w:jc w:val="left"/>
        <w:rPr>
          <w:rFonts w:hint="eastAsia" w:ascii="仿宋" w:hAnsi="仿宋" w:eastAsia="仿宋" w:cs="仿宋"/>
          <w:bCs/>
          <w:color w:val="auto"/>
          <w:sz w:val="24"/>
          <w:lang w:eastAsia="zh-CN"/>
        </w:rPr>
      </w:pPr>
      <w:r>
        <w:rPr>
          <w:rFonts w:hint="eastAsia" w:ascii="仿宋" w:hAnsi="仿宋" w:eastAsia="仿宋" w:cs="仿宋"/>
          <w:color w:val="auto"/>
          <w:sz w:val="24"/>
          <w:lang w:eastAsia="zh-CN"/>
        </w:rPr>
        <w:t xml:space="preserve">    </w:t>
      </w:r>
    </w:p>
    <w:p>
      <w:pPr>
        <w:pStyle w:val="7"/>
        <w:numPr>
          <w:ilvl w:val="1"/>
          <w:numId w:val="0"/>
        </w:numPr>
        <w:spacing w:line="240" w:lineRule="atLeast"/>
        <w:jc w:val="left"/>
        <w:rPr>
          <w:rFonts w:hint="eastAsia" w:ascii="仿宋" w:hAnsi="仿宋" w:eastAsia="仿宋" w:cs="仿宋"/>
          <w:bCs/>
          <w:color w:val="auto"/>
          <w:sz w:val="24"/>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rPr>
          <w:rFonts w:hint="eastAsia" w:ascii="仿宋" w:hAnsi="仿宋" w:eastAsia="仿宋" w:cs="仿宋"/>
          <w:color w:val="auto"/>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pStyle w:val="7"/>
        <w:numPr>
          <w:ilvl w:val="1"/>
          <w:numId w:val="0"/>
        </w:numPr>
        <w:spacing w:line="240" w:lineRule="atLeast"/>
        <w:jc w:val="left"/>
        <w:rPr>
          <w:rFonts w:hint="eastAsia" w:ascii="仿宋" w:hAnsi="仿宋" w:eastAsia="仿宋" w:cs="仿宋"/>
          <w:bCs/>
          <w:color w:val="auto"/>
          <w:sz w:val="24"/>
          <w:lang w:eastAsia="zh-CN"/>
        </w:rPr>
      </w:pPr>
    </w:p>
    <w:p>
      <w:pPr>
        <w:tabs>
          <w:tab w:val="left" w:pos="3600"/>
        </w:tabs>
        <w:adjustRightInd w:val="0"/>
        <w:snapToGrid w:val="0"/>
        <w:spacing w:line="440" w:lineRule="exact"/>
        <w:jc w:val="center"/>
        <w:rPr>
          <w:rFonts w:hint="eastAsia" w:ascii="仿宋" w:hAnsi="仿宋" w:eastAsia="仿宋" w:cs="仿宋"/>
          <w:b/>
          <w:bCs/>
          <w:color w:val="auto"/>
          <w:w w:val="90"/>
          <w:sz w:val="36"/>
          <w:szCs w:val="36"/>
          <w:lang w:eastAsia="zh-CN"/>
        </w:rPr>
      </w:pPr>
      <w:r>
        <w:rPr>
          <w:rFonts w:hint="eastAsia" w:ascii="仿宋" w:hAnsi="仿宋" w:eastAsia="仿宋" w:cs="仿宋"/>
          <w:b/>
          <w:bCs/>
          <w:color w:val="auto"/>
          <w:sz w:val="36"/>
          <w:szCs w:val="36"/>
          <w:lang w:eastAsia="zh-CN"/>
        </w:rPr>
        <w:t>1</w:t>
      </w:r>
      <w:r>
        <w:rPr>
          <w:rFonts w:hint="eastAsia" w:ascii="仿宋" w:hAnsi="仿宋" w:eastAsia="仿宋" w:cs="仿宋"/>
          <w:b/>
          <w:bCs/>
          <w:color w:val="auto"/>
          <w:sz w:val="36"/>
          <w:szCs w:val="36"/>
          <w:lang w:val="en-US" w:eastAsia="zh-CN"/>
        </w:rPr>
        <w:t>2</w:t>
      </w:r>
      <w:r>
        <w:rPr>
          <w:rFonts w:hint="eastAsia" w:ascii="仿宋" w:hAnsi="仿宋" w:eastAsia="仿宋" w:cs="仿宋"/>
          <w:b/>
          <w:bCs/>
          <w:color w:val="auto"/>
          <w:sz w:val="36"/>
          <w:szCs w:val="36"/>
          <w:lang w:eastAsia="zh-CN"/>
        </w:rPr>
        <w:t>、</w:t>
      </w:r>
      <w:r>
        <w:rPr>
          <w:rFonts w:hint="eastAsia" w:ascii="仿宋" w:hAnsi="仿宋" w:eastAsia="仿宋" w:cs="仿宋"/>
          <w:b/>
          <w:bCs/>
          <w:color w:val="auto"/>
          <w:w w:val="90"/>
          <w:sz w:val="36"/>
          <w:szCs w:val="36"/>
          <w:lang w:eastAsia="zh-CN"/>
        </w:rPr>
        <w:t>投标人认为有必要提供的其他证明材料（格式自拟）</w:t>
      </w:r>
    </w:p>
    <w:p>
      <w:pPr>
        <w:pStyle w:val="12"/>
        <w:tabs>
          <w:tab w:val="left" w:pos="5580"/>
        </w:tabs>
        <w:spacing w:line="240" w:lineRule="atLeast"/>
        <w:ind w:firstLine="480" w:firstLineChars="200"/>
        <w:rPr>
          <w:rFonts w:hint="eastAsia" w:ascii="仿宋" w:hAnsi="仿宋" w:eastAsia="仿宋" w:cs="仿宋"/>
          <w:color w:val="auto"/>
          <w:lang w:eastAsia="zh-CN"/>
        </w:rPr>
      </w:pPr>
    </w:p>
    <w:p>
      <w:pPr>
        <w:pStyle w:val="12"/>
        <w:tabs>
          <w:tab w:val="left" w:pos="5580"/>
        </w:tabs>
        <w:spacing w:line="240" w:lineRule="atLeast"/>
        <w:ind w:firstLine="480" w:firstLineChars="200"/>
        <w:rPr>
          <w:rFonts w:hint="eastAsia" w:ascii="仿宋" w:hAnsi="仿宋" w:eastAsia="仿宋" w:cs="仿宋"/>
          <w:color w:val="auto"/>
          <w:lang w:eastAsia="zh-CN"/>
        </w:rPr>
      </w:pPr>
      <w:r>
        <w:rPr>
          <w:rFonts w:hint="eastAsia" w:ascii="仿宋" w:hAnsi="仿宋" w:eastAsia="仿宋" w:cs="仿宋"/>
          <w:color w:val="auto"/>
          <w:lang w:eastAsia="zh-CN"/>
        </w:rPr>
        <w:t>说明：复印件上应加盖本单位章（自然人投标的无需盖章，需要签字）。</w:t>
      </w:r>
    </w:p>
    <w:p>
      <w:pPr>
        <w:pStyle w:val="13"/>
        <w:ind w:left="2880"/>
        <w:rPr>
          <w:rFonts w:hint="eastAsia" w:ascii="仿宋" w:hAnsi="仿宋" w:eastAsia="仿宋" w:cs="仿宋"/>
          <w:color w:val="auto"/>
          <w:lang w:eastAsia="zh-CN"/>
        </w:rPr>
      </w:pPr>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_x000B__x000C_">
    <w:altName w:val="Courier New"/>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M2qMM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pORa0B4d0hYuPSTUUeoqRjOqTCadiovwp/3kvX0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DbkzaowwEAAI8DAAAOAAAAAAAAAAEAIAAAAB4BAABkcnMvZTJvRG9jLnhtbFBL&#10;BQYAAAAABgAGAFkBAABTBQAAAAA=&#10;">
              <v:fill on="f" focussize="0,0"/>
              <v:stroke on="f"/>
              <v:imagedata o:title=""/>
              <o:lock v:ext="edit" aspectratio="f"/>
              <v:textbox inset="0mm,0mm,0mm,0mm" style="mso-fit-shape-to-text:t;">
                <w:txbxContent>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36Z5cMBAACP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BffpnlwwEAAI8DAAAOAAAAAAAAAAEAIAAAAB4BAABkcnMvZTJvRG9jLnhtbFBL&#10;BQYAAAAABgAGAFkBAABTBQ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6"/>
        <w:lang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44</w:t>
                    </w:r>
                    <w:r>
                      <w:fldChar w:fldCharType="end"/>
                    </w:r>
                  </w:p>
                </w:txbxContent>
              </v:textbox>
            </v:shape>
          </w:pict>
        </mc:Fallback>
      </mc:AlternateContent>
    </w:r>
    <w:r>
      <w:rPr>
        <w:sz w:val="16"/>
        <w:lang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g0GZ8M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FtQ5e3lDhuceLnp8fzj1/nn98J&#10;+lCgPkCNeQ8BM9Pwzg+4NrMf0Jl5Dyra/EVGBOMo7+kirxwSEfnRarlaVRgSGJsviM+en4cI6b30&#10;lmSjoRHnV2Tlx4+QxtQ5JVdz/l4bU2Zo3F8OxMwelnsfe8xWGnbDRGjn2xPy6XH0DXW46ZSYDw6V&#10;zVsyG3E2dpORa0B4e0hYuPSTUUeoqRjOqTCadiovwp/3kvX8H21+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yDQZnwwEAAI8DAAAOAAAAAAAAAAEAIAAAAB4BAABkcnMvZTJvRG9jLnhtbFBL&#10;BQYAAAAABgAGAFkBAABTBQAAAAA=&#10;">
              <v:fill on="f" focussize="0,0"/>
              <v:stroke on="f"/>
              <v:imagedata o:title=""/>
              <o:lock v:ext="edit" aspectratio="f"/>
              <v:textbox inset="0mm,0mm,0mm,0mm" style="mso-fit-shape-to-text:t;">
                <w:txbxContent>
                  <w:p>
                    <w:pPr>
                      <w:pStyle w:val="16"/>
                    </w:pPr>
                  </w:p>
                </w:txbxContent>
              </v:textbox>
            </v:shape>
          </w:pict>
        </mc:Fallback>
      </mc:AlternateContent>
    </w:r>
    <w:r>
      <w:rPr>
        <w:rFonts w:hint="eastAsia"/>
        <w:sz w:val="16"/>
        <w:szCs w:val="16"/>
      </w:rPr>
      <w:t xml:space="preserve"> </w:t>
    </w:r>
    <w:r>
      <w:rPr>
        <w:rFonts w:hint="eastAsia"/>
        <w:color w:val="800000"/>
        <w:sz w:val="16"/>
        <w:szCs w:val="20"/>
        <w:lang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13"/>
        <w:lang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51</w:t>
                    </w:r>
                    <w:r>
                      <w:fldChar w:fldCharType="end"/>
                    </w:r>
                  </w:p>
                </w:txbxContent>
              </v:textbox>
            </v:shape>
          </w:pict>
        </mc:Fallback>
      </mc:AlternateContent>
    </w:r>
    <w:r>
      <w:rPr>
        <w:rFonts w:hint="eastAsia"/>
        <w:sz w:val="13"/>
        <w:szCs w:val="13"/>
      </w:rPr>
      <w:t xml:space="preserve"> </w:t>
    </w:r>
    <w:r>
      <w:rPr>
        <w:rFonts w:hint="eastAsia"/>
      </w:rPr>
      <w:t xml:space="preserve">  </w:t>
    </w:r>
  </w:p>
  <w:p>
    <w:pPr>
      <w:pStyle w:val="16"/>
      <w:tabs>
        <w:tab w:val="center" w:pos="4320"/>
        <w:tab w:val="right" w:pos="8640"/>
        <w:tab w:val="clear" w:pos="4153"/>
        <w:tab w:val="clear" w:pos="8306"/>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pPr>
    <w:r>
      <w:rPr>
        <w:sz w:val="24"/>
        <w:lang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76</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1D1sIBAACP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slJY5bnPjl+7fLj1+Xn18J&#10;+lCgPkCNeQ8BM9Nw5wdcm9kP6My8BxVt/iIjgnGU93yVVw6JiPxovVqvKwwJjM0XxGePz0OE9FZ6&#10;S7LR0IjzK7Ly03tIY+qckqs5f6+NKTM07i8HYmYPy72PPWYrDfthIrT37Rn59Dj6hjrcdErMO4fK&#10;5i2ZjTgb+8nINSDcHhMWLv1k1BFqKoZzKoymncqL8Oe9ZD3+R9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C9Q9bCAQAAjwMAAA4AAAAAAAAAAQAgAAAAHgEAAGRycy9lMm9Eb2MueG1sUEsF&#10;BgAAAAAGAAYAWQEAAFI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ascii="宋体" w:hAnsi="宋体" w:eastAsia="宋体" w:cs="宋体"/>
        <w:color w:val="auto"/>
        <w:sz w:val="24"/>
        <w:lang w:eastAsia="zh-CN"/>
      </w:rPr>
      <w:t xml:space="preserve">  </w:t>
    </w:r>
    <w:r>
      <w:rPr>
        <w:rFonts w:hint="eastAsia"/>
        <w:sz w:val="13"/>
        <w:szCs w:val="13"/>
      </w:rPr>
      <w:t xml:space="preserve"> </w:t>
    </w:r>
    <w:r>
      <w:rPr>
        <w:rFonts w:hint="eastAsia"/>
      </w:rPr>
      <w:t xml:space="preserve"> </w:t>
    </w:r>
    <w:r>
      <w:rPr>
        <w:rFonts w:hint="eastAsia"/>
        <w:color w:val="800000"/>
        <w:sz w:val="16"/>
        <w:szCs w:val="20"/>
        <w:lang w:eastAsia="zh-CN"/>
      </w:rPr>
      <w:t xml:space="preserve">      </w:t>
    </w:r>
  </w:p>
  <w:p>
    <w:pPr>
      <w:pStyle w:val="16"/>
      <w:autoSpaceDE w:val="0"/>
      <w:autoSpaceDN w:val="0"/>
      <w:adjustRightInd w:val="0"/>
      <w:ind w:left="7200" w:hanging="7200" w:hangingChars="4000"/>
      <w:jc w:val="both"/>
    </w:pPr>
  </w:p>
  <w:p>
    <w:pPr>
      <w:pStyle w:val="16"/>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81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tabs>
        <w:tab w:val="clear" w:pos="4153"/>
        <w:tab w:val="clear" w:pos="8306"/>
      </w:tabs>
      <w:rPr>
        <w:rFonts w:eastAsia="宋体"/>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ascii="宋体" w:hAnsi="宋体" w:eastAsia="宋体" w:cs="宋体"/>
        <w:sz w:val="20"/>
        <w:szCs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DAD01"/>
    <w:multiLevelType w:val="singleLevel"/>
    <w:tmpl w:val="CF0DAD01"/>
    <w:lvl w:ilvl="0" w:tentative="0">
      <w:start w:val="1"/>
      <w:numFmt w:val="decimal"/>
      <w:suff w:val="space"/>
      <w:lvlText w:val="%1."/>
      <w:lvlJc w:val="left"/>
    </w:lvl>
  </w:abstractNum>
  <w:abstractNum w:abstractNumId="1">
    <w:nsid w:val="FAFFEEE2"/>
    <w:multiLevelType w:val="singleLevel"/>
    <w:tmpl w:val="FAFFEEE2"/>
    <w:lvl w:ilvl="0" w:tentative="0">
      <w:start w:val="1"/>
      <w:numFmt w:val="decimal"/>
      <w:suff w:val="nothing"/>
      <w:lvlText w:val="%1、"/>
      <w:lvlJc w:val="left"/>
    </w:lvl>
  </w:abstractNum>
  <w:abstractNum w:abstractNumId="2">
    <w:nsid w:val="0000000D"/>
    <w:multiLevelType w:val="multilevel"/>
    <w:tmpl w:val="0000000D"/>
    <w:lvl w:ilvl="0" w:tentative="0">
      <w:start w:val="1"/>
      <w:numFmt w:val="decimal"/>
      <w:pStyle w:val="11"/>
      <w:lvlText w:val="%1."/>
      <w:lvlJc w:val="left"/>
      <w:pPr>
        <w:tabs>
          <w:tab w:val="left" w:pos="780"/>
        </w:tabs>
        <w:ind w:left="790" w:hanging="430"/>
      </w:pPr>
      <w:rPr>
        <w:rFonts w:hint="eastAsia"/>
      </w:rPr>
    </w:lvl>
    <w:lvl w:ilvl="1" w:tentative="0">
      <w:start w:val="1"/>
      <w:numFmt w:val="decimal"/>
      <w:lvlText w:val="%1.%2"/>
      <w:lvlJc w:val="left"/>
      <w:pPr>
        <w:tabs>
          <w:tab w:val="left" w:pos="880"/>
        </w:tabs>
        <w:ind w:left="880" w:hanging="700"/>
      </w:pPr>
      <w:rPr>
        <w:rFonts w:ascii="宋体" w:hAnsi="宋体" w:eastAsia="宋体" w:cs="Times New Roman"/>
        <w:lang w:val="en-US"/>
      </w:rPr>
    </w:lvl>
    <w:lvl w:ilvl="2" w:tentative="0">
      <w:start w:val="1"/>
      <w:numFmt w:val="decimal"/>
      <w:lvlText w:val="%1.%2.%3"/>
      <w:lvlJc w:val="left"/>
      <w:pPr>
        <w:tabs>
          <w:tab w:val="left" w:pos="1360"/>
        </w:tabs>
        <w:ind w:left="1360" w:hanging="1000"/>
      </w:pPr>
      <w:rPr>
        <w:rFonts w:hint="eastAsia"/>
      </w:rPr>
    </w:lvl>
    <w:lvl w:ilvl="3" w:tentative="0">
      <w:start w:val="1"/>
      <w:numFmt w:val="decimal"/>
      <w:lvlText w:val="%1.%2.%3.%4"/>
      <w:lvlJc w:val="left"/>
      <w:pPr>
        <w:tabs>
          <w:tab w:val="left" w:pos="360"/>
        </w:tabs>
        <w:ind w:left="2344" w:hanging="1984"/>
      </w:pPr>
      <w:rPr>
        <w:rFonts w:hint="eastAsia"/>
      </w:rPr>
    </w:lvl>
    <w:lvl w:ilvl="4" w:tentative="0">
      <w:start w:val="1"/>
      <w:numFmt w:val="decimal"/>
      <w:lvlText w:val="%1.%2.%3.%4.%5"/>
      <w:lvlJc w:val="left"/>
      <w:pPr>
        <w:tabs>
          <w:tab w:val="left" w:pos="2911"/>
        </w:tabs>
        <w:ind w:left="2911" w:hanging="850"/>
      </w:pPr>
      <w:rPr>
        <w:rFonts w:hint="eastAsia"/>
      </w:rPr>
    </w:lvl>
    <w:lvl w:ilvl="5" w:tentative="0">
      <w:start w:val="1"/>
      <w:numFmt w:val="decimal"/>
      <w:lvlText w:val="%1.%2.%3.%4.%5.%6"/>
      <w:lvlJc w:val="left"/>
      <w:pPr>
        <w:tabs>
          <w:tab w:val="left" w:pos="3620"/>
        </w:tabs>
        <w:ind w:left="3620" w:hanging="1134"/>
      </w:pPr>
      <w:rPr>
        <w:rFonts w:hint="eastAsia"/>
      </w:rPr>
    </w:lvl>
    <w:lvl w:ilvl="6" w:tentative="0">
      <w:start w:val="1"/>
      <w:numFmt w:val="decimal"/>
      <w:lvlText w:val="%1.%2.%3.%4.%5.%6.%7"/>
      <w:lvlJc w:val="left"/>
      <w:pPr>
        <w:tabs>
          <w:tab w:val="left" w:pos="4187"/>
        </w:tabs>
        <w:ind w:left="4187" w:hanging="1276"/>
      </w:pPr>
      <w:rPr>
        <w:rFonts w:hint="eastAsia"/>
      </w:rPr>
    </w:lvl>
    <w:lvl w:ilvl="7" w:tentative="0">
      <w:start w:val="1"/>
      <w:numFmt w:val="decimal"/>
      <w:lvlText w:val="%1.%2.%3.%4.%5.%6.%7.%8"/>
      <w:lvlJc w:val="left"/>
      <w:pPr>
        <w:tabs>
          <w:tab w:val="left" w:pos="4754"/>
        </w:tabs>
        <w:ind w:left="4754" w:hanging="1418"/>
      </w:pPr>
      <w:rPr>
        <w:rFonts w:hint="eastAsia"/>
      </w:rPr>
    </w:lvl>
    <w:lvl w:ilvl="8" w:tentative="0">
      <w:start w:val="1"/>
      <w:numFmt w:val="decimal"/>
      <w:lvlText w:val="%1.%2.%3.%4.%5.%6.%7.%8.%9"/>
      <w:lvlJc w:val="left"/>
      <w:pPr>
        <w:tabs>
          <w:tab w:val="left" w:pos="5462"/>
        </w:tabs>
        <w:ind w:left="5462" w:hanging="1700"/>
      </w:pPr>
      <w:rPr>
        <w:rFonts w:hint="eastAsia"/>
      </w:rPr>
    </w:lvl>
  </w:abstractNum>
  <w:abstractNum w:abstractNumId="3">
    <w:nsid w:val="0053208E"/>
    <w:multiLevelType w:val="multilevel"/>
    <w:tmpl w:val="0053208E"/>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34DA3B2"/>
    <w:multiLevelType w:val="singleLevel"/>
    <w:tmpl w:val="034DA3B2"/>
    <w:lvl w:ilvl="0" w:tentative="0">
      <w:start w:val="14"/>
      <w:numFmt w:val="decimal"/>
      <w:suff w:val="nothing"/>
      <w:lvlText w:val="%1、"/>
      <w:lvlJc w:val="left"/>
    </w:lvl>
  </w:abstractNum>
  <w:abstractNum w:abstractNumId="5">
    <w:nsid w:val="04313EF8"/>
    <w:multiLevelType w:val="singleLevel"/>
    <w:tmpl w:val="04313EF8"/>
    <w:lvl w:ilvl="0" w:tentative="0">
      <w:start w:val="1"/>
      <w:numFmt w:val="decimal"/>
      <w:suff w:val="nothing"/>
      <w:lvlText w:val="%1、"/>
      <w:lvlJc w:val="left"/>
    </w:lvl>
  </w:abstractNum>
  <w:abstractNum w:abstractNumId="6">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7">
    <w:nsid w:val="50FD1887"/>
    <w:multiLevelType w:val="singleLevel"/>
    <w:tmpl w:val="50FD1887"/>
    <w:lvl w:ilvl="0" w:tentative="0">
      <w:start w:val="1"/>
      <w:numFmt w:val="decimal"/>
      <w:lvlText w:val="%1."/>
      <w:lvlJc w:val="left"/>
      <w:pPr>
        <w:tabs>
          <w:tab w:val="left" w:pos="312"/>
        </w:tabs>
      </w:pPr>
    </w:lvl>
  </w:abstractNum>
  <w:abstractNum w:abstractNumId="8">
    <w:nsid w:val="54DC3422"/>
    <w:multiLevelType w:val="singleLevel"/>
    <w:tmpl w:val="54DC3422"/>
    <w:lvl w:ilvl="0" w:tentative="0">
      <w:start w:val="4"/>
      <w:numFmt w:val="chineseCounting"/>
      <w:suff w:val="space"/>
      <w:lvlText w:val="第%1部分"/>
      <w:lvlJc w:val="left"/>
      <w:rPr>
        <w:rFonts w:hint="eastAsia"/>
      </w:rPr>
    </w:lvl>
  </w:abstractNum>
  <w:abstractNum w:abstractNumId="9">
    <w:nsid w:val="55CD4C99"/>
    <w:multiLevelType w:val="singleLevel"/>
    <w:tmpl w:val="55CD4C99"/>
    <w:lvl w:ilvl="0" w:tentative="0">
      <w:start w:val="1"/>
      <w:numFmt w:val="chineseCounting"/>
      <w:suff w:val="nothing"/>
      <w:lvlText w:val="%1、"/>
      <w:lvlJc w:val="left"/>
    </w:lvl>
  </w:abstractNum>
  <w:abstractNum w:abstractNumId="10">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2"/>
  </w:num>
  <w:num w:numId="2">
    <w:abstractNumId w:val="9"/>
  </w:num>
  <w:num w:numId="3">
    <w:abstractNumId w:val="6"/>
  </w:num>
  <w:num w:numId="4">
    <w:abstractNumId w:val="10"/>
  </w:num>
  <w:num w:numId="5">
    <w:abstractNumId w:val="8"/>
  </w:num>
  <w:num w:numId="6">
    <w:abstractNumId w:val="4"/>
  </w:num>
  <w:num w:numId="7">
    <w:abstractNumId w:val="7"/>
  </w:num>
  <w:num w:numId="8">
    <w:abstractNumId w:val="1"/>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ODcxMTkxNmEwYzAzYTA5NzZlOTM1ZGVkNTE1NjQifQ=="/>
  </w:docVars>
  <w:rsids>
    <w:rsidRoot w:val="430832B2"/>
    <w:rsid w:val="00036274"/>
    <w:rsid w:val="0016514B"/>
    <w:rsid w:val="00195D6C"/>
    <w:rsid w:val="004259D8"/>
    <w:rsid w:val="00461E17"/>
    <w:rsid w:val="00471CA4"/>
    <w:rsid w:val="005D4E0B"/>
    <w:rsid w:val="00643BE3"/>
    <w:rsid w:val="0076445C"/>
    <w:rsid w:val="008D1783"/>
    <w:rsid w:val="00AA277B"/>
    <w:rsid w:val="00AB0B74"/>
    <w:rsid w:val="00D03DFD"/>
    <w:rsid w:val="00E56748"/>
    <w:rsid w:val="00ED05CA"/>
    <w:rsid w:val="00F70359"/>
    <w:rsid w:val="01154EDD"/>
    <w:rsid w:val="0123584C"/>
    <w:rsid w:val="014631E4"/>
    <w:rsid w:val="014F6266"/>
    <w:rsid w:val="01E44B68"/>
    <w:rsid w:val="02D037B2"/>
    <w:rsid w:val="03067D81"/>
    <w:rsid w:val="03120DC1"/>
    <w:rsid w:val="03152839"/>
    <w:rsid w:val="032F673F"/>
    <w:rsid w:val="035508BA"/>
    <w:rsid w:val="03A45663"/>
    <w:rsid w:val="03D6240C"/>
    <w:rsid w:val="042A106A"/>
    <w:rsid w:val="051E7B81"/>
    <w:rsid w:val="0591547A"/>
    <w:rsid w:val="05CE725F"/>
    <w:rsid w:val="05CF5FA2"/>
    <w:rsid w:val="05D26519"/>
    <w:rsid w:val="06141E47"/>
    <w:rsid w:val="062E44A1"/>
    <w:rsid w:val="06385AA9"/>
    <w:rsid w:val="063B7194"/>
    <w:rsid w:val="068957BB"/>
    <w:rsid w:val="06A20D46"/>
    <w:rsid w:val="072C60C0"/>
    <w:rsid w:val="073826E5"/>
    <w:rsid w:val="074F6B51"/>
    <w:rsid w:val="075C5614"/>
    <w:rsid w:val="081D70C5"/>
    <w:rsid w:val="08253C96"/>
    <w:rsid w:val="08323FEC"/>
    <w:rsid w:val="085D5AE7"/>
    <w:rsid w:val="086504F8"/>
    <w:rsid w:val="088F3EF3"/>
    <w:rsid w:val="0895221A"/>
    <w:rsid w:val="08F91590"/>
    <w:rsid w:val="091D420B"/>
    <w:rsid w:val="09231976"/>
    <w:rsid w:val="093F2ABC"/>
    <w:rsid w:val="095073FA"/>
    <w:rsid w:val="09B17236"/>
    <w:rsid w:val="09E55D95"/>
    <w:rsid w:val="0A007485"/>
    <w:rsid w:val="0A226110"/>
    <w:rsid w:val="0A36187F"/>
    <w:rsid w:val="0A622E54"/>
    <w:rsid w:val="0A982D0F"/>
    <w:rsid w:val="0AEC1713"/>
    <w:rsid w:val="0B213EE8"/>
    <w:rsid w:val="0B2F3756"/>
    <w:rsid w:val="0B641CFB"/>
    <w:rsid w:val="0B9E39F1"/>
    <w:rsid w:val="0BF26C44"/>
    <w:rsid w:val="0C1429D4"/>
    <w:rsid w:val="0C4A0131"/>
    <w:rsid w:val="0D244AA7"/>
    <w:rsid w:val="0D5159CF"/>
    <w:rsid w:val="0D533015"/>
    <w:rsid w:val="0D7C6C32"/>
    <w:rsid w:val="0D9378B6"/>
    <w:rsid w:val="0DAD0536"/>
    <w:rsid w:val="0E3E1813"/>
    <w:rsid w:val="0E431528"/>
    <w:rsid w:val="0F543075"/>
    <w:rsid w:val="0F977B31"/>
    <w:rsid w:val="0FA22205"/>
    <w:rsid w:val="0FB415E6"/>
    <w:rsid w:val="0FF5327D"/>
    <w:rsid w:val="10015291"/>
    <w:rsid w:val="10685029"/>
    <w:rsid w:val="10CA55E2"/>
    <w:rsid w:val="114227C7"/>
    <w:rsid w:val="114974D4"/>
    <w:rsid w:val="117874EE"/>
    <w:rsid w:val="11B05885"/>
    <w:rsid w:val="11E7231F"/>
    <w:rsid w:val="12326DC2"/>
    <w:rsid w:val="12482ADA"/>
    <w:rsid w:val="12891287"/>
    <w:rsid w:val="12E332EC"/>
    <w:rsid w:val="130308CA"/>
    <w:rsid w:val="1312560D"/>
    <w:rsid w:val="132C218A"/>
    <w:rsid w:val="13F84D28"/>
    <w:rsid w:val="142B46CE"/>
    <w:rsid w:val="144736DD"/>
    <w:rsid w:val="14602089"/>
    <w:rsid w:val="14953EB8"/>
    <w:rsid w:val="14CD6092"/>
    <w:rsid w:val="1525173B"/>
    <w:rsid w:val="152C2AC9"/>
    <w:rsid w:val="153C6A85"/>
    <w:rsid w:val="154F3251"/>
    <w:rsid w:val="1571672E"/>
    <w:rsid w:val="15B81A5A"/>
    <w:rsid w:val="15E839EB"/>
    <w:rsid w:val="16010E59"/>
    <w:rsid w:val="160B091E"/>
    <w:rsid w:val="16396B52"/>
    <w:rsid w:val="165E0B86"/>
    <w:rsid w:val="167B61DA"/>
    <w:rsid w:val="16A00673"/>
    <w:rsid w:val="16B9038D"/>
    <w:rsid w:val="16E979B2"/>
    <w:rsid w:val="171F0B4E"/>
    <w:rsid w:val="172577D0"/>
    <w:rsid w:val="17881C02"/>
    <w:rsid w:val="17A04D65"/>
    <w:rsid w:val="17E9701D"/>
    <w:rsid w:val="17EB3771"/>
    <w:rsid w:val="18A50244"/>
    <w:rsid w:val="18C878BE"/>
    <w:rsid w:val="18FE29CF"/>
    <w:rsid w:val="1910625E"/>
    <w:rsid w:val="192129EA"/>
    <w:rsid w:val="192C57CF"/>
    <w:rsid w:val="19791440"/>
    <w:rsid w:val="198D3D53"/>
    <w:rsid w:val="199D28B8"/>
    <w:rsid w:val="19A27F2F"/>
    <w:rsid w:val="19D24BCD"/>
    <w:rsid w:val="19E24369"/>
    <w:rsid w:val="1A385A6D"/>
    <w:rsid w:val="1A6A7BF0"/>
    <w:rsid w:val="1AA14F3E"/>
    <w:rsid w:val="1ACD57BB"/>
    <w:rsid w:val="1B204099"/>
    <w:rsid w:val="1B3867B7"/>
    <w:rsid w:val="1B526E30"/>
    <w:rsid w:val="1B5A42F2"/>
    <w:rsid w:val="1BA46EB4"/>
    <w:rsid w:val="1BBE2683"/>
    <w:rsid w:val="1BE65325"/>
    <w:rsid w:val="1BF54431"/>
    <w:rsid w:val="1C770BAC"/>
    <w:rsid w:val="1C8812E8"/>
    <w:rsid w:val="1CA435DE"/>
    <w:rsid w:val="1CBF4223"/>
    <w:rsid w:val="1CC048D1"/>
    <w:rsid w:val="1CD5385E"/>
    <w:rsid w:val="1CFF3DC8"/>
    <w:rsid w:val="1D28001A"/>
    <w:rsid w:val="1D2B3667"/>
    <w:rsid w:val="1DA50291"/>
    <w:rsid w:val="1E6813A9"/>
    <w:rsid w:val="1E8C282B"/>
    <w:rsid w:val="1EBA712C"/>
    <w:rsid w:val="1ECE4F82"/>
    <w:rsid w:val="1EE5064C"/>
    <w:rsid w:val="1F210791"/>
    <w:rsid w:val="1F5B26D6"/>
    <w:rsid w:val="1F6007D8"/>
    <w:rsid w:val="1F881244"/>
    <w:rsid w:val="1F8C0183"/>
    <w:rsid w:val="1FB748C5"/>
    <w:rsid w:val="1FC906B3"/>
    <w:rsid w:val="203828DD"/>
    <w:rsid w:val="20746CEC"/>
    <w:rsid w:val="20D67D8D"/>
    <w:rsid w:val="21745FB0"/>
    <w:rsid w:val="218454A5"/>
    <w:rsid w:val="21917C95"/>
    <w:rsid w:val="21F7470F"/>
    <w:rsid w:val="22965E6B"/>
    <w:rsid w:val="22AE28BF"/>
    <w:rsid w:val="22E74AD1"/>
    <w:rsid w:val="22F917C9"/>
    <w:rsid w:val="231538BC"/>
    <w:rsid w:val="23226B91"/>
    <w:rsid w:val="23463622"/>
    <w:rsid w:val="23874BA3"/>
    <w:rsid w:val="24092AE4"/>
    <w:rsid w:val="245B2E54"/>
    <w:rsid w:val="25002F8D"/>
    <w:rsid w:val="25546BA5"/>
    <w:rsid w:val="25550156"/>
    <w:rsid w:val="2562133A"/>
    <w:rsid w:val="25A16092"/>
    <w:rsid w:val="262B2929"/>
    <w:rsid w:val="26461511"/>
    <w:rsid w:val="267D2FA7"/>
    <w:rsid w:val="268955ED"/>
    <w:rsid w:val="26D37563"/>
    <w:rsid w:val="26D64D76"/>
    <w:rsid w:val="26FB2A9E"/>
    <w:rsid w:val="27174DC0"/>
    <w:rsid w:val="274B4345"/>
    <w:rsid w:val="2759752E"/>
    <w:rsid w:val="27641FEC"/>
    <w:rsid w:val="27977E98"/>
    <w:rsid w:val="283D072F"/>
    <w:rsid w:val="286B44D3"/>
    <w:rsid w:val="291C049E"/>
    <w:rsid w:val="291F0973"/>
    <w:rsid w:val="292F219B"/>
    <w:rsid w:val="29384AB9"/>
    <w:rsid w:val="294E1863"/>
    <w:rsid w:val="29695C42"/>
    <w:rsid w:val="29BF63C5"/>
    <w:rsid w:val="29F20F87"/>
    <w:rsid w:val="2A015314"/>
    <w:rsid w:val="2A2953D2"/>
    <w:rsid w:val="2A6F2C28"/>
    <w:rsid w:val="2AB303AA"/>
    <w:rsid w:val="2ABB6232"/>
    <w:rsid w:val="2ADC5AFD"/>
    <w:rsid w:val="2AE56C24"/>
    <w:rsid w:val="2AF23A16"/>
    <w:rsid w:val="2AF552B4"/>
    <w:rsid w:val="2AF9470D"/>
    <w:rsid w:val="2B2A724C"/>
    <w:rsid w:val="2B762634"/>
    <w:rsid w:val="2BA32F62"/>
    <w:rsid w:val="2C8E3CCE"/>
    <w:rsid w:val="2CB76CC5"/>
    <w:rsid w:val="2CD8381E"/>
    <w:rsid w:val="2D025A66"/>
    <w:rsid w:val="2D1B0C53"/>
    <w:rsid w:val="2D261D28"/>
    <w:rsid w:val="2D380A40"/>
    <w:rsid w:val="2D7E66F1"/>
    <w:rsid w:val="2DF1140A"/>
    <w:rsid w:val="2E1B0C2F"/>
    <w:rsid w:val="2E1F500D"/>
    <w:rsid w:val="2E2D19AE"/>
    <w:rsid w:val="2E635B9B"/>
    <w:rsid w:val="2E764B34"/>
    <w:rsid w:val="2ED60A24"/>
    <w:rsid w:val="2F265E4E"/>
    <w:rsid w:val="2F880DEC"/>
    <w:rsid w:val="2FA50B1C"/>
    <w:rsid w:val="2FAD33C2"/>
    <w:rsid w:val="2FBE1904"/>
    <w:rsid w:val="2FEF6776"/>
    <w:rsid w:val="3002294D"/>
    <w:rsid w:val="30033C04"/>
    <w:rsid w:val="303B5E5F"/>
    <w:rsid w:val="31411AB3"/>
    <w:rsid w:val="31C54436"/>
    <w:rsid w:val="31DE4CF4"/>
    <w:rsid w:val="32387E25"/>
    <w:rsid w:val="329A6E6D"/>
    <w:rsid w:val="33413DF6"/>
    <w:rsid w:val="33533BFF"/>
    <w:rsid w:val="335C76C1"/>
    <w:rsid w:val="3464452F"/>
    <w:rsid w:val="34AC63E7"/>
    <w:rsid w:val="34F903B8"/>
    <w:rsid w:val="351A6043"/>
    <w:rsid w:val="3532186C"/>
    <w:rsid w:val="35427B0F"/>
    <w:rsid w:val="357D4824"/>
    <w:rsid w:val="35A60A11"/>
    <w:rsid w:val="368816D2"/>
    <w:rsid w:val="36A4475E"/>
    <w:rsid w:val="36AA5E0A"/>
    <w:rsid w:val="371C74DF"/>
    <w:rsid w:val="374455F9"/>
    <w:rsid w:val="37520F41"/>
    <w:rsid w:val="3762161D"/>
    <w:rsid w:val="378679C0"/>
    <w:rsid w:val="37A12630"/>
    <w:rsid w:val="37D44BCF"/>
    <w:rsid w:val="38083993"/>
    <w:rsid w:val="383A69FC"/>
    <w:rsid w:val="38AA5A30"/>
    <w:rsid w:val="38BD4DB8"/>
    <w:rsid w:val="38BE5C49"/>
    <w:rsid w:val="38C4598A"/>
    <w:rsid w:val="38C56C0D"/>
    <w:rsid w:val="38DE52AC"/>
    <w:rsid w:val="38F512A1"/>
    <w:rsid w:val="38FF49EE"/>
    <w:rsid w:val="39331DC9"/>
    <w:rsid w:val="39754C2B"/>
    <w:rsid w:val="39A16D33"/>
    <w:rsid w:val="39A77BA6"/>
    <w:rsid w:val="39FA3D41"/>
    <w:rsid w:val="3A1273C6"/>
    <w:rsid w:val="3A4C31D2"/>
    <w:rsid w:val="3A5E26FE"/>
    <w:rsid w:val="3A5E2E76"/>
    <w:rsid w:val="3AC0768C"/>
    <w:rsid w:val="3AE06945"/>
    <w:rsid w:val="3AF47336"/>
    <w:rsid w:val="3AFE01B5"/>
    <w:rsid w:val="3BDE19D1"/>
    <w:rsid w:val="3CA827C1"/>
    <w:rsid w:val="3CAD59EE"/>
    <w:rsid w:val="3CC470A0"/>
    <w:rsid w:val="3CDA4418"/>
    <w:rsid w:val="3CFB2BB6"/>
    <w:rsid w:val="3D227D2F"/>
    <w:rsid w:val="3D38095E"/>
    <w:rsid w:val="3D723DD3"/>
    <w:rsid w:val="3D751F42"/>
    <w:rsid w:val="3DA87F4F"/>
    <w:rsid w:val="3E3F15CF"/>
    <w:rsid w:val="3E4172A8"/>
    <w:rsid w:val="3EB92D70"/>
    <w:rsid w:val="3F0D6C18"/>
    <w:rsid w:val="3F6A3151"/>
    <w:rsid w:val="3F874C1D"/>
    <w:rsid w:val="403F2E01"/>
    <w:rsid w:val="408E72C3"/>
    <w:rsid w:val="408E7BCF"/>
    <w:rsid w:val="40AB15B8"/>
    <w:rsid w:val="40B26236"/>
    <w:rsid w:val="40FA3C90"/>
    <w:rsid w:val="416359C8"/>
    <w:rsid w:val="41681350"/>
    <w:rsid w:val="416F668A"/>
    <w:rsid w:val="417E666D"/>
    <w:rsid w:val="419378A9"/>
    <w:rsid w:val="419F6662"/>
    <w:rsid w:val="41A72D03"/>
    <w:rsid w:val="41BC55E0"/>
    <w:rsid w:val="41D624D6"/>
    <w:rsid w:val="41E920D2"/>
    <w:rsid w:val="420B7389"/>
    <w:rsid w:val="423563C7"/>
    <w:rsid w:val="424E37D0"/>
    <w:rsid w:val="42C57370"/>
    <w:rsid w:val="430832B2"/>
    <w:rsid w:val="43144276"/>
    <w:rsid w:val="43264088"/>
    <w:rsid w:val="43333AFF"/>
    <w:rsid w:val="434966C0"/>
    <w:rsid w:val="43603D96"/>
    <w:rsid w:val="437C4518"/>
    <w:rsid w:val="43900453"/>
    <w:rsid w:val="43CE514A"/>
    <w:rsid w:val="43F26816"/>
    <w:rsid w:val="44262389"/>
    <w:rsid w:val="44456BD5"/>
    <w:rsid w:val="445769C9"/>
    <w:rsid w:val="44637696"/>
    <w:rsid w:val="44740DA7"/>
    <w:rsid w:val="44D31AB8"/>
    <w:rsid w:val="45111167"/>
    <w:rsid w:val="4517597F"/>
    <w:rsid w:val="45442C68"/>
    <w:rsid w:val="454815E5"/>
    <w:rsid w:val="457C2033"/>
    <w:rsid w:val="45837C34"/>
    <w:rsid w:val="466A125B"/>
    <w:rsid w:val="467F03FC"/>
    <w:rsid w:val="46A95479"/>
    <w:rsid w:val="46B856BC"/>
    <w:rsid w:val="46D24D0E"/>
    <w:rsid w:val="46F77B89"/>
    <w:rsid w:val="47264D1B"/>
    <w:rsid w:val="4743767B"/>
    <w:rsid w:val="47F15329"/>
    <w:rsid w:val="48193AC8"/>
    <w:rsid w:val="4865177B"/>
    <w:rsid w:val="487B3318"/>
    <w:rsid w:val="48B93029"/>
    <w:rsid w:val="48C04384"/>
    <w:rsid w:val="48CE7418"/>
    <w:rsid w:val="493D6A1C"/>
    <w:rsid w:val="49726A4B"/>
    <w:rsid w:val="49B54BA8"/>
    <w:rsid w:val="4A2319E6"/>
    <w:rsid w:val="4A36378E"/>
    <w:rsid w:val="4A711501"/>
    <w:rsid w:val="4AAF0341"/>
    <w:rsid w:val="4ADE5F63"/>
    <w:rsid w:val="4AE253FD"/>
    <w:rsid w:val="4B105AC6"/>
    <w:rsid w:val="4B2E6609"/>
    <w:rsid w:val="4B7B2CD6"/>
    <w:rsid w:val="4BB73B85"/>
    <w:rsid w:val="4BC132D4"/>
    <w:rsid w:val="4BF478AD"/>
    <w:rsid w:val="4C17384D"/>
    <w:rsid w:val="4C257A37"/>
    <w:rsid w:val="4C64712B"/>
    <w:rsid w:val="4C760354"/>
    <w:rsid w:val="4D4D34C1"/>
    <w:rsid w:val="4D6C15CC"/>
    <w:rsid w:val="4D7F6F33"/>
    <w:rsid w:val="4DF50B78"/>
    <w:rsid w:val="4E6938E7"/>
    <w:rsid w:val="4E6A5759"/>
    <w:rsid w:val="4E701DC0"/>
    <w:rsid w:val="4F006719"/>
    <w:rsid w:val="4F2E489B"/>
    <w:rsid w:val="4F406C74"/>
    <w:rsid w:val="4F5166AD"/>
    <w:rsid w:val="4F5D25FD"/>
    <w:rsid w:val="4FB41D44"/>
    <w:rsid w:val="4FB93303"/>
    <w:rsid w:val="4FBC32D6"/>
    <w:rsid w:val="50BF6E81"/>
    <w:rsid w:val="50FF0870"/>
    <w:rsid w:val="513D513B"/>
    <w:rsid w:val="513F080C"/>
    <w:rsid w:val="51422751"/>
    <w:rsid w:val="518E2B89"/>
    <w:rsid w:val="52654DCD"/>
    <w:rsid w:val="5295038F"/>
    <w:rsid w:val="5306542C"/>
    <w:rsid w:val="533662E6"/>
    <w:rsid w:val="53390376"/>
    <w:rsid w:val="536A7120"/>
    <w:rsid w:val="537944E9"/>
    <w:rsid w:val="537F2024"/>
    <w:rsid w:val="53D201FD"/>
    <w:rsid w:val="540A24A6"/>
    <w:rsid w:val="541D6439"/>
    <w:rsid w:val="549E4143"/>
    <w:rsid w:val="54A35BFD"/>
    <w:rsid w:val="550F6DEF"/>
    <w:rsid w:val="553813F1"/>
    <w:rsid w:val="55614818"/>
    <w:rsid w:val="55821076"/>
    <w:rsid w:val="56493792"/>
    <w:rsid w:val="56777341"/>
    <w:rsid w:val="568123B0"/>
    <w:rsid w:val="56D402F0"/>
    <w:rsid w:val="572F4B71"/>
    <w:rsid w:val="575329D5"/>
    <w:rsid w:val="57C309E4"/>
    <w:rsid w:val="594015B1"/>
    <w:rsid w:val="595A0DC1"/>
    <w:rsid w:val="596D4A2C"/>
    <w:rsid w:val="59842CE8"/>
    <w:rsid w:val="599B0EFC"/>
    <w:rsid w:val="59AA5338"/>
    <w:rsid w:val="59BD150F"/>
    <w:rsid w:val="5A130C2C"/>
    <w:rsid w:val="5A19426B"/>
    <w:rsid w:val="5A39563D"/>
    <w:rsid w:val="5AD06342"/>
    <w:rsid w:val="5AD2798E"/>
    <w:rsid w:val="5AE0581C"/>
    <w:rsid w:val="5AFF16B3"/>
    <w:rsid w:val="5B31213F"/>
    <w:rsid w:val="5B5F738D"/>
    <w:rsid w:val="5B981442"/>
    <w:rsid w:val="5B9D4A19"/>
    <w:rsid w:val="5BA54009"/>
    <w:rsid w:val="5BE43388"/>
    <w:rsid w:val="5C5A4C31"/>
    <w:rsid w:val="5C5D2B35"/>
    <w:rsid w:val="5C957028"/>
    <w:rsid w:val="5CD53D28"/>
    <w:rsid w:val="5CED248F"/>
    <w:rsid w:val="5D0460DC"/>
    <w:rsid w:val="5D2366CB"/>
    <w:rsid w:val="5D3331A6"/>
    <w:rsid w:val="5D63417B"/>
    <w:rsid w:val="5DE1497B"/>
    <w:rsid w:val="5E0A2DD7"/>
    <w:rsid w:val="5E135BA1"/>
    <w:rsid w:val="5E1D1079"/>
    <w:rsid w:val="5E6D59C3"/>
    <w:rsid w:val="5EB152D6"/>
    <w:rsid w:val="5EDA6373"/>
    <w:rsid w:val="5EF46D8B"/>
    <w:rsid w:val="5F5A15AE"/>
    <w:rsid w:val="5F9C1BC7"/>
    <w:rsid w:val="601F4136"/>
    <w:rsid w:val="6022031E"/>
    <w:rsid w:val="60873EC4"/>
    <w:rsid w:val="60AA69DE"/>
    <w:rsid w:val="61183C2B"/>
    <w:rsid w:val="612754C0"/>
    <w:rsid w:val="617D1400"/>
    <w:rsid w:val="61903A3C"/>
    <w:rsid w:val="61C24BFD"/>
    <w:rsid w:val="61FE26C5"/>
    <w:rsid w:val="62B41BDF"/>
    <w:rsid w:val="634A483E"/>
    <w:rsid w:val="63C51B85"/>
    <w:rsid w:val="642B45E0"/>
    <w:rsid w:val="64604EAC"/>
    <w:rsid w:val="64740A1C"/>
    <w:rsid w:val="64D7429C"/>
    <w:rsid w:val="65264206"/>
    <w:rsid w:val="654E2A02"/>
    <w:rsid w:val="65A77066"/>
    <w:rsid w:val="65D200F0"/>
    <w:rsid w:val="65F73581"/>
    <w:rsid w:val="66457796"/>
    <w:rsid w:val="66A5387A"/>
    <w:rsid w:val="66C2621A"/>
    <w:rsid w:val="66E27AFC"/>
    <w:rsid w:val="675B346C"/>
    <w:rsid w:val="67656B1B"/>
    <w:rsid w:val="679542C8"/>
    <w:rsid w:val="67AE419D"/>
    <w:rsid w:val="67B22635"/>
    <w:rsid w:val="67BE74C9"/>
    <w:rsid w:val="682275BA"/>
    <w:rsid w:val="683769EB"/>
    <w:rsid w:val="684F37DE"/>
    <w:rsid w:val="685F19E3"/>
    <w:rsid w:val="685F3791"/>
    <w:rsid w:val="6861287C"/>
    <w:rsid w:val="68E22B52"/>
    <w:rsid w:val="68EB131E"/>
    <w:rsid w:val="69182A19"/>
    <w:rsid w:val="693C4BB4"/>
    <w:rsid w:val="694B64F7"/>
    <w:rsid w:val="698614C8"/>
    <w:rsid w:val="698C50B9"/>
    <w:rsid w:val="69D47128"/>
    <w:rsid w:val="69F07ED0"/>
    <w:rsid w:val="69FE3890"/>
    <w:rsid w:val="6A060074"/>
    <w:rsid w:val="6A10379F"/>
    <w:rsid w:val="6A7A0A2B"/>
    <w:rsid w:val="6A7F636D"/>
    <w:rsid w:val="6AA10091"/>
    <w:rsid w:val="6AA95198"/>
    <w:rsid w:val="6ADE7537"/>
    <w:rsid w:val="6B221B0E"/>
    <w:rsid w:val="6B390171"/>
    <w:rsid w:val="6B426B13"/>
    <w:rsid w:val="6B9419A4"/>
    <w:rsid w:val="6B9E7E87"/>
    <w:rsid w:val="6BC4672D"/>
    <w:rsid w:val="6C3A4520"/>
    <w:rsid w:val="6C505B66"/>
    <w:rsid w:val="6C6204DD"/>
    <w:rsid w:val="6C7543E1"/>
    <w:rsid w:val="6C7D42B4"/>
    <w:rsid w:val="6C8A3E98"/>
    <w:rsid w:val="6C963B87"/>
    <w:rsid w:val="6CA96079"/>
    <w:rsid w:val="6CAC1F8A"/>
    <w:rsid w:val="6CAD0F6F"/>
    <w:rsid w:val="6CC81EA4"/>
    <w:rsid w:val="6CDA5ADC"/>
    <w:rsid w:val="6D014FA3"/>
    <w:rsid w:val="6D37776E"/>
    <w:rsid w:val="6D591E45"/>
    <w:rsid w:val="6D744327"/>
    <w:rsid w:val="6DD644F6"/>
    <w:rsid w:val="6DE82D5F"/>
    <w:rsid w:val="6E535B46"/>
    <w:rsid w:val="6E6C0C26"/>
    <w:rsid w:val="6EAD717D"/>
    <w:rsid w:val="6F317A5A"/>
    <w:rsid w:val="6F645BC1"/>
    <w:rsid w:val="6F8D5088"/>
    <w:rsid w:val="6FFC5967"/>
    <w:rsid w:val="70021CEB"/>
    <w:rsid w:val="702275C0"/>
    <w:rsid w:val="703412AA"/>
    <w:rsid w:val="704838FD"/>
    <w:rsid w:val="707F6878"/>
    <w:rsid w:val="70831D52"/>
    <w:rsid w:val="709119F6"/>
    <w:rsid w:val="70AF7F0C"/>
    <w:rsid w:val="70BB79D3"/>
    <w:rsid w:val="70D16063"/>
    <w:rsid w:val="713D64DC"/>
    <w:rsid w:val="719A2852"/>
    <w:rsid w:val="71F7318A"/>
    <w:rsid w:val="721A3870"/>
    <w:rsid w:val="72873F22"/>
    <w:rsid w:val="72874010"/>
    <w:rsid w:val="728E35F1"/>
    <w:rsid w:val="729B67D1"/>
    <w:rsid w:val="72C925E2"/>
    <w:rsid w:val="72DB435C"/>
    <w:rsid w:val="739641CD"/>
    <w:rsid w:val="73F76C73"/>
    <w:rsid w:val="741B7106"/>
    <w:rsid w:val="74A43D00"/>
    <w:rsid w:val="74EC7015"/>
    <w:rsid w:val="75134281"/>
    <w:rsid w:val="753541F8"/>
    <w:rsid w:val="75824D9D"/>
    <w:rsid w:val="75AB1C93"/>
    <w:rsid w:val="75FE45EA"/>
    <w:rsid w:val="760037D6"/>
    <w:rsid w:val="761B163F"/>
    <w:rsid w:val="761F3505"/>
    <w:rsid w:val="762229CE"/>
    <w:rsid w:val="76810114"/>
    <w:rsid w:val="76E41762"/>
    <w:rsid w:val="76E46ECE"/>
    <w:rsid w:val="7717316E"/>
    <w:rsid w:val="77603777"/>
    <w:rsid w:val="77901BB9"/>
    <w:rsid w:val="77AB5706"/>
    <w:rsid w:val="77C7479C"/>
    <w:rsid w:val="788E3223"/>
    <w:rsid w:val="78E06AB0"/>
    <w:rsid w:val="798E0318"/>
    <w:rsid w:val="79AF62F8"/>
    <w:rsid w:val="7A1F0FD2"/>
    <w:rsid w:val="7A326EC1"/>
    <w:rsid w:val="7AD93877"/>
    <w:rsid w:val="7B3F5288"/>
    <w:rsid w:val="7B4C4318"/>
    <w:rsid w:val="7B7D06A6"/>
    <w:rsid w:val="7BFC0690"/>
    <w:rsid w:val="7C1D50F5"/>
    <w:rsid w:val="7C350056"/>
    <w:rsid w:val="7C6106D5"/>
    <w:rsid w:val="7C6151AF"/>
    <w:rsid w:val="7CB2339D"/>
    <w:rsid w:val="7CC540BD"/>
    <w:rsid w:val="7CC578A6"/>
    <w:rsid w:val="7D423759"/>
    <w:rsid w:val="7D695F1A"/>
    <w:rsid w:val="7DD956AA"/>
    <w:rsid w:val="7E2D5B39"/>
    <w:rsid w:val="7E42351F"/>
    <w:rsid w:val="7E58431F"/>
    <w:rsid w:val="7E590F57"/>
    <w:rsid w:val="7ED160D1"/>
    <w:rsid w:val="7EDB5E10"/>
    <w:rsid w:val="7F1D54A8"/>
    <w:rsid w:val="7F3E661A"/>
    <w:rsid w:val="7FD9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6">
    <w:name w:val="heading 1"/>
    <w:basedOn w:val="1"/>
    <w:next w:val="1"/>
    <w:qFormat/>
    <w:uiPriority w:val="0"/>
    <w:pPr>
      <w:keepNext/>
      <w:keepLines/>
      <w:spacing w:line="360" w:lineRule="auto"/>
      <w:jc w:val="center"/>
      <w:outlineLvl w:val="0"/>
    </w:pPr>
    <w:rPr>
      <w:b/>
      <w:bCs/>
      <w:kern w:val="44"/>
      <w:sz w:val="44"/>
      <w:szCs w:val="44"/>
    </w:rPr>
  </w:style>
  <w:style w:type="paragraph" w:styleId="7">
    <w:name w:val="heading 2"/>
    <w:basedOn w:val="1"/>
    <w:next w:val="1"/>
    <w:autoRedefine/>
    <w:qFormat/>
    <w:uiPriority w:val="0"/>
    <w:pPr>
      <w:tabs>
        <w:tab w:val="left" w:pos="540"/>
      </w:tabs>
      <w:adjustRightInd w:val="0"/>
      <w:snapToGrid w:val="0"/>
      <w:spacing w:line="360" w:lineRule="auto"/>
      <w:jc w:val="center"/>
      <w:outlineLvl w:val="1"/>
    </w:pPr>
    <w:rPr>
      <w:rFonts w:ascii="Arial" w:hAnsi="Arial"/>
      <w:b/>
      <w:sz w:val="28"/>
      <w:szCs w:val="20"/>
    </w:rPr>
  </w:style>
  <w:style w:type="paragraph" w:styleId="8">
    <w:name w:val="heading 3"/>
    <w:basedOn w:val="1"/>
    <w:next w:val="1"/>
    <w:autoRedefine/>
    <w:qFormat/>
    <w:uiPriority w:val="9"/>
    <w:pPr>
      <w:keepNext/>
      <w:keepLines/>
      <w:spacing w:before="260" w:after="260" w:line="416" w:lineRule="auto"/>
      <w:outlineLvl w:val="2"/>
    </w:pPr>
    <w:rPr>
      <w:b/>
      <w:bCs/>
      <w:sz w:val="32"/>
      <w:szCs w:val="32"/>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大标题"/>
    <w:basedOn w:val="1"/>
    <w:next w:val="4"/>
    <w:autoRedefine/>
    <w:qFormat/>
    <w:uiPriority w:val="0"/>
    <w:pPr>
      <w:jc w:val="center"/>
    </w:pPr>
    <w:rPr>
      <w:rFonts w:ascii="Arial" w:hAnsi="Arial" w:eastAsia="宋体" w:cs="Times New Roman"/>
      <w:b/>
      <w:sz w:val="28"/>
      <w:szCs w:val="24"/>
    </w:rPr>
  </w:style>
  <w:style w:type="paragraph" w:styleId="4">
    <w:name w:val="Body Text First Indent 2"/>
    <w:basedOn w:val="5"/>
    <w:next w:val="1"/>
    <w:autoRedefine/>
    <w:qFormat/>
    <w:uiPriority w:val="0"/>
    <w:pPr>
      <w:ind w:firstLine="420" w:firstLineChars="200"/>
    </w:pPr>
  </w:style>
  <w:style w:type="paragraph" w:styleId="5">
    <w:name w:val="Body Text Indent"/>
    <w:basedOn w:val="1"/>
    <w:autoRedefine/>
    <w:qFormat/>
    <w:uiPriority w:val="0"/>
    <w:pPr>
      <w:spacing w:after="120"/>
      <w:ind w:left="200" w:leftChars="200"/>
    </w:pPr>
  </w:style>
  <w:style w:type="paragraph" w:styleId="9">
    <w:name w:val="Normal Indent"/>
    <w:basedOn w:val="1"/>
    <w:next w:val="1"/>
    <w:autoRedefine/>
    <w:qFormat/>
    <w:uiPriority w:val="0"/>
    <w:pPr>
      <w:autoSpaceDE w:val="0"/>
      <w:autoSpaceDN w:val="0"/>
      <w:adjustRightInd w:val="0"/>
      <w:ind w:firstLine="420"/>
    </w:pPr>
    <w:rPr>
      <w:rFonts w:ascii="宋体"/>
      <w:szCs w:val="20"/>
    </w:rPr>
  </w:style>
  <w:style w:type="paragraph" w:styleId="10">
    <w:name w:val="toa heading"/>
    <w:basedOn w:val="1"/>
    <w:next w:val="1"/>
    <w:autoRedefine/>
    <w:qFormat/>
    <w:uiPriority w:val="0"/>
    <w:pPr>
      <w:spacing w:before="120"/>
    </w:pPr>
    <w:rPr>
      <w:rFonts w:ascii="Cambria" w:hAnsi="Cambria"/>
      <w:szCs w:val="20"/>
    </w:rPr>
  </w:style>
  <w:style w:type="paragraph" w:styleId="11">
    <w:name w:val="Body Text"/>
    <w:basedOn w:val="1"/>
    <w:next w:val="1"/>
    <w:autoRedefine/>
    <w:qFormat/>
    <w:uiPriority w:val="99"/>
    <w:pPr>
      <w:numPr>
        <w:ilvl w:val="0"/>
        <w:numId w:val="1"/>
      </w:numPr>
      <w:tabs>
        <w:tab w:val="clear" w:pos="780"/>
      </w:tabs>
      <w:ind w:left="0" w:firstLine="0"/>
    </w:pPr>
    <w:rPr>
      <w:rFonts w:ascii="黑体" w:eastAsia="黑体"/>
      <w:sz w:val="22"/>
    </w:rPr>
  </w:style>
  <w:style w:type="paragraph" w:styleId="12">
    <w:name w:val="Plain Text"/>
    <w:basedOn w:val="1"/>
    <w:next w:val="13"/>
    <w:autoRedefine/>
    <w:qFormat/>
    <w:uiPriority w:val="0"/>
    <w:rPr>
      <w:rFonts w:ascii="宋体"/>
      <w:szCs w:val="20"/>
      <w:u w:color="000000"/>
    </w:rPr>
  </w:style>
  <w:style w:type="paragraph" w:styleId="13">
    <w:name w:val="index 7"/>
    <w:basedOn w:val="1"/>
    <w:next w:val="1"/>
    <w:autoRedefine/>
    <w:qFormat/>
    <w:uiPriority w:val="0"/>
    <w:pPr>
      <w:ind w:left="1200" w:leftChars="1200"/>
    </w:pPr>
    <w:rPr>
      <w:color w:val="auto"/>
      <w:kern w:val="2"/>
    </w:rPr>
  </w:style>
  <w:style w:type="paragraph" w:styleId="14">
    <w:name w:val="Date"/>
    <w:basedOn w:val="1"/>
    <w:next w:val="1"/>
    <w:autoRedefine/>
    <w:qFormat/>
    <w:uiPriority w:val="0"/>
    <w:rPr>
      <w:rFonts w:ascii="Arial" w:hAnsi="Arial" w:eastAsia="仿宋_GB2312"/>
      <w:sz w:val="32"/>
      <w:szCs w:val="20"/>
      <w:u w:color="000000"/>
    </w:rPr>
  </w:style>
  <w:style w:type="paragraph" w:styleId="15">
    <w:name w:val="Balloon Text"/>
    <w:basedOn w:val="1"/>
    <w:autoRedefine/>
    <w:qFormat/>
    <w:uiPriority w:val="0"/>
    <w:rPr>
      <w:sz w:val="18"/>
      <w:szCs w:val="18"/>
    </w:rPr>
  </w:style>
  <w:style w:type="paragraph" w:styleId="16">
    <w:name w:val="footer"/>
    <w:basedOn w:val="1"/>
    <w:autoRedefine/>
    <w:qFormat/>
    <w:uiPriority w:val="0"/>
    <w:pPr>
      <w:tabs>
        <w:tab w:val="center" w:pos="4153"/>
        <w:tab w:val="right" w:pos="8306"/>
      </w:tabs>
      <w:snapToGrid w:val="0"/>
    </w:pPr>
    <w:rPr>
      <w:sz w:val="18"/>
    </w:rPr>
  </w:style>
  <w:style w:type="paragraph" w:styleId="1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footnote text"/>
    <w:basedOn w:val="1"/>
    <w:autoRedefine/>
    <w:semiHidden/>
    <w:unhideWhenUsed/>
    <w:qFormat/>
    <w:uiPriority w:val="99"/>
    <w:pPr>
      <w:snapToGrid w:val="0"/>
    </w:pPr>
    <w:rPr>
      <w:sz w:val="18"/>
      <w:szCs w:val="18"/>
    </w:rPr>
  </w:style>
  <w:style w:type="paragraph" w:styleId="19">
    <w:name w:val="toc 2"/>
    <w:basedOn w:val="1"/>
    <w:next w:val="1"/>
    <w:autoRedefine/>
    <w:qFormat/>
    <w:uiPriority w:val="39"/>
    <w:pPr>
      <w:ind w:left="200" w:leftChars="200"/>
    </w:pPr>
  </w:style>
  <w:style w:type="paragraph" w:styleId="20">
    <w:name w:val="Body Text 2"/>
    <w:basedOn w:val="1"/>
    <w:autoRedefine/>
    <w:qFormat/>
    <w:uiPriority w:val="0"/>
    <w:pPr>
      <w:tabs>
        <w:tab w:val="left" w:pos="0"/>
      </w:tabs>
      <w:spacing w:line="400" w:lineRule="atLeast"/>
    </w:pPr>
    <w:rPr>
      <w:rFonts w:ascii="Arial" w:hAnsi="Arial"/>
    </w:rPr>
  </w:style>
  <w:style w:type="paragraph" w:styleId="21">
    <w:name w:val="Normal (Web)"/>
    <w:basedOn w:val="1"/>
    <w:autoRedefine/>
    <w:qFormat/>
    <w:uiPriority w:val="99"/>
    <w:pPr>
      <w:widowControl/>
    </w:pPr>
    <w:rPr>
      <w:rFonts w:ascii="宋体" w:hAnsi="宋体" w:eastAsia="宋体" w:cs="宋体"/>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b/>
      <w:bCs/>
    </w:rPr>
  </w:style>
  <w:style w:type="character" w:styleId="26">
    <w:name w:val="Hyperlink"/>
    <w:autoRedefine/>
    <w:qFormat/>
    <w:uiPriority w:val="99"/>
    <w:rPr>
      <w:color w:val="0000FF"/>
      <w:u w:val="single"/>
    </w:rPr>
  </w:style>
  <w:style w:type="character" w:styleId="27">
    <w:name w:val="footnote reference"/>
    <w:basedOn w:val="24"/>
    <w:autoRedefine/>
    <w:semiHidden/>
    <w:unhideWhenUsed/>
    <w:qFormat/>
    <w:uiPriority w:val="99"/>
    <w:rPr>
      <w:vertAlign w:val="superscript"/>
    </w:rPr>
  </w:style>
  <w:style w:type="paragraph" w:customStyle="1" w:styleId="28">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29">
    <w:name w:val="正文格式"/>
    <w:basedOn w:val="1"/>
    <w:autoRedefine/>
    <w:qFormat/>
    <w:uiPriority w:val="99"/>
    <w:pPr>
      <w:widowControl/>
      <w:adjustRightInd w:val="0"/>
      <w:snapToGrid w:val="0"/>
      <w:spacing w:line="400" w:lineRule="atLeast"/>
      <w:ind w:firstLine="482"/>
      <w:textAlignment w:val="baseline"/>
    </w:pPr>
  </w:style>
  <w:style w:type="paragraph" w:customStyle="1" w:styleId="30">
    <w:name w:val="文档正文"/>
    <w:basedOn w:val="9"/>
    <w:autoRedefine/>
    <w:qFormat/>
    <w:uiPriority w:val="0"/>
    <w:pPr>
      <w:spacing w:line="360" w:lineRule="auto"/>
    </w:pPr>
    <w:rPr>
      <w:rFonts w:hAnsi="宋体"/>
      <w:b/>
      <w:bCs/>
    </w:rPr>
  </w:style>
  <w:style w:type="paragraph" w:customStyle="1" w:styleId="31">
    <w:name w:val="_Style 2"/>
    <w:basedOn w:val="6"/>
    <w:next w:val="1"/>
    <w:autoRedefine/>
    <w:qFormat/>
    <w:uiPriority w:val="39"/>
    <w:pPr>
      <w:widowControl/>
      <w:tabs>
        <w:tab w:val="left" w:pos="715"/>
      </w:tabs>
      <w:spacing w:before="480" w:line="276" w:lineRule="auto"/>
      <w:jc w:val="left"/>
      <w:outlineLvl w:val="9"/>
    </w:pPr>
    <w:rPr>
      <w:rFonts w:ascii="Cambria" w:hAnsi="Cambria" w:eastAsia="宋体"/>
      <w:color w:val="365F91"/>
      <w:kern w:val="0"/>
      <w:sz w:val="28"/>
      <w:szCs w:val="28"/>
    </w:rPr>
  </w:style>
  <w:style w:type="paragraph" w:customStyle="1" w:styleId="32">
    <w:name w:val="Heading #2|1"/>
    <w:basedOn w:val="1"/>
    <w:autoRedefine/>
    <w:qFormat/>
    <w:uiPriority w:val="0"/>
    <w:pPr>
      <w:spacing w:before="60" w:after="270"/>
      <w:jc w:val="center"/>
      <w:outlineLvl w:val="1"/>
    </w:pPr>
    <w:rPr>
      <w:rFonts w:ascii="宋体" w:hAnsi="宋体" w:eastAsia="宋体" w:cs="宋体"/>
      <w:sz w:val="36"/>
      <w:szCs w:val="36"/>
      <w:lang w:val="zh-TW" w:eastAsia="zh-TW" w:bidi="zh-TW"/>
    </w:rPr>
  </w:style>
  <w:style w:type="paragraph" w:customStyle="1" w:styleId="33">
    <w:name w:val="Body text|2"/>
    <w:basedOn w:val="1"/>
    <w:autoRedefine/>
    <w:qFormat/>
    <w:uiPriority w:val="0"/>
    <w:pPr>
      <w:spacing w:after="260"/>
      <w:ind w:firstLine="140"/>
    </w:pPr>
    <w:rPr>
      <w:rFonts w:ascii="宋体" w:hAnsi="宋体" w:eastAsia="宋体" w:cs="宋体"/>
      <w:sz w:val="30"/>
      <w:szCs w:val="30"/>
      <w:lang w:val="zh-TW" w:eastAsia="zh-TW" w:bidi="zh-TW"/>
    </w:rPr>
  </w:style>
  <w:style w:type="paragraph" w:customStyle="1" w:styleId="34">
    <w:name w:val="Body text|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5">
    <w:name w:val="Other|1"/>
    <w:basedOn w:val="1"/>
    <w:autoRedefine/>
    <w:qFormat/>
    <w:uiPriority w:val="0"/>
    <w:pPr>
      <w:spacing w:line="454" w:lineRule="auto"/>
      <w:ind w:firstLine="140"/>
    </w:pPr>
    <w:rPr>
      <w:rFonts w:ascii="宋体" w:hAnsi="宋体" w:eastAsia="宋体" w:cs="宋体"/>
      <w:sz w:val="22"/>
      <w:szCs w:val="22"/>
      <w:lang w:val="zh-TW" w:eastAsia="zh-TW" w:bidi="zh-TW"/>
    </w:rPr>
  </w:style>
  <w:style w:type="paragraph" w:customStyle="1" w:styleId="36">
    <w:name w:val="Table caption|1"/>
    <w:basedOn w:val="1"/>
    <w:autoRedefine/>
    <w:qFormat/>
    <w:uiPriority w:val="0"/>
    <w:rPr>
      <w:rFonts w:ascii="宋体" w:hAnsi="宋体" w:eastAsia="宋体" w:cs="宋体"/>
      <w:sz w:val="22"/>
      <w:szCs w:val="22"/>
      <w:lang w:val="zh-TW" w:eastAsia="zh-TW" w:bidi="zh-TW"/>
    </w:rPr>
  </w:style>
  <w:style w:type="paragraph" w:customStyle="1" w:styleId="37">
    <w:name w:val="Table Paragraph"/>
    <w:basedOn w:val="1"/>
    <w:autoRedefine/>
    <w:qFormat/>
    <w:uiPriority w:val="1"/>
    <w:pPr>
      <w:autoSpaceDE w:val="0"/>
      <w:autoSpaceDN w:val="0"/>
      <w:adjustRightInd w:val="0"/>
    </w:pPr>
    <w:rPr>
      <w:rFonts w:eastAsia="宋体"/>
    </w:rPr>
  </w:style>
  <w:style w:type="paragraph" w:customStyle="1" w:styleId="38">
    <w:name w:val="black1"/>
    <w:basedOn w:val="1"/>
    <w:autoRedefine/>
    <w:qFormat/>
    <w:uiPriority w:val="0"/>
    <w:pPr>
      <w:widowControl/>
      <w:spacing w:before="100" w:beforeAutospacing="1" w:after="100" w:afterAutospacing="1" w:line="280" w:lineRule="atLeast"/>
    </w:pPr>
    <w:rPr>
      <w:rFonts w:ascii="_x000B__x000C_" w:hAnsi="_x000B__x000C_"/>
      <w:sz w:val="18"/>
      <w:szCs w:val="18"/>
    </w:rPr>
  </w:style>
  <w:style w:type="paragraph" w:customStyle="1" w:styleId="39">
    <w:name w:val="图例"/>
    <w:basedOn w:val="1"/>
    <w:autoRedefine/>
    <w:qFormat/>
    <w:uiPriority w:val="0"/>
    <w:pPr>
      <w:spacing w:before="120" w:after="120" w:line="360" w:lineRule="auto"/>
      <w:jc w:val="center"/>
    </w:pPr>
    <w:rPr>
      <w:rFonts w:eastAsia="仿宋_GB2312"/>
      <w:b/>
    </w:rPr>
  </w:style>
  <w:style w:type="paragraph" w:customStyle="1" w:styleId="40">
    <w:name w:val="WPS Plain"/>
    <w:autoRedefine/>
    <w:qFormat/>
    <w:uiPriority w:val="0"/>
    <w:rPr>
      <w:rFonts w:ascii="Times New Roman" w:hAnsi="Times New Roman" w:eastAsia="宋体" w:cs="Times New Roman"/>
      <w:lang w:val="en-US" w:eastAsia="zh-CN" w:bidi="ar-SA"/>
    </w:rPr>
  </w:style>
  <w:style w:type="paragraph" w:customStyle="1" w:styleId="41">
    <w:name w:val="样式 左侧:  0 厘米 悬挂缩进: 2.5 字符"/>
    <w:basedOn w:val="1"/>
    <w:autoRedefine/>
    <w:qFormat/>
    <w:uiPriority w:val="0"/>
    <w:pPr>
      <w:ind w:left="525" w:hanging="525" w:hangingChars="250"/>
    </w:pPr>
    <w:rPr>
      <w:szCs w:val="20"/>
    </w:rPr>
  </w:style>
  <w:style w:type="character" w:customStyle="1" w:styleId="42">
    <w:name w:val="font11"/>
    <w:basedOn w:val="24"/>
    <w:autoRedefine/>
    <w:qFormat/>
    <w:uiPriority w:val="0"/>
    <w:rPr>
      <w:rFonts w:ascii="Calibri" w:hAnsi="Calibri" w:cs="Calibri"/>
      <w:color w:val="000000"/>
      <w:sz w:val="20"/>
      <w:szCs w:val="20"/>
      <w:u w:val="none"/>
    </w:rPr>
  </w:style>
  <w:style w:type="paragraph" w:styleId="43">
    <w:name w:val="List Paragraph"/>
    <w:basedOn w:val="1"/>
    <w:autoRedefine/>
    <w:qFormat/>
    <w:uiPriority w:val="0"/>
    <w:pPr>
      <w:widowControl/>
      <w:ind w:firstLine="420" w:firstLineChars="200"/>
    </w:pPr>
  </w:style>
  <w:style w:type="paragraph" w:customStyle="1" w:styleId="44">
    <w:name w:val="列出段落1"/>
    <w:basedOn w:val="1"/>
    <w:autoRedefine/>
    <w:qFormat/>
    <w:uiPriority w:val="34"/>
    <w:pPr>
      <w:ind w:firstLine="420" w:firstLineChars="200"/>
    </w:pPr>
  </w:style>
  <w:style w:type="table" w:customStyle="1" w:styleId="4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88</Pages>
  <Words>49742</Words>
  <Characters>53950</Characters>
  <Lines>424</Lines>
  <Paragraphs>119</Paragraphs>
  <TotalTime>103</TotalTime>
  <ScaleCrop>false</ScaleCrop>
  <LinksUpToDate>false</LinksUpToDate>
  <CharactersWithSpaces>57506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2021-12-16T05:31:00Z</dcterms:created>
  <dc:creator>梦花雨   甘安莉</dc:creator>
  <cp:lastModifiedBy>Administrator</cp:lastModifiedBy>
  <cp:lastPrinted>2024-04-26T05:34:00Z</cp:lastPrinted>
  <dcterms:modified xsi:type="dcterms:W3CDTF">2024-06-07T02:23:23Z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52FD1AA4DFCA44C8BA8A96296F10F102_13</vt:lpwstr>
  </property>
</Properties>
</file>