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w w:val="90"/>
          <w:sz w:val="48"/>
          <w:szCs w:val="48"/>
          <w:lang w:val="en-US" w:eastAsia="zh-CN"/>
        </w:rPr>
      </w:pPr>
    </w:p>
    <w:p>
      <w:pPr>
        <w:spacing w:line="760" w:lineRule="exact"/>
        <w:jc w:val="center"/>
        <w:rPr>
          <w:rFonts w:hint="eastAsia" w:ascii="仿宋" w:hAnsi="仿宋" w:eastAsia="仿宋" w:cs="仿宋"/>
          <w:b/>
          <w:bCs/>
          <w:color w:val="auto"/>
          <w:w w:val="90"/>
          <w:sz w:val="40"/>
          <w:szCs w:val="40"/>
          <w:lang w:val="en-US" w:eastAsia="zh-CN"/>
        </w:rPr>
      </w:pPr>
      <w:r>
        <w:rPr>
          <w:rFonts w:hint="eastAsia" w:ascii="仿宋" w:hAnsi="仿宋" w:eastAsia="仿宋" w:cs="仿宋"/>
          <w:b/>
          <w:bCs/>
          <w:color w:val="auto"/>
          <w:w w:val="90"/>
          <w:sz w:val="40"/>
          <w:szCs w:val="40"/>
          <w:lang w:val="en-US" w:eastAsia="zh-CN"/>
        </w:rPr>
        <w:t>阿图什市2023年地膜科学使用回收项目</w:t>
      </w:r>
    </w:p>
    <w:p>
      <w:pPr>
        <w:spacing w:line="760" w:lineRule="exact"/>
        <w:jc w:val="center"/>
        <w:rPr>
          <w:rFonts w:hint="default"/>
          <w:color w:val="auto"/>
          <w:lang w:val="en-US"/>
        </w:rPr>
      </w:pPr>
      <w:r>
        <w:rPr>
          <w:rFonts w:hint="eastAsia" w:ascii="仿宋" w:hAnsi="仿宋" w:eastAsia="仿宋" w:cs="仿宋"/>
          <w:b/>
          <w:bCs/>
          <w:color w:val="auto"/>
          <w:sz w:val="40"/>
          <w:szCs w:val="40"/>
          <w:lang w:eastAsia="zh-CN"/>
        </w:rPr>
        <w:t>项目编号：</w:t>
      </w:r>
      <w:r>
        <w:rPr>
          <w:rFonts w:hint="eastAsia" w:ascii="仿宋" w:hAnsi="仿宋" w:eastAsia="仿宋" w:cs="仿宋"/>
          <w:b/>
          <w:bCs/>
          <w:color w:val="auto"/>
          <w:sz w:val="40"/>
          <w:szCs w:val="40"/>
          <w:lang w:val="en-US" w:eastAsia="zh-CN"/>
        </w:rPr>
        <w:t>ATSCG-2023080</w:t>
      </w:r>
    </w:p>
    <w:p>
      <w:pPr>
        <w:pStyle w:val="34"/>
        <w:rPr>
          <w:rFonts w:ascii="仿宋" w:hAnsi="仿宋" w:eastAsia="仿宋" w:cs="仿宋"/>
          <w:color w:val="auto"/>
        </w:rPr>
      </w:pPr>
    </w:p>
    <w:p>
      <w:pPr>
        <w:pStyle w:val="34"/>
        <w:rPr>
          <w:rFonts w:ascii="仿宋" w:hAnsi="仿宋" w:eastAsia="仿宋" w:cs="仿宋"/>
          <w:color w:val="auto"/>
        </w:rPr>
      </w:pPr>
    </w:p>
    <w:p>
      <w:pPr>
        <w:pStyle w:val="34"/>
        <w:rPr>
          <w:rFonts w:ascii="仿宋" w:hAnsi="仿宋" w:eastAsia="仿宋" w:cs="仿宋"/>
          <w:color w:val="auto"/>
        </w:rPr>
      </w:pPr>
    </w:p>
    <w:p>
      <w:pPr>
        <w:pStyle w:val="34"/>
        <w:jc w:val="center"/>
        <w:rPr>
          <w:rFonts w:hint="eastAsia" w:ascii="仿宋" w:hAnsi="仿宋" w:eastAsia="仿宋" w:cs="仿宋"/>
          <w:b/>
          <w:color w:val="auto"/>
          <w:sz w:val="96"/>
          <w:szCs w:val="96"/>
          <w:lang w:eastAsia="zh-CN"/>
        </w:rPr>
      </w:pPr>
      <w:r>
        <w:rPr>
          <w:rFonts w:hint="eastAsia" w:ascii="仿宋" w:hAnsi="仿宋" w:eastAsia="仿宋" w:cs="仿宋"/>
          <w:b/>
          <w:color w:val="auto"/>
          <w:sz w:val="96"/>
          <w:szCs w:val="96"/>
          <w:lang w:eastAsia="zh-CN"/>
        </w:rPr>
        <w:t>磋</w:t>
      </w:r>
    </w:p>
    <w:p>
      <w:pPr>
        <w:pStyle w:val="34"/>
        <w:jc w:val="center"/>
        <w:rPr>
          <w:rFonts w:ascii="仿宋" w:hAnsi="仿宋" w:eastAsia="仿宋" w:cs="仿宋"/>
          <w:b/>
          <w:bCs/>
          <w:color w:val="auto"/>
          <w:sz w:val="96"/>
          <w:szCs w:val="96"/>
        </w:rPr>
      </w:pPr>
      <w:r>
        <w:rPr>
          <w:rFonts w:hint="eastAsia" w:ascii="仿宋" w:hAnsi="仿宋" w:eastAsia="仿宋" w:cs="仿宋"/>
          <w:b/>
          <w:color w:val="auto"/>
          <w:sz w:val="96"/>
          <w:szCs w:val="96"/>
          <w:lang w:eastAsia="zh-CN"/>
        </w:rPr>
        <w:t>商</w:t>
      </w:r>
    </w:p>
    <w:p>
      <w:pPr>
        <w:pStyle w:val="34"/>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pPr>
        <w:pStyle w:val="34"/>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pPr>
        <w:pStyle w:val="34"/>
        <w:rPr>
          <w:rFonts w:ascii="仿宋" w:hAnsi="仿宋" w:eastAsia="仿宋" w:cs="仿宋"/>
          <w:color w:val="auto"/>
        </w:rPr>
      </w:pPr>
    </w:p>
    <w:p>
      <w:pPr>
        <w:spacing w:line="700" w:lineRule="exact"/>
        <w:rPr>
          <w:rFonts w:ascii="仿宋" w:hAnsi="仿宋" w:eastAsia="仿宋" w:cs="仿宋"/>
          <w:color w:val="auto"/>
          <w:sz w:val="36"/>
          <w:szCs w:val="36"/>
          <w:lang w:eastAsia="zh-CN"/>
        </w:rPr>
      </w:pP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采购单位：阿图什市农业技术推广中心</w:t>
      </w: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人:阿先生</w:t>
      </w: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13899486411</w:t>
      </w:r>
    </w:p>
    <w:p>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lang w:val="en-US" w:eastAsia="zh-CN"/>
        </w:rPr>
        <w:t>新疆</w:t>
      </w:r>
      <w:r>
        <w:rPr>
          <w:rFonts w:hint="eastAsia" w:ascii="仿宋" w:hAnsi="仿宋" w:eastAsia="仿宋" w:cs="仿宋"/>
          <w:color w:val="auto"/>
          <w:sz w:val="32"/>
          <w:szCs w:val="32"/>
          <w:lang w:eastAsia="zh-CN"/>
        </w:rPr>
        <w:t>飞耀项目管理有限公司</w:t>
      </w:r>
    </w:p>
    <w:p>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人：段女士</w:t>
      </w:r>
    </w:p>
    <w:p>
      <w:pPr>
        <w:spacing w:line="700" w:lineRule="exact"/>
        <w:rPr>
          <w:rFonts w:ascii="仿宋" w:hAnsi="仿宋" w:eastAsia="仿宋" w:cs="仿宋"/>
          <w:b/>
          <w:color w:val="auto"/>
          <w:sz w:val="36"/>
          <w:szCs w:val="36"/>
          <w:lang w:eastAsia="zh-CN"/>
        </w:rPr>
      </w:pPr>
      <w:r>
        <w:rPr>
          <w:rFonts w:hint="eastAsia" w:ascii="仿宋" w:hAnsi="仿宋" w:eastAsia="仿宋" w:cs="仿宋"/>
          <w:color w:val="auto"/>
          <w:sz w:val="32"/>
          <w:szCs w:val="32"/>
          <w:lang w:eastAsia="zh-CN"/>
        </w:rPr>
        <w:t>联系电话:15349977680</w:t>
      </w:r>
    </w:p>
    <w:p>
      <w:pPr>
        <w:jc w:val="center"/>
        <w:rPr>
          <w:rFonts w:hint="eastAsia" w:ascii="仿宋" w:hAnsi="仿宋" w:eastAsia="仿宋" w:cs="仿宋"/>
          <w:b/>
          <w:color w:val="auto"/>
          <w:sz w:val="36"/>
          <w:szCs w:val="36"/>
          <w:lang w:eastAsia="zh-CN"/>
        </w:rPr>
      </w:pPr>
    </w:p>
    <w:p>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ascii="仿宋" w:hAnsi="仿宋" w:eastAsia="仿宋" w:cs="仿宋"/>
                <w:color w:val="auto"/>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采购单位：阿图什市农业技术推广中心</w:t>
            </w:r>
            <w:r>
              <w:rPr>
                <w:rFonts w:hint="eastAsia" w:ascii="仿宋" w:hAnsi="仿宋" w:eastAsia="仿宋" w:cs="仿宋"/>
                <w:color w:val="auto"/>
                <w:w w:val="95"/>
                <w:sz w:val="32"/>
                <w:szCs w:val="32"/>
                <w:lang w:eastAsia="zh-CN"/>
              </w:rPr>
              <w:t>（盖章）</w:t>
            </w:r>
          </w:p>
          <w:p>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p>
          <w:p>
            <w:pPr>
              <w:spacing w:line="500" w:lineRule="exact"/>
              <w:ind w:left="3520" w:hanging="3520" w:hangingChars="1100"/>
              <w:jc w:val="both"/>
              <w:rPr>
                <w:rFonts w:ascii="仿宋" w:hAnsi="仿宋" w:eastAsia="仿宋" w:cs="仿宋"/>
                <w:color w:val="auto"/>
                <w:sz w:val="32"/>
                <w:szCs w:val="32"/>
                <w:lang w:eastAsia="zh-CN"/>
              </w:rPr>
            </w:pPr>
          </w:p>
          <w:p>
            <w:pPr>
              <w:spacing w:line="500" w:lineRule="exact"/>
              <w:ind w:left="3520" w:hanging="3520" w:hanging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采购项目名称：</w:t>
            </w:r>
            <w:r>
              <w:rPr>
                <w:rFonts w:hint="eastAsia" w:ascii="仿宋" w:hAnsi="仿宋" w:eastAsia="仿宋" w:cs="仿宋"/>
                <w:color w:val="auto"/>
                <w:sz w:val="32"/>
                <w:szCs w:val="32"/>
                <w:lang w:val="en-US" w:eastAsia="zh-CN"/>
              </w:rPr>
              <w:t>阿图什市2023年地膜科学使用回收项目</w:t>
            </w:r>
          </w:p>
          <w:p>
            <w:pPr>
              <w:spacing w:line="500" w:lineRule="exact"/>
              <w:ind w:left="3520" w:hanging="3520" w:hangingChars="1100"/>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p>
          <w:p>
            <w:pPr>
              <w:pStyle w:val="32"/>
              <w:jc w:val="both"/>
              <w:rPr>
                <w:rFonts w:ascii="仿宋" w:hAnsi="仿宋" w:eastAsia="仿宋" w:cs="仿宋"/>
                <w:color w:val="auto"/>
                <w:sz w:val="32"/>
                <w:szCs w:val="32"/>
                <w:lang w:eastAsia="zh-CN"/>
              </w:rPr>
            </w:pPr>
          </w:p>
          <w:p>
            <w:pPr>
              <w:pStyle w:val="32"/>
              <w:jc w:val="both"/>
              <w:rPr>
                <w:rFonts w:ascii="仿宋" w:hAnsi="仿宋" w:eastAsia="仿宋" w:cs="仿宋"/>
                <w:color w:val="auto"/>
                <w:sz w:val="32"/>
                <w:szCs w:val="32"/>
                <w:lang w:eastAsia="zh-CN"/>
              </w:rPr>
            </w:pPr>
          </w:p>
          <w:p>
            <w:pPr>
              <w:pStyle w:val="32"/>
              <w:jc w:val="both"/>
              <w:rPr>
                <w:rFonts w:ascii="仿宋" w:hAnsi="仿宋" w:eastAsia="仿宋" w:cs="仿宋"/>
                <w:color w:val="auto"/>
                <w:sz w:val="32"/>
                <w:szCs w:val="32"/>
                <w:lang w:eastAsia="zh-CN"/>
              </w:rPr>
            </w:pPr>
          </w:p>
          <w:p>
            <w:pPr>
              <w:pStyle w:val="32"/>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代理机构：新疆飞耀项目管理有限公司（盖章）</w:t>
            </w:r>
          </w:p>
          <w:p>
            <w:pPr>
              <w:pStyle w:val="6"/>
              <w:jc w:val="both"/>
              <w:outlineLvl w:val="2"/>
              <w:rPr>
                <w:rFonts w:ascii="仿宋" w:hAnsi="仿宋" w:eastAsia="仿宋" w:cs="仿宋"/>
                <w:color w:val="auto"/>
                <w:lang w:eastAsia="zh-CN"/>
              </w:rPr>
            </w:pPr>
          </w:p>
          <w:p>
            <w:pPr>
              <w:jc w:val="both"/>
              <w:rPr>
                <w:color w:val="auto"/>
                <w:lang w:eastAsia="zh-CN"/>
              </w:rPr>
            </w:pPr>
          </w:p>
          <w:p>
            <w:pPr>
              <w:pStyle w:val="6"/>
              <w:jc w:val="center"/>
              <w:outlineLvl w:val="2"/>
              <w:rPr>
                <w:rFonts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10</w:t>
            </w:r>
            <w:r>
              <w:rPr>
                <w:rFonts w:hint="eastAsia" w:ascii="仿宋" w:hAnsi="仿宋" w:eastAsia="仿宋" w:cs="仿宋"/>
                <w:color w:val="auto"/>
              </w:rPr>
              <w:t>月</w:t>
            </w:r>
          </w:p>
          <w:p>
            <w:pPr>
              <w:pStyle w:val="6"/>
              <w:jc w:val="both"/>
              <w:outlineLvl w:val="2"/>
              <w:rPr>
                <w:rFonts w:ascii="仿宋" w:hAnsi="仿宋" w:eastAsia="仿宋" w:cs="仿宋"/>
                <w:color w:val="auto"/>
              </w:rPr>
            </w:pPr>
          </w:p>
        </w:tc>
      </w:tr>
    </w:tbl>
    <w:p>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pPr>
        <w:pStyle w:val="3"/>
        <w:spacing w:before="0" w:line="360" w:lineRule="auto"/>
        <w:jc w:val="both"/>
        <w:rPr>
          <w:rFonts w:ascii="仿宋" w:hAnsi="仿宋" w:eastAsia="仿宋" w:cs="仿宋"/>
          <w:color w:val="auto"/>
          <w:sz w:val="44"/>
          <w:szCs w:val="44"/>
          <w:lang w:val="zh-CN"/>
        </w:rPr>
      </w:pPr>
    </w:p>
    <w:p>
      <w:pPr>
        <w:pStyle w:val="3"/>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pPr>
        <w:widowControl/>
        <w:rPr>
          <w:rFonts w:ascii="仿宋" w:hAnsi="仿宋" w:eastAsia="仿宋" w:cs="仿宋"/>
          <w:color w:val="auto"/>
          <w:sz w:val="30"/>
          <w:szCs w:val="30"/>
        </w:rPr>
      </w:pPr>
    </w:p>
    <w:p>
      <w:pPr>
        <w:numPr>
          <w:ilvl w:val="0"/>
          <w:numId w:val="0"/>
        </w:numPr>
        <w:spacing w:line="600" w:lineRule="auto"/>
        <w:jc w:val="center"/>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第一章     竞争性磋商公告</w:t>
      </w:r>
      <w:r>
        <w:rPr>
          <w:rFonts w:ascii="Arial" w:hAnsi="Arial" w:eastAsia="仿宋" w:cs="Arial"/>
          <w:b/>
          <w:color w:val="auto"/>
          <w:sz w:val="30"/>
          <w:szCs w:val="30"/>
          <w:lang w:eastAsia="zh-CN"/>
        </w:rPr>
        <w:t>…………………………………</w:t>
      </w:r>
      <w:r>
        <w:rPr>
          <w:rFonts w:hint="eastAsia" w:ascii="仿宋" w:hAnsi="仿宋" w:eastAsia="仿宋" w:cs="仿宋"/>
          <w:b/>
          <w:color w:val="auto"/>
          <w:sz w:val="30"/>
          <w:szCs w:val="30"/>
          <w:lang w:eastAsia="zh-CN"/>
        </w:rPr>
        <w:t>1</w:t>
      </w:r>
    </w:p>
    <w:p>
      <w:pPr>
        <w:numPr>
          <w:ilvl w:val="0"/>
          <w:numId w:val="0"/>
        </w:numPr>
        <w:spacing w:line="600" w:lineRule="auto"/>
        <w:jc w:val="center"/>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第二章     供应商须知</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5</w:t>
      </w:r>
    </w:p>
    <w:p>
      <w:pPr>
        <w:numPr>
          <w:ilvl w:val="0"/>
          <w:numId w:val="0"/>
        </w:numPr>
        <w:spacing w:line="600" w:lineRule="auto"/>
        <w:jc w:val="center"/>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第三章    </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评标办法</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41</w:t>
      </w:r>
    </w:p>
    <w:p>
      <w:pPr>
        <w:numPr>
          <w:ilvl w:val="0"/>
          <w:numId w:val="0"/>
        </w:numPr>
        <w:spacing w:line="600" w:lineRule="auto"/>
        <w:jc w:val="center"/>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 xml:space="preserve">第四章     </w:t>
      </w:r>
      <w:r>
        <w:rPr>
          <w:rFonts w:hint="eastAsia" w:ascii="仿宋" w:hAnsi="仿宋" w:eastAsia="仿宋" w:cs="仿宋"/>
          <w:b/>
          <w:color w:val="auto"/>
          <w:sz w:val="32"/>
          <w:szCs w:val="32"/>
          <w:lang w:eastAsia="zh-CN"/>
        </w:rPr>
        <w:t>采购内容及技术要求</w:t>
      </w:r>
      <w:r>
        <w:rPr>
          <w:rFonts w:ascii="Arial" w:hAnsi="Arial" w:eastAsia="仿宋" w:cs="Arial"/>
          <w:b/>
          <w:color w:val="auto"/>
          <w:sz w:val="30"/>
          <w:szCs w:val="30"/>
          <w:lang w:eastAsia="zh-CN"/>
        </w:rPr>
        <w:t>………………………</w:t>
      </w:r>
      <w:r>
        <w:rPr>
          <w:rFonts w:hint="eastAsia" w:ascii="Arial" w:hAnsi="Arial" w:eastAsia="仿宋" w:cs="Arial"/>
          <w:b/>
          <w:color w:val="auto"/>
          <w:sz w:val="30"/>
          <w:szCs w:val="30"/>
          <w:lang w:val="en-US" w:eastAsia="zh-CN"/>
        </w:rPr>
        <w:t>.....</w:t>
      </w:r>
      <w:r>
        <w:rPr>
          <w:rFonts w:hint="eastAsia" w:ascii="仿宋" w:hAnsi="仿宋" w:eastAsia="仿宋" w:cs="仿宋"/>
          <w:b/>
          <w:color w:val="auto"/>
          <w:sz w:val="30"/>
          <w:szCs w:val="30"/>
          <w:lang w:val="en-US" w:eastAsia="zh-CN"/>
        </w:rPr>
        <w:t>48</w:t>
      </w:r>
    </w:p>
    <w:p>
      <w:pPr>
        <w:spacing w:line="600" w:lineRule="auto"/>
        <w:jc w:val="center"/>
        <w:rPr>
          <w:rFonts w:hint="default" w:ascii="仿宋" w:hAnsi="仿宋" w:eastAsia="仿宋" w:cs="仿宋"/>
          <w:color w:val="auto"/>
          <w:lang w:val="en-US"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第五章      合同（参考）</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51</w:t>
      </w:r>
    </w:p>
    <w:p>
      <w:pPr>
        <w:spacing w:line="600" w:lineRule="auto"/>
        <w:jc w:val="center"/>
        <w:rPr>
          <w:rFonts w:hint="default" w:ascii="仿宋" w:hAnsi="仿宋" w:eastAsia="仿宋" w:cs="仿宋"/>
          <w:color w:val="auto"/>
          <w:lang w:val="en-US"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第六章      投标文件格式</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53</w:t>
      </w:r>
    </w:p>
    <w:p>
      <w:pPr>
        <w:pStyle w:val="2"/>
        <w:numPr>
          <w:ilvl w:val="0"/>
          <w:numId w:val="0"/>
        </w:numPr>
        <w:spacing w:line="480" w:lineRule="auto"/>
        <w:rPr>
          <w:rFonts w:ascii="仿宋" w:hAnsi="仿宋" w:eastAsia="仿宋" w:cs="仿宋"/>
          <w:color w:val="auto"/>
          <w:lang w:eastAsia="zh-CN"/>
        </w:rPr>
      </w:pPr>
    </w:p>
    <w:p>
      <w:pPr>
        <w:spacing w:line="480" w:lineRule="auto"/>
        <w:rPr>
          <w:rFonts w:ascii="仿宋" w:hAnsi="仿宋" w:eastAsia="仿宋" w:cs="仿宋"/>
          <w:color w:val="auto"/>
          <w:lang w:eastAsia="zh-CN"/>
        </w:rPr>
      </w:pPr>
    </w:p>
    <w:p>
      <w:pPr>
        <w:pStyle w:val="6"/>
        <w:rPr>
          <w:rFonts w:ascii="仿宋" w:hAnsi="仿宋" w:eastAsia="仿宋" w:cs="仿宋"/>
          <w:color w:val="auto"/>
          <w:lang w:eastAsia="zh-CN"/>
        </w:rPr>
      </w:pPr>
    </w:p>
    <w:p>
      <w:pPr>
        <w:rPr>
          <w:rFonts w:ascii="仿宋" w:hAnsi="仿宋" w:eastAsia="仿宋" w:cs="仿宋"/>
          <w:color w:val="auto"/>
          <w:lang w:eastAsia="zh-CN"/>
        </w:rPr>
      </w:pPr>
    </w:p>
    <w:p>
      <w:pPr>
        <w:pStyle w:val="6"/>
        <w:rPr>
          <w:rFonts w:ascii="仿宋" w:hAnsi="仿宋" w:eastAsia="仿宋" w:cs="仿宋"/>
          <w:color w:val="auto"/>
          <w:lang w:eastAsia="zh-CN"/>
        </w:rPr>
      </w:pPr>
    </w:p>
    <w:p>
      <w:pPr>
        <w:rPr>
          <w:rFonts w:ascii="仿宋" w:hAnsi="仿宋" w:eastAsia="仿宋" w:cs="仿宋"/>
          <w:color w:val="auto"/>
          <w:lang w:eastAsia="zh-CN"/>
        </w:rPr>
      </w:pPr>
    </w:p>
    <w:p>
      <w:pPr>
        <w:pStyle w:val="6"/>
        <w:rPr>
          <w:rFonts w:ascii="仿宋" w:hAnsi="仿宋" w:eastAsia="仿宋" w:cs="仿宋"/>
          <w:color w:val="auto"/>
          <w:lang w:eastAsia="zh-CN"/>
        </w:rPr>
      </w:pPr>
    </w:p>
    <w:p>
      <w:pPr>
        <w:rPr>
          <w:rFonts w:ascii="仿宋" w:hAnsi="仿宋" w:eastAsia="仿宋" w:cs="仿宋"/>
          <w:color w:val="auto"/>
          <w:lang w:eastAsia="zh-CN"/>
        </w:rPr>
      </w:pPr>
    </w:p>
    <w:p>
      <w:pPr>
        <w:pStyle w:val="6"/>
        <w:rPr>
          <w:rFonts w:ascii="仿宋" w:hAnsi="仿宋" w:eastAsia="仿宋" w:cs="仿宋"/>
          <w:color w:val="auto"/>
          <w:lang w:eastAsia="zh-CN"/>
        </w:rPr>
      </w:pPr>
    </w:p>
    <w:p>
      <w:pPr>
        <w:pStyle w:val="35"/>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5"/>
        <w:keepNext/>
        <w:keepLines/>
        <w:spacing w:before="120" w:after="300"/>
        <w:rPr>
          <w:rFonts w:ascii="仿宋" w:hAnsi="仿宋" w:eastAsia="仿宋" w:cs="仿宋"/>
          <w:b/>
          <w:bCs/>
          <w:color w:val="auto"/>
          <w:lang w:eastAsia="zh-CN"/>
        </w:rPr>
      </w:pPr>
      <w:r>
        <w:rPr>
          <w:rFonts w:hint="eastAsia" w:ascii="仿宋" w:hAnsi="仿宋" w:eastAsia="仿宋" w:cs="仿宋"/>
          <w:b/>
          <w:bCs/>
          <w:color w:val="auto"/>
        </w:rPr>
        <w:t>第一</w:t>
      </w:r>
      <w:r>
        <w:rPr>
          <w:rFonts w:hint="eastAsia" w:ascii="仿宋" w:hAnsi="仿宋" w:eastAsia="仿宋" w:cs="仿宋"/>
          <w:b/>
          <w:bCs/>
          <w:color w:val="auto"/>
          <w:lang w:eastAsia="zh-CN"/>
        </w:rPr>
        <w:t>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6"/>
          <w:szCs w:val="36"/>
          <w:lang w:val="en-US" w:eastAsia="zh-CN" w:bidi="ar"/>
        </w:rPr>
      </w:pPr>
      <w:r>
        <w:rPr>
          <w:rFonts w:hint="eastAsia" w:ascii="仿宋" w:hAnsi="仿宋" w:eastAsia="仿宋" w:cs="仿宋"/>
          <w:b/>
          <w:bCs/>
          <w:i w:val="0"/>
          <w:iCs w:val="0"/>
          <w:caps w:val="0"/>
          <w:color w:val="auto"/>
          <w:spacing w:val="0"/>
          <w:kern w:val="0"/>
          <w:sz w:val="36"/>
          <w:szCs w:val="36"/>
          <w:lang w:val="en-US" w:eastAsia="zh-CN" w:bidi="ar"/>
        </w:rPr>
        <w:t>新疆飞耀项目管理有限公司关于阿图什市2023年地膜科学使用回收项目</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6"/>
          <w:szCs w:val="36"/>
          <w:lang w:val="en-US" w:eastAsia="zh-CN" w:bidi="ar"/>
        </w:rPr>
      </w:pPr>
      <w:r>
        <w:rPr>
          <w:rFonts w:hint="eastAsia" w:ascii="仿宋" w:hAnsi="仿宋" w:eastAsia="仿宋" w:cs="仿宋"/>
          <w:b/>
          <w:bCs/>
          <w:i w:val="0"/>
          <w:iCs w:val="0"/>
          <w:caps w:val="0"/>
          <w:color w:val="auto"/>
          <w:spacing w:val="0"/>
          <w:kern w:val="0"/>
          <w:sz w:val="36"/>
          <w:szCs w:val="36"/>
          <w:lang w:val="en-US" w:eastAsia="zh-CN" w:bidi="ar"/>
        </w:rPr>
        <w:t>竞争性磋商公告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743" w:type="dxa"/>
            <w:noWrap w:val="0"/>
            <w:vAlign w:val="top"/>
          </w:tcPr>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val="en-US" w:eastAsia="zh-CN"/>
              </w:rPr>
              <w:t>阿图什市2023年地膜科学使用回收项目</w:t>
            </w:r>
            <w:r>
              <w:rPr>
                <w:rFonts w:hint="eastAsia" w:ascii="仿宋" w:hAnsi="仿宋" w:eastAsia="仿宋" w:cs="仿宋"/>
                <w:b w:val="0"/>
                <w:bCs w:val="0"/>
                <w:i w:val="0"/>
                <w:iCs w:val="0"/>
                <w:caps w:val="0"/>
                <w:color w:val="auto"/>
                <w:spacing w:val="0"/>
                <w:sz w:val="24"/>
                <w:szCs w:val="24"/>
                <w:lang w:eastAsia="zh-CN"/>
              </w:rPr>
              <w:t>的潜在供应商应在供应商登陆政采云平台http://www.zcygov.cn/，在线申请获取磋商文件（登录政府采购云平台 → 项目采购 → 获取磋商文件→申请，审核通过后可下载磋商文件，如有操作性问题，可与政采云在线客服进行咨询，咨询电话：95763））。获取采购文件，并于2023年</w:t>
            </w:r>
            <w:r>
              <w:rPr>
                <w:rFonts w:hint="eastAsia" w:ascii="仿宋" w:hAnsi="仿宋" w:eastAsia="仿宋" w:cs="仿宋"/>
                <w:b w:val="0"/>
                <w:bCs w:val="0"/>
                <w:i w:val="0"/>
                <w:iCs w:val="0"/>
                <w:caps w:val="0"/>
                <w:color w:val="auto"/>
                <w:spacing w:val="0"/>
                <w:sz w:val="24"/>
                <w:szCs w:val="24"/>
                <w:lang w:val="en-US" w:eastAsia="zh-CN"/>
              </w:rPr>
              <w:t>10</w:t>
            </w:r>
            <w:r>
              <w:rPr>
                <w:rFonts w:hint="eastAsia" w:ascii="仿宋" w:hAnsi="仿宋" w:eastAsia="仿宋" w:cs="仿宋"/>
                <w:b w:val="0"/>
                <w:bCs w:val="0"/>
                <w:i w:val="0"/>
                <w:iCs w:val="0"/>
                <w:caps w:val="0"/>
                <w:color w:val="auto"/>
                <w:spacing w:val="0"/>
                <w:sz w:val="24"/>
                <w:szCs w:val="24"/>
                <w:lang w:eastAsia="zh-CN"/>
              </w:rPr>
              <w:t>月</w:t>
            </w:r>
            <w:r>
              <w:rPr>
                <w:rFonts w:hint="eastAsia" w:ascii="仿宋" w:hAnsi="仿宋" w:eastAsia="仿宋" w:cs="仿宋"/>
                <w:b w:val="0"/>
                <w:bCs w:val="0"/>
                <w:i w:val="0"/>
                <w:iCs w:val="0"/>
                <w:caps w:val="0"/>
                <w:color w:val="auto"/>
                <w:spacing w:val="0"/>
                <w:sz w:val="24"/>
                <w:szCs w:val="24"/>
                <w:lang w:val="en-US" w:eastAsia="zh-CN"/>
              </w:rPr>
              <w:t>31</w:t>
            </w:r>
            <w:r>
              <w:rPr>
                <w:rFonts w:hint="eastAsia" w:ascii="仿宋" w:hAnsi="仿宋" w:eastAsia="仿宋" w:cs="仿宋"/>
                <w:b w:val="0"/>
                <w:bCs w:val="0"/>
                <w:i w:val="0"/>
                <w:iCs w:val="0"/>
                <w:caps w:val="0"/>
                <w:color w:val="auto"/>
                <w:spacing w:val="0"/>
                <w:sz w:val="24"/>
                <w:szCs w:val="24"/>
                <w:lang w:eastAsia="zh-CN"/>
              </w:rPr>
              <w:t>日 10:30（北京时间）前提交响应文件。</w:t>
            </w:r>
            <w:r>
              <w:rPr>
                <w:rFonts w:hint="eastAsia"/>
                <w:b w:val="0"/>
                <w:bCs w:val="0"/>
                <w:color w:val="auto"/>
                <w:sz w:val="36"/>
                <w:szCs w:val="36"/>
                <w:vertAlign w:val="baseline"/>
              </w:rPr>
              <w:t> </w:t>
            </w:r>
          </w:p>
        </w:tc>
      </w:tr>
    </w:tbl>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val="en-US" w:eastAsia="zh-CN"/>
        </w:rPr>
        <w:t>ATSCG-2023080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b w:val="0"/>
          <w:bCs w:val="0"/>
          <w:i w:val="0"/>
          <w:iCs w:val="0"/>
          <w:caps w:val="0"/>
          <w:color w:val="auto"/>
          <w:spacing w:val="0"/>
          <w:sz w:val="24"/>
          <w:szCs w:val="24"/>
          <w:lang w:eastAsia="zh-CN"/>
        </w:rPr>
        <w:t>阿图什市2023年地膜科学使用回收项目</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采购方式：竞争性磋商 </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1480000.00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1480000.00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lang w:eastAsia="zh-CN"/>
        </w:rPr>
        <w:t>标项名称:</w:t>
      </w:r>
      <w:r>
        <w:rPr>
          <w:rFonts w:hint="eastAsia" w:ascii="仿宋" w:hAnsi="仿宋" w:eastAsia="仿宋" w:cs="仿宋"/>
          <w:i w:val="0"/>
          <w:iCs w:val="0"/>
          <w:caps w:val="0"/>
          <w:color w:val="auto"/>
          <w:spacing w:val="0"/>
          <w:sz w:val="24"/>
          <w:szCs w:val="24"/>
        </w:rPr>
        <w:t> </w:t>
      </w:r>
      <w:r>
        <w:rPr>
          <w:rFonts w:hint="eastAsia" w:ascii="仿宋" w:hAnsi="仿宋" w:eastAsia="仿宋" w:cs="仿宋"/>
          <w:b w:val="0"/>
          <w:bCs w:val="0"/>
          <w:i w:val="0"/>
          <w:iCs w:val="0"/>
          <w:caps w:val="0"/>
          <w:color w:val="auto"/>
          <w:spacing w:val="0"/>
          <w:sz w:val="24"/>
          <w:szCs w:val="24"/>
          <w:lang w:eastAsia="zh-CN"/>
        </w:rPr>
        <w:t>阿图什市2023年地膜科学使用回收项目</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数量:1</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1480000.00</w:t>
      </w:r>
    </w:p>
    <w:p>
      <w:pPr>
        <w:keepNext w:val="0"/>
        <w:keepLines w:val="0"/>
        <w:pageBreakBefore w:val="0"/>
        <w:widowControl w:val="0"/>
        <w:kinsoku/>
        <w:wordWrap/>
        <w:overflowPunct/>
        <w:topLinePunct w:val="0"/>
        <w:autoSpaceDE/>
        <w:autoSpaceDN/>
        <w:bidi w:val="0"/>
        <w:adjustRightInd/>
        <w:snapToGrid w:val="0"/>
        <w:spacing w:line="332" w:lineRule="auto"/>
        <w:jc w:val="both"/>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简要规格描述或项目基本概况介绍、用途：</w:t>
      </w:r>
      <w:r>
        <w:rPr>
          <w:rFonts w:hint="eastAsia" w:ascii="仿宋" w:hAnsi="仿宋" w:eastAsia="仿宋" w:cs="仿宋"/>
          <w:color w:val="auto"/>
          <w:lang w:val="en-US" w:eastAsia="zh-CN"/>
        </w:rPr>
        <w:t>高强度加厚地膜、全生物降解地膜科学使用及回收处置服务；</w:t>
      </w:r>
      <w:r>
        <w:rPr>
          <w:rFonts w:hint="eastAsia" w:ascii="仿宋" w:hAnsi="仿宋" w:eastAsia="仿宋" w:cs="仿宋"/>
          <w:kern w:val="2"/>
          <w:sz w:val="24"/>
          <w:szCs w:val="24"/>
          <w:highlight w:val="none"/>
          <w:lang w:val="en-US" w:eastAsia="zh-CN" w:bidi="ar-SA"/>
        </w:rPr>
        <w:t>具体服务要求详见竞争性磋商文件。</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i w:val="0"/>
          <w:iCs w:val="0"/>
          <w:caps w:val="0"/>
          <w:color w:val="0000FF"/>
          <w:spacing w:val="0"/>
          <w:sz w:val="24"/>
          <w:szCs w:val="24"/>
        </w:rPr>
      </w:pPr>
      <w:r>
        <w:rPr>
          <w:rFonts w:hint="eastAsia" w:ascii="仿宋" w:hAnsi="仿宋" w:eastAsia="仿宋" w:cs="仿宋"/>
          <w:i w:val="0"/>
          <w:iCs w:val="0"/>
          <w:caps w:val="0"/>
          <w:color w:val="auto"/>
          <w:spacing w:val="0"/>
          <w:sz w:val="24"/>
          <w:szCs w:val="24"/>
        </w:rPr>
        <w:t>备注：</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color w:val="auto"/>
          <w:lang w:val="en-US"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color w:val="auto"/>
          <w:u w:val="single"/>
          <w:lang w:val="en-US" w:eastAsia="zh-CN"/>
        </w:rPr>
        <w:t>1年</w:t>
      </w:r>
      <w:r>
        <w:rPr>
          <w:rFonts w:hint="eastAsia" w:ascii="仿宋" w:hAnsi="仿宋" w:eastAsia="仿宋" w:cs="仿宋"/>
          <w:color w:val="auto"/>
          <w:lang w:val="en-US" w:eastAsia="zh-CN"/>
        </w:rPr>
        <w:t>，（具体按照甲乙双方签订合同执行）</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i w:val="0"/>
          <w:iCs w:val="0"/>
          <w:caps w:val="0"/>
          <w:color w:val="000000"/>
          <w:spacing w:val="0"/>
          <w:sz w:val="24"/>
          <w:szCs w:val="24"/>
        </w:rPr>
        <w:t>标项1：供应商为中小企业</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 3.本项目的特定资格要求：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具备三证合一营业执照副本；</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（2</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r>
        <w:rPr>
          <w:rFonts w:hint="eastAsia" w:ascii="仿宋" w:hAnsi="仿宋" w:eastAsia="仿宋" w:cs="仿宋"/>
          <w:b w:val="0"/>
          <w:bCs w:val="0"/>
          <w:i w:val="0"/>
          <w:iCs w:val="0"/>
          <w:caps w:val="0"/>
          <w:color w:val="auto"/>
          <w:spacing w:val="0"/>
          <w:sz w:val="24"/>
          <w:szCs w:val="24"/>
          <w:lang w:val="en-US" w:eastAsia="zh-CN"/>
        </w:rPr>
        <w:t>及委托人身份证明</w:t>
      </w:r>
      <w:r>
        <w:rPr>
          <w:rFonts w:hint="eastAsia" w:ascii="仿宋" w:hAnsi="仿宋" w:eastAsia="仿宋" w:cs="仿宋"/>
          <w:b w:val="0"/>
          <w:bCs w:val="0"/>
          <w:i w:val="0"/>
          <w:iCs w:val="0"/>
          <w:caps w:val="0"/>
          <w:color w:val="auto"/>
          <w:spacing w:val="0"/>
          <w:sz w:val="24"/>
          <w:szCs w:val="24"/>
        </w:rPr>
        <w:t>；</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4</w:t>
      </w:r>
      <w:r>
        <w:rPr>
          <w:rFonts w:hint="eastAsia" w:ascii="仿宋" w:hAnsi="仿宋" w:eastAsia="仿宋" w:cs="仿宋"/>
          <w:b w:val="0"/>
          <w:bCs w:val="0"/>
          <w:i w:val="0"/>
          <w:iCs w:val="0"/>
          <w:caps w:val="0"/>
          <w:color w:val="auto"/>
          <w:spacing w:val="0"/>
          <w:sz w:val="24"/>
          <w:szCs w:val="24"/>
          <w:lang w:eastAsia="zh-CN"/>
        </w:rPr>
        <w:t>）投标企业须提供投标人（被授权在职人员）近期社保证明；</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w:t>
      </w:r>
      <w:r>
        <w:rPr>
          <w:rFonts w:hint="eastAsia" w:ascii="仿宋" w:hAnsi="仿宋" w:eastAsia="仿宋" w:cs="仿宋"/>
          <w:b/>
          <w:bCs/>
          <w:i w:val="0"/>
          <w:iCs w:val="0"/>
          <w:caps w:val="0"/>
          <w:color w:val="auto"/>
          <w:spacing w:val="0"/>
          <w:sz w:val="24"/>
          <w:szCs w:val="24"/>
          <w:lang w:eastAsia="zh-CN"/>
        </w:rPr>
        <w:t>采购</w:t>
      </w:r>
      <w:r>
        <w:rPr>
          <w:rFonts w:hint="eastAsia" w:ascii="仿宋" w:hAnsi="仿宋" w:eastAsia="仿宋" w:cs="仿宋"/>
          <w:b/>
          <w:bCs/>
          <w:i w:val="0"/>
          <w:iCs w:val="0"/>
          <w:caps w:val="0"/>
          <w:color w:val="auto"/>
          <w:spacing w:val="0"/>
          <w:sz w:val="24"/>
          <w:szCs w:val="24"/>
        </w:rPr>
        <w:t>文件</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时间：202</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21</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27</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19</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（北京时间，法定节假日除外）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地点：供应商登陆政采云平台http://www.zcygov.cn/，在线申请获取</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文件（登录政府采购云平台 → 项目采购 → 获取</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文件→申请，审核通过后可下载</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文件，如有操作性问题，可与政采云在线客服进行咨询，咨询电话：</w:t>
      </w:r>
      <w:r>
        <w:rPr>
          <w:rFonts w:hint="eastAsia" w:ascii="仿宋" w:hAnsi="仿宋" w:eastAsia="仿宋" w:cs="仿宋"/>
          <w:i w:val="0"/>
          <w:iCs w:val="0"/>
          <w:caps w:val="0"/>
          <w:color w:val="auto"/>
          <w:spacing w:val="0"/>
          <w:sz w:val="24"/>
          <w:szCs w:val="24"/>
          <w:lang w:eastAsia="zh-CN"/>
        </w:rPr>
        <w:t>95763）</w:t>
      </w:r>
      <w:r>
        <w:rPr>
          <w:rFonts w:hint="eastAsia" w:ascii="仿宋" w:hAnsi="仿宋" w:eastAsia="仿宋" w:cs="仿宋"/>
          <w:i w:val="0"/>
          <w:iCs w:val="0"/>
          <w:caps w:val="0"/>
          <w:color w:val="auto"/>
          <w:spacing w:val="0"/>
          <w:sz w:val="24"/>
          <w:szCs w:val="24"/>
        </w:rPr>
        <w:t>）。</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方式：（1）线上获取（登录政府采购云平台 → 项目采购 → 获取</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 申请，审核通过后可下载</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文件）。本次招标不提供纸质版</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（2）供应商获取</w:t>
      </w:r>
      <w:r>
        <w:rPr>
          <w:rFonts w:hint="eastAsia" w:ascii="仿宋" w:hAnsi="仿宋" w:eastAsia="仿宋" w:cs="仿宋"/>
          <w:i w:val="0"/>
          <w:iCs w:val="0"/>
          <w:caps w:val="0"/>
          <w:color w:val="auto"/>
          <w:spacing w:val="0"/>
          <w:sz w:val="24"/>
          <w:szCs w:val="24"/>
          <w:lang w:eastAsia="zh-CN"/>
        </w:rPr>
        <w:t>磋商</w:t>
      </w:r>
      <w:r>
        <w:rPr>
          <w:rFonts w:hint="eastAsia" w:ascii="仿宋" w:hAnsi="仿宋" w:eastAsia="仿宋" w:cs="仿宋"/>
          <w:i w:val="0"/>
          <w:iCs w:val="0"/>
          <w:caps w:val="0"/>
          <w:color w:val="auto"/>
          <w:spacing w:val="0"/>
          <w:sz w:val="24"/>
          <w:szCs w:val="24"/>
        </w:rPr>
        <w:t>文件前应注册成为政府采购云平台正式供应商。</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售价（元）：0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四、响应文件提交</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lang w:val="en-US" w:eastAsia="zh-CN"/>
        </w:rPr>
        <w:t>截止时间：2023年10月31日 10：30 （北京时间）</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rPr>
      </w:pPr>
      <w:bookmarkStart w:id="0" w:name="_Toc28359084"/>
      <w:bookmarkEnd w:id="0"/>
      <w:bookmarkStart w:id="1" w:name="_Toc35393625"/>
      <w:bookmarkEnd w:id="1"/>
      <w:bookmarkStart w:id="2" w:name="_Toc35393794"/>
      <w:bookmarkEnd w:id="2"/>
      <w:bookmarkStart w:id="3" w:name="_Toc28359007"/>
      <w:r>
        <w:rPr>
          <w:rFonts w:hint="eastAsia" w:ascii="仿宋" w:hAnsi="仿宋" w:eastAsia="仿宋" w:cs="仿宋"/>
          <w:b w:val="0"/>
          <w:bCs w:val="0"/>
          <w:i w:val="0"/>
          <w:iCs w:val="0"/>
          <w:caps w:val="0"/>
          <w:color w:val="auto"/>
          <w:spacing w:val="0"/>
          <w:sz w:val="24"/>
          <w:szCs w:val="24"/>
          <w:lang w:val="en-US" w:eastAsia="zh-CN"/>
        </w:rPr>
        <w:t>投标地点：政府采购云平台（</w:t>
      </w:r>
      <w:bookmarkEnd w:id="3"/>
      <w:r>
        <w:rPr>
          <w:rFonts w:hint="eastAsia" w:ascii="仿宋" w:hAnsi="仿宋" w:eastAsia="仿宋" w:cs="仿宋"/>
          <w:b w:val="0"/>
          <w:bCs w:val="0"/>
          <w:i w:val="0"/>
          <w:iCs w:val="0"/>
          <w:caps w:val="0"/>
          <w:color w:val="auto"/>
          <w:spacing w:val="0"/>
          <w:sz w:val="24"/>
          <w:szCs w:val="24"/>
          <w:lang w:val="en-US" w:eastAsia="zh-CN"/>
        </w:rPr>
        <w:fldChar w:fldCharType="begin"/>
      </w:r>
      <w:r>
        <w:rPr>
          <w:rFonts w:hint="eastAsia" w:ascii="仿宋" w:hAnsi="仿宋" w:eastAsia="仿宋" w:cs="仿宋"/>
          <w:b w:val="0"/>
          <w:bCs w:val="0"/>
          <w:i w:val="0"/>
          <w:iCs w:val="0"/>
          <w:caps w:val="0"/>
          <w:color w:val="auto"/>
          <w:spacing w:val="0"/>
          <w:sz w:val="24"/>
          <w:szCs w:val="24"/>
          <w:lang w:val="en-US" w:eastAsia="zh-CN"/>
        </w:rPr>
        <w:instrText xml:space="preserve"> HYPERLINK "http://www.zcygov.cn/" </w:instrText>
      </w:r>
      <w:r>
        <w:rPr>
          <w:rFonts w:hint="eastAsia" w:ascii="仿宋" w:hAnsi="仿宋" w:eastAsia="仿宋" w:cs="仿宋"/>
          <w:b w:val="0"/>
          <w:bCs w:val="0"/>
          <w:i w:val="0"/>
          <w:iCs w:val="0"/>
          <w:caps w:val="0"/>
          <w:color w:val="auto"/>
          <w:spacing w:val="0"/>
          <w:sz w:val="24"/>
          <w:szCs w:val="24"/>
          <w:lang w:val="en-US" w:eastAsia="zh-CN"/>
        </w:rPr>
        <w:fldChar w:fldCharType="separate"/>
      </w:r>
      <w:r>
        <w:rPr>
          <w:rFonts w:hint="eastAsia" w:ascii="仿宋" w:hAnsi="仿宋" w:eastAsia="仿宋" w:cs="仿宋"/>
          <w:b w:val="0"/>
          <w:bCs w:val="0"/>
          <w:i w:val="0"/>
          <w:iCs w:val="0"/>
          <w:caps w:val="0"/>
          <w:color w:val="auto"/>
          <w:spacing w:val="0"/>
          <w:sz w:val="24"/>
          <w:szCs w:val="24"/>
        </w:rPr>
        <w:t>www.zcygov.cn</w:t>
      </w:r>
      <w:r>
        <w:rPr>
          <w:rFonts w:hint="eastAsia" w:ascii="仿宋" w:hAnsi="仿宋" w:eastAsia="仿宋" w:cs="仿宋"/>
          <w:b w:val="0"/>
          <w:bCs w:val="0"/>
          <w:i w:val="0"/>
          <w:iCs w:val="0"/>
          <w:caps w:val="0"/>
          <w:color w:val="auto"/>
          <w:spacing w:val="0"/>
          <w:sz w:val="24"/>
          <w:szCs w:val="24"/>
          <w:lang w:val="en-US" w:eastAsia="zh-CN"/>
        </w:rPr>
        <w:fldChar w:fldCharType="end"/>
      </w:r>
      <w:r>
        <w:rPr>
          <w:rFonts w:hint="eastAsia" w:ascii="仿宋" w:hAnsi="仿宋" w:eastAsia="仿宋" w:cs="仿宋"/>
          <w:b w:val="0"/>
          <w:bCs w:val="0"/>
          <w:i w:val="0"/>
          <w:iCs w:val="0"/>
          <w:caps w:val="0"/>
          <w:color w:val="auto"/>
          <w:spacing w:val="0"/>
          <w:sz w:val="24"/>
          <w:szCs w:val="24"/>
          <w:lang w:val="en-US" w:eastAsia="zh-CN"/>
        </w:rPr>
        <w:t>）</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lang w:eastAsia="zh-CN"/>
        </w:rPr>
        <w:t>五、响应文件开启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leftChars="0" w:right="0" w:rightChars="0"/>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开启时间：2023年10月31日 10：30 （北京时间）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地点：在政府采购云平台（</w:t>
      </w:r>
      <w:r>
        <w:rPr>
          <w:rFonts w:hint="eastAsia" w:ascii="仿宋" w:hAnsi="仿宋" w:eastAsia="仿宋" w:cs="仿宋"/>
          <w:i w:val="0"/>
          <w:iCs w:val="0"/>
          <w:caps w:val="0"/>
          <w:color w:val="auto"/>
          <w:spacing w:val="0"/>
          <w:kern w:val="0"/>
          <w:sz w:val="24"/>
          <w:szCs w:val="24"/>
          <w:u w:val="none"/>
          <w:lang w:val="en-US" w:eastAsia="zh-CN" w:bidi="ar"/>
        </w:rPr>
        <w:fldChar w:fldCharType="begin"/>
      </w:r>
      <w:r>
        <w:rPr>
          <w:rFonts w:hint="eastAsia" w:ascii="仿宋" w:hAnsi="仿宋" w:eastAsia="仿宋" w:cs="仿宋"/>
          <w:i w:val="0"/>
          <w:iCs w:val="0"/>
          <w:caps w:val="0"/>
          <w:color w:val="auto"/>
          <w:spacing w:val="0"/>
          <w:kern w:val="0"/>
          <w:sz w:val="24"/>
          <w:szCs w:val="24"/>
          <w:u w:val="none"/>
          <w:lang w:val="en-US" w:eastAsia="zh-CN" w:bidi="ar"/>
        </w:rPr>
        <w:instrText xml:space="preserve"> HYPERLINK "http://www.zcygov.cn/" </w:instrText>
      </w:r>
      <w:r>
        <w:rPr>
          <w:rFonts w:hint="eastAsia" w:ascii="仿宋" w:hAnsi="仿宋" w:eastAsia="仿宋" w:cs="仿宋"/>
          <w:i w:val="0"/>
          <w:iCs w:val="0"/>
          <w:caps w:val="0"/>
          <w:color w:val="auto"/>
          <w:spacing w:val="0"/>
          <w:kern w:val="0"/>
          <w:sz w:val="24"/>
          <w:szCs w:val="24"/>
          <w:u w:val="none"/>
          <w:lang w:val="en-US" w:eastAsia="zh-CN" w:bidi="ar"/>
        </w:rPr>
        <w:fldChar w:fldCharType="separate"/>
      </w:r>
      <w:r>
        <w:rPr>
          <w:rStyle w:val="29"/>
          <w:rFonts w:hint="eastAsia" w:ascii="仿宋" w:hAnsi="仿宋" w:eastAsia="仿宋" w:cs="仿宋"/>
          <w:i w:val="0"/>
          <w:iCs w:val="0"/>
          <w:caps w:val="0"/>
          <w:color w:val="auto"/>
          <w:spacing w:val="0"/>
          <w:sz w:val="24"/>
          <w:szCs w:val="24"/>
          <w:u w:val="none"/>
        </w:rPr>
        <w:t>www.zcygov.cn</w:t>
      </w:r>
      <w:r>
        <w:rPr>
          <w:rFonts w:hint="eastAsia" w:ascii="仿宋" w:hAnsi="仿宋" w:eastAsia="仿宋" w:cs="仿宋"/>
          <w:i w:val="0"/>
          <w:iCs w:val="0"/>
          <w:caps w:val="0"/>
          <w:color w:val="auto"/>
          <w:spacing w:val="0"/>
          <w:kern w:val="0"/>
          <w:sz w:val="24"/>
          <w:szCs w:val="24"/>
          <w:u w:val="none"/>
          <w:lang w:val="en-US" w:eastAsia="zh-CN" w:bidi="ar"/>
        </w:rPr>
        <w:fldChar w:fldCharType="end"/>
      </w:r>
      <w:r>
        <w:rPr>
          <w:rFonts w:hint="eastAsia" w:ascii="仿宋" w:hAnsi="仿宋" w:eastAsia="仿宋" w:cs="仿宋"/>
          <w:i w:val="0"/>
          <w:iCs w:val="0"/>
          <w:caps w:val="0"/>
          <w:color w:val="auto"/>
          <w:spacing w:val="0"/>
          <w:kern w:val="0"/>
          <w:sz w:val="24"/>
          <w:szCs w:val="24"/>
          <w:lang w:val="en-US" w:eastAsia="zh-CN" w:bidi="ar"/>
        </w:rPr>
        <w:t>）上开启响应文件，开标时间后，待采购组织机构发出解密通知后30分钟内，供应商须登录“政采云”平台，用“项目采购-开标评标”功能解密响应文件。</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六</w:t>
      </w:r>
      <w:r>
        <w:rPr>
          <w:rFonts w:hint="eastAsia" w:ascii="仿宋" w:hAnsi="仿宋" w:eastAsia="仿宋" w:cs="仿宋"/>
          <w:b/>
          <w:bCs/>
          <w:i w:val="0"/>
          <w:iCs w:val="0"/>
          <w:caps w:val="0"/>
          <w:color w:val="auto"/>
          <w:spacing w:val="0"/>
          <w:sz w:val="24"/>
          <w:szCs w:val="24"/>
        </w:rPr>
        <w:t>、公告期限</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自本公告发布之日起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个工作日。</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七</w:t>
      </w:r>
      <w:r>
        <w:rPr>
          <w:rFonts w:hint="eastAsia" w:ascii="仿宋" w:hAnsi="仿宋" w:eastAsia="仿宋" w:cs="仿宋"/>
          <w:b/>
          <w:bCs/>
          <w:i w:val="0"/>
          <w:iCs w:val="0"/>
          <w:caps w:val="0"/>
          <w:color w:val="auto"/>
          <w:spacing w:val="0"/>
          <w:sz w:val="24"/>
          <w:szCs w:val="24"/>
        </w:rPr>
        <w:t>、其他补充事宜</w:t>
      </w:r>
    </w:p>
    <w:p>
      <w:pPr>
        <w:keepNext w:val="0"/>
        <w:keepLines w:val="0"/>
        <w:pageBreakBefore w:val="0"/>
        <w:kinsoku/>
        <w:wordWrap/>
        <w:overflowPunct/>
        <w:topLinePunct w:val="0"/>
        <w:autoSpaceDE/>
        <w:autoSpaceDN/>
        <w:bidi w:val="0"/>
        <w:spacing w:line="420" w:lineRule="exact"/>
        <w:ind w:firstLine="486" w:firstLineChars="200"/>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为了保证开评标顺利进行，政采云线上开标功能完全实现，供应商开标所使用的电脑设备须具有视频及语音功能。</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特别提示：</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七、对本次采购提出询问，请按以下方式联系</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1.采购人信息</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名 称：</w:t>
      </w:r>
      <w:r>
        <w:rPr>
          <w:rFonts w:hint="eastAsia" w:ascii="仿宋" w:hAnsi="仿宋" w:eastAsia="仿宋" w:cs="仿宋"/>
          <w:i w:val="0"/>
          <w:iCs w:val="0"/>
          <w:caps w:val="0"/>
          <w:color w:val="auto"/>
          <w:spacing w:val="0"/>
          <w:sz w:val="24"/>
          <w:szCs w:val="24"/>
          <w:lang w:eastAsia="zh-CN"/>
        </w:rPr>
        <w:t>阿图什市农业技术推广中心</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地 址：阿图什市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val="en-US" w:eastAsia="zh-CN"/>
        </w:rPr>
        <w:t>13899486411</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2.采购代理机构信息</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名 称：新疆飞耀项目管理有限公司　　　　　　　　   　</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 址：</w:t>
      </w:r>
      <w:r>
        <w:rPr>
          <w:rFonts w:hint="eastAsia" w:ascii="仿宋" w:hAnsi="仿宋" w:eastAsia="仿宋" w:cs="仿宋"/>
          <w:b w:val="0"/>
          <w:bCs w:val="0"/>
          <w:i w:val="0"/>
          <w:iCs w:val="0"/>
          <w:caps w:val="0"/>
          <w:color w:val="auto"/>
          <w:spacing w:val="0"/>
          <w:sz w:val="24"/>
          <w:szCs w:val="24"/>
          <w:lang w:val="en-US" w:eastAsia="zh-CN" w:bidi="en-US"/>
        </w:rPr>
        <w:t>克州阿图什市肖鲁克路10-1号5楼（州财政局斜对面）</w:t>
      </w:r>
      <w:r>
        <w:rPr>
          <w:rFonts w:hint="eastAsia" w:ascii="仿宋" w:hAnsi="仿宋" w:eastAsia="仿宋" w:cs="仿宋"/>
          <w:i w:val="0"/>
          <w:iCs w:val="0"/>
          <w:caps w:val="0"/>
          <w:color w:val="auto"/>
          <w:spacing w:val="0"/>
          <w:sz w:val="24"/>
          <w:szCs w:val="24"/>
          <w:lang w:val="en-US" w:eastAsia="zh-CN"/>
        </w:rPr>
        <w:t>　  　</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项目联系人：段女士</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6" w:firstLineChars="200"/>
        <w:jc w:val="left"/>
        <w:textAlignment w:val="auto"/>
        <w:rPr>
          <w:rFonts w:hint="eastAsia" w:ascii="仿宋" w:hAnsi="仿宋" w:eastAsia="仿宋" w:cs="仿宋"/>
          <w:b w:val="0"/>
          <w:bCs w:val="0"/>
          <w:i w:val="0"/>
          <w:iCs w:val="0"/>
          <w:caps w:val="0"/>
          <w:color w:val="auto"/>
          <w:spacing w:val="0"/>
          <w:sz w:val="24"/>
          <w:szCs w:val="24"/>
          <w:lang w:val="en-US" w:eastAsia="zh-CN" w:bidi="en-US"/>
        </w:rPr>
      </w:pPr>
      <w:r>
        <w:rPr>
          <w:rFonts w:hint="eastAsia" w:ascii="仿宋" w:hAnsi="仿宋" w:eastAsia="仿宋" w:cs="仿宋"/>
          <w:i w:val="0"/>
          <w:iCs w:val="0"/>
          <w:caps w:val="0"/>
          <w:color w:val="auto"/>
          <w:spacing w:val="0"/>
          <w:sz w:val="24"/>
          <w:szCs w:val="24"/>
          <w:lang w:val="en-US" w:eastAsia="zh-CN"/>
        </w:rPr>
        <w:t>电  话：</w:t>
      </w:r>
      <w:r>
        <w:rPr>
          <w:rFonts w:hint="eastAsia" w:ascii="仿宋" w:hAnsi="仿宋" w:eastAsia="仿宋" w:cs="仿宋"/>
          <w:b w:val="0"/>
          <w:bCs w:val="0"/>
          <w:i w:val="0"/>
          <w:iCs w:val="0"/>
          <w:caps w:val="0"/>
          <w:color w:val="auto"/>
          <w:spacing w:val="0"/>
          <w:sz w:val="24"/>
          <w:szCs w:val="24"/>
          <w:lang w:val="en-US" w:eastAsia="zh-CN" w:bidi="en-US"/>
        </w:rPr>
        <w:t>15349977680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firstLine="486" w:firstLineChars="200"/>
        <w:jc w:val="left"/>
        <w:textAlignment w:val="auto"/>
        <w:rPr>
          <w:rFonts w:hint="eastAsia" w:ascii="仿宋" w:hAnsi="仿宋" w:eastAsia="仿宋" w:cs="仿宋"/>
          <w:b w:val="0"/>
          <w:bCs w:val="0"/>
          <w:i w:val="0"/>
          <w:iCs w:val="0"/>
          <w:caps w:val="0"/>
          <w:color w:val="auto"/>
          <w:spacing w:val="0"/>
          <w:sz w:val="24"/>
          <w:szCs w:val="24"/>
          <w:lang w:val="en-US" w:eastAsia="zh-CN" w:bidi="en-US"/>
        </w:rPr>
      </w:pP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both"/>
        <w:rPr>
          <w:rFonts w:hint="eastAsia" w:ascii="仿宋" w:hAnsi="仿宋" w:eastAsia="仿宋" w:cs="仿宋"/>
          <w:b/>
          <w:bCs/>
          <w:color w:val="auto"/>
          <w:sz w:val="36"/>
          <w:szCs w:val="36"/>
        </w:rPr>
      </w:pPr>
    </w:p>
    <w:p>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w:t>
      </w:r>
      <w:r>
        <w:rPr>
          <w:rFonts w:hint="eastAsia" w:ascii="仿宋" w:hAnsi="仿宋" w:eastAsia="仿宋" w:cs="仿宋"/>
          <w:b/>
          <w:bCs/>
          <w:color w:val="auto"/>
          <w:sz w:val="36"/>
          <w:szCs w:val="36"/>
          <w:lang w:eastAsia="zh-CN"/>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pPr>
        <w:spacing w:line="400" w:lineRule="exact"/>
        <w:ind w:firstLine="566"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5"/>
        <w:tblW w:w="10352" w:type="dxa"/>
        <w:jc w:val="center"/>
        <w:tblLayout w:type="fixed"/>
        <w:tblCellMar>
          <w:top w:w="0" w:type="dxa"/>
          <w:left w:w="108" w:type="dxa"/>
          <w:bottom w:w="0" w:type="dxa"/>
          <w:right w:w="108" w:type="dxa"/>
        </w:tblCellMar>
      </w:tblPr>
      <w:tblGrid>
        <w:gridCol w:w="864"/>
        <w:gridCol w:w="1675"/>
        <w:gridCol w:w="7813"/>
      </w:tblGrid>
      <w:tr>
        <w:tblPrEx>
          <w:tblCellMar>
            <w:top w:w="0" w:type="dxa"/>
            <w:left w:w="108" w:type="dxa"/>
            <w:bottom w:w="0" w:type="dxa"/>
            <w:right w:w="108" w:type="dxa"/>
          </w:tblCellMar>
        </w:tblPrEx>
        <w:trPr>
          <w:trHeight w:val="563"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13"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tblPrEx>
          <w:tblCellMar>
            <w:top w:w="0" w:type="dxa"/>
            <w:left w:w="108" w:type="dxa"/>
            <w:bottom w:w="0" w:type="dxa"/>
            <w:right w:w="108" w:type="dxa"/>
          </w:tblCellMar>
        </w:tblPrEx>
        <w:trPr>
          <w:trHeight w:val="209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75" w:type="dxa"/>
            <w:tcBorders>
              <w:top w:val="single" w:color="auto" w:sz="4" w:space="0"/>
              <w:left w:val="single" w:color="auto" w:sz="4" w:space="0"/>
              <w:bottom w:val="single" w:color="auto" w:sz="4" w:space="0"/>
              <w:right w:val="single" w:color="auto" w:sz="4" w:space="0"/>
            </w:tcBorders>
            <w:vAlign w:val="center"/>
          </w:tcPr>
          <w:p>
            <w:pPr>
              <w:pStyle w:val="32"/>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pPr>
              <w:pStyle w:val="32"/>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pPr>
              <w:pStyle w:val="32"/>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pPr>
              <w:pStyle w:val="32"/>
              <w:ind w:firstLine="0"/>
              <w:jc w:val="center"/>
              <w:rPr>
                <w:rFonts w:ascii="仿宋" w:hAnsi="仿宋" w:eastAsia="仿宋" w:cs="仿宋"/>
                <w:color w:val="auto"/>
                <w:lang w:eastAsia="zh-CN"/>
              </w:rPr>
            </w:pPr>
            <w:r>
              <w:rPr>
                <w:rFonts w:hint="eastAsia" w:ascii="仿宋" w:hAnsi="仿宋" w:eastAsia="仿宋" w:cs="仿宋"/>
                <w:color w:val="auto"/>
                <w:lang w:eastAsia="zh-CN"/>
              </w:rPr>
              <w:t>服务期：</w:t>
            </w:r>
          </w:p>
        </w:tc>
        <w:tc>
          <w:tcPr>
            <w:tcW w:w="78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阿图什市2023年地膜科学使用回收项目</w:t>
            </w:r>
          </w:p>
          <w:p>
            <w:pPr>
              <w:spacing w:line="400" w:lineRule="exact"/>
              <w:rPr>
                <w:rFonts w:hint="default" w:ascii="仿宋" w:hAnsi="仿宋" w:eastAsia="仿宋" w:cs="仿宋"/>
                <w:color w:val="auto"/>
                <w:lang w:val="en-US" w:eastAsia="zh-CN"/>
              </w:rPr>
            </w:pPr>
            <w:r>
              <w:rPr>
                <w:rFonts w:hint="eastAsia" w:ascii="仿宋" w:hAnsi="仿宋" w:eastAsia="仿宋" w:cs="仿宋"/>
                <w:color w:val="auto"/>
                <w:lang w:eastAsia="zh-CN"/>
              </w:rPr>
              <w:t>项目编号：ATSCG-2023080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仿宋" w:hAnsi="仿宋" w:eastAsia="仿宋" w:cs="仿宋"/>
                <w:b w:val="0"/>
                <w:bCs w:val="0"/>
                <w:color w:val="auto"/>
                <w:lang w:eastAsia="zh-CN"/>
              </w:rPr>
            </w:pPr>
            <w:r>
              <w:rPr>
                <w:rFonts w:hint="eastAsia" w:ascii="仿宋" w:hAnsi="仿宋" w:eastAsia="仿宋" w:cs="仿宋"/>
                <w:color w:val="auto"/>
                <w:lang w:eastAsia="zh-CN"/>
              </w:rPr>
              <w:t>采购内容：</w:t>
            </w:r>
            <w:r>
              <w:rPr>
                <w:rFonts w:hint="eastAsia" w:ascii="仿宋" w:hAnsi="仿宋" w:eastAsia="仿宋" w:cs="仿宋"/>
                <w:color w:val="auto"/>
                <w:lang w:val="en-US" w:eastAsia="zh-CN"/>
              </w:rPr>
              <w:t>高强度加厚地膜、全生物降解地膜科学使用及回收处置服务；具体服务要求详见竞争性磋商文件。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服务期：</w:t>
            </w:r>
            <w:r>
              <w:rPr>
                <w:rFonts w:hint="eastAsia" w:ascii="仿宋" w:hAnsi="仿宋" w:eastAsia="仿宋" w:cs="仿宋"/>
                <w:color w:val="auto"/>
                <w:u w:val="none"/>
                <w:lang w:val="en-US" w:eastAsia="zh-CN"/>
              </w:rPr>
              <w:t>1年</w:t>
            </w:r>
            <w:r>
              <w:rPr>
                <w:rFonts w:hint="eastAsia" w:ascii="仿宋" w:hAnsi="仿宋" w:eastAsia="仿宋" w:cs="仿宋"/>
                <w:color w:val="auto"/>
                <w:lang w:val="en-US" w:eastAsia="zh-CN"/>
              </w:rPr>
              <w:t>，（具体按照甲乙双方签订合同执行）</w:t>
            </w:r>
          </w:p>
        </w:tc>
      </w:tr>
      <w:tr>
        <w:tblPrEx>
          <w:tblCellMar>
            <w:top w:w="0" w:type="dxa"/>
            <w:left w:w="108" w:type="dxa"/>
            <w:bottom w:w="0" w:type="dxa"/>
            <w:right w:w="108" w:type="dxa"/>
          </w:tblCellMar>
        </w:tblPrEx>
        <w:trPr>
          <w:trHeight w:val="85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名  称：阿图什市农业技术推广中心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联系人：阿先生     电  话：</w:t>
            </w:r>
            <w:r>
              <w:rPr>
                <w:rFonts w:hint="eastAsia" w:ascii="仿宋" w:hAnsi="仿宋" w:eastAsia="仿宋" w:cs="仿宋"/>
                <w:i w:val="0"/>
                <w:iCs w:val="0"/>
                <w:caps w:val="0"/>
                <w:color w:val="auto"/>
                <w:spacing w:val="0"/>
                <w:sz w:val="24"/>
                <w:szCs w:val="24"/>
                <w:lang w:val="en-US" w:eastAsia="zh-CN"/>
              </w:rPr>
              <w:t>13899486411</w:t>
            </w:r>
          </w:p>
        </w:tc>
      </w:tr>
      <w:tr>
        <w:tblPrEx>
          <w:tblCellMar>
            <w:top w:w="0" w:type="dxa"/>
            <w:left w:w="108" w:type="dxa"/>
            <w:bottom w:w="0" w:type="dxa"/>
            <w:right w:w="108" w:type="dxa"/>
          </w:tblCellMar>
        </w:tblPrEx>
        <w:trPr>
          <w:trHeight w:val="124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称：新疆飞耀项目管理有限公司</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克州阿图什市肖鲁克路10-1号5楼（州财政局斜对面）</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联系人：段女士       电  话：</w:t>
            </w:r>
            <w:r>
              <w:rPr>
                <w:rFonts w:hint="eastAsia" w:ascii="仿宋" w:hAnsi="仿宋" w:eastAsia="仿宋" w:cs="仿宋"/>
                <w:color w:val="auto"/>
                <w:lang w:val="en-US" w:eastAsia="zh-CN"/>
              </w:rPr>
              <w:t>15349977680</w:t>
            </w:r>
          </w:p>
        </w:tc>
      </w:tr>
      <w:tr>
        <w:tblPrEx>
          <w:tblCellMar>
            <w:top w:w="0" w:type="dxa"/>
            <w:left w:w="108" w:type="dxa"/>
            <w:bottom w:w="0" w:type="dxa"/>
            <w:right w:w="108" w:type="dxa"/>
          </w:tblCellMar>
        </w:tblPrEx>
        <w:trPr>
          <w:trHeight w:val="29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服务</w:t>
            </w:r>
            <w:r>
              <w:rPr>
                <w:rFonts w:hint="eastAsia" w:ascii="仿宋" w:hAnsi="仿宋" w:eastAsia="仿宋" w:cs="仿宋"/>
                <w:color w:val="auto"/>
                <w:lang w:eastAsia="zh-CN"/>
              </w:rPr>
              <w:t>地点</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sz w:val="24"/>
                <w:szCs w:val="24"/>
              </w:rPr>
              <w:t>甲方指定地点</w:t>
            </w:r>
          </w:p>
        </w:tc>
      </w:tr>
      <w:tr>
        <w:tblPrEx>
          <w:tblCellMar>
            <w:top w:w="0" w:type="dxa"/>
            <w:left w:w="108" w:type="dxa"/>
            <w:bottom w:w="0" w:type="dxa"/>
            <w:right w:w="108" w:type="dxa"/>
          </w:tblCellMar>
        </w:tblPrEx>
        <w:trPr>
          <w:trHeight w:val="29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5</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付款方式</w:t>
            </w:r>
          </w:p>
        </w:tc>
        <w:tc>
          <w:tcPr>
            <w:tcW w:w="7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default" w:ascii="仿宋" w:hAnsi="仿宋" w:eastAsia="仿宋" w:cs="仿宋"/>
                <w:color w:val="FF0000"/>
                <w:lang w:val="en-US" w:eastAsia="zh-CN"/>
              </w:rPr>
            </w:pPr>
            <w:r>
              <w:rPr>
                <w:rFonts w:hint="eastAsia" w:ascii="仿宋" w:hAnsi="仿宋" w:eastAsia="仿宋" w:cs="仿宋"/>
                <w:color w:val="auto"/>
                <w:lang w:val="en-US" w:eastAsia="zh-CN"/>
              </w:rPr>
              <w:t>签订合同后预付合同总价款的50%，推广任务及回收任务完成验收合格后付合同总价款的30%，旧膜回收处置结束验收合格后付合同总价款的20%，（具体以甲乙双方签订合同约定）</w:t>
            </w:r>
          </w:p>
        </w:tc>
      </w:tr>
      <w:tr>
        <w:tblPrEx>
          <w:tblCellMar>
            <w:top w:w="0" w:type="dxa"/>
            <w:left w:w="108" w:type="dxa"/>
            <w:bottom w:w="0" w:type="dxa"/>
            <w:right w:w="108" w:type="dxa"/>
          </w:tblCellMar>
        </w:tblPrEx>
        <w:trPr>
          <w:trHeight w:val="45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spacing w:line="240" w:lineRule="auto"/>
              <w:jc w:val="both"/>
              <w:rPr>
                <w:rFonts w:hint="eastAsia" w:ascii="仿宋" w:hAnsi="仿宋" w:eastAsia="仿宋" w:cs="仿宋"/>
                <w:b/>
                <w:bCs/>
                <w:kern w:val="2"/>
                <w:sz w:val="24"/>
                <w:szCs w:val="24"/>
                <w:lang w:eastAsia="zh-CN" w:bidi="ar-SA"/>
              </w:rPr>
            </w:pPr>
            <w:r>
              <w:rPr>
                <w:rFonts w:hint="eastAsia" w:ascii="仿宋" w:hAnsi="仿宋" w:eastAsia="仿宋" w:cs="仿宋"/>
                <w:color w:val="auto"/>
                <w:lang w:eastAsia="zh-CN"/>
              </w:rPr>
              <w:t>2.落实政府采</w:t>
            </w:r>
            <w:r>
              <w:rPr>
                <w:rFonts w:hint="eastAsia" w:ascii="仿宋" w:hAnsi="仿宋" w:eastAsia="仿宋" w:cs="仿宋"/>
                <w:b w:val="0"/>
                <w:bCs w:val="0"/>
                <w:i w:val="0"/>
                <w:iCs w:val="0"/>
                <w:caps w:val="0"/>
                <w:color w:val="auto"/>
                <w:spacing w:val="0"/>
                <w:sz w:val="24"/>
                <w:szCs w:val="24"/>
                <w:lang w:val="en-US" w:eastAsia="zh-CN" w:bidi="en-US"/>
              </w:rPr>
              <w:t>购政策需满足的资格要求：本项目专门面向中小企业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具备三证合一营业执照副本；</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（2</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r>
              <w:rPr>
                <w:rFonts w:hint="eastAsia" w:ascii="仿宋" w:hAnsi="仿宋" w:eastAsia="仿宋" w:cs="仿宋"/>
                <w:b w:val="0"/>
                <w:bCs w:val="0"/>
                <w:i w:val="0"/>
                <w:iCs w:val="0"/>
                <w:caps w:val="0"/>
                <w:color w:val="auto"/>
                <w:spacing w:val="0"/>
                <w:sz w:val="24"/>
                <w:szCs w:val="24"/>
                <w:lang w:val="en-US" w:eastAsia="zh-CN"/>
              </w:rPr>
              <w:t>及委托人身份证明</w:t>
            </w:r>
            <w:r>
              <w:rPr>
                <w:rFonts w:hint="eastAsia" w:ascii="仿宋" w:hAnsi="仿宋" w:eastAsia="仿宋" w:cs="仿宋"/>
                <w:b w:val="0"/>
                <w:bCs w:val="0"/>
                <w:i w:val="0"/>
                <w:iCs w:val="0"/>
                <w:caps w:val="0"/>
                <w:color w:val="auto"/>
                <w:spacing w:val="0"/>
                <w:sz w:val="24"/>
                <w:szCs w:val="24"/>
              </w:rPr>
              <w:t>；</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4</w:t>
            </w:r>
            <w:r>
              <w:rPr>
                <w:rFonts w:hint="eastAsia" w:ascii="仿宋" w:hAnsi="仿宋" w:eastAsia="仿宋" w:cs="仿宋"/>
                <w:b w:val="0"/>
                <w:bCs w:val="0"/>
                <w:i w:val="0"/>
                <w:iCs w:val="0"/>
                <w:caps w:val="0"/>
                <w:color w:val="auto"/>
                <w:spacing w:val="0"/>
                <w:sz w:val="24"/>
                <w:szCs w:val="24"/>
                <w:lang w:eastAsia="zh-CN"/>
              </w:rPr>
              <w:t>）投标企业须提供投标人（被授权在职人员）近期社保证明；</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5</w:t>
            </w:r>
            <w:r>
              <w:rPr>
                <w:rFonts w:hint="eastAsia" w:ascii="仿宋" w:hAnsi="仿宋" w:eastAsia="仿宋" w:cs="仿宋"/>
                <w:b w:val="0"/>
                <w:bCs w:val="0"/>
                <w:i w:val="0"/>
                <w:iCs w:val="0"/>
                <w:caps w:val="0"/>
                <w:color w:val="auto"/>
                <w:spacing w:val="0"/>
                <w:sz w:val="24"/>
                <w:szCs w:val="24"/>
                <w:lang w:eastAsia="zh-CN"/>
              </w:rPr>
              <w:t>）汇款凭证或保函等票据；</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tblPrEx>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2023年中央农业生产资源保护资金</w:t>
            </w:r>
          </w:p>
        </w:tc>
      </w:tr>
      <w:tr>
        <w:tblPrEx>
          <w:tblCellMar>
            <w:top w:w="0" w:type="dxa"/>
            <w:left w:w="108" w:type="dxa"/>
            <w:bottom w:w="0" w:type="dxa"/>
            <w:right w:w="108" w:type="dxa"/>
          </w:tblCellMar>
        </w:tblPrEx>
        <w:trPr>
          <w:trHeight w:val="52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竞争性磋商(本项目采用网上电子招投标)  </w:t>
            </w:r>
          </w:p>
        </w:tc>
      </w:tr>
      <w:tr>
        <w:tblPrEx>
          <w:tblCellMar>
            <w:top w:w="0" w:type="dxa"/>
            <w:left w:w="108" w:type="dxa"/>
            <w:bottom w:w="0" w:type="dxa"/>
            <w:right w:w="108" w:type="dxa"/>
          </w:tblCellMar>
        </w:tblPrEx>
        <w:trPr>
          <w:trHeight w:val="484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9</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72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tblPrEx>
          <w:tblCellMar>
            <w:top w:w="0" w:type="dxa"/>
            <w:left w:w="108" w:type="dxa"/>
            <w:bottom w:w="0" w:type="dxa"/>
            <w:right w:w="108" w:type="dxa"/>
          </w:tblCellMar>
        </w:tblPrEx>
        <w:trPr>
          <w:trHeight w:val="86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10</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31</w:t>
            </w:r>
            <w:r>
              <w:rPr>
                <w:rFonts w:hint="eastAsia" w:ascii="仿宋" w:hAnsi="仿宋" w:eastAsia="仿宋" w:cs="仿宋"/>
                <w:color w:val="auto"/>
                <w:kern w:val="2"/>
                <w:u w:val="single"/>
                <w:lang w:eastAsia="zh-CN" w:bidi="ar-SA"/>
              </w:rPr>
              <w:t>日</w:t>
            </w:r>
            <w:r>
              <w:rPr>
                <w:rFonts w:hint="eastAsia" w:ascii="仿宋" w:hAnsi="仿宋" w:eastAsia="仿宋" w:cs="仿宋"/>
                <w:color w:val="auto"/>
                <w:u w:val="single"/>
                <w:lang w:eastAsia="zh-CN"/>
              </w:rPr>
              <w:t>上午</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30</w:t>
            </w:r>
            <w:r>
              <w:rPr>
                <w:rFonts w:hint="eastAsia" w:ascii="仿宋" w:hAnsi="仿宋" w:eastAsia="仿宋" w:cs="仿宋"/>
                <w:color w:val="auto"/>
                <w:u w:val="single"/>
                <w:lang w:eastAsia="zh-CN"/>
              </w:rPr>
              <w:t>分（北京时间）</w:t>
            </w:r>
          </w:p>
        </w:tc>
      </w:tr>
      <w:tr>
        <w:tblPrEx>
          <w:tblCellMar>
            <w:top w:w="0" w:type="dxa"/>
            <w:left w:w="108" w:type="dxa"/>
            <w:bottom w:w="0" w:type="dxa"/>
            <w:right w:w="108" w:type="dxa"/>
          </w:tblCellMar>
        </w:tblPrEx>
        <w:trPr>
          <w:trHeight w:val="4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13" w:type="dxa"/>
            <w:tcBorders>
              <w:top w:val="single" w:color="auto" w:sz="4" w:space="0"/>
              <w:left w:val="single" w:color="auto" w:sz="4" w:space="0"/>
              <w:bottom w:val="single" w:color="auto" w:sz="4" w:space="0"/>
              <w:right w:val="single" w:color="auto" w:sz="4" w:space="0"/>
            </w:tcBorders>
            <w:vAlign w:val="center"/>
          </w:tcPr>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1、投标保证金以电汇、网银形式提交的，应在</w:t>
            </w:r>
            <w:r>
              <w:rPr>
                <w:rFonts w:hint="eastAsia" w:ascii="仿宋" w:hAnsi="仿宋" w:eastAsia="仿宋" w:cs="仿宋"/>
                <w:color w:val="FF0000"/>
                <w:kern w:val="2"/>
                <w:sz w:val="24"/>
                <w:lang w:eastAsia="zh-CN" w:bidi="ar-SA"/>
              </w:rPr>
              <w:t>投标截止</w:t>
            </w:r>
            <w:r>
              <w:rPr>
                <w:rFonts w:hint="eastAsia" w:ascii="仿宋" w:hAnsi="仿宋" w:eastAsia="仿宋" w:cs="仿宋"/>
                <w:color w:val="auto"/>
                <w:kern w:val="2"/>
                <w:sz w:val="24"/>
                <w:lang w:eastAsia="zh-CN" w:bidi="ar-SA"/>
              </w:rPr>
              <w:t>前以公司法人的基本账户一次性汇入指定账户（以到账时间为准），不接受现金及任何个人汇款。汇款凭证或保函作为该项目投标保证金的缴纳依据。</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2、其他特殊情况处理：有效投标保证金成功交纳后，截止开标时间，供应商无正当理由不参加该项目投标且不递交弃标函，投标保证金不予退还。</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 户名：阿图什市政务服务和公共资源交易中心</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 账号：30456301040005267</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 行名：中国农业银行阿图什市天山分理处</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 行号：103893045636</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 联系人：祝女士</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 xml:space="preserve"> 电话：0908-4222076    </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（备注：必须写清楚xx公司xx项目保证金）</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二、申请退还投标保证金资料（招投标结束中标结果公示后）：</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1、投标企业：待开标完成后，未中标企业3-5个工作日内政资中心将收取的项目投标保证金按投标企业基本户退回。</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2、中标企业：需提供已签订合同复印件一份，复印件每页需加盖企业鲜章（并携带合同原件，由中心工作人员核对后退还）。</w:t>
            </w:r>
          </w:p>
          <w:p>
            <w:pPr>
              <w:spacing w:line="240" w:lineRule="atLeast"/>
              <w:jc w:val="both"/>
              <w:rPr>
                <w:rFonts w:ascii="仿宋" w:hAnsi="仿宋" w:eastAsia="仿宋" w:cs="仿宋"/>
                <w:color w:val="auto"/>
                <w:kern w:val="2"/>
                <w:sz w:val="24"/>
                <w:lang w:eastAsia="zh-CN" w:bidi="ar-SA"/>
              </w:rPr>
            </w:pPr>
            <w:r>
              <w:rPr>
                <w:rFonts w:hint="eastAsia" w:ascii="仿宋" w:hAnsi="仿宋" w:eastAsia="仿宋" w:cs="仿宋"/>
                <w:color w:val="auto"/>
                <w:kern w:val="2"/>
                <w:sz w:val="24"/>
                <w:lang w:eastAsia="zh-CN" w:bidi="ar-SA"/>
              </w:rPr>
              <w:t>三、其他特殊情况处理：</w:t>
            </w:r>
          </w:p>
          <w:p>
            <w:pPr>
              <w:numPr>
                <w:ilvl w:val="0"/>
                <w:numId w:val="0"/>
              </w:numPr>
              <w:shd w:val="clear" w:color="auto" w:fill="auto"/>
              <w:spacing w:line="360" w:lineRule="auto"/>
              <w:jc w:val="left"/>
              <w:rPr>
                <w:color w:val="auto"/>
                <w:lang w:eastAsia="zh-CN"/>
              </w:rPr>
            </w:pPr>
            <w:r>
              <w:rPr>
                <w:rFonts w:hint="eastAsia" w:ascii="仿宋" w:hAnsi="仿宋" w:eastAsia="仿宋" w:cs="仿宋"/>
                <w:color w:val="auto"/>
                <w:kern w:val="2"/>
                <w:sz w:val="24"/>
                <w:lang w:eastAsia="zh-CN" w:bidi="ar-SA"/>
              </w:rPr>
              <w:t>1、按照招标文件要求规定：投标企业无正当理由不参加该项目投标且在规定开标时间前不递交弃标函，投标保证金不予退还。</w:t>
            </w:r>
            <w:r>
              <w:rPr>
                <w:rFonts w:hint="eastAsia" w:ascii="仿宋" w:hAnsi="仿宋" w:eastAsia="仿宋" w:cs="仿宋"/>
                <w:b/>
                <w:bCs/>
                <w:color w:val="FF0000"/>
                <w:sz w:val="24"/>
                <w:szCs w:val="24"/>
                <w:lang w:val="en-US" w:eastAsia="zh-CN"/>
              </w:rPr>
              <w:t xml:space="preserve"> </w:t>
            </w:r>
            <w:r>
              <w:rPr>
                <w:rFonts w:hint="eastAsia" w:ascii="仿宋" w:hAnsi="仿宋" w:eastAsia="仿宋" w:cs="仿宋"/>
                <w:b w:val="0"/>
                <w:bCs w:val="0"/>
                <w:color w:val="FF0000"/>
                <w:sz w:val="24"/>
                <w:szCs w:val="24"/>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color w:val="auto"/>
                <w:lang w:eastAsia="zh-CN"/>
              </w:rPr>
              <w:t xml:space="preserve"> </w:t>
            </w:r>
          </w:p>
        </w:tc>
      </w:tr>
      <w:tr>
        <w:tblPrEx>
          <w:tblCellMar>
            <w:top w:w="0" w:type="dxa"/>
            <w:left w:w="108" w:type="dxa"/>
            <w:bottom w:w="0" w:type="dxa"/>
            <w:right w:w="108" w:type="dxa"/>
          </w:tblCellMar>
        </w:tblPrEx>
        <w:trPr>
          <w:trHeight w:val="140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tblPrEx>
          <w:tblCellMar>
            <w:top w:w="0" w:type="dxa"/>
            <w:left w:w="108" w:type="dxa"/>
            <w:bottom w:w="0" w:type="dxa"/>
            <w:right w:w="108" w:type="dxa"/>
          </w:tblCellMar>
        </w:tblPrEx>
        <w:trPr>
          <w:trHeight w:val="67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u w:val="single"/>
                <w:lang w:eastAsia="zh-CN"/>
              </w:rPr>
              <w:t>时间：202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21</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27</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，每天上午10:00至14:00，下午16:00至19：30（北京时间，节假日除外）</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 （登录政府采购云平台 → 项目采购 → 获取磋商文件 →申请，审核通过后可下载磋商文件 ，如有操作性问题，可与政采云在线客服进行咨询，咨询电话：95763）。</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方式：（1）线上获取（登录政府采购云平台 → 项目采购 → 获取磋商文件 → 申请，审核通过后可下载磋商文件 ）。本次招标不提供纸质版磋商文件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tblPrEx>
          <w:tblCellMar>
            <w:top w:w="0" w:type="dxa"/>
            <w:left w:w="108" w:type="dxa"/>
            <w:bottom w:w="0" w:type="dxa"/>
            <w:right w:w="108" w:type="dxa"/>
          </w:tblCellMar>
        </w:tblPrEx>
        <w:trPr>
          <w:trHeight w:val="50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投标文件份数及要求</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tblPrEx>
          <w:tblCellMar>
            <w:top w:w="0" w:type="dxa"/>
            <w:left w:w="108" w:type="dxa"/>
            <w:bottom w:w="0" w:type="dxa"/>
            <w:right w:w="108" w:type="dxa"/>
          </w:tblCellMar>
        </w:tblPrEx>
        <w:trPr>
          <w:trHeight w:val="474" w:hRule="atLeast"/>
          <w:jc w:val="center"/>
        </w:trPr>
        <w:tc>
          <w:tcPr>
            <w:tcW w:w="86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75"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864"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p>
        </w:tc>
        <w:tc>
          <w:tcPr>
            <w:tcW w:w="1675"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2.备份投标文件：供应商在投标截止时间前将加密的投标文件上传至政府采购云平台，还可以在投标截止时间前以电子邮件方式提供备份投标文件1份（接收人邮箱：923150488@qq.com，接收人：段女士，电话：</w:t>
            </w:r>
            <w:r>
              <w:rPr>
                <w:rFonts w:hint="eastAsia" w:ascii="仿宋" w:hAnsi="仿宋" w:eastAsia="仿宋" w:cs="仿宋"/>
                <w:color w:val="auto"/>
                <w:lang w:val="en-US" w:eastAsia="zh-CN"/>
              </w:rPr>
              <w:t>15349977680</w:t>
            </w:r>
            <w:r>
              <w:rPr>
                <w:rFonts w:hint="eastAsia" w:ascii="仿宋" w:hAnsi="仿宋" w:eastAsia="仿宋" w:cs="仿宋"/>
                <w:color w:val="auto"/>
                <w:lang w:eastAsia="zh-CN"/>
              </w:rPr>
              <w:t>），“备份投标文件”由供应商自愿提供，磋商文件 不作强制性要求；如不提供或未按要求提供的，当电子投标文件无法解密时，将导致无备份投标文件而失去投标资格。</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44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val="zh-CN" w:eastAsia="zh-CN"/>
              </w:rPr>
            </w:pPr>
            <w:r>
              <w:rPr>
                <w:rFonts w:hint="eastAsia" w:ascii="仿宋" w:hAnsi="仿宋" w:eastAsia="仿宋" w:cs="仿宋"/>
                <w:color w:val="auto"/>
                <w:sz w:val="24"/>
                <w:szCs w:val="24"/>
                <w:lang w:eastAsia="zh-CN"/>
              </w:rPr>
              <w:t>是</w:t>
            </w:r>
          </w:p>
        </w:tc>
      </w:tr>
      <w:tr>
        <w:tblPrEx>
          <w:tblCellMar>
            <w:top w:w="0" w:type="dxa"/>
            <w:left w:w="108" w:type="dxa"/>
            <w:bottom w:w="0" w:type="dxa"/>
            <w:right w:w="108" w:type="dxa"/>
          </w:tblCellMar>
        </w:tblPrEx>
        <w:trPr>
          <w:trHeight w:val="86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10</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31</w:t>
            </w:r>
            <w:r>
              <w:rPr>
                <w:rFonts w:hint="eastAsia" w:ascii="仿宋" w:hAnsi="仿宋" w:eastAsia="仿宋" w:cs="仿宋"/>
                <w:color w:val="auto"/>
                <w:kern w:val="2"/>
                <w:u w:val="single"/>
                <w:lang w:eastAsia="zh-CN" w:bidi="ar-SA"/>
              </w:rPr>
              <w:t>日</w:t>
            </w:r>
            <w:r>
              <w:rPr>
                <w:rFonts w:hint="eastAsia" w:ascii="仿宋" w:hAnsi="仿宋" w:eastAsia="仿宋" w:cs="仿宋"/>
                <w:color w:val="auto"/>
                <w:u w:val="single"/>
                <w:lang w:eastAsia="zh-CN"/>
              </w:rPr>
              <w:t>上午</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30</w:t>
            </w:r>
            <w:r>
              <w:rPr>
                <w:rFonts w:hint="eastAsia" w:ascii="仿宋" w:hAnsi="仿宋" w:eastAsia="仿宋" w:cs="仿宋"/>
                <w:color w:val="auto"/>
                <w:u w:val="single"/>
                <w:lang w:eastAsia="zh-CN"/>
              </w:rPr>
              <w:t>分（北京时间）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864"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22</w:t>
            </w:r>
          </w:p>
        </w:tc>
        <w:tc>
          <w:tcPr>
            <w:tcW w:w="1675"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13"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10</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31</w:t>
            </w:r>
            <w:r>
              <w:rPr>
                <w:rFonts w:hint="eastAsia" w:ascii="仿宋" w:hAnsi="仿宋" w:eastAsia="仿宋" w:cs="仿宋"/>
                <w:color w:val="auto"/>
                <w:kern w:val="2"/>
                <w:u w:val="single"/>
                <w:lang w:eastAsia="zh-CN" w:bidi="ar-SA"/>
              </w:rPr>
              <w:t>日</w:t>
            </w:r>
            <w:r>
              <w:rPr>
                <w:rFonts w:hint="eastAsia" w:ascii="仿宋" w:hAnsi="仿宋" w:eastAsia="仿宋" w:cs="仿宋"/>
                <w:color w:val="auto"/>
                <w:u w:val="single"/>
                <w:lang w:eastAsia="zh-CN"/>
              </w:rPr>
              <w:t>上午</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30</w:t>
            </w:r>
            <w:r>
              <w:rPr>
                <w:rFonts w:hint="eastAsia" w:ascii="仿宋" w:hAnsi="仿宋" w:eastAsia="仿宋" w:cs="仿宋"/>
                <w:color w:val="auto"/>
                <w:u w:val="single"/>
                <w:lang w:eastAsia="zh-CN"/>
              </w:rPr>
              <w:t>分（北京时间）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86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1675"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13"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86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1675"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 的获取：使用账号登录或者短信验证码或者使用CA登录政采云平台；进入“项目采购”应用，在获取磋商文件 菜单中选择项目，获取磋商文件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5）投标文件的传输递交：供应商在投标截止时间前将加密的投标文件上传至政府采购云平台，还可以在投标截止时间前以电子邮件方式提供备份投标文件1份（接收人邮箱：923150488@qq.com，接收人：段女士，电话：</w:t>
            </w:r>
            <w:r>
              <w:rPr>
                <w:rFonts w:hint="eastAsia" w:ascii="仿宋" w:hAnsi="仿宋" w:eastAsia="仿宋" w:cs="仿宋"/>
                <w:color w:val="auto"/>
                <w:lang w:val="en-US" w:eastAsia="zh-CN"/>
              </w:rPr>
              <w:t>15349977680</w:t>
            </w:r>
            <w:r>
              <w:rPr>
                <w:rFonts w:hint="eastAsia" w:ascii="仿宋" w:hAnsi="仿宋" w:eastAsia="仿宋" w:cs="仿宋"/>
                <w:color w:val="auto"/>
                <w:lang w:eastAsia="zh-CN"/>
              </w:rPr>
              <w:t>），备份投标文件可以打包压缩并加密，压缩包命名为“XX单位备份投标文件”，加密密码由供应商自行保管（“备份投标文件”由供应商自愿提供，磋商文件 不作强制性要求；如不提供或未按要求提供的，当电子投标文件无法解密时，将导致无备份投标文件而失去投标资格）。</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（6）投标文件的解密：供应商按照平台提示和磋商文件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（7）具体操作指南：详见政采云平台“服务中心-帮助文档-项目采购-操作流程-电子招投标-政府采购项目电子交易管理操作指南-供应商”。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 使自己的权益受到损害的，可以自收到磋商文件之日（磋商文件 公告期限届满之前收到磋商文件 的，以完成获取磋商文件 申请后下载磋商文件 的时间为准）或者磋商文件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 或逾期提出的不予受理、答复。</w:t>
            </w:r>
          </w:p>
        </w:tc>
      </w:tr>
      <w:tr>
        <w:tblPrEx>
          <w:tblCellMar>
            <w:top w:w="0" w:type="dxa"/>
            <w:left w:w="108" w:type="dxa"/>
            <w:bottom w:w="0" w:type="dxa"/>
            <w:right w:w="108" w:type="dxa"/>
          </w:tblCellMar>
        </w:tblPrEx>
        <w:trPr>
          <w:trHeight w:val="91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24</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655"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招标代理服务收费标准(费率)</w:t>
            </w:r>
          </w:p>
          <w:tbl>
            <w:tblPr>
              <w:tblStyle w:val="25"/>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费率中标金额</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货物招标</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服务招标</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100万元以下</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100～500万元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1.1%</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0.8%</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500～1000万元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0.8%</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0.45%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1000～5000万元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0.25%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5000万元～1亿元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0.25%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0.1%</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1～5亿元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0.05</w:t>
                  </w:r>
                  <w:r>
                    <w:rPr>
                      <w:rFonts w:hint="eastAsia" w:ascii="仿宋" w:hAnsi="仿宋" w:eastAsia="仿宋" w:cs="仿宋"/>
                      <w:color w:val="auto"/>
                      <w:lang w:eastAsia="zh-CN"/>
                    </w:rPr>
                    <w:cr/>
                  </w:r>
                  <w:r>
                    <w:rPr>
                      <w:rFonts w:hint="eastAsia" w:ascii="仿宋" w:hAnsi="仿宋" w:eastAsia="仿宋" w:cs="仿宋"/>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5～10亿元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0.035%</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0.035%</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10～50亿元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0.008%</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0.008%</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50～100亿元</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0.006%</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0.006%</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100亿以上</w:t>
                  </w:r>
                </w:p>
              </w:tc>
              <w:tc>
                <w:tcPr>
                  <w:tcW w:w="1530"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0.004%</w:t>
                  </w:r>
                </w:p>
              </w:tc>
              <w:tc>
                <w:tcPr>
                  <w:tcW w:w="1335"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0.004%</w:t>
                  </w:r>
                </w:p>
              </w:tc>
              <w:tc>
                <w:tcPr>
                  <w:tcW w:w="2996" w:type="dxa"/>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0.004%</w:t>
                  </w:r>
                </w:p>
              </w:tc>
            </w:tr>
          </w:tbl>
          <w:p>
            <w:pPr>
              <w:spacing w:line="360" w:lineRule="auto"/>
              <w:rPr>
                <w:rFonts w:ascii="仿宋" w:hAnsi="仿宋" w:eastAsia="仿宋" w:cs="仿宋"/>
                <w:color w:val="auto"/>
                <w:lang w:eastAsia="zh-CN"/>
              </w:rPr>
            </w:pPr>
            <w:r>
              <w:rPr>
                <w:rFonts w:hint="eastAsia" w:ascii="仿宋" w:hAnsi="仿宋" w:eastAsia="仿宋" w:cs="仿宋"/>
                <w:color w:val="auto"/>
                <w:lang w:eastAsia="zh-CN"/>
              </w:rPr>
              <w:t>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1、按本表费率计算的收费为招标代理服务全过程的收费基准价格，单独提供编制磋商文件（有标底的含标底）服务的，可按规定标准的30％计收。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2、招标代理服务收费按差额定率累进法计算。例如：某工程招标代理业务中标金额为6000万元，计算招标代理服务费额如下：</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100万元×1.0％＝1万元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（500－100）万元×0.7％＝2.8万元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（1000－500）万元×0.55％＝2.75万元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（5000－1000）万元×0.35％＝14万元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（6000－5000）万元×0.2％＝2万元</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lang w:eastAsia="zh-CN"/>
              </w:rPr>
              <w:t>    合计收费＝1＋2.8＋2.75＋14＋2＝22.55(万元)</w:t>
            </w:r>
          </w:p>
        </w:tc>
      </w:tr>
      <w:tr>
        <w:tblPrEx>
          <w:tblCellMar>
            <w:top w:w="0" w:type="dxa"/>
            <w:left w:w="108" w:type="dxa"/>
            <w:bottom w:w="0" w:type="dxa"/>
            <w:right w:w="108" w:type="dxa"/>
          </w:tblCellMar>
        </w:tblPrEx>
        <w:trPr>
          <w:trHeight w:val="8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tblPrEx>
          <w:tblCellMar>
            <w:top w:w="0" w:type="dxa"/>
            <w:left w:w="108" w:type="dxa"/>
            <w:bottom w:w="0" w:type="dxa"/>
            <w:right w:w="108" w:type="dxa"/>
          </w:tblCellMar>
        </w:tblPrEx>
        <w:trPr>
          <w:trHeight w:val="8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27</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本次招标预算价</w:t>
            </w:r>
            <w:r>
              <w:rPr>
                <w:rFonts w:hint="eastAsia" w:ascii="仿宋" w:hAnsi="仿宋" w:eastAsia="仿宋" w:cs="仿宋"/>
                <w:color w:val="auto"/>
                <w:u w:val="none"/>
                <w:lang w:val="en-US" w:eastAsia="zh-CN"/>
              </w:rPr>
              <w:t>1480000.00</w:t>
            </w:r>
            <w:r>
              <w:rPr>
                <w:rFonts w:hint="eastAsia" w:ascii="仿宋" w:hAnsi="仿宋" w:eastAsia="仿宋" w:cs="仿宋"/>
                <w:i w:val="0"/>
                <w:iCs w:val="0"/>
                <w:caps w:val="0"/>
                <w:color w:val="auto"/>
                <w:spacing w:val="0"/>
                <w:sz w:val="24"/>
                <w:szCs w:val="24"/>
                <w:u w:val="none"/>
                <w:lang w:val="en-US" w:eastAsia="zh-CN"/>
              </w:rPr>
              <w:t>元；投标报价高于最高限价的其投标文件按无效投标处理。</w:t>
            </w:r>
          </w:p>
        </w:tc>
      </w:tr>
      <w:tr>
        <w:tblPrEx>
          <w:tblCellMar>
            <w:top w:w="0" w:type="dxa"/>
            <w:left w:w="108" w:type="dxa"/>
            <w:bottom w:w="0" w:type="dxa"/>
            <w:right w:w="108" w:type="dxa"/>
          </w:tblCellMar>
        </w:tblPrEx>
        <w:trPr>
          <w:trHeight w:val="84" w:hRule="atLeast"/>
          <w:jc w:val="center"/>
        </w:trPr>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28</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lang w:eastAsia="zh-CN"/>
              </w:rPr>
              <w:t>按磋商文件格式</w:t>
            </w:r>
            <w:r>
              <w:rPr>
                <w:rFonts w:hint="eastAsia" w:ascii="仿宋" w:hAnsi="仿宋" w:eastAsia="仿宋" w:cs="仿宋"/>
                <w:b/>
                <w:bCs/>
                <w:color w:val="auto"/>
                <w:lang w:val="en-US" w:eastAsia="zh-CN"/>
              </w:rPr>
              <w:t>必须</w:t>
            </w:r>
            <w:r>
              <w:rPr>
                <w:rFonts w:hint="eastAsia" w:ascii="仿宋" w:hAnsi="仿宋" w:eastAsia="仿宋" w:cs="仿宋"/>
                <w:b/>
                <w:bCs/>
                <w:color w:val="auto"/>
                <w:lang w:eastAsia="zh-CN"/>
              </w:rPr>
              <w:t>提供《中小企业声明函》</w:t>
            </w:r>
            <w:r>
              <w:rPr>
                <w:rFonts w:hint="eastAsia" w:ascii="仿宋" w:hAnsi="仿宋" w:eastAsia="仿宋" w:cs="仿宋"/>
                <w:b/>
                <w:bCs/>
                <w:color w:val="auto"/>
                <w:lang w:val="en-US" w:eastAsia="zh-CN"/>
              </w:rPr>
              <w:t>不提供做废标处理</w:t>
            </w:r>
            <w:r>
              <w:rPr>
                <w:rFonts w:hint="eastAsia" w:ascii="仿宋" w:hAnsi="仿宋" w:eastAsia="仿宋" w:cs="仿宋"/>
                <w:color w:val="auto"/>
                <w:lang w:eastAsia="zh-CN"/>
              </w:rPr>
              <w:t>。</w:t>
            </w:r>
          </w:p>
        </w:tc>
      </w:tr>
      <w:tr>
        <w:tblPrEx>
          <w:tblCellMar>
            <w:top w:w="0" w:type="dxa"/>
            <w:left w:w="108" w:type="dxa"/>
            <w:bottom w:w="0" w:type="dxa"/>
            <w:right w:w="108" w:type="dxa"/>
          </w:tblCellMar>
        </w:tblPrEx>
        <w:trPr>
          <w:trHeight w:val="84"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tblPrEx>
          <w:tblCellMar>
            <w:top w:w="0" w:type="dxa"/>
            <w:left w:w="108" w:type="dxa"/>
            <w:bottom w:w="0" w:type="dxa"/>
            <w:right w:w="108" w:type="dxa"/>
          </w:tblCellMar>
        </w:tblPrEx>
        <w:trPr>
          <w:trHeight w:val="90" w:hRule="atLeast"/>
          <w:jc w:val="center"/>
        </w:trPr>
        <w:tc>
          <w:tcPr>
            <w:tcW w:w="864" w:type="dxa"/>
            <w:vMerge w:val="restart"/>
            <w:tcBorders>
              <w:top w:val="single" w:color="auto" w:sz="4" w:space="0"/>
              <w:left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75"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支持中小企业发展：给予小型和微型企业产品的价格10%-20%的扣除，用扣除后的价格参与评审，残疾人福利性单位视同小型、微型企业，享受同等价格扣除，但同时属于残疾人福利性单位和小微企业的，不重复价格扣除。（</w:t>
            </w:r>
            <w:r>
              <w:rPr>
                <w:rFonts w:hint="eastAsia" w:ascii="仿宋" w:hAnsi="仿宋" w:eastAsia="仿宋" w:cs="仿宋"/>
                <w:color w:val="auto"/>
                <w:lang w:val="en-US" w:eastAsia="zh-CN"/>
              </w:rPr>
              <w:t>本项目专门面向中小微企业不在享受价格扣除优惠政策</w:t>
            </w:r>
            <w:r>
              <w:rPr>
                <w:rFonts w:hint="eastAsia" w:ascii="仿宋" w:hAnsi="仿宋" w:eastAsia="仿宋" w:cs="仿宋"/>
                <w:color w:val="auto"/>
                <w:lang w:eastAsia="zh-CN"/>
              </w:rPr>
              <w:t>）</w:t>
            </w:r>
          </w:p>
        </w:tc>
      </w:tr>
      <w:tr>
        <w:tblPrEx>
          <w:tblCellMar>
            <w:top w:w="0" w:type="dxa"/>
            <w:left w:w="108" w:type="dxa"/>
            <w:bottom w:w="0" w:type="dxa"/>
            <w:right w:w="108" w:type="dxa"/>
          </w:tblCellMar>
        </w:tblPrEx>
        <w:trPr>
          <w:trHeight w:val="568" w:hRule="atLeast"/>
          <w:jc w:val="center"/>
        </w:trPr>
        <w:tc>
          <w:tcPr>
            <w:tcW w:w="864"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（2）本项目</w:t>
            </w:r>
            <w:r>
              <w:rPr>
                <w:rFonts w:hint="eastAsia" w:ascii="仿宋" w:hAnsi="仿宋" w:eastAsia="仿宋" w:cs="仿宋"/>
                <w:b/>
                <w:bCs/>
                <w:color w:val="auto"/>
                <w:lang w:val="en-US" w:eastAsia="zh-CN"/>
              </w:rPr>
              <w:t>服务</w:t>
            </w:r>
            <w:r>
              <w:rPr>
                <w:rFonts w:hint="eastAsia" w:ascii="仿宋" w:hAnsi="仿宋" w:eastAsia="仿宋" w:cs="仿宋"/>
                <w:b/>
                <w:bCs/>
                <w:color w:val="auto"/>
                <w:lang w:eastAsia="zh-CN"/>
              </w:rPr>
              <w:t>所属行业：</w:t>
            </w:r>
            <w:r>
              <w:rPr>
                <w:rFonts w:hint="eastAsia" w:ascii="仿宋" w:hAnsi="仿宋" w:eastAsia="仿宋" w:cs="仿宋"/>
                <w:b/>
                <w:bCs/>
                <w:color w:val="auto"/>
                <w:lang w:val="en-US" w:eastAsia="zh-CN"/>
              </w:rPr>
              <w:t>农、林、牧、渔业</w:t>
            </w:r>
          </w:p>
        </w:tc>
      </w:tr>
      <w:tr>
        <w:tblPrEx>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val="zh-CN" w:eastAsia="zh-CN"/>
              </w:rPr>
            </w:pPr>
          </w:p>
          <w:p>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pPr>
              <w:spacing w:line="360" w:lineRule="auto"/>
              <w:jc w:val="center"/>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金额为合同总价的</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tblPrEx>
          <w:tblCellMar>
            <w:top w:w="0" w:type="dxa"/>
            <w:left w:w="108" w:type="dxa"/>
            <w:bottom w:w="0" w:type="dxa"/>
            <w:right w:w="108" w:type="dxa"/>
          </w:tblCellMar>
        </w:tblPrEx>
        <w:trPr>
          <w:trHeight w:val="57" w:hRule="atLeast"/>
          <w:jc w:val="center"/>
        </w:trPr>
        <w:tc>
          <w:tcPr>
            <w:tcW w:w="2539" w:type="dxa"/>
            <w:gridSpan w:val="2"/>
            <w:tcBorders>
              <w:top w:val="single" w:color="auto" w:sz="4" w:space="0"/>
              <w:left w:val="single" w:color="auto" w:sz="4" w:space="0"/>
              <w:right w:val="single" w:color="auto" w:sz="4" w:space="0"/>
            </w:tcBorders>
            <w:vAlign w:val="center"/>
          </w:tcPr>
          <w:p>
            <w:pPr>
              <w:spacing w:line="360" w:lineRule="auto"/>
              <w:ind w:firstLine="72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pStyle w:val="31"/>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5、如为信息系统采购项目，供应商不得为该整体项目或其中分项目前期工作提供过设计、编制、管理等服务的法人及附属单位。</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pPr>
              <w:spacing w:line="360" w:lineRule="auto"/>
              <w:rPr>
                <w:rFonts w:eastAsia="仿宋"/>
                <w:color w:val="auto"/>
                <w:highlight w:val="none"/>
                <w:lang w:eastAsia="zh-CN"/>
              </w:rPr>
            </w:pPr>
            <w:r>
              <w:rPr>
                <w:rFonts w:hint="eastAsia" w:ascii="仿宋" w:hAnsi="仿宋" w:eastAsia="仿宋" w:cs="仿宋"/>
                <w:color w:val="auto"/>
                <w:highlight w:val="none"/>
                <w:lang w:eastAsia="zh-CN"/>
              </w:rPr>
              <w:t>（4）</w:t>
            </w:r>
            <w:r>
              <w:rPr>
                <w:rFonts w:hint="eastAsia" w:ascii="仿宋" w:hAnsi="仿宋" w:eastAsia="仿宋" w:cs="仿宋"/>
                <w:b/>
                <w:bCs/>
                <w:color w:val="auto"/>
                <w:sz w:val="24"/>
                <w:szCs w:val="24"/>
                <w:highlight w:val="none"/>
              </w:rPr>
              <w:t>磋商响应文件中的报价为一次报价，各投标单位进行二次报价（磋商），采购人也可以根据磋商情况进行多轮报价，投标报价评审以最终报价为准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（5）磋商文件中如出现前后不一致情况，均以前附表内容为准。</w:t>
            </w:r>
          </w:p>
        </w:tc>
      </w:tr>
    </w:tbl>
    <w:p>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pPr>
        <w:spacing w:line="340" w:lineRule="exact"/>
        <w:jc w:val="center"/>
        <w:outlineLvl w:val="2"/>
        <w:rPr>
          <w:rFonts w:ascii="仿宋" w:hAnsi="仿宋" w:eastAsia="仿宋" w:cs="仿宋"/>
          <w:color w:val="auto"/>
          <w:sz w:val="28"/>
          <w:szCs w:val="28"/>
          <w:lang w:eastAsia="zh-CN"/>
        </w:rPr>
      </w:pPr>
      <w:bookmarkStart w:id="4"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4"/>
    </w:p>
    <w:p>
      <w:pPr>
        <w:snapToGrid w:val="0"/>
        <w:spacing w:line="3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pPr>
        <w:snapToGrid w:val="0"/>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pPr>
        <w:snapToGrid w:val="0"/>
        <w:spacing w:line="440" w:lineRule="exact"/>
        <w:ind w:firstLine="2673" w:firstLineChars="11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服务期：：见供应商须知前附表。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服务</w:t>
      </w:r>
      <w:r>
        <w:rPr>
          <w:rFonts w:hint="eastAsia" w:ascii="仿宋" w:hAnsi="仿宋" w:eastAsia="仿宋" w:cs="仿宋"/>
          <w:color w:val="auto"/>
          <w:szCs w:val="21"/>
          <w:lang w:eastAsia="zh-CN"/>
        </w:rPr>
        <w:t>地点：见供应商须知前附表。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pPr>
        <w:snapToGrid w:val="0"/>
        <w:spacing w:line="440" w:lineRule="exact"/>
        <w:ind w:firstLine="607"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w:t>
      </w:r>
      <w:r>
        <w:rPr>
          <w:rFonts w:hint="eastAsia" w:ascii="仿宋" w:hAnsi="仿宋" w:eastAsia="仿宋" w:cs="仿宋"/>
          <w:color w:val="auto"/>
          <w:szCs w:val="21"/>
          <w:lang w:eastAsia="zh-CN"/>
        </w:rPr>
        <w:t>个包。</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固定单价 。</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5" w:name="_Toc144974507"/>
      <w:bookmarkStart w:id="6" w:name="_Toc247592876"/>
      <w:bookmarkStart w:id="7" w:name="_Toc296602429"/>
      <w:bookmarkStart w:id="8" w:name="_Toc247513962"/>
      <w:bookmarkStart w:id="9" w:name="_Toc152042315"/>
      <w:bookmarkStart w:id="10" w:name="_Toc152045539"/>
      <w:bookmarkStart w:id="11" w:name="_Toc247527563"/>
      <w:r>
        <w:rPr>
          <w:rFonts w:hint="eastAsia" w:ascii="仿宋" w:hAnsi="仿宋" w:eastAsia="仿宋" w:cs="仿宋"/>
          <w:b/>
          <w:color w:val="auto"/>
          <w:szCs w:val="21"/>
          <w:lang w:eastAsia="zh-CN"/>
        </w:rPr>
        <w:t xml:space="preserve"> 踏勘现场</w:t>
      </w:r>
      <w:bookmarkEnd w:id="5"/>
      <w:bookmarkEnd w:id="6"/>
      <w:bookmarkEnd w:id="7"/>
      <w:bookmarkEnd w:id="8"/>
      <w:bookmarkEnd w:id="9"/>
      <w:bookmarkEnd w:id="10"/>
      <w:bookmarkEnd w:id="11"/>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2" w:name="_Toc247527564"/>
      <w:bookmarkStart w:id="13" w:name="_Toc152042316"/>
      <w:bookmarkStart w:id="14" w:name="_Toc144974508"/>
      <w:bookmarkStart w:id="15" w:name="_Toc152045540"/>
      <w:bookmarkStart w:id="16" w:name="_Toc296602430"/>
      <w:bookmarkStart w:id="17" w:name="_Toc247592877"/>
      <w:bookmarkStart w:id="18" w:name="_Toc247513963"/>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2"/>
      <w:bookmarkEnd w:id="13"/>
      <w:bookmarkEnd w:id="14"/>
      <w:bookmarkEnd w:id="15"/>
      <w:bookmarkEnd w:id="16"/>
      <w:bookmarkEnd w:id="17"/>
      <w:bookmarkEnd w:id="18"/>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pPr>
        <w:pStyle w:val="10"/>
        <w:spacing w:after="0" w:line="400" w:lineRule="exact"/>
        <w:ind w:left="0" w:leftChars="0" w:firstLine="49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pPr>
        <w:spacing w:line="440" w:lineRule="exact"/>
        <w:ind w:firstLine="475"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（1）国家对本次投标货物、服务的生产、安装调试、验收、维修等有关法律、法规及行业管理标准；</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9" w:name="_Toc469495725"/>
    </w:p>
    <w:p>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9"/>
      <w:r>
        <w:rPr>
          <w:rFonts w:hint="eastAsia" w:ascii="仿宋" w:hAnsi="仿宋" w:eastAsia="仿宋" w:cs="仿宋"/>
          <w:b/>
          <w:color w:val="auto"/>
          <w:sz w:val="28"/>
          <w:szCs w:val="28"/>
          <w:lang w:eastAsia="zh-CN"/>
        </w:rPr>
        <w:t>磋商文件</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pPr>
        <w:pStyle w:val="11"/>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pPr>
        <w:spacing w:line="400" w:lineRule="exact"/>
        <w:ind w:firstLine="243"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pPr>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pPr>
        <w:spacing w:line="440" w:lineRule="exact"/>
        <w:ind w:firstLine="243" w:firstLineChars="100"/>
        <w:rPr>
          <w:rFonts w:ascii="仿宋" w:hAnsi="仿宋" w:eastAsia="仿宋" w:cs="仿宋"/>
          <w:color w:val="auto"/>
          <w:szCs w:val="21"/>
          <w:lang w:eastAsia="zh-CN"/>
        </w:rPr>
      </w:pPr>
      <w:bookmarkStart w:id="20"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20"/>
    </w:p>
    <w:p>
      <w:pPr>
        <w:spacing w:line="440" w:lineRule="exact"/>
        <w:ind w:firstLine="352"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pPr>
        <w:spacing w:line="440" w:lineRule="exact"/>
        <w:ind w:firstLine="328"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pPr>
        <w:spacing w:line="400" w:lineRule="exact"/>
        <w:ind w:firstLine="237"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pPr>
        <w:spacing w:line="440" w:lineRule="exact"/>
        <w:ind w:firstLine="356"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2、</w:t>
      </w:r>
      <w:r>
        <w:rPr>
          <w:rFonts w:hint="eastAsia" w:ascii="仿宋" w:hAnsi="仿宋" w:eastAsia="仿宋" w:cs="仿宋"/>
          <w:color w:val="auto"/>
          <w:szCs w:val="21"/>
          <w:lang w:val="en-US" w:eastAsia="zh-CN"/>
        </w:rPr>
        <w:t>法定代表人投标需提供法定代表人资格证明书，委托代理人投标需提供法人授权委托书和法人、委托代理人身份证明；</w:t>
      </w:r>
    </w:p>
    <w:p>
      <w:pPr>
        <w:spacing w:line="440" w:lineRule="exact"/>
        <w:ind w:firstLine="356" w:firstLineChars="147"/>
        <w:rPr>
          <w:rFonts w:hint="eastAsia"/>
          <w:lang w:eastAsia="zh-CN"/>
        </w:rPr>
      </w:pPr>
      <w:r>
        <w:rPr>
          <w:rFonts w:hint="eastAsia" w:ascii="仿宋" w:hAnsi="仿宋" w:eastAsia="仿宋" w:cs="仿宋"/>
          <w:color w:val="auto"/>
          <w:szCs w:val="21"/>
          <w:lang w:eastAsia="zh-CN"/>
        </w:rPr>
        <w:t>3、投标企业须提供投标人（被授权在职人员）近期社保证明;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b w:val="0"/>
          <w:bCs w:val="0"/>
          <w:i w:val="0"/>
          <w:iCs w:val="0"/>
          <w:caps w:val="0"/>
          <w:color w:val="auto"/>
          <w:spacing w:val="0"/>
          <w:sz w:val="24"/>
          <w:szCs w:val="24"/>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 w:val="24"/>
        </w:rPr>
        <w:t>汇款凭证</w:t>
      </w:r>
      <w:r>
        <w:rPr>
          <w:rFonts w:hint="eastAsia" w:ascii="仿宋" w:hAnsi="仿宋" w:eastAsia="仿宋" w:cs="仿宋"/>
          <w:color w:val="auto"/>
          <w:szCs w:val="21"/>
          <w:lang w:eastAsia="zh-CN"/>
        </w:rPr>
        <w:t>或投标担保函；</w:t>
      </w:r>
    </w:p>
    <w:p>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6、提供参加政府采购活动前3年内在经营活动中没有重大违法记录的书面声明；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 xml:space="preserve">、供应商须知资料表要求的其他资格证明文件; </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pPr>
        <w:spacing w:line="400" w:lineRule="exact"/>
        <w:ind w:firstLine="482"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3、技术规格偏离表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4、</w:t>
      </w:r>
      <w:r>
        <w:rPr>
          <w:rFonts w:hint="eastAsia" w:ascii="仿宋" w:hAnsi="仿宋" w:eastAsia="仿宋" w:cs="仿宋"/>
          <w:bCs/>
          <w:color w:val="auto"/>
          <w:szCs w:val="21"/>
          <w:lang w:eastAsia="zh-CN"/>
        </w:rPr>
        <w:t>商务条款偏离表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5、供应商基本情况表</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6、近三年（</w:t>
      </w:r>
      <w:r>
        <w:rPr>
          <w:rFonts w:hint="eastAsia" w:ascii="仿宋" w:hAnsi="仿宋" w:eastAsia="仿宋" w:cs="仿宋"/>
          <w:bCs/>
          <w:color w:val="auto"/>
          <w:szCs w:val="21"/>
          <w:lang w:val="en-US" w:eastAsia="zh-CN"/>
        </w:rPr>
        <w:t>2020</w:t>
      </w:r>
      <w:r>
        <w:rPr>
          <w:rFonts w:hint="eastAsia" w:ascii="仿宋" w:hAnsi="仿宋" w:eastAsia="仿宋" w:cs="仿宋"/>
          <w:bCs/>
          <w:color w:val="auto"/>
          <w:szCs w:val="21"/>
          <w:lang w:eastAsia="zh-CN"/>
        </w:rPr>
        <w:t>年</w:t>
      </w:r>
      <w:r>
        <w:rPr>
          <w:rFonts w:hint="eastAsia" w:ascii="仿宋" w:hAnsi="仿宋" w:eastAsia="仿宋" w:cs="仿宋"/>
          <w:bCs/>
          <w:color w:val="auto"/>
          <w:szCs w:val="21"/>
          <w:lang w:val="en-US" w:eastAsia="zh-CN"/>
        </w:rPr>
        <w:t>10</w:t>
      </w:r>
      <w:r>
        <w:rPr>
          <w:rFonts w:hint="eastAsia" w:ascii="仿宋" w:hAnsi="仿宋" w:eastAsia="仿宋" w:cs="仿宋"/>
          <w:bCs/>
          <w:color w:val="auto"/>
          <w:szCs w:val="21"/>
          <w:lang w:eastAsia="zh-CN"/>
        </w:rPr>
        <w:t>月1日至今）类似项目业绩表</w:t>
      </w:r>
    </w:p>
    <w:p>
      <w:pPr>
        <w:spacing w:line="400" w:lineRule="exact"/>
        <w:ind w:firstLine="482"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7、中小企业声明函(</w:t>
      </w:r>
      <w:r>
        <w:rPr>
          <w:rFonts w:hint="eastAsia" w:ascii="仿宋" w:hAnsi="仿宋" w:eastAsia="仿宋" w:cs="仿宋"/>
          <w:bCs/>
          <w:color w:val="auto"/>
          <w:szCs w:val="21"/>
          <w:lang w:val="en-US" w:eastAsia="zh-CN"/>
        </w:rPr>
        <w:t>农、林、牧、渔业</w:t>
      </w:r>
      <w:r>
        <w:rPr>
          <w:rFonts w:hint="eastAsia" w:ascii="仿宋" w:hAnsi="仿宋" w:eastAsia="仿宋" w:cs="仿宋"/>
          <w:bCs/>
          <w:color w:val="auto"/>
          <w:szCs w:val="21"/>
          <w:lang w:eastAsia="zh-CN"/>
        </w:rPr>
        <w:t>)</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8、</w:t>
      </w:r>
      <w:r>
        <w:rPr>
          <w:rFonts w:hint="eastAsia" w:ascii="仿宋" w:hAnsi="仿宋" w:eastAsia="仿宋" w:cs="仿宋"/>
          <w:bCs/>
          <w:color w:val="auto"/>
          <w:szCs w:val="21"/>
          <w:lang w:eastAsia="zh-CN"/>
        </w:rPr>
        <w:t>《残疾人福利性单位声明函》</w:t>
      </w:r>
    </w:p>
    <w:p>
      <w:pPr>
        <w:spacing w:line="400" w:lineRule="exact"/>
        <w:ind w:firstLine="482"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9、评分标准和细则中技术部分证明材料（格式自拟）</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10、</w:t>
      </w:r>
      <w:r>
        <w:rPr>
          <w:rFonts w:hint="eastAsia" w:ascii="仿宋" w:hAnsi="仿宋" w:eastAsia="仿宋" w:cs="仿宋"/>
          <w:bCs/>
          <w:color w:val="auto"/>
          <w:szCs w:val="21"/>
          <w:lang w:eastAsia="zh-CN"/>
        </w:rPr>
        <w:t>评分标准和细则中商务部分证明材料（格式自拟）</w:t>
      </w:r>
    </w:p>
    <w:p>
      <w:pPr>
        <w:spacing w:line="400" w:lineRule="exact"/>
        <w:ind w:firstLine="48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11、供应商认为有必要提供的其他证明材料（格式自拟）</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b/>
          <w:color w:val="auto"/>
          <w:szCs w:val="21"/>
          <w:u w:val="single"/>
          <w:lang w:eastAsia="zh-CN"/>
        </w:rPr>
        <w:t>注：以上材料须逐页加盖单位公章。</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文件的所有内容，按照采购文件的要求详细编制</w:t>
      </w: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文件，所提交的全部资料必须真实有效，并且要保证字迹清晰易于辨认。</w:t>
      </w: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文件应对</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文件实质性内容作出响应，否则按无效标处理。</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文件格式应按本</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文件第六章格式要求编制，不得对</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文件格式进行增删更改，否则按无效标处理。</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（3）对</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文件格式可更改的例外情况：</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 xml:space="preserve">文件第六章附件格式要求中明确规定表格中行数不够用时可按相同格式增加行数，其他一切内容和格式不得更改。 </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w:t>
      </w: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文件为电子投标文件，电子投标文件按“政采云供应商项目采购-电子招投标操作指南”及本采购文件要求制作、加密传输。</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的</w:t>
      </w:r>
      <w:r>
        <w:rPr>
          <w:rFonts w:hint="eastAsia" w:ascii="仿宋" w:hAnsi="仿宋" w:eastAsia="仿宋" w:cs="仿宋"/>
          <w:color w:val="auto"/>
          <w:szCs w:val="21"/>
          <w:lang w:val="en-US" w:eastAsia="zh-CN"/>
        </w:rPr>
        <w:t>内容</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工期及</w:t>
      </w:r>
      <w:r>
        <w:rPr>
          <w:rFonts w:hint="eastAsia" w:ascii="仿宋" w:hAnsi="仿宋" w:eastAsia="仿宋" w:cs="仿宋"/>
          <w:color w:val="auto"/>
          <w:szCs w:val="21"/>
          <w:lang w:eastAsia="zh-CN"/>
        </w:rPr>
        <w:t>单价和总价。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要求”进行报价，并最终按</w:t>
      </w:r>
      <w:r>
        <w:rPr>
          <w:rFonts w:hint="eastAsia" w:ascii="仿宋" w:hAnsi="仿宋" w:eastAsia="仿宋" w:cs="仿宋"/>
          <w:color w:val="auto"/>
          <w:szCs w:val="21"/>
          <w:lang w:val="en-US" w:eastAsia="zh-CN"/>
        </w:rPr>
        <w:t>服务要求及服务期</w:t>
      </w:r>
      <w:r>
        <w:rPr>
          <w:rFonts w:hint="eastAsia" w:ascii="仿宋" w:hAnsi="仿宋" w:eastAsia="仿宋" w:cs="仿宋"/>
          <w:color w:val="auto"/>
          <w:szCs w:val="21"/>
          <w:lang w:eastAsia="zh-CN"/>
        </w:rPr>
        <w:t>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w:t>
      </w:r>
      <w:r>
        <w:rPr>
          <w:rFonts w:hint="eastAsia" w:ascii="仿宋" w:hAnsi="仿宋" w:eastAsia="仿宋" w:cs="仿宋"/>
          <w:color w:val="auto"/>
          <w:szCs w:val="21"/>
          <w:lang w:val="en-US" w:eastAsia="zh-CN"/>
        </w:rPr>
        <w:t>服务期结束</w:t>
      </w:r>
      <w:r>
        <w:rPr>
          <w:rFonts w:hint="eastAsia" w:ascii="仿宋" w:hAnsi="仿宋" w:eastAsia="仿宋" w:cs="仿宋"/>
          <w:color w:val="auto"/>
          <w:szCs w:val="21"/>
          <w:lang w:eastAsia="zh-CN"/>
        </w:rPr>
        <w:t>验收价格，其总价即为履行合同的固定总价。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功能而必须配置的配套或辅助设施及相应技术措施的费用，这些费用将被视为已包含在总投标价中。</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的随机备品、备件另行收费，否则在计算评标价时这部分费用将不予扣除，在授予合同时将从中标价格中扣除该部分费用。</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5"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章“投标文件格式”规定的投标保证金格式递交投标保证金，并作为其投标文件的组成部分。供应商不按要求提交投标保证金的，评标委员会将否决其投标。</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pPr>
        <w:spacing w:line="400" w:lineRule="exact"/>
        <w:ind w:firstLine="486" w:firstLineChars="200"/>
        <w:rPr>
          <w:rFonts w:ascii="仿宋" w:hAnsi="仿宋" w:eastAsia="仿宋" w:cs="仿宋"/>
          <w:color w:val="auto"/>
          <w:szCs w:val="21"/>
          <w:highlight w:val="none"/>
          <w:lang w:eastAsia="zh-CN"/>
        </w:rPr>
      </w:pPr>
      <w:bookmarkStart w:id="21"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pPr>
        <w:pStyle w:val="4"/>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21"/>
      <w:r>
        <w:rPr>
          <w:rFonts w:hint="eastAsia" w:ascii="仿宋" w:hAnsi="仿宋" w:eastAsia="仿宋" w:cs="仿宋"/>
          <w:color w:val="auto"/>
          <w:sz w:val="28"/>
          <w:szCs w:val="28"/>
          <w:lang w:eastAsia="zh-CN"/>
        </w:rPr>
        <w:t>投标文件的制作、上传及递交要求</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pPr>
        <w:pStyle w:val="7"/>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pPr>
        <w:pStyle w:val="7"/>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pPr>
        <w:pStyle w:val="7"/>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pPr>
        <w:pStyle w:val="7"/>
        <w:snapToGrid w:val="0"/>
        <w:spacing w:line="360" w:lineRule="auto"/>
        <w:ind w:firstLine="607"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pPr>
        <w:pStyle w:val="7"/>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pPr>
        <w:pStyle w:val="7"/>
        <w:snapToGrid w:val="0"/>
        <w:spacing w:line="360" w:lineRule="auto"/>
        <w:ind w:firstLine="607"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color w:val="auto"/>
        </w:rPr>
        <w:fldChar w:fldCharType="begin"/>
      </w:r>
      <w:r>
        <w:rPr>
          <w:color w:val="auto"/>
        </w:rPr>
        <w:instrText xml:space="preserve"> HYPERLINK "mailto:1207446769@qq.com，接收人：陈加轲，电话：15157655122" </w:instrText>
      </w:r>
      <w:r>
        <w:rPr>
          <w:color w:val="auto"/>
        </w:rPr>
        <w:fldChar w:fldCharType="separate"/>
      </w:r>
      <w:r>
        <w:rPr>
          <w:rFonts w:hint="eastAsia" w:ascii="仿宋" w:hAnsi="仿宋" w:eastAsia="仿宋" w:cs="仿宋"/>
          <w:color w:val="auto"/>
          <w:szCs w:val="24"/>
          <w:u w:val="single"/>
          <w:lang w:eastAsia="zh-CN" w:bidi="zh-CN"/>
        </w:rPr>
        <w:t>923150488@qq.com</w:t>
      </w:r>
      <w:r>
        <w:rPr>
          <w:rStyle w:val="29"/>
          <w:rFonts w:hint="eastAsia" w:ascii="仿宋" w:hAnsi="仿宋" w:eastAsia="仿宋" w:cs="仿宋"/>
          <w:color w:val="auto"/>
          <w:szCs w:val="24"/>
          <w:lang w:eastAsia="zh-CN" w:bidi="zh-CN"/>
        </w:rPr>
        <w:t>，接收人：</w:t>
      </w:r>
      <w:r>
        <w:rPr>
          <w:rFonts w:hint="eastAsia" w:ascii="仿宋" w:hAnsi="仿宋" w:eastAsia="仿宋" w:cs="仿宋"/>
          <w:color w:val="auto"/>
          <w:szCs w:val="24"/>
          <w:u w:val="single"/>
          <w:lang w:eastAsia="zh-CN" w:bidi="zh-CN"/>
        </w:rPr>
        <w:t>段女士</w:t>
      </w:r>
      <w:r>
        <w:rPr>
          <w:rStyle w:val="29"/>
          <w:rFonts w:hint="eastAsia" w:ascii="仿宋" w:hAnsi="仿宋" w:eastAsia="仿宋" w:cs="仿宋"/>
          <w:color w:val="auto"/>
          <w:szCs w:val="24"/>
          <w:lang w:eastAsia="zh-CN" w:bidi="zh-CN"/>
        </w:rPr>
        <w:t>，电话：</w:t>
      </w:r>
      <w:r>
        <w:rPr>
          <w:rFonts w:hint="eastAsia" w:ascii="仿宋" w:hAnsi="仿宋" w:eastAsia="仿宋" w:cs="仿宋"/>
          <w:color w:val="auto"/>
          <w:szCs w:val="24"/>
          <w:u w:val="single"/>
          <w:lang w:eastAsia="zh-CN" w:bidi="zh-CN"/>
        </w:rPr>
        <w:t>1</w:t>
      </w:r>
      <w:r>
        <w:rPr>
          <w:rFonts w:hint="eastAsia" w:ascii="仿宋" w:hAnsi="仿宋" w:eastAsia="仿宋" w:cs="仿宋"/>
          <w:color w:val="auto"/>
          <w:szCs w:val="24"/>
          <w:u w:val="single"/>
          <w:lang w:eastAsia="zh-CN" w:bidi="zh-CN"/>
        </w:rPr>
        <w:fldChar w:fldCharType="end"/>
      </w:r>
      <w:r>
        <w:rPr>
          <w:rFonts w:hint="eastAsia" w:ascii="仿宋" w:hAnsi="仿宋" w:eastAsia="仿宋" w:cs="仿宋"/>
          <w:color w:val="auto"/>
          <w:szCs w:val="24"/>
          <w:u w:val="single"/>
          <w:lang w:val="en-US" w:eastAsia="zh-CN" w:bidi="zh-CN"/>
        </w:rPr>
        <w:t>5349977680</w:t>
      </w:r>
      <w:r>
        <w:rPr>
          <w:rFonts w:hint="eastAsia" w:ascii="仿宋" w:hAnsi="仿宋" w:eastAsia="仿宋" w:cs="仿宋"/>
          <w:color w:val="auto"/>
          <w:szCs w:val="24"/>
          <w:lang w:eastAsia="zh-CN" w:bidi="zh-CN"/>
        </w:rPr>
        <w:t>）；</w:t>
      </w:r>
    </w:p>
    <w:p>
      <w:pPr>
        <w:pStyle w:val="7"/>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pPr>
        <w:tabs>
          <w:tab w:val="left" w:pos="960"/>
          <w:tab w:val="left" w:pos="1418"/>
        </w:tabs>
        <w:autoSpaceDE w:val="0"/>
        <w:autoSpaceDN w:val="0"/>
        <w:adjustRightInd w:val="0"/>
        <w:snapToGrid w:val="0"/>
        <w:spacing w:line="360" w:lineRule="auto"/>
        <w:ind w:firstLine="566" w:firstLineChars="200"/>
        <w:jc w:val="center"/>
        <w:rPr>
          <w:rFonts w:hint="eastAsia" w:ascii="仿宋" w:hAnsi="仿宋" w:eastAsia="仿宋" w:cs="仿宋"/>
          <w:b/>
          <w:bCs/>
          <w:color w:val="auto"/>
          <w:sz w:val="28"/>
          <w:szCs w:val="28"/>
          <w:lang w:eastAsia="zh-CN"/>
        </w:rPr>
      </w:pPr>
    </w:p>
    <w:p>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22"/>
    </w:p>
    <w:p>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pPr>
        <w:snapToGrid w:val="0"/>
        <w:spacing w:line="360" w:lineRule="auto"/>
        <w:ind w:firstLine="486" w:firstLineChars="200"/>
        <w:rPr>
          <w:rFonts w:ascii="仿宋" w:hAnsi="仿宋" w:eastAsia="仿宋" w:cs="仿宋"/>
          <w:b/>
          <w:bCs/>
          <w:color w:val="auto"/>
          <w:lang w:eastAsia="zh-CN"/>
        </w:rPr>
      </w:pPr>
      <w:bookmarkStart w:id="23" w:name="_Toc73975822"/>
      <w:r>
        <w:rPr>
          <w:rFonts w:hint="eastAsia" w:ascii="仿宋" w:hAnsi="仿宋" w:eastAsia="仿宋" w:cs="仿宋"/>
          <w:b/>
          <w:bCs/>
          <w:color w:val="auto"/>
          <w:lang w:eastAsia="zh-CN"/>
        </w:rPr>
        <w:t>29.1开标邀请</w:t>
      </w:r>
      <w:bookmarkEnd w:id="23"/>
    </w:p>
    <w:p>
      <w:pPr>
        <w:pStyle w:val="11"/>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pPr>
        <w:pStyle w:val="11"/>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pPr>
        <w:pStyle w:val="11"/>
        <w:snapToGrid w:val="0"/>
        <w:spacing w:line="360" w:lineRule="auto"/>
        <w:ind w:firstLine="48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9"/>
          <w:rFonts w:hint="eastAsia" w:ascii="仿宋" w:hAnsi="仿宋" w:eastAsia="仿宋" w:cs="仿宋"/>
          <w:color w:val="auto"/>
          <w:szCs w:val="24"/>
          <w:u w:val="none"/>
        </w:rPr>
        <w:t>www.zcygov.cn</w:t>
      </w:r>
      <w:r>
        <w:rPr>
          <w:rStyle w:val="29"/>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pPr>
        <w:pStyle w:val="11"/>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6" w:firstLineChars="200"/>
        <w:outlineLvl w:val="2"/>
        <w:rPr>
          <w:rFonts w:ascii="仿宋" w:hAnsi="仿宋" w:eastAsia="仿宋" w:cs="仿宋"/>
          <w:b/>
          <w:color w:val="auto"/>
          <w:lang w:eastAsia="zh-CN"/>
        </w:rPr>
      </w:pPr>
      <w:bookmarkStart w:id="24"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24"/>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《政府采购活动现场确认声明书》（疫情防控期间，将通过电子邮件形式组织签署），供应商应在20分钟内通过邮件形式将经签署的《政府采购活动现场确认声明书》发送至采购代理机构指定邮箱923150488@qq.com ，逾期发送或未发送的视为无异议</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pPr>
        <w:snapToGrid w:val="0"/>
        <w:spacing w:line="360" w:lineRule="auto"/>
        <w:ind w:firstLine="356"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pPr>
        <w:snapToGrid w:val="0"/>
        <w:spacing w:line="440" w:lineRule="exact"/>
        <w:ind w:firstLine="356"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综合评分法</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项目的价格分值占总分值的比重(即权值)为</w:t>
      </w:r>
      <w:r>
        <w:rPr>
          <w:rFonts w:hint="eastAsia" w:ascii="仿宋" w:hAnsi="仿宋" w:eastAsia="仿宋" w:cs="仿宋"/>
          <w:color w:val="auto"/>
          <w:szCs w:val="21"/>
          <w:lang w:val="en-US" w:eastAsia="zh-CN"/>
        </w:rPr>
        <w:t>30</w:t>
      </w:r>
      <w:r>
        <w:rPr>
          <w:rFonts w:hint="eastAsia" w:ascii="仿宋" w:hAnsi="仿宋" w:eastAsia="仿宋" w:cs="仿宋"/>
          <w:color w:val="auto"/>
          <w:szCs w:val="21"/>
          <w:lang w:eastAsia="zh-CN"/>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综合评分法中的价格分统一采用低价优先法计算，即满足磋商文件要求且最后报价最低的供应商的价格为招标基准价，其价格分为满分。其他供应商的价格分统一按照下列公式计算：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投标报价得分=（基准价/投标报价）×价格权值×100</w:t>
      </w:r>
    </w:p>
    <w:p>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项目评审过程中，不得去掉最后报价中的最高报价和最低报价。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重复报价），其投标总价在评标过程中不予调整，如其中标，其合同价按其投标单价予以调整；</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pPr>
        <w:spacing w:line="440" w:lineRule="exact"/>
        <w:ind w:firstLine="24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5" w:name="_Toc469495729"/>
      <w:r>
        <w:rPr>
          <w:rFonts w:hint="eastAsia" w:ascii="仿宋" w:hAnsi="仿宋" w:eastAsia="仿宋" w:cs="仿宋"/>
          <w:color w:val="auto"/>
          <w:szCs w:val="21"/>
          <w:lang w:eastAsia="zh-CN"/>
        </w:rPr>
        <w:t>41.1采购结果确认（确定中标供应商）</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keepNext w:val="0"/>
        <w:keepLines w:val="0"/>
        <w:pageBreakBefore w:val="0"/>
        <w:widowControl w:val="0"/>
        <w:kinsoku/>
        <w:wordWrap/>
        <w:overflowPunct/>
        <w:topLinePunct w:val="0"/>
        <w:autoSpaceDE/>
        <w:autoSpaceDN/>
        <w:bidi w:val="0"/>
        <w:spacing w:beforeLines="50" w:line="380" w:lineRule="exact"/>
        <w:jc w:val="center"/>
        <w:textAlignment w:val="auto"/>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5"/>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6" w:name="_Toc73975842"/>
      <w:bookmarkStart w:id="27" w:name="_Toc469495730"/>
      <w:r>
        <w:rPr>
          <w:rFonts w:hint="eastAsia" w:ascii="仿宋" w:hAnsi="仿宋" w:eastAsia="仿宋" w:cs="仿宋"/>
          <w:color w:val="auto"/>
          <w:szCs w:val="21"/>
          <w:lang w:eastAsia="zh-CN"/>
        </w:rPr>
        <w:t>43．履约保证金</w:t>
      </w:r>
      <w:bookmarkEnd w:id="26"/>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中标供应商在签订合同后10个工作日内向采购人缴纳中标价</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8" w:name="_Toc73975843"/>
      <w:r>
        <w:rPr>
          <w:rFonts w:hint="eastAsia" w:ascii="仿宋" w:hAnsi="仿宋" w:eastAsia="仿宋" w:cs="仿宋"/>
          <w:color w:val="auto"/>
          <w:szCs w:val="21"/>
          <w:lang w:eastAsia="zh-CN"/>
        </w:rPr>
        <w:t>44．签订合同及公告</w:t>
      </w:r>
      <w:bookmarkEnd w:id="28"/>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7"/>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w:t>
      </w:r>
      <w:r>
        <w:rPr>
          <w:rFonts w:hint="eastAsia" w:ascii="仿宋" w:hAnsi="仿宋" w:eastAsia="仿宋" w:cs="仿宋"/>
          <w:color w:val="auto"/>
          <w:szCs w:val="21"/>
          <w:lang w:val="en-US" w:eastAsia="zh-CN"/>
        </w:rPr>
        <w:t>阿图什</w:t>
      </w:r>
      <w:r>
        <w:rPr>
          <w:rFonts w:hint="eastAsia" w:ascii="仿宋" w:hAnsi="仿宋" w:eastAsia="仿宋" w:cs="仿宋"/>
          <w:color w:val="auto"/>
          <w:szCs w:val="21"/>
          <w:lang w:eastAsia="zh-CN"/>
        </w:rPr>
        <w:t>财政局，将其列入不良行为记录名单：</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auto"/>
          <w:sz w:val="30"/>
          <w:szCs w:val="30"/>
          <w:lang w:eastAsia="zh-CN"/>
        </w:rPr>
      </w:pPr>
    </w:p>
    <w:p>
      <w:pPr>
        <w:pStyle w:val="32"/>
        <w:rPr>
          <w:rFonts w:ascii="仿宋" w:hAnsi="仿宋" w:eastAsia="仿宋" w:cs="仿宋"/>
          <w:color w:val="auto"/>
          <w:sz w:val="30"/>
          <w:szCs w:val="30"/>
          <w:lang w:eastAsia="zh-CN"/>
        </w:rPr>
      </w:pPr>
    </w:p>
    <w:p>
      <w:pPr>
        <w:pStyle w:val="32"/>
        <w:rPr>
          <w:rFonts w:ascii="仿宋" w:hAnsi="仿宋" w:eastAsia="仿宋" w:cs="仿宋"/>
          <w:color w:val="auto"/>
          <w:sz w:val="30"/>
          <w:szCs w:val="30"/>
          <w:lang w:eastAsia="zh-CN"/>
        </w:rPr>
      </w:pPr>
    </w:p>
    <w:p>
      <w:pPr>
        <w:pStyle w:val="32"/>
        <w:rPr>
          <w:rFonts w:ascii="仿宋" w:hAnsi="仿宋" w:eastAsia="仿宋" w:cs="仿宋"/>
          <w:color w:val="auto"/>
          <w:sz w:val="30"/>
          <w:szCs w:val="30"/>
          <w:lang w:eastAsia="zh-CN"/>
        </w:rPr>
      </w:pPr>
    </w:p>
    <w:p>
      <w:pPr>
        <w:pStyle w:val="32"/>
        <w:rPr>
          <w:rFonts w:ascii="仿宋" w:hAnsi="仿宋" w:eastAsia="仿宋" w:cs="仿宋"/>
          <w:color w:val="auto"/>
          <w:sz w:val="30"/>
          <w:szCs w:val="30"/>
          <w:lang w:eastAsia="zh-CN"/>
        </w:rPr>
      </w:pPr>
    </w:p>
    <w:p>
      <w:pPr>
        <w:rPr>
          <w:rFonts w:ascii="仿宋" w:hAnsi="仿宋" w:eastAsia="仿宋" w:cs="仿宋"/>
          <w:b/>
          <w:bCs/>
          <w:color w:val="auto"/>
          <w:sz w:val="21"/>
          <w:szCs w:val="21"/>
          <w:lang w:eastAsia="zh-CN"/>
        </w:rPr>
      </w:pPr>
    </w:p>
    <w:p>
      <w:pPr>
        <w:rPr>
          <w:rFonts w:hint="eastAsia" w:ascii="仿宋" w:hAnsi="仿宋" w:eastAsia="仿宋" w:cs="仿宋"/>
          <w:b/>
          <w:bCs/>
          <w:color w:val="auto"/>
          <w:lang w:eastAsia="zh-CN"/>
        </w:rPr>
      </w:pPr>
    </w:p>
    <w:p>
      <w:pPr>
        <w:rPr>
          <w:rFonts w:ascii="仿宋" w:hAnsi="仿宋" w:eastAsia="仿宋" w:cs="仿宋"/>
          <w:b/>
          <w:bCs/>
          <w:color w:val="auto"/>
          <w:lang w:eastAsia="zh-CN"/>
        </w:rPr>
      </w:pPr>
      <w:r>
        <w:rPr>
          <w:rFonts w:hint="eastAsia" w:ascii="仿宋" w:hAnsi="仿宋" w:eastAsia="仿宋" w:cs="仿宋"/>
          <w:b/>
          <w:bCs/>
          <w:color w:val="auto"/>
          <w:lang w:eastAsia="zh-CN"/>
        </w:rPr>
        <w:t>附件：</w:t>
      </w:r>
    </w:p>
    <w:p>
      <w:pPr>
        <w:jc w:val="center"/>
        <w:rPr>
          <w:rFonts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pPr>
        <w:jc w:val="center"/>
        <w:rPr>
          <w:rFonts w:hint="eastAsia" w:ascii="仿宋" w:hAnsi="仿宋" w:eastAsia="仿宋" w:cs="仿宋"/>
          <w:b/>
          <w:color w:val="auto"/>
          <w:sz w:val="40"/>
          <w:szCs w:val="40"/>
        </w:rPr>
      </w:pPr>
      <w:bookmarkStart w:id="29" w:name="_Toc17515"/>
      <w:r>
        <w:rPr>
          <w:rFonts w:hint="eastAsia" w:ascii="仿宋" w:hAnsi="仿宋" w:eastAsia="仿宋" w:cs="仿宋"/>
          <w:b/>
          <w:color w:val="auto"/>
          <w:sz w:val="40"/>
          <w:szCs w:val="40"/>
        </w:rPr>
        <w:t>投诉书范本</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6510"/>
        </w:tabs>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keepNext w:val="0"/>
        <w:keepLines w:val="0"/>
        <w:pageBreakBefore w:val="0"/>
        <w:widowControl w:val="0"/>
        <w:tabs>
          <w:tab w:val="left" w:pos="6510"/>
        </w:tabs>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keepNext w:val="0"/>
        <w:keepLines w:val="0"/>
        <w:pageBreakBefore w:val="0"/>
        <w:widowControl w:val="0"/>
        <w:kinsoku/>
        <w:wordWrap/>
        <w:overflowPunct/>
        <w:topLinePunct w:val="0"/>
        <w:autoSpaceDE/>
        <w:autoSpaceDN/>
        <w:bidi w:val="0"/>
        <w:adjustRightInd/>
        <w:snapToGrid/>
        <w:spacing w:line="300" w:lineRule="exact"/>
        <w:ind w:firstLine="486" w:firstLineChars="200"/>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364"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日,就质疑事项作出了答复/没有在法定期限内作出答复。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rPr>
          <w:rFonts w:hint="eastAsia" w:ascii="仿宋" w:hAnsi="仿宋" w:eastAsia="仿宋" w:cs="仿宋"/>
          <w:b/>
          <w:color w:val="auto"/>
          <w:sz w:val="24"/>
          <w:szCs w:val="24"/>
        </w:rPr>
      </w:pP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投诉书制作说明：</w:t>
      </w:r>
    </w:p>
    <w:p>
      <w:pPr>
        <w:widowControl/>
        <w:ind w:firstLine="566"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1.投诉人提起投诉时，应当提交投诉书和必要的证明材料，并按照被投诉人和与投诉事项有关的供应商数量提供投诉书副本。</w:t>
      </w:r>
    </w:p>
    <w:p>
      <w:pPr>
        <w:widowControl/>
        <w:ind w:firstLine="566"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2.投诉人若委托代理人进行投诉的，投诉书应按照要求列明“授权代表”的有关内容，并在附件中提交由</w:t>
      </w:r>
      <w:r>
        <w:rPr>
          <w:rFonts w:hint="eastAsia" w:ascii="仿宋" w:hAnsi="仿宋" w:eastAsia="仿宋" w:cs="仿宋"/>
          <w:color w:val="auto"/>
          <w:kern w:val="0"/>
          <w:sz w:val="28"/>
          <w:szCs w:val="28"/>
        </w:rPr>
        <w:t>投诉人签署的授权委托书。授权委托书应当载明代理人的姓名或者名称、代理事项、具体权限、期限和相关事项。</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3.投诉人若对项目的某一分包进行投诉，投诉书应列明具体分包号。</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4.投诉书应简要列明质疑事项，质疑函、质疑答复等作为附件材料提供。</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5.投诉书的投诉事项应具体、明确，并有必要的事实依据和法律依据。</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6.投诉书的投诉请求应与投诉事项相关。</w:t>
      </w:r>
    </w:p>
    <w:p>
      <w:pPr>
        <w:widowControl/>
        <w:ind w:firstLine="566"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7.投诉人为自然人的，投诉书应当由本人签字；投诉人为法人或者其他组织的，投诉书应当由法定代表人、主要负责人，或者其授权代表签字或者盖章，并加盖公章。</w:t>
      </w:r>
    </w:p>
    <w:p>
      <w:pPr>
        <w:ind w:left="5783" w:hanging="5814" w:hangingChars="1800"/>
        <w:jc w:val="center"/>
        <w:outlineLvl w:val="0"/>
        <w:rPr>
          <w:rFonts w:hint="eastAsia" w:ascii="仿宋" w:hAnsi="仿宋" w:eastAsia="仿宋" w:cs="仿宋"/>
          <w:b/>
          <w:bCs/>
          <w:color w:val="auto"/>
          <w:sz w:val="32"/>
          <w:szCs w:val="32"/>
          <w:lang w:eastAsia="zh-CN"/>
        </w:rPr>
      </w:pPr>
    </w:p>
    <w:p>
      <w:pPr>
        <w:ind w:left="5783" w:hanging="5814" w:hangingChars="1800"/>
        <w:jc w:val="center"/>
        <w:outlineLvl w:val="0"/>
        <w:rPr>
          <w:rFonts w:hint="eastAsia" w:ascii="仿宋" w:hAnsi="仿宋" w:eastAsia="仿宋" w:cs="仿宋"/>
          <w:b/>
          <w:bCs/>
          <w:color w:val="auto"/>
          <w:sz w:val="32"/>
          <w:szCs w:val="32"/>
          <w:lang w:eastAsia="zh-CN"/>
        </w:rPr>
      </w:pPr>
    </w:p>
    <w:p>
      <w:pPr>
        <w:ind w:left="5783" w:hanging="5814" w:hangingChars="1800"/>
        <w:jc w:val="center"/>
        <w:outlineLvl w:val="0"/>
        <w:rPr>
          <w:rFonts w:hint="eastAsia" w:ascii="仿宋" w:hAnsi="仿宋" w:eastAsia="仿宋" w:cs="仿宋"/>
          <w:b/>
          <w:bCs/>
          <w:color w:val="auto"/>
          <w:sz w:val="32"/>
          <w:szCs w:val="32"/>
          <w:lang w:eastAsia="zh-CN"/>
        </w:rPr>
      </w:pPr>
    </w:p>
    <w:p>
      <w:pPr>
        <w:ind w:left="5783" w:hanging="5814" w:hangingChars="1800"/>
        <w:jc w:val="center"/>
        <w:outlineLvl w:val="0"/>
        <w:rPr>
          <w:rFonts w:hint="eastAsia" w:ascii="仿宋" w:hAnsi="仿宋" w:eastAsia="仿宋" w:cs="仿宋"/>
          <w:b/>
          <w:bCs/>
          <w:color w:val="auto"/>
          <w:sz w:val="32"/>
          <w:szCs w:val="32"/>
          <w:lang w:eastAsia="zh-CN"/>
        </w:rPr>
      </w:pPr>
    </w:p>
    <w:p>
      <w:pPr>
        <w:ind w:left="5783" w:hanging="5814" w:hangingChars="1800"/>
        <w:jc w:val="center"/>
        <w:outlineLvl w:val="0"/>
        <w:rPr>
          <w:rFonts w:hint="eastAsia" w:ascii="仿宋" w:hAnsi="仿宋" w:eastAsia="仿宋" w:cs="仿宋"/>
          <w:b/>
          <w:bCs/>
          <w:color w:val="auto"/>
          <w:sz w:val="32"/>
          <w:szCs w:val="32"/>
          <w:lang w:eastAsia="zh-CN"/>
        </w:rPr>
      </w:pPr>
    </w:p>
    <w:p>
      <w:pPr>
        <w:ind w:left="5783" w:hanging="5814" w:hangingChars="1800"/>
        <w:jc w:val="center"/>
        <w:outlineLvl w:val="0"/>
        <w:rPr>
          <w:rFonts w:hint="eastAsia" w:ascii="仿宋" w:hAnsi="仿宋" w:eastAsia="仿宋" w:cs="仿宋"/>
          <w:b/>
          <w:bCs/>
          <w:color w:val="auto"/>
          <w:sz w:val="32"/>
          <w:szCs w:val="32"/>
          <w:lang w:eastAsia="zh-CN"/>
        </w:rPr>
      </w:pPr>
    </w:p>
    <w:p>
      <w:pPr>
        <w:ind w:left="5783" w:hanging="5814" w:hangingChars="1800"/>
        <w:jc w:val="center"/>
        <w:outlineLvl w:val="0"/>
        <w:rPr>
          <w:rFonts w:hint="eastAsia" w:ascii="仿宋" w:hAnsi="仿宋" w:eastAsia="仿宋" w:cs="仿宋"/>
          <w:b/>
          <w:bCs/>
          <w:color w:val="auto"/>
          <w:sz w:val="32"/>
          <w:szCs w:val="32"/>
          <w:highlight w:val="none"/>
          <w:lang w:eastAsia="zh-CN"/>
        </w:rPr>
      </w:pPr>
    </w:p>
    <w:p>
      <w:pPr>
        <w:ind w:left="5783" w:hanging="5814" w:hangingChars="1800"/>
        <w:jc w:val="center"/>
        <w:outlineLvl w:val="0"/>
        <w:rPr>
          <w:rFonts w:hint="eastAsia" w:ascii="仿宋" w:hAnsi="仿宋" w:eastAsia="仿宋" w:cs="仿宋"/>
          <w:b/>
          <w:bCs/>
          <w:color w:val="auto"/>
          <w:sz w:val="32"/>
          <w:szCs w:val="32"/>
          <w:highlight w:val="none"/>
          <w:lang w:eastAsia="zh-CN"/>
        </w:rPr>
      </w:pPr>
    </w:p>
    <w:p>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9"/>
    </w:p>
    <w:p>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pPr>
        <w:numPr>
          <w:ilvl w:val="0"/>
          <w:numId w:val="2"/>
        </w:numPr>
        <w:spacing w:line="400" w:lineRule="exact"/>
        <w:ind w:left="4626" w:leftChars="304" w:hanging="3888" w:hangingChars="1600"/>
        <w:outlineLvl w:val="0"/>
        <w:rPr>
          <w:rFonts w:ascii="仿宋" w:hAnsi="仿宋" w:eastAsia="仿宋" w:cs="仿宋"/>
          <w:b/>
          <w:bCs/>
          <w:color w:val="auto"/>
          <w:sz w:val="24"/>
          <w:szCs w:val="24"/>
        </w:rPr>
      </w:pPr>
      <w:bookmarkStart w:id="30" w:name="_Toc11499"/>
      <w:r>
        <w:rPr>
          <w:rFonts w:hint="eastAsia" w:ascii="仿宋" w:hAnsi="仿宋" w:eastAsia="仿宋" w:cs="仿宋"/>
          <w:b/>
          <w:bCs/>
          <w:color w:val="auto"/>
          <w:sz w:val="24"/>
          <w:szCs w:val="24"/>
        </w:rPr>
        <w:t>质疑前置及时间要求</w:t>
      </w:r>
      <w:bookmarkEnd w:id="30"/>
    </w:p>
    <w:p>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834" w:hangingChars="1800"/>
        <w:outlineLvl w:val="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31" w:name="_Toc13508"/>
      <w:r>
        <w:rPr>
          <w:rFonts w:hint="eastAsia" w:ascii="仿宋" w:hAnsi="仿宋" w:eastAsia="仿宋" w:cs="仿宋"/>
          <w:b/>
          <w:bCs/>
          <w:color w:val="auto"/>
          <w:sz w:val="21"/>
          <w:szCs w:val="21"/>
          <w:lang w:eastAsia="zh-CN"/>
        </w:rPr>
        <w:t>二、书面方式</w:t>
      </w:r>
      <w:bookmarkEnd w:id="31"/>
    </w:p>
    <w:p>
      <w:pPr>
        <w:spacing w:line="400" w:lineRule="exact"/>
        <w:ind w:left="3780" w:hanging="3834" w:hangingChars="1800"/>
        <w:rPr>
          <w:rFonts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pPr>
        <w:spacing w:line="400" w:lineRule="exact"/>
        <w:rPr>
          <w:rFonts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pPr>
        <w:spacing w:line="400" w:lineRule="exact"/>
        <w:ind w:left="4320" w:hanging="4374" w:hangingChars="1800"/>
        <w:rPr>
          <w:rFonts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具体的投诉事项及事实依据；</w:t>
      </w:r>
    </w:p>
    <w:p>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pPr>
        <w:numPr>
          <w:ilvl w:val="0"/>
          <w:numId w:val="3"/>
        </w:numPr>
        <w:spacing w:line="400" w:lineRule="exact"/>
        <w:rPr>
          <w:rFonts w:ascii="仿宋" w:hAnsi="仿宋" w:eastAsia="仿宋" w:cs="仿宋"/>
          <w:color w:val="auto"/>
        </w:rPr>
      </w:pPr>
      <w:r>
        <w:rPr>
          <w:rFonts w:hint="eastAsia" w:ascii="仿宋" w:hAnsi="仿宋" w:eastAsia="仿宋" w:cs="仿宋"/>
          <w:color w:val="auto"/>
        </w:rPr>
        <w:t>提起投诉的日期。</w:t>
      </w:r>
    </w:p>
    <w:p>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提起投诉诉前已依法进行质疑；</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投诉书内容符合本办法的规定；</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在投诉有效期内提起投诉；</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属于本级财政部门管辖；</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国务院财政部门规定的其他条件。</w:t>
      </w:r>
    </w:p>
    <w:p>
      <w:pPr>
        <w:spacing w:line="400" w:lineRule="exact"/>
        <w:ind w:left="4320" w:hanging="4374" w:hangingChars="1800"/>
        <w:rPr>
          <w:rFonts w:ascii="仿宋" w:hAnsi="仿宋" w:eastAsia="仿宋" w:cs="仿宋"/>
          <w:color w:val="auto"/>
          <w:lang w:eastAsia="zh-CN"/>
        </w:rPr>
      </w:pPr>
      <w:r>
        <w:rPr>
          <w:rFonts w:hint="eastAsia" w:ascii="仿宋" w:hAnsi="仿宋" w:eastAsia="仿宋" w:cs="仿宋"/>
          <w:color w:val="auto"/>
          <w:lang w:eastAsia="zh-CN"/>
        </w:rPr>
        <w:t xml:space="preserve">   </w:t>
      </w:r>
    </w:p>
    <w:p>
      <w:pPr>
        <w:outlineLvl w:val="0"/>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32" w:name="_Toc5978"/>
      <w:r>
        <w:rPr>
          <w:rFonts w:hint="eastAsia" w:ascii="仿宋" w:hAnsi="仿宋" w:eastAsia="仿宋" w:cs="仿宋"/>
          <w:b/>
          <w:bCs/>
          <w:color w:val="auto"/>
          <w:lang w:eastAsia="zh-CN"/>
        </w:rPr>
        <w:t>三、虚假、恶意投诉法律责任</w:t>
      </w:r>
      <w:bookmarkEnd w:id="32"/>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pPr>
        <w:spacing w:line="400" w:lineRule="exact"/>
        <w:rPr>
          <w:rFonts w:ascii="仿宋" w:hAnsi="仿宋" w:eastAsia="仿宋" w:cs="仿宋"/>
          <w:color w:val="auto"/>
          <w:sz w:val="21"/>
          <w:szCs w:val="21"/>
          <w:lang w:eastAsia="zh-CN"/>
        </w:rPr>
      </w:pPr>
    </w:p>
    <w:p>
      <w:pPr>
        <w:spacing w:line="400" w:lineRule="exact"/>
        <w:rPr>
          <w:rFonts w:ascii="仿宋" w:hAnsi="仿宋" w:eastAsia="仿宋" w:cs="仿宋"/>
          <w:color w:val="auto"/>
          <w:sz w:val="21"/>
          <w:szCs w:val="21"/>
          <w:lang w:eastAsia="zh-CN"/>
        </w:rPr>
      </w:pPr>
    </w:p>
    <w:p>
      <w:pPr>
        <w:jc w:val="both"/>
        <w:rPr>
          <w:rFonts w:ascii="仿宋" w:hAnsi="仿宋" w:eastAsia="仿宋" w:cs="仿宋"/>
          <w:color w:val="auto"/>
          <w:lang w:eastAsia="zh-CN"/>
        </w:rPr>
      </w:pPr>
      <w:r>
        <w:rPr>
          <w:rFonts w:hint="eastAsia" w:ascii="仿宋" w:hAnsi="仿宋" w:eastAsia="仿宋" w:cs="仿宋"/>
          <w:color w:val="auto"/>
          <w:lang w:eastAsia="zh-CN"/>
        </w:rPr>
        <w:t>递交投诉书地址：</w:t>
      </w:r>
      <w:r>
        <w:rPr>
          <w:rFonts w:hint="eastAsia" w:ascii="仿宋" w:hAnsi="仿宋" w:eastAsia="仿宋" w:cs="仿宋"/>
          <w:color w:val="auto"/>
          <w:lang w:val="en-US" w:eastAsia="zh-CN"/>
        </w:rPr>
        <w:t>阿图什市</w:t>
      </w:r>
      <w:r>
        <w:rPr>
          <w:rFonts w:hint="eastAsia" w:ascii="仿宋" w:hAnsi="仿宋" w:eastAsia="仿宋" w:cs="仿宋"/>
          <w:color w:val="auto"/>
          <w:lang w:eastAsia="zh-CN"/>
        </w:rPr>
        <w:t>政府采购办监管办公室</w:t>
      </w:r>
    </w:p>
    <w:p>
      <w:pPr>
        <w:jc w:val="right"/>
        <w:rPr>
          <w:rFonts w:ascii="仿宋" w:hAnsi="仿宋" w:eastAsia="仿宋" w:cs="仿宋"/>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bookmarkStart w:id="33" w:name="_Toc1697"/>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pStyle w:val="7"/>
        <w:rPr>
          <w:rFonts w:hint="default"/>
          <w:lang w:val="en-US" w:eastAsia="zh-CN"/>
        </w:rPr>
      </w:pPr>
    </w:p>
    <w:p>
      <w:pPr>
        <w:pStyle w:val="7"/>
        <w:rPr>
          <w:rFonts w:hint="default"/>
          <w:lang w:val="en-US" w:eastAsia="zh-CN"/>
        </w:rPr>
      </w:pPr>
    </w:p>
    <w:p>
      <w:pPr>
        <w:spacing w:line="540" w:lineRule="exact"/>
        <w:jc w:val="center"/>
        <w:outlineLvl w:val="0"/>
        <w:rPr>
          <w:rFonts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质疑函范本</w:t>
      </w:r>
      <w:bookmarkEnd w:id="33"/>
    </w:p>
    <w:p>
      <w:pPr>
        <w:adjustRightInd w:val="0"/>
        <w:snapToGrid w:val="0"/>
        <w:spacing w:beforeLines="100" w:line="540" w:lineRule="exact"/>
        <w:ind w:firstLine="486" w:firstLineChars="200"/>
        <w:outlineLvl w:val="0"/>
        <w:rPr>
          <w:rFonts w:ascii="仿宋" w:hAnsi="仿宋" w:eastAsia="仿宋" w:cs="仿宋"/>
          <w:bCs/>
          <w:color w:val="auto"/>
          <w:lang w:eastAsia="zh-CN"/>
        </w:rPr>
      </w:pPr>
      <w:bookmarkStart w:id="34" w:name="_Toc9061"/>
      <w:r>
        <w:rPr>
          <w:rFonts w:hint="eastAsia" w:ascii="仿宋" w:hAnsi="仿宋" w:eastAsia="仿宋" w:cs="仿宋"/>
          <w:bCs/>
          <w:color w:val="auto"/>
          <w:lang w:eastAsia="zh-CN"/>
        </w:rPr>
        <w:t>一、质疑供应商基本信息</w:t>
      </w:r>
      <w:bookmarkEnd w:id="34"/>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outlineLvl w:val="0"/>
        <w:rPr>
          <w:rFonts w:ascii="仿宋" w:hAnsi="仿宋" w:eastAsia="仿宋" w:cs="仿宋"/>
          <w:bCs/>
          <w:color w:val="auto"/>
          <w:lang w:eastAsia="zh-CN"/>
        </w:rPr>
      </w:pPr>
      <w:bookmarkStart w:id="35" w:name="_Toc15938"/>
      <w:r>
        <w:rPr>
          <w:rFonts w:hint="eastAsia" w:ascii="仿宋" w:hAnsi="仿宋" w:eastAsia="仿宋" w:cs="仿宋"/>
          <w:bCs/>
          <w:color w:val="auto"/>
          <w:lang w:eastAsia="zh-CN"/>
        </w:rPr>
        <w:t>二、质疑项目基本情况</w:t>
      </w:r>
      <w:bookmarkEnd w:id="35"/>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outlineLvl w:val="0"/>
        <w:rPr>
          <w:rFonts w:ascii="仿宋" w:hAnsi="仿宋" w:eastAsia="仿宋" w:cs="仿宋"/>
          <w:bCs/>
          <w:color w:val="auto"/>
          <w:lang w:eastAsia="zh-CN"/>
        </w:rPr>
      </w:pPr>
      <w:bookmarkStart w:id="36" w:name="_Toc18271"/>
      <w:r>
        <w:rPr>
          <w:rFonts w:hint="eastAsia" w:ascii="仿宋" w:hAnsi="仿宋" w:eastAsia="仿宋" w:cs="仿宋"/>
          <w:bCs/>
          <w:color w:val="auto"/>
          <w:lang w:eastAsia="zh-CN"/>
        </w:rPr>
        <w:t>三、质疑事项具体内容</w:t>
      </w:r>
      <w:bookmarkEnd w:id="36"/>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质疑事项2</w:t>
      </w:r>
    </w:p>
    <w:p>
      <w:pPr>
        <w:adjustRightInd w:val="0"/>
        <w:snapToGrid w:val="0"/>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w:t>
      </w:r>
    </w:p>
    <w:p>
      <w:pPr>
        <w:adjustRightInd w:val="0"/>
        <w:snapToGrid w:val="0"/>
        <w:spacing w:line="540" w:lineRule="exact"/>
        <w:ind w:firstLine="486" w:firstLineChars="200"/>
        <w:outlineLvl w:val="0"/>
        <w:rPr>
          <w:rFonts w:ascii="仿宋" w:hAnsi="仿宋" w:eastAsia="仿宋" w:cs="仿宋"/>
          <w:bCs/>
          <w:color w:val="auto"/>
          <w:lang w:eastAsia="zh-CN"/>
        </w:rPr>
      </w:pPr>
      <w:bookmarkStart w:id="37" w:name="_Toc22365"/>
      <w:r>
        <w:rPr>
          <w:rFonts w:hint="eastAsia" w:ascii="仿宋" w:hAnsi="仿宋" w:eastAsia="仿宋" w:cs="仿宋"/>
          <w:bCs/>
          <w:color w:val="auto"/>
          <w:lang w:eastAsia="zh-CN"/>
        </w:rPr>
        <w:t>四、与质疑事项相关的质疑请求</w:t>
      </w:r>
      <w:bookmarkEnd w:id="37"/>
    </w:p>
    <w:p>
      <w:pPr>
        <w:adjustRightInd w:val="0"/>
        <w:snapToGrid w:val="0"/>
        <w:spacing w:line="540" w:lineRule="exact"/>
        <w:ind w:firstLine="486" w:firstLineChars="200"/>
        <w:rPr>
          <w:rFonts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pPr>
        <w:spacing w:line="5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 xml:space="preserve">签章(签章)：                   公章：                      </w:t>
      </w:r>
    </w:p>
    <w:p>
      <w:pPr>
        <w:spacing w:line="540" w:lineRule="exact"/>
        <w:ind w:firstLine="486" w:firstLineChars="200"/>
        <w:rPr>
          <w:rFonts w:ascii="仿宋" w:hAnsi="仿宋" w:eastAsia="仿宋" w:cs="仿宋"/>
          <w:b/>
          <w:bCs/>
          <w:color w:val="auto"/>
          <w:lang w:eastAsia="zh-CN"/>
        </w:rPr>
      </w:pPr>
      <w:r>
        <w:rPr>
          <w:rFonts w:hint="eastAsia" w:ascii="仿宋" w:hAnsi="仿宋" w:eastAsia="仿宋" w:cs="仿宋"/>
          <w:color w:val="auto"/>
          <w:lang w:eastAsia="zh-CN"/>
        </w:rPr>
        <w:t xml:space="preserve">日期：    </w:t>
      </w:r>
    </w:p>
    <w:p>
      <w:pPr>
        <w:spacing w:line="540" w:lineRule="exact"/>
        <w:ind w:firstLine="426" w:firstLineChars="200"/>
        <w:rPr>
          <w:rFonts w:ascii="仿宋" w:hAnsi="仿宋" w:eastAsia="仿宋" w:cs="仿宋"/>
          <w:b/>
          <w:bCs/>
          <w:color w:val="auto"/>
          <w:sz w:val="21"/>
          <w:szCs w:val="21"/>
          <w:lang w:eastAsia="zh-CN"/>
        </w:rPr>
      </w:pPr>
    </w:p>
    <w:p>
      <w:pPr>
        <w:rPr>
          <w:rFonts w:hint="eastAsia" w:ascii="黑体" w:hAnsi="黑体" w:eastAsia="黑体"/>
          <w:b/>
          <w:color w:val="auto"/>
          <w:sz w:val="32"/>
          <w:szCs w:val="32"/>
        </w:rPr>
      </w:pPr>
      <w:bookmarkStart w:id="38" w:name="_Toc469495731"/>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质疑函制作说明：</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1.供应商提出质疑时，应提交质疑函和必要的证明材料。</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rPr>
        <w:t>供应商签署的授权委托书。授权委托书应载明代理人的姓名或者名称、代理事项、具体权限、期限和相关事项。</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3.质疑供应商若对项目的某一分包进行质疑，质疑函中应列明具体分包号。</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4.质疑函的质疑事项应具体、明确，并有必要的事实依据和法律依据。</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5.质疑函的质疑请求应与质疑事项相关。</w:t>
      </w:r>
    </w:p>
    <w:p>
      <w:pPr>
        <w:widowControl/>
        <w:ind w:firstLine="566"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6.质疑供应商为自然人的，质疑函应由本人签字；质疑供应商为法人或者其他组织的，质疑函应由法定代表人、主要负责人，或者其授权代表签字或者盖章，并加盖公章。</w:t>
      </w:r>
    </w:p>
    <w:p>
      <w:pPr>
        <w:pageBreakBefore/>
        <w:spacing w:line="440" w:lineRule="exact"/>
        <w:jc w:val="center"/>
        <w:outlineLvl w:val="0"/>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第三章  评标办法</w:t>
      </w:r>
      <w:bookmarkEnd w:id="38"/>
    </w:p>
    <w:p>
      <w:pPr>
        <w:jc w:val="center"/>
        <w:outlineLvl w:val="1"/>
        <w:rPr>
          <w:rFonts w:ascii="仿宋" w:hAnsi="仿宋" w:eastAsia="仿宋" w:cs="仿宋"/>
          <w:b/>
          <w:color w:val="auto"/>
          <w:sz w:val="28"/>
          <w:szCs w:val="28"/>
          <w:lang w:eastAsia="zh-CN"/>
        </w:rPr>
      </w:pPr>
      <w:bookmarkStart w:id="39" w:name="_Toc362983802"/>
      <w:bookmarkStart w:id="40" w:name="_Toc469495733"/>
      <w:bookmarkStart w:id="41" w:name="_Toc267320058"/>
      <w:bookmarkStart w:id="42" w:name="_Toc363135205"/>
      <w:r>
        <w:rPr>
          <w:rFonts w:hint="eastAsia" w:ascii="仿宋" w:hAnsi="仿宋" w:eastAsia="仿宋" w:cs="仿宋"/>
          <w:b/>
          <w:color w:val="auto"/>
          <w:sz w:val="28"/>
          <w:szCs w:val="28"/>
          <w:lang w:eastAsia="zh-CN"/>
        </w:rPr>
        <w:t>一  总  则</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1.4评标按照磋商文件规定的内容进行，采取符合磋商文件要求的最低评标价法；</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评标委员会由采购人代表1人和有关技术、经济等方面的专家</w:t>
      </w:r>
      <w:r>
        <w:rPr>
          <w:rFonts w:hint="eastAsia" w:ascii="仿宋" w:hAnsi="仿宋" w:eastAsia="仿宋" w:cs="仿宋"/>
          <w:color w:val="auto"/>
          <w:spacing w:val="-2"/>
          <w:lang w:val="en-US" w:eastAsia="zh-CN"/>
        </w:rPr>
        <w:t>2</w:t>
      </w:r>
      <w:r>
        <w:rPr>
          <w:rFonts w:hint="eastAsia" w:ascii="仿宋" w:hAnsi="仿宋" w:eastAsia="仿宋" w:cs="仿宋"/>
          <w:color w:val="auto"/>
          <w:spacing w:val="-2"/>
          <w:lang w:eastAsia="zh-CN"/>
        </w:rPr>
        <w:t>人组成，成员人数为</w:t>
      </w:r>
      <w:r>
        <w:rPr>
          <w:rFonts w:hint="eastAsia" w:ascii="仿宋" w:hAnsi="仿宋" w:eastAsia="仿宋" w:cs="仿宋"/>
          <w:color w:val="auto"/>
          <w:spacing w:val="-2"/>
          <w:lang w:val="en-US" w:eastAsia="zh-CN"/>
        </w:rPr>
        <w:t>3</w:t>
      </w:r>
      <w:r>
        <w:rPr>
          <w:rFonts w:hint="eastAsia" w:ascii="仿宋" w:hAnsi="仿宋" w:eastAsia="仿宋" w:cs="仿宋"/>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pPr>
        <w:pStyle w:val="4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pPr>
        <w:pStyle w:val="4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pPr>
        <w:pStyle w:val="4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pPr>
        <w:pStyle w:val="41"/>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pPr>
        <w:keepNext w:val="0"/>
        <w:keepLines w:val="0"/>
        <w:pageBreakBefore w:val="0"/>
        <w:tabs>
          <w:tab w:val="left" w:pos="1547"/>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pPr>
        <w:pStyle w:val="18"/>
        <w:keepNext w:val="0"/>
        <w:keepLines w:val="0"/>
        <w:pageBreakBefore w:val="0"/>
        <w:tabs>
          <w:tab w:val="left" w:pos="720"/>
          <w:tab w:val="clear" w:pos="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pPr>
        <w:keepNext w:val="0"/>
        <w:keepLines w:val="0"/>
        <w:pageBreakBefore w:val="0"/>
        <w:tabs>
          <w:tab w:val="left" w:pos="72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依据评分标准以及各项权值，各位评委单独就每个供应商的投标文件进行价格、技术、信誉、业绩、服务、对磋商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9"/>
      <w:bookmarkEnd w:id="40"/>
    </w:p>
    <w:p>
      <w:pPr>
        <w:spacing w:line="40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pPr>
        <w:spacing w:line="400" w:lineRule="exact"/>
        <w:ind w:firstLine="356"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5"/>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pPr>
              <w:rPr>
                <w:rFonts w:ascii="仿宋" w:hAnsi="仿宋" w:eastAsia="仿宋" w:cs="仿宋"/>
                <w:color w:val="auto"/>
                <w:sz w:val="18"/>
                <w:szCs w:val="21"/>
              </w:rPr>
            </w:pPr>
          </w:p>
        </w:tc>
        <w:tc>
          <w:tcPr>
            <w:tcW w:w="8157" w:type="dxa"/>
            <w:gridSpan w:val="2"/>
            <w:vMerge w:val="continue"/>
          </w:tcPr>
          <w:p>
            <w:pPr>
              <w:rPr>
                <w:rFonts w:ascii="仿宋" w:hAnsi="仿宋" w:eastAsia="仿宋" w:cs="仿宋"/>
                <w:color w:val="auto"/>
                <w:sz w:val="18"/>
                <w:szCs w:val="21"/>
              </w:rPr>
            </w:pPr>
          </w:p>
        </w:tc>
        <w:tc>
          <w:tcPr>
            <w:tcW w:w="525"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restart"/>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审</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查</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标</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准</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(适</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用</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于</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资</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格</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后</w:t>
            </w:r>
          </w:p>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审)</w:t>
            </w:r>
          </w:p>
        </w:tc>
        <w:tc>
          <w:tcPr>
            <w:tcW w:w="495"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pPr>
              <w:rPr>
                <w:rFonts w:hint="eastAsia" w:ascii="仿宋" w:hAnsi="仿宋" w:eastAsia="仿宋" w:cs="仿宋"/>
                <w:color w:val="auto"/>
                <w:lang w:eastAsia="zh-CN"/>
              </w:rPr>
            </w:pPr>
            <w:r>
              <w:rPr>
                <w:rFonts w:hint="eastAsia" w:ascii="仿宋" w:hAnsi="仿宋" w:eastAsia="仿宋" w:cs="仿宋"/>
                <w:kern w:val="0"/>
                <w:sz w:val="24"/>
                <w:szCs w:val="24"/>
                <w:lang w:val="en-US" w:eastAsia="zh-CN" w:bidi="ar"/>
              </w:rPr>
              <w:t>中小企业声明函；</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pPr>
              <w:jc w:val="center"/>
              <w:rPr>
                <w:rFonts w:ascii="仿宋" w:hAnsi="仿宋" w:eastAsia="仿宋" w:cs="仿宋"/>
                <w:color w:val="auto"/>
                <w:szCs w:val="21"/>
                <w:lang w:eastAsia="zh-CN"/>
              </w:rPr>
            </w:pPr>
          </w:p>
        </w:tc>
        <w:tc>
          <w:tcPr>
            <w:tcW w:w="49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r>
              <w:rPr>
                <w:rFonts w:hint="eastAsia" w:ascii="仿宋" w:hAnsi="仿宋" w:eastAsia="仿宋" w:cs="仿宋"/>
                <w:b w:val="0"/>
                <w:bCs w:val="0"/>
                <w:i w:val="0"/>
                <w:iCs w:val="0"/>
                <w:caps w:val="0"/>
                <w:color w:val="auto"/>
                <w:spacing w:val="0"/>
                <w:sz w:val="24"/>
                <w:szCs w:val="24"/>
                <w:lang w:val="en-US" w:eastAsia="zh-CN"/>
              </w:rPr>
              <w:t>及委托人身份证明</w:t>
            </w:r>
            <w:r>
              <w:rPr>
                <w:rFonts w:hint="eastAsia" w:ascii="仿宋" w:hAnsi="仿宋" w:eastAsia="仿宋" w:cs="仿宋"/>
                <w:b w:val="0"/>
                <w:bCs w:val="0"/>
                <w:i w:val="0"/>
                <w:iCs w:val="0"/>
                <w:caps w:val="0"/>
                <w:color w:val="auto"/>
                <w:spacing w:val="0"/>
                <w:sz w:val="24"/>
                <w:szCs w:val="24"/>
              </w:rPr>
              <w:t>；</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汇款凭证或保函等票据；</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36" w:type="dxa"/>
            <w:vMerge w:val="continue"/>
            <w:vAlign w:val="center"/>
          </w:tcPr>
          <w:p>
            <w:pPr>
              <w:rPr>
                <w:rFonts w:ascii="仿宋" w:hAnsi="仿宋" w:eastAsia="仿宋" w:cs="仿宋"/>
                <w:color w:val="auto"/>
                <w:lang w:eastAsia="zh-CN"/>
              </w:rPr>
            </w:pPr>
          </w:p>
        </w:tc>
        <w:tc>
          <w:tcPr>
            <w:tcW w:w="49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7662" w:type="dxa"/>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投标企业须提供投标人（被授权在职人员）近期社保证明</w:t>
            </w:r>
          </w:p>
        </w:tc>
        <w:tc>
          <w:tcPr>
            <w:tcW w:w="525" w:type="dxa"/>
          </w:tcPr>
          <w:p>
            <w:pPr>
              <w:rPr>
                <w:rFonts w:ascii="仿宋" w:hAnsi="仿宋" w:eastAsia="仿宋" w:cs="仿宋"/>
                <w:color w:val="auto"/>
                <w:szCs w:val="21"/>
                <w:lang w:eastAsia="zh-CN"/>
              </w:rPr>
            </w:pPr>
          </w:p>
        </w:tc>
        <w:tc>
          <w:tcPr>
            <w:tcW w:w="568" w:type="dxa"/>
          </w:tcPr>
          <w:p>
            <w:pP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pPr>
              <w:jc w:val="center"/>
              <w:rPr>
                <w:rFonts w:ascii="仿宋" w:hAnsi="仿宋" w:eastAsia="仿宋" w:cs="仿宋"/>
                <w:color w:val="auto"/>
                <w:szCs w:val="21"/>
                <w:lang w:eastAsia="zh-CN"/>
              </w:rPr>
            </w:pPr>
          </w:p>
        </w:tc>
        <w:tc>
          <w:tcPr>
            <w:tcW w:w="495" w:type="dxa"/>
          </w:tcPr>
          <w:p>
            <w:pPr>
              <w:spacing w:line="440" w:lineRule="exact"/>
              <w:rPr>
                <w:rFonts w:ascii="仿宋" w:hAnsi="仿宋" w:eastAsia="仿宋" w:cs="仿宋"/>
                <w:color w:val="auto"/>
                <w:szCs w:val="21"/>
                <w:lang w:eastAsia="zh-CN"/>
              </w:rPr>
            </w:pPr>
          </w:p>
        </w:tc>
        <w:tc>
          <w:tcPr>
            <w:tcW w:w="7662" w:type="dxa"/>
          </w:tcPr>
          <w:p>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pPr>
              <w:rPr>
                <w:rFonts w:ascii="仿宋" w:hAnsi="仿宋" w:eastAsia="仿宋" w:cs="仿宋"/>
                <w:color w:val="auto"/>
                <w:szCs w:val="21"/>
                <w:lang w:eastAsia="zh-CN"/>
              </w:rPr>
            </w:pPr>
          </w:p>
        </w:tc>
      </w:tr>
    </w:tbl>
    <w:p>
      <w:pPr>
        <w:spacing w:line="400" w:lineRule="exact"/>
        <w:ind w:firstLine="585"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6"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pPr>
        <w:spacing w:line="440" w:lineRule="exact"/>
        <w:ind w:firstLine="364" w:firstLineChars="150"/>
        <w:rPr>
          <w:rFonts w:hint="eastAsia"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p>
      <w:pPr>
        <w:pStyle w:val="17"/>
      </w:pPr>
    </w:p>
    <w:tbl>
      <w:tblPr>
        <w:tblStyle w:val="25"/>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auto"/>
              </w:rPr>
            </w:pPr>
          </w:p>
        </w:tc>
        <w:tc>
          <w:tcPr>
            <w:tcW w:w="6975" w:type="dxa"/>
            <w:gridSpan w:val="2"/>
            <w:vMerge w:val="continue"/>
            <w:tcBorders>
              <w:bottom w:val="single" w:color="auto" w:sz="4" w:space="0"/>
            </w:tcBorders>
          </w:tcPr>
          <w:p>
            <w:pPr>
              <w:rPr>
                <w:rFonts w:ascii="仿宋" w:hAnsi="仿宋" w:eastAsia="仿宋" w:cs="仿宋"/>
                <w:color w:val="auto"/>
              </w:rPr>
            </w:pPr>
          </w:p>
        </w:tc>
        <w:tc>
          <w:tcPr>
            <w:tcW w:w="749" w:type="dxa"/>
            <w:vAlign w:val="center"/>
          </w:tcPr>
          <w:p>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审</w:t>
            </w:r>
          </w:p>
          <w:p>
            <w:pPr>
              <w:jc w:val="center"/>
              <w:rPr>
                <w:rFonts w:ascii="仿宋" w:hAnsi="仿宋" w:eastAsia="仿宋" w:cs="仿宋"/>
                <w:color w:val="auto"/>
                <w:szCs w:val="21"/>
              </w:rPr>
            </w:pPr>
            <w:r>
              <w:rPr>
                <w:rFonts w:hint="eastAsia" w:ascii="仿宋" w:hAnsi="仿宋" w:eastAsia="仿宋" w:cs="仿宋"/>
                <w:color w:val="auto"/>
                <w:szCs w:val="21"/>
              </w:rPr>
              <w:t>查</w:t>
            </w:r>
          </w:p>
          <w:p>
            <w:pPr>
              <w:jc w:val="center"/>
              <w:rPr>
                <w:rFonts w:ascii="仿宋" w:hAnsi="仿宋" w:eastAsia="仿宋" w:cs="仿宋"/>
                <w:color w:val="auto"/>
                <w:szCs w:val="21"/>
              </w:rPr>
            </w:pPr>
            <w:r>
              <w:rPr>
                <w:rFonts w:hint="eastAsia" w:ascii="仿宋" w:hAnsi="仿宋" w:eastAsia="仿宋" w:cs="仿宋"/>
                <w:color w:val="auto"/>
                <w:szCs w:val="21"/>
              </w:rPr>
              <w:t>标</w:t>
            </w:r>
          </w:p>
          <w:p>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法定代表人身份证明及授权委托书有效，且符合磋商文件规定的格式。</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pPr>
              <w:rPr>
                <w:rFonts w:ascii="仿宋" w:hAnsi="仿宋" w:eastAsia="仿宋" w:cs="仿宋"/>
                <w:color w:val="auto"/>
                <w:szCs w:val="21"/>
              </w:rPr>
            </w:pPr>
          </w:p>
        </w:tc>
        <w:tc>
          <w:tcPr>
            <w:tcW w:w="617" w:type="dxa"/>
            <w:tcBorders>
              <w:right w:val="single" w:color="auto" w:sz="4" w:space="0"/>
            </w:tcBorders>
          </w:tcPr>
          <w:p>
            <w:pP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对磋商文件规定的招标内容全部作出响应。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满足磋商文件提出的技术和质量要求。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完成期限满足磋商文件要求。</w:t>
            </w:r>
          </w:p>
        </w:tc>
        <w:tc>
          <w:tcPr>
            <w:tcW w:w="749" w:type="dxa"/>
            <w:tcBorders>
              <w:top w:val="single" w:color="auto" w:sz="4" w:space="0"/>
              <w:left w:val="single" w:color="auto" w:sz="4" w:space="0"/>
            </w:tcBorders>
          </w:tcPr>
          <w:p>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售后服务满足磋商文件要求。</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投标有效期满足磋商文件要求。</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r>
    </w:tbl>
    <w:p>
      <w:pPr>
        <w:rPr>
          <w:rFonts w:ascii="仿宋" w:hAnsi="仿宋" w:eastAsia="仿宋" w:cs="仿宋"/>
          <w:color w:val="auto"/>
          <w:lang w:eastAsia="zh-CN"/>
        </w:rPr>
      </w:pPr>
    </w:p>
    <w:p>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pPr>
        <w:keepNext w:val="0"/>
        <w:keepLines w:val="0"/>
        <w:pageBreakBefore w:val="0"/>
        <w:widowControl w:val="0"/>
        <w:kinsoku/>
        <w:wordWrap/>
        <w:overflowPunct/>
        <w:topLinePunct w:val="0"/>
        <w:bidi w:val="0"/>
        <w:snapToGrid/>
        <w:spacing w:line="360" w:lineRule="exact"/>
        <w:ind w:firstLine="607"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lang w:eastAsia="zh-CN"/>
        </w:rPr>
      </w:pPr>
      <w:bookmarkStart w:id="43" w:name="_Toc469495734"/>
      <w:bookmarkStart w:id="44" w:name="_Toc362983803"/>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43"/>
      <w:bookmarkEnd w:id="44"/>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重复报价），其投标总价在评标过程中不予调整，如其中标，其合同价按其投标单价予以调整；</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lang w:eastAsia="zh-CN"/>
        </w:rPr>
      </w:pPr>
      <w:bookmarkStart w:id="45" w:name="_Toc469495735"/>
      <w:r>
        <w:rPr>
          <w:rFonts w:hint="eastAsia" w:ascii="仿宋" w:hAnsi="仿宋" w:eastAsia="仿宋" w:cs="仿宋"/>
          <w:b/>
          <w:color w:val="auto"/>
          <w:lang w:eastAsia="zh-CN"/>
        </w:rPr>
        <w:t>四 比较与评价</w:t>
      </w:r>
      <w:bookmarkEnd w:id="45"/>
    </w:p>
    <w:p>
      <w:pPr>
        <w:keepNext w:val="0"/>
        <w:keepLines w:val="0"/>
        <w:pageBreakBefore w:val="0"/>
        <w:widowControl w:val="0"/>
        <w:tabs>
          <w:tab w:val="left" w:pos="720"/>
        </w:tabs>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bookmarkStart w:id="46" w:name="_Toc469495736"/>
      <w:bookmarkStart w:id="47" w:name="_Toc362983805"/>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pPr>
        <w:pStyle w:val="7"/>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pPr>
        <w:pStyle w:val="7"/>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5"/>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995"/>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3" w:type="dxa"/>
            <w:noWrap w:val="0"/>
            <w:vAlign w:val="center"/>
          </w:tcPr>
          <w:p>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995" w:type="dxa"/>
            <w:noWrap w:val="0"/>
            <w:vAlign w:val="center"/>
          </w:tcPr>
          <w:p>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6482" w:type="dxa"/>
            <w:noWrap w:val="0"/>
            <w:vAlign w:val="center"/>
          </w:tcPr>
          <w:p>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653" w:type="dxa"/>
            <w:noWrap w:val="0"/>
            <w:vAlign w:val="center"/>
          </w:tcPr>
          <w:p>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pPr>
              <w:spacing w:line="440" w:lineRule="exact"/>
              <w:rPr>
                <w:rFonts w:ascii="仿宋" w:hAnsi="仿宋" w:eastAsia="仿宋" w:cs="仿宋"/>
                <w:color w:val="auto"/>
                <w:sz w:val="24"/>
                <w:szCs w:val="24"/>
                <w:lang w:eastAsia="zh-CN" w:bidi="ar-SA"/>
              </w:rPr>
            </w:pPr>
          </w:p>
        </w:tc>
        <w:tc>
          <w:tcPr>
            <w:tcW w:w="1995" w:type="dxa"/>
            <w:noWrap w:val="0"/>
            <w:vAlign w:val="center"/>
          </w:tcPr>
          <w:p>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r>
              <w:rPr>
                <w:rFonts w:hint="eastAsia" w:ascii="仿宋" w:hAnsi="仿宋" w:eastAsia="仿宋" w:cs="仿宋"/>
                <w:color w:val="auto"/>
                <w:sz w:val="24"/>
                <w:szCs w:val="24"/>
                <w:lang w:val="en-US" w:eastAsia="zh-CN" w:bidi="ar-SA"/>
              </w:rPr>
              <w:t>）</w:t>
            </w:r>
          </w:p>
        </w:tc>
        <w:tc>
          <w:tcPr>
            <w:tcW w:w="6482" w:type="dxa"/>
            <w:noWrap w:val="0"/>
            <w:vAlign w:val="top"/>
          </w:tcPr>
          <w:p>
            <w:pPr>
              <w:spacing w:line="440" w:lineRule="exac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价格分应当采用低价优先法计算，满足磋商文件要求且报价最低的为评审基准价，价格得分=（评审基准价/投标报价）×价格权值*100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653" w:type="dxa"/>
            <w:vMerge w:val="restart"/>
            <w:noWrap w:val="0"/>
            <w:vAlign w:val="center"/>
          </w:tcPr>
          <w:p>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商务技术部分</w:t>
            </w:r>
          </w:p>
          <w:p>
            <w:pPr>
              <w:spacing w:line="440" w:lineRule="exact"/>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70</w:t>
            </w:r>
            <w:r>
              <w:rPr>
                <w:rFonts w:hint="eastAsia" w:ascii="仿宋" w:hAnsi="仿宋" w:eastAsia="仿宋" w:cs="仿宋"/>
                <w:color w:val="auto"/>
                <w:sz w:val="24"/>
                <w:szCs w:val="24"/>
                <w:lang w:eastAsia="zh-CN" w:bidi="ar-SA"/>
              </w:rPr>
              <w:t>分）</w:t>
            </w:r>
          </w:p>
          <w:p>
            <w:pPr>
              <w:spacing w:line="440" w:lineRule="exact"/>
              <w:ind w:firstLine="623" w:firstLineChars="257"/>
              <w:jc w:val="center"/>
              <w:rPr>
                <w:rFonts w:ascii="仿宋" w:hAnsi="仿宋" w:eastAsia="仿宋" w:cs="仿宋"/>
                <w:color w:val="auto"/>
                <w:sz w:val="24"/>
                <w:szCs w:val="24"/>
                <w:lang w:eastAsia="zh-CN" w:bidi="ar-SA"/>
              </w:rPr>
            </w:pPr>
          </w:p>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keepNext w:val="0"/>
              <w:keepLines w:val="0"/>
              <w:pageBreakBefore w:val="0"/>
              <w:widowControl w:val="0"/>
              <w:kinsoku/>
              <w:wordWrap/>
              <w:overflowPunct/>
              <w:topLinePunct w:val="0"/>
              <w:bidi w:val="0"/>
              <w:snapToGrid/>
              <w:spacing w:line="360" w:lineRule="exact"/>
              <w:ind w:firstLine="486" w:firstLineChars="200"/>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业绩</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（6</w:t>
            </w:r>
            <w:r>
              <w:rPr>
                <w:rFonts w:hint="eastAsia" w:ascii="仿宋" w:hAnsi="仿宋" w:eastAsia="仿宋" w:cs="仿宋"/>
                <w:color w:val="auto"/>
                <w:szCs w:val="21"/>
                <w:lang w:eastAsia="zh-CN" w:bidi="ar-SA"/>
              </w:rPr>
              <w:t>分</w:t>
            </w:r>
            <w:r>
              <w:rPr>
                <w:rFonts w:hint="eastAsia" w:ascii="仿宋" w:hAnsi="仿宋" w:eastAsia="仿宋" w:cs="仿宋"/>
                <w:color w:val="auto"/>
                <w:szCs w:val="21"/>
                <w:lang w:val="en-US" w:eastAsia="zh-CN" w:bidi="ar-SA"/>
              </w:rPr>
              <w:t>）</w:t>
            </w:r>
          </w:p>
        </w:tc>
        <w:tc>
          <w:tcPr>
            <w:tcW w:w="6482"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供应商提供近三年（2020年10月1日至今）政府采购业绩每提供1个得3分；该项满分6分；</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val="en-US" w:eastAsia="zh-CN" w:bidi="ar-SA"/>
              </w:rPr>
              <w:t>响应文件中的业绩证明材料需清晰可辩，所附的证明材料的复印件或影印件含糊不清，导致无法辨认的，提供不全，或不提供不得分；（注：证明材料包括中标通知书和合同）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653" w:type="dxa"/>
            <w:vMerge w:val="continue"/>
            <w:noWrap w:val="0"/>
            <w:vAlign w:val="center"/>
          </w:tcPr>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spacing w:line="240" w:lineRule="auto"/>
              <w:jc w:val="center"/>
              <w:rPr>
                <w:rFonts w:hint="eastAsia" w:ascii="仿宋" w:hAnsi="仿宋" w:eastAsia="仿宋" w:cs="仿宋"/>
                <w:color w:val="auto"/>
                <w:szCs w:val="21"/>
                <w:lang w:val="zh-CN" w:eastAsia="zh-CN" w:bidi="ar-SA"/>
              </w:rPr>
            </w:pPr>
            <w:r>
              <w:rPr>
                <w:rFonts w:hint="eastAsia" w:ascii="仿宋" w:hAnsi="仿宋" w:eastAsia="仿宋" w:cs="仿宋"/>
                <w:b w:val="0"/>
                <w:bCs w:val="0"/>
                <w:color w:val="auto"/>
                <w:kern w:val="2"/>
                <w:sz w:val="24"/>
                <w:szCs w:val="24"/>
                <w:highlight w:val="none"/>
                <w:lang w:val="en-US" w:eastAsia="zh-CN" w:bidi="zh-CN"/>
              </w:rPr>
              <w:t>项目实施方案（20分）</w:t>
            </w:r>
          </w:p>
        </w:tc>
        <w:tc>
          <w:tcPr>
            <w:tcW w:w="6482" w:type="dxa"/>
            <w:noWrap w:val="0"/>
            <w:vAlign w:val="center"/>
          </w:tcPr>
          <w:p>
            <w:pPr>
              <w:spacing w:before="75" w:line="241" w:lineRule="auto"/>
              <w:ind w:left="127" w:right="2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项目实施方案（</w:t>
            </w:r>
            <w:r>
              <w:rPr>
                <w:rFonts w:hint="eastAsia" w:ascii="仿宋" w:hAnsi="仿宋" w:eastAsia="仿宋" w:cs="仿宋"/>
                <w:color w:val="000000"/>
                <w:sz w:val="24"/>
                <w:szCs w:val="24"/>
                <w:highlight w:val="none"/>
                <w:lang w:val="en-US" w:eastAsia="zh-CN"/>
              </w:rPr>
              <w:t>根据供应商对本项目的理解进行编制，包</w:t>
            </w:r>
            <w:r>
              <w:rPr>
                <w:rFonts w:hint="eastAsia" w:ascii="仿宋" w:hAnsi="仿宋" w:eastAsia="仿宋" w:cs="仿宋"/>
                <w:b w:val="0"/>
                <w:bCs w:val="0"/>
                <w:color w:val="auto"/>
                <w:kern w:val="2"/>
                <w:sz w:val="24"/>
                <w:szCs w:val="24"/>
                <w:highlight w:val="none"/>
                <w:lang w:val="en-US" w:eastAsia="zh-CN" w:bidi="ar-SA"/>
              </w:rPr>
              <w:t>括但不限于工作进度安排、人员设备组织安排、复核查验等内容）</w:t>
            </w:r>
          </w:p>
          <w:p>
            <w:pPr>
              <w:spacing w:before="75" w:line="241" w:lineRule="auto"/>
              <w:ind w:left="127" w:right="2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合理可行、内容全面，对项目实施重点和难点把握准确，</w:t>
            </w:r>
          </w:p>
          <w:p>
            <w:pPr>
              <w:spacing w:before="75" w:line="241" w:lineRule="auto"/>
              <w:ind w:left="127" w:right="2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措施有力得20-16分；</w:t>
            </w:r>
          </w:p>
          <w:p>
            <w:pPr>
              <w:spacing w:before="75" w:line="241" w:lineRule="auto"/>
              <w:ind w:left="127" w:right="2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具有可行性、内容全面，对项目实施重点和难点把握一</w:t>
            </w:r>
          </w:p>
          <w:p>
            <w:pPr>
              <w:spacing w:before="75" w:line="241" w:lineRule="auto"/>
              <w:ind w:left="127" w:right="2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般，措施一般得15-11分；</w:t>
            </w:r>
          </w:p>
          <w:p>
            <w:pPr>
              <w:spacing w:before="75" w:line="241" w:lineRule="auto"/>
              <w:ind w:left="127" w:right="2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具有一定可行性、内容较全面，对项目实施重点和难点 把握一般，措施较差得10-6分；</w:t>
            </w:r>
          </w:p>
          <w:p>
            <w:pPr>
              <w:spacing w:before="75" w:line="241" w:lineRule="auto"/>
              <w:ind w:left="127" w:right="24"/>
              <w:rPr>
                <w:rFonts w:hint="eastAsia" w:ascii="仿宋" w:hAnsi="仿宋" w:eastAsia="仿宋" w:cs="仿宋"/>
                <w:color w:val="auto"/>
                <w:szCs w:val="21"/>
                <w:lang w:val="zh-CN" w:eastAsia="zh-CN" w:bidi="ar-SA"/>
              </w:rPr>
            </w:pPr>
            <w:r>
              <w:rPr>
                <w:rFonts w:hint="eastAsia" w:ascii="仿宋" w:hAnsi="仿宋" w:eastAsia="仿宋" w:cs="仿宋"/>
                <w:b w:val="0"/>
                <w:bCs w:val="0"/>
                <w:color w:val="auto"/>
                <w:kern w:val="2"/>
                <w:sz w:val="24"/>
                <w:szCs w:val="24"/>
                <w:highlight w:val="none"/>
                <w:lang w:val="en-US" w:eastAsia="zh-CN" w:bidi="ar-SA"/>
              </w:rPr>
              <w:t>可行性较差、内容不全面，对项目实施重点和难点把握 较差，得5-1</w:t>
            </w:r>
            <w:bookmarkStart w:id="81" w:name="_GoBack"/>
            <w:bookmarkEnd w:id="81"/>
            <w:r>
              <w:rPr>
                <w:rFonts w:hint="eastAsia" w:ascii="仿宋" w:hAnsi="仿宋" w:eastAsia="仿宋" w:cs="仿宋"/>
                <w:b w:val="0"/>
                <w:bCs w:val="0"/>
                <w:color w:val="auto"/>
                <w:kern w:val="2"/>
                <w:sz w:val="24"/>
                <w:szCs w:val="24"/>
                <w:highlight w:val="none"/>
                <w:lang w:val="en-US" w:eastAsia="zh-CN" w:bidi="ar-SA"/>
              </w:rPr>
              <w:t>分；</w:t>
            </w:r>
            <w:r>
              <w:rPr>
                <w:rFonts w:hint="default" w:ascii="仿宋" w:hAnsi="仿宋" w:eastAsia="仿宋" w:cs="仿宋"/>
                <w:b w:val="0"/>
                <w:bCs w:val="0"/>
                <w:color w:val="auto"/>
                <w:kern w:val="2"/>
                <w:sz w:val="24"/>
                <w:szCs w:val="24"/>
                <w:highlight w:val="none"/>
                <w:lang w:eastAsia="zh-CN" w:bidi="ar-SA"/>
              </w:rPr>
              <w:t>不</w:t>
            </w:r>
            <w:r>
              <w:rPr>
                <w:rFonts w:hint="eastAsia" w:ascii="仿宋" w:hAnsi="仿宋" w:eastAsia="仿宋" w:cs="仿宋"/>
                <w:b w:val="0"/>
                <w:bCs w:val="0"/>
                <w:color w:val="auto"/>
                <w:kern w:val="2"/>
                <w:sz w:val="24"/>
                <w:szCs w:val="24"/>
                <w:highlight w:val="none"/>
                <w:lang w:val="en-US" w:eastAsia="zh-CN" w:bidi="ar-SA"/>
              </w:rPr>
              <w:t>提供</w:t>
            </w:r>
            <w:r>
              <w:rPr>
                <w:rFonts w:hint="default" w:ascii="仿宋" w:hAnsi="仿宋" w:eastAsia="仿宋" w:cs="仿宋"/>
                <w:b w:val="0"/>
                <w:bCs w:val="0"/>
                <w:color w:val="auto"/>
                <w:kern w:val="2"/>
                <w:sz w:val="24"/>
                <w:szCs w:val="24"/>
                <w:highlight w:val="none"/>
                <w:lang w:val="en-US" w:eastAsia="zh-CN" w:bidi="ar-SA"/>
              </w:rPr>
              <w:t>得</w:t>
            </w:r>
            <w:r>
              <w:rPr>
                <w:rFonts w:hint="default" w:ascii="仿宋" w:hAnsi="仿宋" w:eastAsia="仿宋" w:cs="仿宋"/>
                <w:b w:val="0"/>
                <w:bCs w:val="0"/>
                <w:color w:val="auto"/>
                <w:kern w:val="2"/>
                <w:sz w:val="24"/>
                <w:szCs w:val="24"/>
                <w:highlight w:val="none"/>
                <w:lang w:eastAsia="zh-CN" w:bidi="ar-SA"/>
              </w:rPr>
              <w:t>不得</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仿宋"/>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653" w:type="dxa"/>
            <w:vMerge w:val="continue"/>
            <w:noWrap w:val="0"/>
            <w:vAlign w:val="center"/>
          </w:tcPr>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spacing w:line="240" w:lineRule="auto"/>
              <w:jc w:val="cente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color w:val="000000"/>
                <w:sz w:val="24"/>
                <w:szCs w:val="24"/>
                <w:highlight w:val="none"/>
                <w:lang w:val="en-US" w:eastAsia="zh-CN"/>
              </w:rPr>
              <w:t>回收处置方案（10分）</w:t>
            </w:r>
          </w:p>
        </w:tc>
        <w:tc>
          <w:tcPr>
            <w:tcW w:w="6482" w:type="dxa"/>
            <w:noWrap w:val="0"/>
            <w:vAlign w:val="center"/>
          </w:tcPr>
          <w:p>
            <w:pPr>
              <w:widowControl/>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根据供应商对本项目的理解，具有针对本项目具体合理的、可行全面的回收处置方案，方案质量满足采购方服务需求，方案可行性强，内容全面合理，得10-7分；</w:t>
            </w:r>
          </w:p>
          <w:p>
            <w:pPr>
              <w:widowControl/>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方案可行性较强，内容较全面合理得6-3分；</w:t>
            </w:r>
          </w:p>
          <w:p>
            <w:pPr>
              <w:widowControl/>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方案可行性一般，内容一般全面合理得2-0分；</w:t>
            </w:r>
          </w:p>
          <w:p>
            <w:pPr>
              <w:tabs>
                <w:tab w:val="left" w:pos="220"/>
                <w:tab w:val="center" w:pos="411"/>
              </w:tabs>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方案可行性较差，内容不全面、合理性差或</w:t>
            </w:r>
            <w:r>
              <w:rPr>
                <w:rFonts w:hint="default" w:ascii="仿宋" w:hAnsi="仿宋" w:eastAsia="仿宋" w:cs="仿宋"/>
                <w:color w:val="000000"/>
                <w:sz w:val="24"/>
                <w:szCs w:val="24"/>
                <w:highlight w:val="none"/>
                <w:lang w:eastAsia="zh-CN"/>
              </w:rPr>
              <w:t>不</w:t>
            </w:r>
            <w:r>
              <w:rPr>
                <w:rFonts w:hint="eastAsia" w:ascii="仿宋" w:hAnsi="仿宋" w:eastAsia="仿宋" w:cs="仿宋"/>
                <w:color w:val="000000"/>
                <w:sz w:val="24"/>
                <w:szCs w:val="24"/>
                <w:highlight w:val="none"/>
                <w:lang w:val="en-US" w:eastAsia="zh-CN"/>
              </w:rPr>
              <w:t>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53" w:type="dxa"/>
            <w:vMerge w:val="continue"/>
            <w:noWrap w:val="0"/>
            <w:vAlign w:val="center"/>
          </w:tcPr>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 w:val="24"/>
                <w:szCs w:val="21"/>
                <w:lang w:val="en-US" w:eastAsia="zh-CN" w:bidi="ar-SA"/>
              </w:rPr>
            </w:pPr>
            <w:r>
              <w:rPr>
                <w:rFonts w:hint="eastAsia" w:ascii="仿宋" w:hAnsi="仿宋" w:eastAsia="仿宋" w:cs="仿宋"/>
                <w:color w:val="auto"/>
                <w:szCs w:val="21"/>
                <w:lang w:val="en-US" w:eastAsia="zh-CN" w:bidi="ar-SA"/>
              </w:rPr>
              <w:t>地膜推广方案（10分）</w:t>
            </w:r>
          </w:p>
        </w:tc>
        <w:tc>
          <w:tcPr>
            <w:tcW w:w="6482"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1"/>
                <w:lang w:val="en-US" w:eastAsia="zh-CN" w:bidi="ar-SA"/>
              </w:rPr>
              <w:t>提供的地膜推广方案全面可行，思路逻辑性和可执行性强，内容全面且细化，对重点难点的解决措施细致且全面，服务方案可执行性强的得10-7分；</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1"/>
                <w:lang w:val="en-US" w:eastAsia="zh-CN" w:bidi="ar-SA"/>
              </w:rPr>
              <w:t>提供的地膜推广方案方案科学具体，思路针对性强且内容较为细化，对重点难点的解决措施合理且细化，服务方案具备较强的可操作性得6-3分；</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3.</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1"/>
                <w:lang w:val="en-US" w:eastAsia="zh-CN" w:bidi="ar-SA"/>
              </w:rPr>
              <w:t>提供的地膜推广方案方案简单，基本体现项目重点、思路描述简单、重点难点介绍简单、重点难点解决措施一般、服务方案一般，可行性尚需求研究得2-0分。</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1"/>
                <w:lang w:val="en-US" w:eastAsia="zh-CN" w:bidi="ar-SA"/>
              </w:rPr>
            </w:pPr>
            <w:r>
              <w:rPr>
                <w:rFonts w:hint="eastAsia" w:ascii="仿宋" w:hAnsi="仿宋" w:eastAsia="仿宋" w:cs="仿宋"/>
                <w:color w:val="auto"/>
                <w:sz w:val="24"/>
                <w:szCs w:val="21"/>
                <w:lang w:val="en-US" w:eastAsia="zh-CN" w:bidi="ar-SA"/>
              </w:rPr>
              <w:t>4.不提供或未达到要求不得分。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53" w:type="dxa"/>
            <w:vMerge w:val="continue"/>
            <w:noWrap w:val="0"/>
            <w:vAlign w:val="center"/>
          </w:tcPr>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人员配置</w:t>
            </w:r>
          </w:p>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color w:val="auto"/>
                <w:sz w:val="24"/>
                <w:szCs w:val="21"/>
                <w:lang w:val="en-US" w:eastAsia="zh-CN" w:bidi="ar-SA"/>
              </w:rPr>
            </w:pPr>
            <w:r>
              <w:rPr>
                <w:rFonts w:hint="eastAsia" w:ascii="仿宋" w:hAnsi="仿宋" w:eastAsia="仿宋" w:cs="仿宋"/>
                <w:color w:val="auto"/>
                <w:szCs w:val="21"/>
                <w:lang w:val="en-US" w:eastAsia="zh-CN" w:bidi="ar-SA"/>
              </w:rPr>
              <w:t>（10分）</w:t>
            </w:r>
          </w:p>
        </w:tc>
        <w:tc>
          <w:tcPr>
            <w:tcW w:w="6482" w:type="dxa"/>
            <w:noWrap w:val="0"/>
            <w:vAlign w:val="top"/>
          </w:tcPr>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为本项目专门配备服务人员(可包括管理人员、技术人员、服务保障人员、高强度加厚地膜、示范应用全生物降解地膜推广服务人员等)，人员数量≥10人的得满分10分，每减少1人扣1分，扣完为止。</w:t>
            </w:r>
          </w:p>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 w:val="24"/>
                <w:szCs w:val="21"/>
                <w:lang w:val="zh-CN" w:eastAsia="zh-CN" w:bidi="ar-SA"/>
              </w:rPr>
            </w:pPr>
            <w:r>
              <w:rPr>
                <w:rFonts w:hint="eastAsia" w:ascii="仿宋" w:hAnsi="仿宋" w:eastAsia="仿宋" w:cs="仿宋"/>
                <w:color w:val="auto"/>
                <w:szCs w:val="21"/>
                <w:lang w:val="en-US" w:eastAsia="zh-CN" w:bidi="ar-SA"/>
              </w:rPr>
              <w:t>注：需提供近3个月人员社保证明，</w:t>
            </w:r>
            <w:r>
              <w:rPr>
                <w:rFonts w:hint="default" w:ascii="仿宋" w:hAnsi="仿宋" w:eastAsia="仿宋" w:cs="仿宋"/>
                <w:color w:val="auto"/>
                <w:szCs w:val="21"/>
                <w:lang w:eastAsia="zh-CN" w:bidi="ar-SA"/>
              </w:rPr>
              <w:t>不</w:t>
            </w:r>
            <w:r>
              <w:rPr>
                <w:rFonts w:hint="eastAsia" w:ascii="仿宋" w:hAnsi="仿宋" w:eastAsia="仿宋" w:cs="仿宋"/>
                <w:color w:val="auto"/>
                <w:szCs w:val="21"/>
                <w:lang w:val="en-US" w:eastAsia="zh-CN" w:bidi="ar-SA"/>
              </w:rPr>
              <w:t>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53" w:type="dxa"/>
            <w:vMerge w:val="continue"/>
            <w:noWrap w:val="0"/>
            <w:vAlign w:val="center"/>
          </w:tcPr>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服务期间的</w:t>
            </w:r>
          </w:p>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响应时间</w:t>
            </w:r>
          </w:p>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Cs w:val="21"/>
                <w:lang w:val="zh-CN" w:eastAsia="zh-CN" w:bidi="ar-SA"/>
              </w:rPr>
            </w:pPr>
            <w:r>
              <w:rPr>
                <w:rFonts w:hint="eastAsia" w:ascii="仿宋" w:hAnsi="仿宋" w:eastAsia="仿宋" w:cs="仿宋"/>
                <w:color w:val="auto"/>
                <w:szCs w:val="21"/>
                <w:lang w:val="en-US" w:eastAsia="zh-CN" w:bidi="ar-SA"/>
              </w:rPr>
              <w:t>（8分）</w:t>
            </w:r>
          </w:p>
        </w:tc>
        <w:tc>
          <w:tcPr>
            <w:tcW w:w="6482"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供应商承诺到达采购人指定地点响应时间：</w:t>
            </w:r>
          </w:p>
          <w:p>
            <w:pPr>
              <w:keepNext w:val="0"/>
              <w:keepLines w:val="0"/>
              <w:pageBreakBefore w:val="0"/>
              <w:widowControl w:val="0"/>
              <w:numPr>
                <w:ilvl w:val="0"/>
                <w:numId w:val="0"/>
              </w:numPr>
              <w:kinsoku/>
              <w:wordWrap/>
              <w:overflowPunct/>
              <w:topLinePunct w:val="0"/>
              <w:bidi w:val="0"/>
              <w:snapToGrid/>
              <w:spacing w:line="360" w:lineRule="exact"/>
              <w:jc w:val="lef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3小时内到达采购人指定地点的得8分；</w:t>
            </w:r>
          </w:p>
          <w:p>
            <w:pPr>
              <w:keepNext w:val="0"/>
              <w:keepLines w:val="0"/>
              <w:pageBreakBefore w:val="0"/>
              <w:widowControl w:val="0"/>
              <w:numPr>
                <w:ilvl w:val="0"/>
                <w:numId w:val="0"/>
              </w:numPr>
              <w:kinsoku/>
              <w:wordWrap/>
              <w:overflowPunct/>
              <w:topLinePunct w:val="0"/>
              <w:bidi w:val="0"/>
              <w:snapToGrid/>
              <w:spacing w:line="360" w:lineRule="exact"/>
              <w:jc w:val="lef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5小时内到达采购人指定地点的5分；</w:t>
            </w:r>
          </w:p>
          <w:p>
            <w:pPr>
              <w:keepNext w:val="0"/>
              <w:keepLines w:val="0"/>
              <w:pageBreakBefore w:val="0"/>
              <w:widowControl w:val="0"/>
              <w:numPr>
                <w:ilvl w:val="0"/>
                <w:numId w:val="0"/>
              </w:numPr>
              <w:kinsoku/>
              <w:wordWrap/>
              <w:overflowPunct/>
              <w:topLinePunct w:val="0"/>
              <w:bidi w:val="0"/>
              <w:snapToGrid/>
              <w:spacing w:line="360" w:lineRule="exact"/>
              <w:jc w:val="lef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7小时内到达采购人指定地点的得2分；</w:t>
            </w:r>
          </w:p>
          <w:p>
            <w:pPr>
              <w:keepNext w:val="0"/>
              <w:keepLines w:val="0"/>
              <w:pageBreakBefore w:val="0"/>
              <w:widowControl w:val="0"/>
              <w:numPr>
                <w:ilvl w:val="0"/>
                <w:numId w:val="0"/>
              </w:numPr>
              <w:kinsoku/>
              <w:wordWrap/>
              <w:overflowPunct/>
              <w:topLinePunct w:val="0"/>
              <w:bidi w:val="0"/>
              <w:snapToGrid/>
              <w:spacing w:line="360" w:lineRule="exact"/>
              <w:jc w:val="left"/>
              <w:textAlignment w:val="auto"/>
              <w:rPr>
                <w:rFonts w:hint="eastAsia" w:ascii="仿宋" w:hAnsi="仿宋" w:eastAsia="仿宋" w:cs="仿宋"/>
                <w:color w:val="auto"/>
                <w:szCs w:val="21"/>
                <w:lang w:val="en-US" w:eastAsia="zh-CN" w:bidi="ar-SA"/>
              </w:rPr>
            </w:pPr>
            <w:r>
              <w:rPr>
                <w:rFonts w:hint="eastAsia" w:ascii="仿宋" w:hAnsi="仿宋" w:eastAsia="仿宋" w:cs="仿宋"/>
                <w:color w:val="auto"/>
                <w:szCs w:val="21"/>
                <w:lang w:val="en-US" w:eastAsia="zh-CN" w:bidi="ar-SA"/>
              </w:rPr>
              <w:t xml:space="preserve">8小时内到达采购人指定地点的得 1 分。 </w:t>
            </w:r>
          </w:p>
          <w:p>
            <w:pPr>
              <w:keepNext w:val="0"/>
              <w:keepLines w:val="0"/>
              <w:pageBreakBefore w:val="0"/>
              <w:widowControl w:val="0"/>
              <w:numPr>
                <w:ilvl w:val="0"/>
                <w:numId w:val="0"/>
              </w:numPr>
              <w:kinsoku/>
              <w:wordWrap/>
              <w:overflowPunct/>
              <w:topLinePunct w:val="0"/>
              <w:bidi w:val="0"/>
              <w:snapToGrid/>
              <w:spacing w:line="360" w:lineRule="exact"/>
              <w:jc w:val="left"/>
              <w:textAlignment w:val="auto"/>
              <w:rPr>
                <w:rFonts w:hint="eastAsia" w:ascii="仿宋" w:hAnsi="仿宋" w:eastAsia="仿宋" w:cs="仿宋"/>
                <w:color w:val="auto"/>
                <w:szCs w:val="21"/>
                <w:lang w:val="zh-CN" w:eastAsia="zh-CN" w:bidi="ar-SA"/>
              </w:rPr>
            </w:pPr>
            <w:r>
              <w:rPr>
                <w:rFonts w:hint="eastAsia" w:ascii="仿宋" w:hAnsi="仿宋" w:eastAsia="仿宋" w:cs="仿宋"/>
                <w:color w:val="auto"/>
                <w:szCs w:val="21"/>
                <w:lang w:val="en-US" w:eastAsia="zh-CN" w:bidi="ar-SA"/>
              </w:rPr>
              <w:t>注：提供承诺函加投标供应商公章，</w:t>
            </w:r>
            <w:r>
              <w:rPr>
                <w:rFonts w:hint="default" w:ascii="仿宋" w:hAnsi="仿宋" w:eastAsia="仿宋" w:cs="仿宋"/>
                <w:color w:val="auto"/>
                <w:szCs w:val="21"/>
                <w:lang w:eastAsia="zh-CN" w:bidi="ar-SA"/>
              </w:rPr>
              <w:t>不</w:t>
            </w:r>
            <w:r>
              <w:rPr>
                <w:rFonts w:hint="eastAsia" w:ascii="仿宋" w:hAnsi="仿宋" w:eastAsia="仿宋" w:cs="仿宋"/>
                <w:color w:val="auto"/>
                <w:szCs w:val="21"/>
                <w:lang w:val="en-US" w:eastAsia="zh-CN" w:bidi="ar-SA"/>
              </w:rPr>
              <w:t xml:space="preserve">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653" w:type="dxa"/>
            <w:vMerge w:val="continue"/>
            <w:noWrap w:val="0"/>
            <w:vAlign w:val="center"/>
          </w:tcPr>
          <w:p>
            <w:pPr>
              <w:spacing w:line="440" w:lineRule="exact"/>
              <w:ind w:firstLine="623" w:firstLineChars="257"/>
              <w:jc w:val="center"/>
              <w:rPr>
                <w:rFonts w:ascii="仿宋" w:hAnsi="仿宋" w:eastAsia="仿宋" w:cs="仿宋"/>
                <w:color w:val="auto"/>
                <w:sz w:val="24"/>
                <w:szCs w:val="24"/>
                <w:lang w:eastAsia="zh-CN" w:bidi="ar-SA"/>
              </w:rPr>
            </w:pPr>
          </w:p>
        </w:tc>
        <w:tc>
          <w:tcPr>
            <w:tcW w:w="1995" w:type="dxa"/>
            <w:noWrap w:val="0"/>
            <w:vAlign w:val="center"/>
          </w:tcPr>
          <w:p>
            <w:pPr>
              <w:jc w:val="center"/>
              <w:rPr>
                <w:rFonts w:hint="default" w:ascii="仿宋" w:hAnsi="仿宋" w:eastAsia="仿宋" w:cs="仿宋"/>
                <w:color w:val="auto"/>
                <w:szCs w:val="21"/>
                <w:lang w:eastAsia="zh-CN" w:bidi="ar-SA"/>
              </w:rPr>
            </w:pPr>
            <w:r>
              <w:rPr>
                <w:rFonts w:hint="eastAsia" w:ascii="仿宋" w:hAnsi="仿宋" w:eastAsia="仿宋" w:cs="仿宋"/>
                <w:sz w:val="24"/>
                <w:szCs w:val="24"/>
              </w:rPr>
              <w:t>应急预案</w:t>
            </w:r>
            <w:r>
              <w:rPr>
                <w:rFonts w:hint="default" w:ascii="仿宋" w:hAnsi="仿宋" w:eastAsia="仿宋" w:cs="仿宋"/>
                <w:sz w:val="24"/>
                <w:szCs w:val="24"/>
              </w:rPr>
              <w:t>（</w:t>
            </w:r>
            <w:r>
              <w:rPr>
                <w:rFonts w:hint="eastAsia" w:ascii="仿宋" w:hAnsi="仿宋" w:eastAsia="仿宋" w:cs="仿宋"/>
                <w:sz w:val="24"/>
                <w:szCs w:val="24"/>
                <w:lang w:val="en-US" w:eastAsia="zh-CN"/>
              </w:rPr>
              <w:t>6</w:t>
            </w:r>
            <w:r>
              <w:rPr>
                <w:rFonts w:hint="default" w:ascii="仿宋" w:hAnsi="仿宋" w:eastAsia="仿宋" w:cs="仿宋"/>
                <w:sz w:val="24"/>
                <w:szCs w:val="24"/>
              </w:rPr>
              <w:t>分）</w:t>
            </w:r>
          </w:p>
        </w:tc>
        <w:tc>
          <w:tcPr>
            <w:tcW w:w="6482" w:type="dxa"/>
            <w:noWrap w:val="0"/>
            <w:vAlign w:val="center"/>
          </w:tcPr>
          <w:p>
            <w:pPr>
              <w:jc w:val="left"/>
              <w:rPr>
                <w:rFonts w:hint="eastAsia" w:ascii="仿宋" w:hAnsi="仿宋" w:eastAsia="仿宋" w:cs="仿宋"/>
                <w:color w:val="auto"/>
                <w:szCs w:val="21"/>
                <w:lang w:val="en-US" w:eastAsia="zh-CN" w:bidi="ar-SA"/>
              </w:rPr>
            </w:pPr>
            <w:r>
              <w:rPr>
                <w:rFonts w:hint="eastAsia" w:ascii="仿宋" w:hAnsi="仿宋" w:eastAsia="仿宋" w:cs="仿宋"/>
                <w:sz w:val="24"/>
                <w:szCs w:val="24"/>
              </w:rPr>
              <w:t>根据</w:t>
            </w:r>
            <w:r>
              <w:rPr>
                <w:rFonts w:hint="default" w:ascii="仿宋" w:hAnsi="仿宋" w:eastAsia="仿宋" w:cs="仿宋"/>
                <w:sz w:val="24"/>
                <w:szCs w:val="24"/>
              </w:rPr>
              <w:t>供应商</w:t>
            </w:r>
            <w:r>
              <w:rPr>
                <w:rFonts w:hint="eastAsia" w:ascii="仿宋" w:hAnsi="仿宋" w:eastAsia="仿宋" w:cs="仿宋"/>
                <w:sz w:val="24"/>
                <w:szCs w:val="24"/>
              </w:rPr>
              <w:t>对本项目所提出的应急预案(包括应急措施，可能出现的风险的规避措施、应急人员配备等)进行综合比较，内容完善具有针对性，内容叙述详细的得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一般得3分，较差得1分</w:t>
            </w:r>
            <w:r>
              <w:rPr>
                <w:rFonts w:hint="eastAsia" w:ascii="仿宋" w:hAnsi="仿宋" w:eastAsia="仿宋" w:cs="仿宋"/>
                <w:sz w:val="24"/>
                <w:szCs w:val="24"/>
              </w:rPr>
              <w:t>。</w:t>
            </w:r>
            <w:r>
              <w:rPr>
                <w:rFonts w:hint="default" w:ascii="仿宋" w:hAnsi="仿宋" w:eastAsia="仿宋" w:cs="仿宋"/>
                <w:sz w:val="24"/>
                <w:szCs w:val="24"/>
              </w:rPr>
              <w:t>不</w:t>
            </w:r>
            <w:r>
              <w:rPr>
                <w:rFonts w:hint="eastAsia" w:ascii="仿宋" w:hAnsi="仿宋" w:eastAsia="仿宋" w:cs="仿宋"/>
                <w:sz w:val="24"/>
                <w:szCs w:val="24"/>
                <w:lang w:val="en-US" w:eastAsia="zh-CN"/>
              </w:rPr>
              <w:t>提供不得分</w:t>
            </w:r>
          </w:p>
        </w:tc>
      </w:tr>
    </w:tbl>
    <w:p>
      <w:pPr>
        <w:keepNext w:val="0"/>
        <w:keepLines w:val="0"/>
        <w:pageBreakBefore w:val="0"/>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pPr>
        <w:pStyle w:val="44"/>
        <w:keepNext w:val="0"/>
        <w:keepLines w:val="0"/>
        <w:pageBreakBefore w:val="0"/>
        <w:tabs>
          <w:tab w:val="left" w:pos="1701"/>
        </w:tabs>
        <w:kinsoku/>
        <w:wordWrap/>
        <w:overflowPunct/>
        <w:topLinePunct w:val="0"/>
        <w:autoSpaceDE/>
        <w:autoSpaceDN/>
        <w:bidi w:val="0"/>
        <w:adjustRightInd/>
        <w:spacing w:line="400" w:lineRule="exact"/>
        <w:ind w:left="0"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pPr>
        <w:keepNext w:val="0"/>
        <w:keepLines w:val="0"/>
        <w:pageBreakBefore w:val="0"/>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投标报价得分=（评标基准价/投标报价）×价格权重。</w:t>
      </w:r>
    </w:p>
    <w:p>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46"/>
      <w:bookmarkEnd w:id="47"/>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pPr>
        <w:keepNext w:val="0"/>
        <w:keepLines w:val="0"/>
        <w:pageBreakBefore w:val="0"/>
        <w:kinsoku/>
        <w:wordWrap/>
        <w:overflowPunct/>
        <w:topLinePunct w:val="0"/>
        <w:autoSpaceDE/>
        <w:autoSpaceDN/>
        <w:bidi w:val="0"/>
        <w:adjustRightInd/>
        <w:spacing w:line="400" w:lineRule="exact"/>
        <w:ind w:firstLine="475" w:firstLineChars="196"/>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41"/>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(4)投标报价超出规定的投标限价或公布的采购预算的；注：供应商的投标报价各项单价均不得高于磋商文件给定的单价最高限价，否则，其投标文件将按无效投标处理。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pPr>
        <w:keepNext w:val="0"/>
        <w:keepLines w:val="0"/>
        <w:pageBreakBefore w:val="0"/>
        <w:tabs>
          <w:tab w:val="left" w:pos="1123"/>
        </w:tabs>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pPr>
        <w:jc w:val="center"/>
        <w:rPr>
          <w:rFonts w:hint="eastAsia" w:ascii="仿宋" w:hAnsi="仿宋" w:eastAsia="仿宋" w:cs="仿宋"/>
          <w:b/>
          <w:bCs/>
          <w:color w:val="auto"/>
          <w:sz w:val="36"/>
          <w:szCs w:val="36"/>
        </w:rPr>
      </w:pPr>
      <w:bookmarkStart w:id="48" w:name="_Toc469495737"/>
      <w:bookmarkStart w:id="49" w:name="OLE_LINK4"/>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p>
    <w:p>
      <w:pPr>
        <w:jc w:val="both"/>
        <w:rPr>
          <w:rFonts w:hint="eastAsia" w:ascii="仿宋" w:hAnsi="仿宋" w:eastAsia="仿宋" w:cs="仿宋"/>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460" w:lineRule="exact"/>
        <w:ind w:firstLine="966" w:firstLineChars="200"/>
        <w:jc w:val="center"/>
        <w:textAlignment w:val="auto"/>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 xml:space="preserve">第四章 </w:t>
      </w:r>
      <w:r>
        <w:rPr>
          <w:rFonts w:hint="eastAsia" w:ascii="仿宋" w:hAnsi="仿宋" w:eastAsia="仿宋" w:cs="仿宋"/>
          <w:b/>
          <w:bCs/>
          <w:color w:val="auto"/>
          <w:sz w:val="48"/>
          <w:szCs w:val="48"/>
          <w:lang w:val="en-US" w:eastAsia="zh-CN"/>
        </w:rPr>
        <w:t>服务</w:t>
      </w:r>
      <w:r>
        <w:rPr>
          <w:rFonts w:hint="eastAsia" w:ascii="仿宋" w:hAnsi="仿宋" w:eastAsia="仿宋" w:cs="仿宋"/>
          <w:b/>
          <w:bCs/>
          <w:color w:val="auto"/>
          <w:sz w:val="48"/>
          <w:szCs w:val="48"/>
          <w:lang w:eastAsia="zh-CN"/>
        </w:rPr>
        <w:t>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lang w:val="zh-CN" w:eastAsia="zh-CN"/>
        </w:rPr>
      </w:pPr>
      <w:r>
        <w:rPr>
          <w:rFonts w:hint="eastAsia" w:ascii="仿宋" w:hAnsi="仿宋" w:eastAsia="仿宋" w:cs="仿宋"/>
          <w:b/>
          <w:bCs/>
          <w:color w:val="auto"/>
          <w:lang w:val="en-US" w:eastAsia="zh-CN"/>
        </w:rPr>
        <w:t>一、旧膜回收再加工处置服务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本项目主要在阿图什市格达良乡、松他克镇、阿扎克镇等三个乡镇实施农田废旧地膜回收工作。同时进行服务能力建设，向社会、农户宣传国家激励政策和推广废旧地膜污染治理技术，增强农民主体意识，大力提高技术服务水平。</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en-US" w:eastAsia="zh-CN"/>
        </w:rPr>
        <w:t>2.项目实施内容主要是通过补助、宣传、培训、示范等推广农田地膜回收，实现废旧农膜污染得到一定控制。具有再生资源回收资质、</w:t>
      </w:r>
      <w:r>
        <w:rPr>
          <w:rFonts w:hint="eastAsia" w:ascii="仿宋" w:hAnsi="仿宋" w:eastAsia="仿宋" w:cs="仿宋"/>
          <w:color w:val="auto"/>
          <w:lang w:val="zh-CN" w:eastAsia="zh-CN"/>
        </w:rPr>
        <w:t>有经营管理再生资源回收利用的成功经验，完善的企业管理制度；具备与回收规模相适应的</w:t>
      </w:r>
      <w:r>
        <w:rPr>
          <w:rFonts w:hint="eastAsia" w:ascii="仿宋" w:hAnsi="仿宋" w:eastAsia="仿宋" w:cs="仿宋"/>
          <w:color w:val="auto"/>
          <w:lang w:val="en-US" w:eastAsia="zh-CN"/>
        </w:rPr>
        <w:t>储存运输</w:t>
      </w:r>
      <w:r>
        <w:rPr>
          <w:rFonts w:hint="eastAsia" w:ascii="仿宋" w:hAnsi="仿宋" w:eastAsia="仿宋" w:cs="仿宋"/>
          <w:color w:val="auto"/>
          <w:lang w:val="zh-CN" w:eastAsia="zh-CN"/>
        </w:rPr>
        <w:t>能力；近3年内未被列入严重违法失信企业名单；具有完善的生产、安全、仓储管理制度；无失信、诉讼等不良记录</w:t>
      </w:r>
      <w:r>
        <w:rPr>
          <w:rFonts w:hint="eastAsia" w:ascii="仿宋" w:hAnsi="仿宋" w:eastAsia="仿宋" w:cs="仿宋"/>
          <w:color w:val="auto"/>
          <w:lang w:val="en-US" w:eastAsia="zh-CN"/>
        </w:rPr>
        <w:t>的企业参与，制定合理的旧膜回收绿色环保处理措施，加强农民技术培训，加大农户宣传和执法力度等，实现废旧地膜应收尽收，严格控制农田地膜继续污染。 努力实现保护农业生态环境，发展农业清洁生产，促进农村循环经济，提高农牧民生活质量的目标。</w:t>
      </w:r>
      <w:r>
        <w:rPr>
          <w:rFonts w:hint="eastAsia" w:ascii="仿宋" w:hAnsi="仿宋" w:eastAsia="仿宋" w:cs="仿宋"/>
          <w:color w:val="auto"/>
          <w:lang w:val="zh-CN" w:eastAsia="zh-CN"/>
        </w:rPr>
        <w:t>实现全市废弃农膜回收率达到8</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%以上，残留率小于15%，完成</w:t>
      </w:r>
      <w:r>
        <w:rPr>
          <w:rFonts w:hint="eastAsia" w:ascii="仿宋" w:hAnsi="仿宋" w:eastAsia="仿宋" w:cs="仿宋"/>
          <w:color w:val="auto"/>
          <w:lang w:val="en-US" w:eastAsia="zh-CN"/>
        </w:rPr>
        <w:t>旧膜回收再加工处置</w:t>
      </w:r>
      <w:r>
        <w:rPr>
          <w:rFonts w:hint="eastAsia" w:ascii="仿宋" w:hAnsi="仿宋" w:eastAsia="仿宋" w:cs="仿宋"/>
          <w:color w:val="auto"/>
          <w:lang w:val="zh-CN" w:eastAsia="zh-CN"/>
        </w:rPr>
        <w:t>任务。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二、地膜推广服务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委托第三方对我市5万亩农田使用（≥0.015mm）加厚高强度地膜及0.1万亩全生物降解地膜的应用推广。对农户科学使用地膜的意识及土地中残留地膜会对农作物减产的影响进行推广宣传，同时加强农户地膜使用方面的技术培训。实现加厚高强度地膜及全生物降解地膜的全面应用                                   </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本项目以政府补助资金为引领，中标企业负责推广5万亩农田（≥0.015mm）加厚高强度地膜及0.1万亩全生物降解地膜的全面覆盖任务。5万亩（≥0.015mm）高强度加厚地膜，农户使用高强度加厚地膜每亩补助24元。示范应用全生物降解地膜0.1万亩，农户使用全生物降解地膜每亩补助50元（地膜使用者履行主体责任，使用加厚地膜、回收废旧地膜为标准）。</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3.做好加厚高强度地膜推广宣传，提高当地农户的使用技术及残留地膜对农作物减收减产的危害意识宣传及使用全生物降解地膜减少农田污染，降低成本，增加产量，降低农作物种植成本，提高收入等的宣传。</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注：</w:t>
      </w:r>
      <w:r>
        <w:rPr>
          <w:rFonts w:hint="default" w:ascii="仿宋" w:hAnsi="仿宋" w:eastAsia="仿宋" w:cs="仿宋"/>
          <w:color w:val="auto"/>
          <w:lang w:val="en-US" w:eastAsia="zh-CN"/>
        </w:rPr>
        <w:t>加厚高强度地膜使用时间和力学性能指标不低于《聚乙烯吹塑农用地面覆盖薄膜》（GB13735-2017)中I类耐老化地膜有关要求，且有效覆盖使用时间不低于360天，使用后最大拉伸负荷、断裂标称应变等力学性能指标不少于标准规定的初始值的80%,保障地膜使用后能够有效回收。</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示范应用全生物降解地膜符合GB/T35795-2017国家标准的全生物降解地膜（主要成分为具有完全降解特性的脂肪族聚酯、脂肪族一芳香族共聚酯等生物质材料，不得含有聚乙烯、聚丙烯等烯烃类原料，可加入适当比例的淀粉、纤维素等，以及其他无环境危害的无机填充物）。原则上，产品水蒸气透过率400克／㎡.24h以下，有效使用寿命在120天以上。</w:t>
      </w:r>
    </w:p>
    <w:p>
      <w:pPr>
        <w:pStyle w:val="7"/>
        <w:rPr>
          <w:lang w:eastAsia="zh-CN"/>
        </w:rPr>
      </w:pPr>
    </w:p>
    <w:bookmarkEnd w:id="42"/>
    <w:bookmarkEnd w:id="48"/>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lang w:eastAsia="zh-CN"/>
        </w:rPr>
      </w:pPr>
      <w:bookmarkStart w:id="50" w:name="_Toc340225294"/>
      <w:bookmarkStart w:id="51" w:name="_Toc267320052"/>
      <w:r>
        <w:rPr>
          <w:rFonts w:hint="eastAsia" w:ascii="仿宋" w:hAnsi="仿宋" w:eastAsia="仿宋" w:cs="仿宋"/>
          <w:b/>
          <w:bCs/>
          <w:color w:val="auto"/>
          <w:lang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）服务期：</w:t>
      </w:r>
      <w:r>
        <w:rPr>
          <w:rFonts w:hint="eastAsia" w:ascii="仿宋" w:hAnsi="仿宋" w:eastAsia="仿宋" w:cs="仿宋"/>
          <w:color w:val="auto"/>
          <w:u w:val="single"/>
          <w:lang w:val="en-US" w:eastAsia="zh-CN"/>
        </w:rPr>
        <w:t>1年</w:t>
      </w:r>
      <w:r>
        <w:rPr>
          <w:rFonts w:hint="eastAsia" w:ascii="仿宋" w:hAnsi="仿宋" w:eastAsia="仿宋" w:cs="仿宋"/>
          <w:color w:val="auto"/>
          <w:lang w:val="en-US" w:eastAsia="zh-CN"/>
        </w:rPr>
        <w:t>，（具体按照甲乙双方签订合同执行）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ascii="仿宋" w:hAnsi="仿宋" w:eastAsia="仿宋" w:cs="仿宋"/>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二</w:t>
      </w:r>
      <w:r>
        <w:rPr>
          <w:rFonts w:hint="eastAsia" w:ascii="仿宋" w:hAnsi="仿宋" w:eastAsia="仿宋" w:cs="仿宋"/>
          <w:b/>
          <w:bCs/>
          <w:color w:val="auto"/>
          <w:lang w:eastAsia="zh-CN"/>
        </w:rPr>
        <w:t>）实施（交货）地点</w:t>
      </w:r>
      <w:r>
        <w:rPr>
          <w:rFonts w:hint="eastAsia" w:ascii="仿宋" w:hAnsi="仿宋" w:eastAsia="仿宋" w:cs="仿宋"/>
          <w:color w:val="auto"/>
          <w:lang w:eastAsia="zh-CN"/>
        </w:rPr>
        <w:t xml:space="preserve"> ：甲方指定地点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lang w:eastAsia="zh-CN"/>
        </w:rPr>
      </w:pPr>
      <w:r>
        <w:rPr>
          <w:rFonts w:hint="eastAsia" w:ascii="仿宋" w:hAnsi="仿宋" w:eastAsia="仿宋" w:cs="仿宋"/>
          <w:b/>
          <w:bCs/>
          <w:color w:val="auto"/>
          <w:lang w:eastAsia="zh-CN"/>
        </w:rPr>
        <w:t>（三）报价要求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lang w:eastAsia="zh-CN"/>
        </w:rPr>
      </w:pPr>
      <w:r>
        <w:rPr>
          <w:rFonts w:hint="eastAsia" w:ascii="仿宋" w:hAnsi="仿宋" w:eastAsia="仿宋" w:cs="仿宋"/>
          <w:color w:val="auto"/>
          <w:lang w:eastAsia="zh-CN"/>
        </w:rPr>
        <w:t>本次报价为人民币报价，投标报价应包括：</w:t>
      </w:r>
      <w:r>
        <w:rPr>
          <w:rFonts w:hint="eastAsia" w:ascii="仿宋" w:hAnsi="仿宋" w:eastAsia="仿宋" w:cs="仿宋"/>
          <w:color w:val="auto"/>
          <w:lang w:val="en-US" w:eastAsia="zh-CN"/>
        </w:rPr>
        <w:t>服务</w:t>
      </w:r>
      <w:r>
        <w:rPr>
          <w:rFonts w:hint="eastAsia" w:ascii="仿宋" w:hAnsi="仿宋" w:eastAsia="仿宋" w:cs="仿宋"/>
          <w:color w:val="auto"/>
          <w:lang w:eastAsia="zh-CN"/>
        </w:rPr>
        <w:t>本身价格、保险费用、培训费、养护费、包装费、运输费用、二次搬运费、装卸费、损耗、税金费用、自检费、人工费、其他配件费及验收合格前和质保期内发生的一切费用、应当提供的伴随服务/售后服务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lang w:eastAsia="zh-CN"/>
        </w:rPr>
      </w:pPr>
      <w:r>
        <w:rPr>
          <w:rFonts w:hint="eastAsia" w:ascii="仿宋" w:hAnsi="仿宋" w:eastAsia="仿宋" w:cs="仿宋"/>
          <w:b/>
          <w:bCs/>
          <w:color w:val="auto"/>
          <w:lang w:eastAsia="zh-CN"/>
        </w:rPr>
        <w:t>（四）质保要求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必须达到国家和行业规定标准及竞争性磋商文件中规定的要求标准，并通过验收。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b/>
          <w:bCs w:val="0"/>
          <w:color w:val="auto"/>
          <w:szCs w:val="21"/>
          <w:lang w:val="en-US" w:eastAsia="zh-CN"/>
        </w:rPr>
      </w:pPr>
      <w:r>
        <w:rPr>
          <w:rFonts w:hint="eastAsia" w:ascii="Times New Roman" w:hAnsi="Times New Roman" w:eastAsia="仿宋" w:cs="Times New Roman"/>
          <w:b/>
          <w:bCs w:val="0"/>
          <w:color w:val="auto"/>
          <w:szCs w:val="21"/>
          <w:lang w:val="en-US" w:eastAsia="zh-CN"/>
        </w:rPr>
        <w:t>（</w:t>
      </w:r>
      <w:r>
        <w:rPr>
          <w:rFonts w:hint="eastAsia" w:eastAsia="仿宋" w:cs="Times New Roman"/>
          <w:b/>
          <w:bCs w:val="0"/>
          <w:color w:val="auto"/>
          <w:szCs w:val="21"/>
          <w:lang w:val="en-US" w:eastAsia="zh-CN"/>
        </w:rPr>
        <w:t>五</w:t>
      </w:r>
      <w:r>
        <w:rPr>
          <w:rFonts w:hint="eastAsia" w:ascii="Times New Roman" w:hAnsi="Times New Roman" w:eastAsia="仿宋" w:cs="Times New Roman"/>
          <w:b/>
          <w:bCs w:val="0"/>
          <w:color w:val="auto"/>
          <w:szCs w:val="21"/>
          <w:lang w:val="en-US" w:eastAsia="zh-CN"/>
        </w:rPr>
        <w:t>）付款方式</w:t>
      </w:r>
      <w:bookmarkStart w:id="52" w:name="_Toc8238"/>
      <w:bookmarkStart w:id="53" w:name="_Toc21807"/>
      <w:bookmarkStart w:id="54" w:name="_Toc16945"/>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bCs/>
          <w:color w:val="auto"/>
          <w:szCs w:val="21"/>
          <w:lang w:val="en-US" w:eastAsia="zh-CN"/>
        </w:rPr>
      </w:pPr>
      <w:r>
        <w:rPr>
          <w:rFonts w:hint="eastAsia" w:ascii="仿宋" w:hAnsi="仿宋" w:eastAsia="仿宋" w:cs="仿宋"/>
          <w:color w:val="auto"/>
          <w:lang w:val="en-US" w:eastAsia="zh-CN"/>
        </w:rPr>
        <w:t>签订合同后预付合同总价款的50%，推广任务及回收任务完成验收合格后付合同总价款的30%，旧膜回收处置结束验收合格后付合同总价款的20%，（具体以甲乙双方签订合同约定）</w:t>
      </w:r>
      <w:r>
        <w:rPr>
          <w:rFonts w:hint="eastAsia" w:ascii="Times New Roman" w:hAnsi="Times New Roman" w:eastAsia="仿宋" w:cs="Times New Roman"/>
          <w:b/>
          <w:bCs w:val="0"/>
          <w:color w:val="auto"/>
          <w:szCs w:val="21"/>
          <w:lang w:val="en-US" w:eastAsia="zh-CN"/>
        </w:rPr>
        <w:t>（</w:t>
      </w:r>
      <w:r>
        <w:rPr>
          <w:rFonts w:hint="eastAsia" w:eastAsia="仿宋" w:cs="Times New Roman"/>
          <w:b/>
          <w:bCs w:val="0"/>
          <w:color w:val="auto"/>
          <w:szCs w:val="21"/>
          <w:lang w:val="en-US" w:eastAsia="zh-CN"/>
        </w:rPr>
        <w:t>六</w:t>
      </w:r>
      <w:r>
        <w:rPr>
          <w:rFonts w:hint="eastAsia" w:ascii="Times New Roman" w:hAnsi="Times New Roman" w:eastAsia="仿宋" w:cs="Times New Roman"/>
          <w:b/>
          <w:bCs w:val="0"/>
          <w:color w:val="auto"/>
          <w:szCs w:val="21"/>
          <w:lang w:val="en-US" w:eastAsia="zh-CN"/>
        </w:rPr>
        <w:t xml:space="preserve">） </w:t>
      </w:r>
      <w:bookmarkEnd w:id="52"/>
      <w:bookmarkEnd w:id="53"/>
      <w:bookmarkEnd w:id="54"/>
      <w:r>
        <w:rPr>
          <w:rFonts w:hint="eastAsia" w:ascii="Times New Roman" w:hAnsi="Times New Roman" w:eastAsia="仿宋" w:cs="Times New Roman"/>
          <w:b/>
          <w:bCs w:val="0"/>
          <w:color w:val="auto"/>
          <w:szCs w:val="21"/>
          <w:lang w:val="en-US" w:eastAsia="zh-CN"/>
        </w:rPr>
        <w:t>其他</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1、投标人必须在投标文件中对以上条款和服务承诺明确列出，承诺内容必须达到本篇及磋商文件其他条款的要求。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2、其他未尽事宜由供需双方在采购合同中详细约定。</w:t>
      </w:r>
    </w:p>
    <w:bookmarkEnd w:id="49"/>
    <w:bookmarkEnd w:id="50"/>
    <w:bookmarkEnd w:id="51"/>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both"/>
        <w:outlineLvl w:val="1"/>
        <w:rPr>
          <w:rFonts w:hint="eastAsia" w:ascii="仿宋" w:hAnsi="仿宋" w:eastAsia="仿宋" w:cs="仿宋"/>
          <w:b/>
          <w:color w:val="auto"/>
          <w:sz w:val="30"/>
          <w:szCs w:val="30"/>
          <w:lang w:eastAsia="zh-CN"/>
        </w:rPr>
      </w:pPr>
    </w:p>
    <w:p>
      <w:pPr>
        <w:spacing w:line="480" w:lineRule="exact"/>
        <w:jc w:val="both"/>
        <w:outlineLvl w:val="1"/>
        <w:rPr>
          <w:rFonts w:hint="eastAsia" w:ascii="仿宋" w:hAnsi="仿宋" w:eastAsia="仿宋" w:cs="仿宋"/>
          <w:b/>
          <w:color w:val="auto"/>
          <w:sz w:val="30"/>
          <w:szCs w:val="30"/>
          <w:lang w:eastAsia="zh-CN"/>
        </w:rPr>
      </w:pPr>
    </w:p>
    <w:p>
      <w:pPr>
        <w:spacing w:line="480" w:lineRule="exact"/>
        <w:jc w:val="center"/>
        <w:outlineLvl w:val="0"/>
        <w:rPr>
          <w:rFonts w:hint="eastAsia" w:ascii="仿宋" w:hAnsi="仿宋" w:eastAsia="仿宋" w:cs="仿宋"/>
          <w:b/>
          <w:kern w:val="2"/>
          <w:sz w:val="30"/>
          <w:szCs w:val="30"/>
          <w:lang w:eastAsia="zh-CN" w:bidi="ar-SA"/>
        </w:rPr>
      </w:pPr>
    </w:p>
    <w:p>
      <w:pPr>
        <w:spacing w:line="480" w:lineRule="exact"/>
        <w:jc w:val="center"/>
        <w:outlineLvl w:val="0"/>
        <w:rPr>
          <w:rFonts w:hint="eastAsia" w:ascii="仿宋" w:hAnsi="仿宋" w:eastAsia="仿宋" w:cs="仿宋"/>
          <w:b/>
          <w:kern w:val="2"/>
          <w:sz w:val="30"/>
          <w:szCs w:val="30"/>
          <w:lang w:eastAsia="zh-CN" w:bidi="ar-SA"/>
        </w:rPr>
      </w:pPr>
    </w:p>
    <w:p>
      <w:pPr>
        <w:spacing w:line="480" w:lineRule="exact"/>
        <w:jc w:val="center"/>
        <w:outlineLvl w:val="0"/>
        <w:rPr>
          <w:rFonts w:hint="eastAsia" w:ascii="仿宋" w:hAnsi="仿宋" w:eastAsia="仿宋" w:cs="仿宋"/>
          <w:b/>
          <w:kern w:val="2"/>
          <w:sz w:val="30"/>
          <w:szCs w:val="30"/>
          <w:lang w:eastAsia="zh-CN" w:bidi="ar-SA"/>
        </w:rPr>
      </w:pPr>
      <w:r>
        <w:rPr>
          <w:rFonts w:hint="eastAsia" w:ascii="仿宋" w:hAnsi="仿宋" w:eastAsia="仿宋" w:cs="仿宋"/>
          <w:b/>
          <w:kern w:val="2"/>
          <w:sz w:val="30"/>
          <w:szCs w:val="30"/>
          <w:lang w:eastAsia="zh-CN" w:bidi="ar-SA"/>
        </w:rPr>
        <w:t xml:space="preserve">第五章 </w:t>
      </w:r>
      <w:bookmarkStart w:id="55" w:name="_Toc29918"/>
      <w:r>
        <w:rPr>
          <w:rFonts w:hint="eastAsia" w:ascii="仿宋" w:hAnsi="仿宋" w:eastAsia="仿宋" w:cs="仿宋"/>
          <w:b/>
          <w:kern w:val="2"/>
          <w:sz w:val="30"/>
          <w:szCs w:val="30"/>
          <w:lang w:eastAsia="zh-CN" w:bidi="ar-SA"/>
        </w:rPr>
        <w:t>合同条款及格式</w:t>
      </w:r>
      <w:bookmarkEnd w:id="55"/>
      <w:bookmarkStart w:id="56" w:name="_Toc20669"/>
    </w:p>
    <w:p>
      <w:pPr>
        <w:spacing w:line="480" w:lineRule="exact"/>
        <w:jc w:val="center"/>
        <w:outlineLvl w:val="1"/>
        <w:rPr>
          <w:rFonts w:hint="eastAsia" w:ascii="仿宋" w:hAnsi="仿宋" w:eastAsia="仿宋" w:cs="仿宋"/>
          <w:kern w:val="2"/>
          <w:sz w:val="21"/>
          <w:szCs w:val="21"/>
          <w:lang w:eastAsia="zh-CN" w:bidi="ar-SA"/>
        </w:rPr>
      </w:pPr>
      <w:bookmarkStart w:id="57" w:name="_Toc23978"/>
      <w:bookmarkStart w:id="58" w:name="_Toc31208"/>
      <w:bookmarkStart w:id="59" w:name="_Toc20725"/>
      <w:r>
        <w:rPr>
          <w:rFonts w:hint="eastAsia" w:ascii="仿宋" w:hAnsi="仿宋" w:eastAsia="仿宋" w:cs="仿宋"/>
          <w:kern w:val="2"/>
          <w:sz w:val="21"/>
          <w:szCs w:val="21"/>
          <w:lang w:eastAsia="zh-CN" w:bidi="ar-SA"/>
        </w:rPr>
        <w:t>（本合同为合同样稿，最终稿由供需双方协商后确定）</w:t>
      </w:r>
      <w:bookmarkEnd w:id="56"/>
      <w:bookmarkEnd w:id="57"/>
      <w:bookmarkEnd w:id="58"/>
      <w:bookmarkEnd w:id="59"/>
    </w:p>
    <w:p>
      <w:pPr>
        <w:widowControl/>
        <w:numPr>
          <w:ilvl w:val="0"/>
          <w:numId w:val="5"/>
        </w:numPr>
        <w:spacing w:line="600" w:lineRule="exact"/>
        <w:ind w:left="360" w:hanging="360"/>
        <w:jc w:val="center"/>
        <w:textAlignment w:val="baseline"/>
        <w:outlineLvl w:val="1"/>
        <w:rPr>
          <w:rFonts w:hint="eastAsia" w:ascii="仿宋" w:hAnsi="仿宋" w:eastAsia="仿宋" w:cs="仿宋"/>
          <w:b/>
          <w:kern w:val="2"/>
          <w:sz w:val="30"/>
          <w:szCs w:val="30"/>
          <w:lang w:eastAsia="zh-CN" w:bidi="ar-SA"/>
        </w:rPr>
      </w:pPr>
      <w:r>
        <w:rPr>
          <w:rFonts w:hint="eastAsia" w:ascii="仿宋" w:hAnsi="仿宋" w:eastAsia="仿宋" w:cs="仿宋"/>
          <w:b/>
          <w:kern w:val="2"/>
          <w:sz w:val="30"/>
          <w:szCs w:val="30"/>
          <w:lang w:eastAsia="zh-CN" w:bidi="ar-SA"/>
        </w:rPr>
        <w:t xml:space="preserve"> </w:t>
      </w:r>
      <w:bookmarkStart w:id="60" w:name="_Toc14079"/>
      <w:bookmarkStart w:id="61" w:name="_Toc4649"/>
      <w:bookmarkStart w:id="62" w:name="_Toc19256"/>
      <w:r>
        <w:rPr>
          <w:rFonts w:hint="eastAsia" w:ascii="仿宋" w:hAnsi="仿宋" w:eastAsia="仿宋" w:cs="仿宋"/>
          <w:b/>
          <w:kern w:val="2"/>
          <w:sz w:val="30"/>
          <w:szCs w:val="30"/>
          <w:lang w:eastAsia="zh-CN" w:bidi="ar-SA"/>
        </w:rPr>
        <w:t>合同协议书</w:t>
      </w:r>
      <w:bookmarkEnd w:id="60"/>
      <w:bookmarkEnd w:id="61"/>
      <w:bookmarkEnd w:id="62"/>
    </w:p>
    <w:p>
      <w:pPr>
        <w:spacing w:line="360" w:lineRule="auto"/>
        <w:jc w:val="both"/>
        <w:rPr>
          <w:rFonts w:hint="eastAsia" w:ascii="仿宋" w:hAnsi="仿宋" w:eastAsia="仿宋" w:cs="仿宋"/>
          <w:kern w:val="2"/>
          <w:sz w:val="24"/>
          <w:lang w:eastAsia="zh-CN" w:bidi="ar-SA"/>
        </w:rPr>
      </w:pPr>
      <w:r>
        <w:rPr>
          <w:rFonts w:hint="eastAsia" w:ascii="仿宋" w:hAnsi="仿宋" w:eastAsia="仿宋" w:cs="仿宋"/>
          <w:kern w:val="2"/>
          <w:sz w:val="24"/>
          <w:lang w:eastAsia="zh-CN" w:bidi="ar-SA"/>
        </w:rPr>
        <w:t>合同名称                                         编号</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甲    方：                                   乙    方：</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电    话：                                   电    话：</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 xml:space="preserve">住    所：                                   住    所：                       </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u w:val="single"/>
          <w:lang w:eastAsia="zh-CN" w:bidi="ar-SA"/>
        </w:rPr>
        <w:t>（买方）</w:t>
      </w:r>
      <w:r>
        <w:rPr>
          <w:rFonts w:hint="eastAsia" w:ascii="仿宋" w:hAnsi="仿宋" w:eastAsia="仿宋" w:cs="仿宋"/>
          <w:kern w:val="2"/>
          <w:sz w:val="21"/>
          <w:szCs w:val="21"/>
          <w:lang w:eastAsia="zh-CN" w:bidi="ar-SA"/>
        </w:rPr>
        <w:t>的</w:t>
      </w:r>
      <w:r>
        <w:rPr>
          <w:rFonts w:hint="eastAsia" w:ascii="仿宋" w:hAnsi="仿宋" w:eastAsia="仿宋" w:cs="仿宋"/>
          <w:kern w:val="2"/>
          <w:sz w:val="21"/>
          <w:szCs w:val="21"/>
          <w:u w:val="single"/>
          <w:lang w:eastAsia="zh-CN" w:bidi="ar-SA"/>
        </w:rPr>
        <w:t>（项目名称）</w:t>
      </w:r>
      <w:r>
        <w:rPr>
          <w:rFonts w:hint="eastAsia" w:ascii="仿宋" w:hAnsi="仿宋" w:eastAsia="仿宋" w:cs="仿宋"/>
          <w:kern w:val="2"/>
          <w:sz w:val="21"/>
          <w:szCs w:val="21"/>
          <w:lang w:eastAsia="zh-CN" w:bidi="ar-SA"/>
        </w:rPr>
        <w:t>中所需</w:t>
      </w:r>
      <w:r>
        <w:rPr>
          <w:rFonts w:hint="eastAsia" w:ascii="仿宋" w:hAnsi="仿宋" w:eastAsia="仿宋" w:cs="仿宋"/>
          <w:kern w:val="2"/>
          <w:sz w:val="21"/>
          <w:szCs w:val="21"/>
          <w:u w:val="single"/>
          <w:lang w:eastAsia="zh-CN" w:bidi="ar-SA"/>
        </w:rPr>
        <w:t>（产品名称）</w:t>
      </w:r>
      <w:r>
        <w:rPr>
          <w:rFonts w:hint="eastAsia" w:ascii="仿宋" w:hAnsi="仿宋" w:eastAsia="仿宋" w:cs="仿宋"/>
          <w:kern w:val="2"/>
          <w:sz w:val="21"/>
          <w:szCs w:val="21"/>
          <w:lang w:eastAsia="zh-CN" w:bidi="ar-SA"/>
        </w:rPr>
        <w:t xml:space="preserve"> 经公开招标，确定</w:t>
      </w:r>
      <w:r>
        <w:rPr>
          <w:rFonts w:hint="eastAsia" w:ascii="仿宋" w:hAnsi="仿宋" w:eastAsia="仿宋" w:cs="仿宋"/>
          <w:kern w:val="2"/>
          <w:sz w:val="21"/>
          <w:szCs w:val="21"/>
          <w:u w:val="single"/>
          <w:lang w:eastAsia="zh-CN" w:bidi="ar-SA"/>
        </w:rPr>
        <w:t>（卖方）</w:t>
      </w:r>
      <w:r>
        <w:rPr>
          <w:rFonts w:hint="eastAsia" w:ascii="仿宋" w:hAnsi="仿宋" w:eastAsia="仿宋" w:cs="仿宋"/>
          <w:kern w:val="2"/>
          <w:sz w:val="21"/>
          <w:szCs w:val="21"/>
          <w:lang w:eastAsia="zh-CN" w:bidi="ar-SA"/>
        </w:rPr>
        <w:t>为中标人。按照中华人民共和国民法典的规定，买卖双方同意按照下述的条款和条件，签署本合同。</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1、本合同文件</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下列每一文件均应作为合同的组成部分进行阅读和解释：</w:t>
      </w:r>
    </w:p>
    <w:p>
      <w:pPr>
        <w:numPr>
          <w:ilvl w:val="0"/>
          <w:numId w:val="6"/>
        </w:num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采购文件</w:t>
      </w:r>
    </w:p>
    <w:p>
      <w:pPr>
        <w:numPr>
          <w:ilvl w:val="0"/>
          <w:numId w:val="6"/>
        </w:num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投标文件</w:t>
      </w:r>
    </w:p>
    <w:p>
      <w:pPr>
        <w:spacing w:line="420" w:lineRule="exact"/>
        <w:ind w:left="486" w:left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（3）成交通知书</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（4）经双方确认进入合同的其它文件、补充条款或说明</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2、采购标的、数量、质量要求</w:t>
      </w:r>
    </w:p>
    <w:p>
      <w:pPr>
        <w:autoSpaceDN w:val="0"/>
        <w:spacing w:line="240" w:lineRule="atLeast"/>
        <w:ind w:firstLine="426" w:firstLineChars="200"/>
        <w:jc w:val="both"/>
        <w:rPr>
          <w:rFonts w:hint="eastAsia" w:ascii="仿宋" w:hAnsi="仿宋" w:eastAsia="仿宋" w:cs="仿宋"/>
          <w:bCs/>
          <w:kern w:val="2"/>
          <w:sz w:val="21"/>
          <w:szCs w:val="21"/>
          <w:lang w:eastAsia="zh-CN" w:bidi="ar-SA"/>
        </w:rPr>
      </w:pPr>
      <w:r>
        <w:rPr>
          <w:rFonts w:hint="eastAsia" w:ascii="仿宋" w:hAnsi="仿宋" w:eastAsia="仿宋" w:cs="仿宋"/>
          <w:kern w:val="2"/>
          <w:sz w:val="21"/>
          <w:szCs w:val="21"/>
          <w:lang w:eastAsia="zh-CN" w:bidi="ar-SA"/>
        </w:rPr>
        <w:t>3、</w:t>
      </w:r>
      <w:r>
        <w:rPr>
          <w:rFonts w:hint="eastAsia" w:ascii="仿宋" w:hAnsi="仿宋" w:eastAsia="仿宋" w:cs="仿宋"/>
          <w:bCs/>
          <w:kern w:val="2"/>
          <w:sz w:val="21"/>
          <w:szCs w:val="21"/>
          <w:lang w:eastAsia="zh-CN" w:bidi="ar-SA"/>
        </w:rPr>
        <w:t>合同价款及付款方式</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3.1合同价款：总额为￥   元(大写：     )。</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3.2支付方式和期限：</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3.3发票要求：甲方向乙方支付项目款之前，乙方按照正规等额开具增值税发票。</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3.4 汇款方式：甲方通过银行电汇的方式将款项支付至乙方指定账户：</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乙方账户信息：</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账号：</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户名：</w:t>
      </w:r>
    </w:p>
    <w:p>
      <w:pPr>
        <w:spacing w:line="360" w:lineRule="auto"/>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bCs/>
          <w:kern w:val="2"/>
          <w:sz w:val="21"/>
          <w:szCs w:val="21"/>
          <w:lang w:eastAsia="zh-CN" w:bidi="ar-SA"/>
        </w:rPr>
        <w:t>开户行：</w:t>
      </w:r>
    </w:p>
    <w:p>
      <w:pPr>
        <w:spacing w:line="360" w:lineRule="auto"/>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4、合同供货（服务）期限及地点和方式</w:t>
      </w:r>
    </w:p>
    <w:p>
      <w:pPr>
        <w:spacing w:line="420" w:lineRule="exact"/>
        <w:ind w:firstLine="426" w:firstLineChars="200"/>
        <w:jc w:val="left"/>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5、违约责任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本合同生效后，甲乙双方均应当全面履行合同义务。任何一方违约，均应当按照约定承担违约责任。其中：</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5.1 甲方逾期付款责任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 xml:space="preserve">5.1.1 甲方逾期付款在（15）日内的，每逾期一日，甲方应当向乙方支付逾期应付款项1‰的违约金，但违约金额不得超过合同总价款的10%。 </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5.1.2 逾期付款超过（30）日的，视为甲方不履行，乙方有权要求甲方继续履行或解除合同。</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（注：乙方要求继续履行合同，应该在履行期限届满后30日内提出，甲方应当继续履行合同，并向乙方支付相当于合同价款的3%违约金。乙方要求解除合同，甲方应当向乙支付等额合同价款的10%的违约金。）</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5.2.乙方逾期履约或不履约责任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5.2.1 乙方不履行合同约定的义务，甲方有权要求乙方继续履行或解除合同。</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（注：甲方要求继续履行合同，应该在履行期限届满后30日内提出，乙方应当继续履行合同，并向甲方支付相当于合同价款的3%违约金。甲方要求解除合同，乙方应当向甲方支付等额合同价款的10%的违约金。）</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5.3 服务质量瑕疵责任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如因乙方人为因素导致甲方数据损坏、丢失或造成其他损失的，乙方应当赔偿因乙方原因给甲方造成的直接损失。</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5.4 违反保密义务责任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任何一方违反本合同所约定的保密义务，违约方应当赔偿给对方造成的直接损失。涉及触犯国家法律法规的承担相应的法律责任。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5.5其他违约责任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6、 不可抗力</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6.2 因不可抗力不能履行合同的，根据不可抗力的影响，受影响方部分或全部免除责任，但法律另有规定的除外。</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 保密责任</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7.1保密内容：本合同的内容、本合同双方因协商，签署和履行本合同而知晓的对方单位与公共安全的信息或获得的对方的单位与公共安全的资料。</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7.2保密义务：</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7.2.1乙方工作人员必须学习有关保密法律法规制度，知悉应当承担的保密义务和法律责任。乙方庄重承诺：</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7.2.2认真遵守国家保密法律、法规和规章制度，履行保密义务；</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7.2.3不提供虚假的个人信息，自愿接受保密审查；</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7.2.4不违规记录、存储、复制、传播未经甲方允许的秘密信息；</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7.2.5不把涉密计算机、涉密存储设备接入互联网及其他非涉密公共信息网络；</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7.2.6不在涉密计算机和非涉密计算机之间交叉使用移动存储介质；</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7.2.7不以任何方式泄露所接触和知悉的甲方数据及国家秘密；</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7.2.8未经甲方审查批准，不擅自发表涉及未公开工作内容的文章、著述。违反上述承诺，自愿承担相关责任和处罚。</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7.2.9如有必要，甲方有权要求乙方返还或销毁（返还、销毁均指不能做任何形式的保存）相关资料。</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8、 合同终止</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8.1 任何一方提前解除本合同的，需提前30天书面通知另一方，本合同另有规定的除外。</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8.2如甲方因自身原因提前解除本合同的，应依据约定的标准先付清乙方已提供服务的费用。</w:t>
      </w:r>
    </w:p>
    <w:p>
      <w:pPr>
        <w:spacing w:line="420" w:lineRule="exact"/>
        <w:ind w:firstLine="426" w:firstLineChars="200"/>
        <w:jc w:val="both"/>
        <w:rPr>
          <w:rFonts w:hint="eastAsia" w:ascii="仿宋" w:hAnsi="仿宋" w:eastAsia="仿宋" w:cs="仿宋"/>
          <w:kern w:val="2"/>
          <w:sz w:val="21"/>
          <w:szCs w:val="21"/>
          <w:lang w:eastAsia="zh-CN" w:bidi="ar-SA"/>
        </w:rPr>
      </w:pPr>
      <w:r>
        <w:rPr>
          <w:rFonts w:hint="eastAsia" w:ascii="仿宋" w:hAnsi="仿宋" w:eastAsia="仿宋" w:cs="仿宋"/>
          <w:bCs/>
          <w:kern w:val="2"/>
          <w:sz w:val="21"/>
          <w:szCs w:val="21"/>
          <w:lang w:eastAsia="zh-CN" w:bidi="ar-SA"/>
        </w:rPr>
        <w:t>8.3如因乙方原因提前解除本合同的，则甲方无需支付解除合同之后的未提供服务的费用。</w:t>
      </w:r>
    </w:p>
    <w:p>
      <w:pPr>
        <w:spacing w:line="420" w:lineRule="exact"/>
        <w:ind w:firstLine="426" w:firstLineChars="200"/>
        <w:jc w:val="left"/>
        <w:rPr>
          <w:rFonts w:hint="eastAsia" w:ascii="仿宋" w:hAnsi="仿宋" w:eastAsia="仿宋" w:cs="仿宋"/>
          <w:kern w:val="2"/>
          <w:sz w:val="21"/>
          <w:szCs w:val="21"/>
          <w:lang w:eastAsia="zh-CN" w:bidi="ar-SA"/>
        </w:rPr>
      </w:pPr>
      <w:r>
        <w:rPr>
          <w:rFonts w:hint="eastAsia" w:ascii="仿宋" w:hAnsi="仿宋" w:eastAsia="仿宋" w:cs="仿宋"/>
          <w:kern w:val="2"/>
          <w:sz w:val="21"/>
          <w:szCs w:val="21"/>
          <w:lang w:eastAsia="zh-CN" w:bidi="ar-SA"/>
        </w:rPr>
        <w:t>9、合同生效及其它</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9.1 在本合同履行中,若发生争议,双方应本着友好协商的原则先协商解决，协商不成的，任意一方均可向甲方所在地有管辖权的人民法院提起诉讼解决。</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9.2 本合同自双方法定代表人或授权代表人签字并加盖公章或合同章后生效。本合同一式肆份，甲乙双方各执贰份，具有同等法律效力。</w:t>
      </w:r>
    </w:p>
    <w:p>
      <w:pPr>
        <w:spacing w:line="420" w:lineRule="exact"/>
        <w:ind w:firstLine="426" w:firstLineChars="200"/>
        <w:jc w:val="left"/>
        <w:rPr>
          <w:rFonts w:hint="eastAsia" w:ascii="仿宋" w:hAnsi="仿宋" w:eastAsia="仿宋" w:cs="仿宋"/>
          <w:bCs/>
          <w:kern w:val="2"/>
          <w:sz w:val="21"/>
          <w:szCs w:val="21"/>
          <w:lang w:eastAsia="zh-CN" w:bidi="ar-SA"/>
        </w:rPr>
      </w:pPr>
      <w:r>
        <w:rPr>
          <w:rFonts w:hint="eastAsia" w:ascii="仿宋" w:hAnsi="仿宋" w:eastAsia="仿宋" w:cs="仿宋"/>
          <w:bCs/>
          <w:kern w:val="2"/>
          <w:sz w:val="21"/>
          <w:szCs w:val="21"/>
          <w:lang w:eastAsia="zh-CN" w:bidi="ar-SA"/>
        </w:rPr>
        <w:t>9.3 本合同未尽事宜，经双方协商后签订补充协议说明（具有同等法律效益）。</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甲  方：                          乙  方：</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名  称：（盖章）                  名  称：（盖章）</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法定代表人（或委托代理人）：      法定代表人（或委托代理人）：</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（签字）                        （签字）</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地    址：                        地    址：</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邮政编码：                        邮政编码：</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电    话：                        电    话：</w:t>
      </w:r>
    </w:p>
    <w:p>
      <w:pPr>
        <w:widowControl w:val="0"/>
        <w:spacing w:after="0" w:line="420" w:lineRule="exact"/>
        <w:ind w:left="0" w:leftChars="0" w:firstLine="426" w:firstLineChars="200"/>
        <w:jc w:val="both"/>
        <w:rPr>
          <w:rFonts w:hint="eastAsia" w:ascii="仿宋" w:hAnsi="仿宋" w:eastAsia="仿宋" w:cs="仿宋"/>
          <w:kern w:val="0"/>
          <w:sz w:val="21"/>
          <w:szCs w:val="21"/>
          <w:u w:color="000000"/>
          <w:lang w:val="en-US" w:eastAsia="zh-CN" w:bidi="ar-SA"/>
        </w:rPr>
      </w:pPr>
      <w:r>
        <w:rPr>
          <w:rFonts w:hint="eastAsia" w:ascii="仿宋" w:hAnsi="仿宋" w:eastAsia="仿宋" w:cs="仿宋"/>
          <w:kern w:val="0"/>
          <w:sz w:val="21"/>
          <w:szCs w:val="21"/>
          <w:u w:color="000000"/>
          <w:lang w:val="en-US" w:eastAsia="zh-CN" w:bidi="ar-SA"/>
        </w:rPr>
        <w:t>开户银行：                        开户银行：</w:t>
      </w:r>
    </w:p>
    <w:p>
      <w:pPr>
        <w:widowControl w:val="0"/>
        <w:spacing w:after="0" w:line="420" w:lineRule="exact"/>
        <w:ind w:left="0" w:leftChars="0" w:firstLine="426" w:firstLineChars="200"/>
        <w:jc w:val="both"/>
        <w:rPr>
          <w:rFonts w:hint="eastAsia" w:ascii="仿宋" w:hAnsi="仿宋" w:eastAsia="仿宋" w:cs="仿宋"/>
          <w:b/>
          <w:kern w:val="2"/>
          <w:sz w:val="30"/>
          <w:szCs w:val="30"/>
          <w:lang w:val="en-US" w:eastAsia="zh-CN" w:bidi="ar-SA"/>
        </w:rPr>
      </w:pPr>
      <w:r>
        <w:rPr>
          <w:rFonts w:hint="eastAsia" w:ascii="仿宋" w:hAnsi="仿宋" w:eastAsia="仿宋" w:cs="仿宋"/>
          <w:kern w:val="0"/>
          <w:sz w:val="21"/>
          <w:szCs w:val="21"/>
          <w:u w:color="000000"/>
          <w:lang w:val="en-US" w:eastAsia="zh-CN" w:bidi="ar-SA"/>
        </w:rPr>
        <w:t>帐    号：                        帐    号：</w:t>
      </w:r>
    </w:p>
    <w:p>
      <w:pPr>
        <w:pStyle w:val="35"/>
        <w:keepNext/>
        <w:keepLines/>
        <w:spacing w:before="0" w:after="1160"/>
        <w:jc w:val="center"/>
        <w:rPr>
          <w:rFonts w:hint="eastAsia" w:ascii="仿宋" w:hAnsi="仿宋" w:eastAsia="仿宋" w:cs="仿宋"/>
          <w:b/>
          <w:bCs/>
          <w:color w:val="auto"/>
        </w:rPr>
      </w:pPr>
    </w:p>
    <w:p>
      <w:pPr>
        <w:pStyle w:val="5"/>
        <w:spacing w:line="240" w:lineRule="atLeast"/>
        <w:jc w:val="both"/>
        <w:rPr>
          <w:rFonts w:hint="eastAsia" w:ascii="仿宋" w:hAnsi="仿宋" w:eastAsia="仿宋" w:cs="仿宋"/>
          <w:bCs/>
          <w:color w:val="auto"/>
          <w:szCs w:val="21"/>
          <w:lang w:eastAsia="zh-CN"/>
        </w:rPr>
      </w:pPr>
      <w:bookmarkStart w:id="63" w:name="_Toc18974"/>
      <w:bookmarkStart w:id="64" w:name="_Toc18694"/>
      <w:bookmarkStart w:id="65" w:name="_Toc515647803"/>
      <w:bookmarkStart w:id="66" w:name="_Toc8919"/>
    </w:p>
    <w:p>
      <w:pPr>
        <w:pStyle w:val="35"/>
        <w:keepNext/>
        <w:keepLines/>
        <w:spacing w:before="0" w:after="1160"/>
        <w:jc w:val="cente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r>
        <w:rPr>
          <w:rFonts w:hint="eastAsia" w:ascii="仿宋" w:hAnsi="仿宋" w:eastAsia="仿宋" w:cs="仿宋"/>
          <w:b/>
          <w:bCs/>
          <w:color w:val="auto"/>
          <w:sz w:val="28"/>
          <w:szCs w:val="28"/>
          <w:bdr w:val="single" w:color="auto" w:sz="4" w:space="0"/>
          <w:lang w:eastAsia="zh-CN"/>
        </w:rPr>
        <w:t>正/副 本</w:t>
      </w:r>
    </w:p>
    <w:p>
      <w:pPr>
        <w:adjustRightInd w:val="0"/>
        <w:snapToGrid w:val="0"/>
        <w:spacing w:line="360" w:lineRule="auto"/>
        <w:jc w:val="center"/>
        <w:rPr>
          <w:rFonts w:ascii="仿宋" w:hAnsi="仿宋" w:eastAsia="仿宋" w:cs="仿宋"/>
          <w:b/>
          <w:caps/>
          <w:color w:val="auto"/>
          <w:lang w:eastAsia="zh-CN"/>
        </w:rPr>
      </w:pPr>
    </w:p>
    <w:p>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pPr>
        <w:adjustRightInd w:val="0"/>
        <w:snapToGrid w:val="0"/>
        <w:spacing w:line="360" w:lineRule="auto"/>
        <w:jc w:val="both"/>
        <w:rPr>
          <w:rFonts w:ascii="仿宋" w:hAnsi="仿宋" w:eastAsia="仿宋" w:cs="仿宋"/>
          <w:bCs/>
          <w:color w:val="auto"/>
          <w:sz w:val="32"/>
          <w:szCs w:val="32"/>
          <w:lang w:eastAsia="zh-CN"/>
        </w:rPr>
      </w:pPr>
    </w:p>
    <w:p>
      <w:pPr>
        <w:adjustRightInd w:val="0"/>
        <w:snapToGrid w:val="0"/>
        <w:spacing w:line="360" w:lineRule="auto"/>
        <w:jc w:val="center"/>
        <w:rPr>
          <w:rFonts w:ascii="仿宋" w:hAnsi="仿宋" w:eastAsia="仿宋" w:cs="仿宋"/>
          <w:bCs/>
          <w:color w:val="auto"/>
          <w:sz w:val="32"/>
          <w:szCs w:val="32"/>
          <w:lang w:eastAsia="zh-CN"/>
        </w:rPr>
      </w:pPr>
    </w:p>
    <w:p>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ascii="仿宋" w:hAnsi="仿宋" w:eastAsia="仿宋" w:cs="仿宋"/>
          <w:bCs/>
          <w:color w:val="auto"/>
          <w:sz w:val="32"/>
          <w:szCs w:val="32"/>
          <w:lang w:eastAsia="zh-CN"/>
        </w:rPr>
      </w:pPr>
    </w:p>
    <w:p>
      <w:pPr>
        <w:adjustRightInd w:val="0"/>
        <w:snapToGrid w:val="0"/>
        <w:spacing w:line="360" w:lineRule="auto"/>
        <w:jc w:val="both"/>
        <w:rPr>
          <w:rFonts w:ascii="仿宋" w:hAnsi="仿宋" w:eastAsia="仿宋" w:cs="仿宋"/>
          <w:bCs/>
          <w:color w:val="auto"/>
          <w:sz w:val="32"/>
          <w:szCs w:val="32"/>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442441352"/>
          <w:lang w:eastAsia="zh-CN"/>
        </w:rPr>
        <w:t>供应商名称（公章）：</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787493065"/>
          <w:lang w:eastAsia="zh-CN"/>
        </w:rPr>
        <w:t>法定代表人（签章或盖章）</w:t>
      </w:r>
      <w:r>
        <w:rPr>
          <w:rFonts w:hint="eastAsia" w:ascii="仿宋" w:hAnsi="仿宋" w:eastAsia="仿宋" w:cs="仿宋"/>
          <w:b/>
          <w:caps/>
          <w:color w:val="auto"/>
          <w:spacing w:val="-1"/>
          <w:w w:val="77"/>
          <w:kern w:val="0"/>
          <w:sz w:val="28"/>
          <w:szCs w:val="28"/>
          <w:fitText w:val="2810" w:id="787493065"/>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626463415"/>
          <w:lang w:eastAsia="zh-CN"/>
        </w:rPr>
        <w:t>供应商地址</w:t>
      </w:r>
      <w:r>
        <w:rPr>
          <w:rFonts w:hint="eastAsia" w:ascii="仿宋" w:hAnsi="仿宋" w:eastAsia="仿宋" w:cs="仿宋"/>
          <w:b/>
          <w:caps/>
          <w:color w:val="auto"/>
          <w:spacing w:val="0"/>
          <w:kern w:val="0"/>
          <w:sz w:val="28"/>
          <w:szCs w:val="28"/>
          <w:fitText w:val="2810" w:id="626463415"/>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1189767563"/>
          <w:lang w:eastAsia="zh-CN"/>
        </w:rPr>
        <w:t>联系人</w:t>
      </w:r>
      <w:r>
        <w:rPr>
          <w:rFonts w:hint="eastAsia" w:ascii="仿宋" w:hAnsi="仿宋" w:eastAsia="仿宋" w:cs="仿宋"/>
          <w:b/>
          <w:caps/>
          <w:color w:val="auto"/>
          <w:spacing w:val="2"/>
          <w:kern w:val="0"/>
          <w:sz w:val="28"/>
          <w:szCs w:val="28"/>
          <w:fitText w:val="2810" w:id="1189767563"/>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22484555"/>
          <w:lang w:eastAsia="zh-CN"/>
        </w:rPr>
        <w:t>联系电话</w:t>
      </w:r>
      <w:r>
        <w:rPr>
          <w:rFonts w:hint="eastAsia" w:ascii="仿宋" w:hAnsi="仿宋" w:eastAsia="仿宋" w:cs="仿宋"/>
          <w:b/>
          <w:caps/>
          <w:color w:val="auto"/>
          <w:spacing w:val="1"/>
          <w:kern w:val="0"/>
          <w:sz w:val="28"/>
          <w:szCs w:val="28"/>
          <w:fitText w:val="2810" w:id="22484555"/>
          <w:lang w:eastAsia="zh-CN"/>
        </w:rPr>
        <w:t>：</w:t>
      </w:r>
    </w:p>
    <w:p>
      <w:pPr>
        <w:adjustRightInd w:val="0"/>
        <w:snapToGrid w:val="0"/>
        <w:spacing w:line="360" w:lineRule="auto"/>
        <w:jc w:val="center"/>
        <w:rPr>
          <w:rFonts w:ascii="仿宋" w:hAnsi="仿宋" w:eastAsia="仿宋" w:cs="仿宋"/>
          <w:b/>
          <w:caps/>
          <w:color w:val="auto"/>
          <w:sz w:val="28"/>
          <w:szCs w:val="28"/>
          <w:lang w:eastAsia="zh-CN"/>
        </w:rPr>
      </w:pPr>
    </w:p>
    <w:p>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pPr>
        <w:rPr>
          <w:rFonts w:hint="eastAsia"/>
          <w:lang w:eastAsia="zh-CN"/>
        </w:rPr>
      </w:pPr>
    </w:p>
    <w:p>
      <w:pPr>
        <w:pStyle w:val="5"/>
        <w:spacing w:line="240" w:lineRule="atLeast"/>
        <w:rPr>
          <w:rFonts w:hint="eastAsia" w:ascii="仿宋" w:hAnsi="仿宋" w:eastAsia="仿宋" w:cs="仿宋"/>
          <w:bCs/>
          <w:color w:val="auto"/>
          <w:szCs w:val="21"/>
          <w:lang w:eastAsia="zh-CN"/>
        </w:rPr>
      </w:pPr>
    </w:p>
    <w:p>
      <w:pPr>
        <w:pStyle w:val="5"/>
        <w:spacing w:line="240" w:lineRule="atLeast"/>
        <w:rPr>
          <w:rFonts w:hint="eastAsia" w:ascii="仿宋" w:hAnsi="仿宋" w:eastAsia="仿宋" w:cs="仿宋"/>
          <w:bCs/>
          <w:color w:val="auto"/>
          <w:szCs w:val="21"/>
          <w:lang w:eastAsia="zh-CN"/>
        </w:rPr>
      </w:pPr>
    </w:p>
    <w:p>
      <w:pPr>
        <w:pStyle w:val="5"/>
        <w:spacing w:line="240" w:lineRule="atLeast"/>
        <w:ind w:firstLine="2830" w:firstLineChars="1000"/>
        <w:jc w:val="both"/>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63"/>
      <w:bookmarkEnd w:id="64"/>
      <w:bookmarkEnd w:id="65"/>
      <w:bookmarkEnd w:id="66"/>
    </w:p>
    <w:p>
      <w:pPr>
        <w:spacing w:line="240" w:lineRule="atLeast"/>
        <w:ind w:left="717" w:hanging="716" w:hangingChars="295"/>
        <w:jc w:val="center"/>
        <w:rPr>
          <w:rFonts w:ascii="仿宋" w:hAnsi="仿宋" w:eastAsia="仿宋" w:cs="仿宋"/>
          <w:color w:val="auto"/>
          <w:lang w:eastAsia="zh-CN"/>
        </w:rPr>
      </w:pP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pPr>
        <w:spacing w:line="440" w:lineRule="exact"/>
        <w:ind w:firstLine="356"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2、</w:t>
      </w:r>
      <w:r>
        <w:rPr>
          <w:rFonts w:hint="eastAsia" w:ascii="仿宋" w:hAnsi="仿宋" w:eastAsia="仿宋" w:cs="仿宋"/>
          <w:color w:val="auto"/>
          <w:szCs w:val="21"/>
          <w:lang w:val="en-US" w:eastAsia="zh-CN"/>
        </w:rPr>
        <w:t>法定代表人投标需提供法定代表人资格证明书，委托代理人投标需提供法人授权委托书和法人委托代理人身份证明；</w:t>
      </w:r>
    </w:p>
    <w:p>
      <w:pPr>
        <w:spacing w:line="440" w:lineRule="exact"/>
        <w:ind w:firstLine="356" w:firstLineChars="147"/>
        <w:rPr>
          <w:rFonts w:hint="eastAsia" w:ascii="Times New Roman" w:hAnsi="Times New Roman" w:eastAsia="Times New Roman" w:cs="Times New Roman"/>
          <w:lang w:eastAsia="zh-CN"/>
        </w:rPr>
      </w:pPr>
      <w:r>
        <w:rPr>
          <w:rFonts w:hint="eastAsia" w:ascii="仿宋" w:hAnsi="仿宋" w:eastAsia="仿宋" w:cs="仿宋"/>
          <w:color w:val="auto"/>
          <w:szCs w:val="21"/>
          <w:lang w:eastAsia="zh-CN"/>
        </w:rPr>
        <w:t>3、投标企业须提供投标人（被授权在职人员）近期社保证明;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b w:val="0"/>
          <w:bCs w:val="0"/>
          <w:i w:val="0"/>
          <w:iCs w:val="0"/>
          <w:caps w:val="0"/>
          <w:color w:val="auto"/>
          <w:spacing w:val="0"/>
          <w:sz w:val="24"/>
          <w:szCs w:val="24"/>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 w:val="24"/>
        </w:rPr>
        <w:t>汇款凭证</w:t>
      </w:r>
      <w:r>
        <w:rPr>
          <w:rFonts w:hint="eastAsia" w:ascii="仿宋" w:hAnsi="仿宋" w:eastAsia="仿宋" w:cs="仿宋"/>
          <w:color w:val="auto"/>
          <w:szCs w:val="21"/>
          <w:lang w:eastAsia="zh-CN"/>
        </w:rPr>
        <w:t>或投标担保函；</w:t>
      </w:r>
    </w:p>
    <w:p>
      <w:pPr>
        <w:spacing w:line="440" w:lineRule="exact"/>
        <w:ind w:firstLine="356"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6、提供参加政府采购活动前3年内在经营活动中没有重大违法记录的书面声明；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 xml:space="preserve">、供应商须知资料表要求的其他资格证明文件; </w:t>
      </w:r>
    </w:p>
    <w:p>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pPr>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pPr>
        <w:pStyle w:val="3"/>
        <w:rPr>
          <w:lang w:eastAsia="zh-CN"/>
        </w:rPr>
      </w:pPr>
    </w:p>
    <w:p>
      <w:pPr>
        <w:pStyle w:val="2"/>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67" w:name="_Toc515647805"/>
      <w:bookmarkStart w:id="68" w:name="_Toc29899"/>
      <w:bookmarkStart w:id="69" w:name="_Toc17577"/>
      <w:bookmarkStart w:id="70" w:name="_Toc4844"/>
    </w:p>
    <w:p>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67"/>
      <w:bookmarkStart w:id="71" w:name="_Toc515647806"/>
      <w:r>
        <w:rPr>
          <w:rFonts w:hint="eastAsia" w:ascii="仿宋" w:hAnsi="仿宋" w:eastAsia="仿宋" w:cs="仿宋"/>
          <w:b/>
          <w:bCs/>
          <w:color w:val="auto"/>
          <w:sz w:val="36"/>
          <w:szCs w:val="36"/>
          <w:lang w:eastAsia="zh-CN"/>
        </w:rPr>
        <w:t>或自然人的身份证明</w:t>
      </w:r>
      <w:bookmarkEnd w:id="68"/>
      <w:bookmarkEnd w:id="69"/>
      <w:bookmarkEnd w:id="70"/>
      <w:bookmarkEnd w:id="71"/>
    </w:p>
    <w:p>
      <w:pPr>
        <w:pStyle w:val="11"/>
        <w:tabs>
          <w:tab w:val="left" w:pos="5580"/>
        </w:tabs>
        <w:spacing w:line="400" w:lineRule="exact"/>
        <w:ind w:left="1164" w:leftChars="257" w:hanging="540"/>
        <w:jc w:val="center"/>
        <w:rPr>
          <w:rFonts w:ascii="仿宋" w:hAnsi="仿宋" w:eastAsia="仿宋" w:cs="仿宋"/>
          <w:b/>
          <w:color w:val="auto"/>
          <w:lang w:eastAsia="zh-CN"/>
        </w:rPr>
      </w:pPr>
    </w:p>
    <w:p>
      <w:pPr>
        <w:pStyle w:val="11"/>
        <w:tabs>
          <w:tab w:val="left" w:pos="5580"/>
        </w:tabs>
        <w:spacing w:line="400" w:lineRule="exact"/>
        <w:ind w:left="1164" w:leftChars="257" w:hanging="540"/>
        <w:rPr>
          <w:rFonts w:ascii="仿宋" w:hAnsi="仿宋" w:eastAsia="仿宋" w:cs="仿宋"/>
          <w:b/>
          <w:color w:val="auto"/>
          <w:lang w:eastAsia="zh-CN"/>
        </w:rPr>
      </w:pPr>
    </w:p>
    <w:p>
      <w:pPr>
        <w:pStyle w:val="11"/>
        <w:tabs>
          <w:tab w:val="left" w:pos="5580"/>
        </w:tabs>
        <w:spacing w:line="400" w:lineRule="exact"/>
        <w:ind w:left="1164" w:leftChars="257" w:hanging="540"/>
        <w:rPr>
          <w:rFonts w:ascii="仿宋" w:hAnsi="仿宋" w:eastAsia="仿宋" w:cs="仿宋"/>
          <w:b/>
          <w:color w:val="auto"/>
          <w:lang w:eastAsia="zh-CN"/>
        </w:rPr>
      </w:pPr>
    </w:p>
    <w:p>
      <w:pPr>
        <w:pStyle w:val="11"/>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pPr>
        <w:pStyle w:val="11"/>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pPr>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rPr>
          <w:rFonts w:ascii="仿宋" w:hAnsi="仿宋" w:eastAsia="仿宋" w:cs="仿宋"/>
          <w:b/>
          <w:bCs/>
          <w:color w:val="auto"/>
          <w:sz w:val="36"/>
          <w:szCs w:val="36"/>
          <w:lang w:eastAsia="zh-CN"/>
        </w:rPr>
      </w:pPr>
    </w:p>
    <w:p>
      <w:pPr>
        <w:pStyle w:val="32"/>
        <w:ind w:firstLine="0"/>
        <w:rPr>
          <w:rFonts w:ascii="仿宋" w:hAnsi="仿宋" w:eastAsia="仿宋" w:cs="仿宋"/>
          <w:b/>
          <w:bCs/>
          <w:color w:val="auto"/>
          <w:sz w:val="36"/>
          <w:szCs w:val="36"/>
          <w:lang w:eastAsia="zh-CN"/>
        </w:rPr>
      </w:pPr>
    </w:p>
    <w:p>
      <w:pPr>
        <w:pStyle w:val="2"/>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pPr>
        <w:pStyle w:val="2"/>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v:textbox>
                <w10:wrap type="square"/>
              </v:roundrect>
            </w:pict>
          </mc:Fallback>
        </mc:AlternateContent>
      </w:r>
    </w:p>
    <w:p>
      <w:pPr>
        <w:pStyle w:val="2"/>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1072;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tight"/>
              </v:roundrect>
            </w:pict>
          </mc:Fallback>
        </mc:AlternateContent>
      </w:r>
    </w:p>
    <w:p>
      <w:pPr>
        <w:pStyle w:val="2"/>
        <w:numPr>
          <w:ilvl w:val="0"/>
          <w:numId w:val="0"/>
        </w:numPr>
        <w:kinsoku w:val="0"/>
        <w:overflowPunct w:val="0"/>
        <w:spacing w:line="200" w:lineRule="atLeast"/>
        <w:rPr>
          <w:rFonts w:ascii="仿宋" w:hAnsi="仿宋" w:eastAsia="仿宋" w:cs="仿宋"/>
          <w:color w:val="auto"/>
          <w:sz w:val="20"/>
          <w:szCs w:val="20"/>
        </w:rPr>
      </w:pPr>
    </w:p>
    <w:p>
      <w:pPr>
        <w:wordWrap w:val="0"/>
        <w:spacing w:line="420" w:lineRule="exact"/>
        <w:ind w:firstLine="486" w:firstLineChars="200"/>
        <w:jc w:val="right"/>
        <w:rPr>
          <w:rFonts w:ascii="仿宋" w:hAnsi="仿宋" w:eastAsia="仿宋" w:cs="仿宋"/>
          <w:color w:val="auto"/>
        </w:rPr>
      </w:pPr>
    </w:p>
    <w:p>
      <w:pPr>
        <w:pStyle w:val="2"/>
        <w:numPr>
          <w:ilvl w:val="0"/>
          <w:numId w:val="0"/>
        </w:numPr>
        <w:kinsoku w:val="0"/>
        <w:overflowPunct w:val="0"/>
        <w:spacing w:before="34" w:line="357" w:lineRule="auto"/>
        <w:ind w:right="126"/>
        <w:jc w:val="both"/>
        <w:rPr>
          <w:rFonts w:ascii="仿宋" w:hAnsi="仿宋" w:eastAsia="仿宋" w:cs="仿宋"/>
          <w:color w:val="auto"/>
          <w:lang w:eastAsia="zh-CN"/>
        </w:rPr>
      </w:pPr>
    </w:p>
    <w:p>
      <w:pPr>
        <w:pStyle w:val="2"/>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pPr>
        <w:pStyle w:val="2"/>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pPr>
        <w:pStyle w:val="2"/>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pPr>
        <w:pStyle w:val="2"/>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pPr>
        <w:pStyle w:val="2"/>
        <w:numPr>
          <w:ilvl w:val="0"/>
          <w:numId w:val="0"/>
        </w:numPr>
        <w:kinsoku w:val="0"/>
        <w:overflowPunct w:val="0"/>
        <w:spacing w:before="34" w:line="357" w:lineRule="auto"/>
        <w:ind w:right="126"/>
        <w:jc w:val="both"/>
        <w:rPr>
          <w:rFonts w:ascii="仿宋" w:hAnsi="仿宋" w:eastAsia="仿宋" w:cs="仿宋"/>
          <w:color w:val="auto"/>
          <w:lang w:eastAsia="zh-CN"/>
        </w:rPr>
      </w:pPr>
    </w:p>
    <w:p>
      <w:pPr>
        <w:pStyle w:val="2"/>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pPr>
        <w:pStyle w:val="2"/>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pPr>
        <w:pStyle w:val="2"/>
        <w:tabs>
          <w:tab w:val="left" w:pos="780"/>
        </w:tabs>
        <w:kinsoku w:val="0"/>
        <w:overflowPunct w:val="0"/>
        <w:adjustRightInd w:val="0"/>
        <w:snapToGrid w:val="0"/>
        <w:spacing w:before="12"/>
        <w:rPr>
          <w:rFonts w:ascii="仿宋" w:hAnsi="仿宋" w:eastAsia="仿宋" w:cs="仿宋"/>
          <w:color w:val="auto"/>
          <w:sz w:val="4"/>
          <w:szCs w:val="4"/>
          <w:lang w:eastAsia="zh-CN"/>
        </w:rPr>
      </w:pPr>
    </w:p>
    <w:p>
      <w:pPr>
        <w:pStyle w:val="2"/>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v:textbox>
                <w10:wrap type="square"/>
              </v:roundrect>
            </w:pict>
          </mc:Fallback>
        </mc:AlternateContent>
      </w:r>
    </w:p>
    <w:p>
      <w:pPr>
        <w:pStyle w:val="2"/>
        <w:numPr>
          <w:ilvl w:val="0"/>
          <w:numId w:val="0"/>
        </w:numPr>
        <w:kinsoku w:val="0"/>
        <w:overflowPunct w:val="0"/>
        <w:adjustRightInd w:val="0"/>
        <w:snapToGrid w:val="0"/>
        <w:spacing w:line="200" w:lineRule="atLeast"/>
        <w:rPr>
          <w:rFonts w:ascii="仿宋" w:hAnsi="仿宋" w:eastAsia="仿宋" w:cs="仿宋"/>
          <w:color w:val="auto"/>
          <w:sz w:val="18"/>
          <w:szCs w:val="20"/>
        </w:rPr>
      </w:pPr>
    </w:p>
    <w:p>
      <w:pPr>
        <w:rPr>
          <w:rFonts w:ascii="仿宋" w:hAnsi="仿宋" w:eastAsia="仿宋" w:cs="仿宋"/>
          <w:color w:val="auto"/>
          <w:sz w:val="18"/>
          <w:szCs w:val="20"/>
        </w:rPr>
      </w:pPr>
    </w:p>
    <w:p>
      <w:pPr>
        <w:pStyle w:val="32"/>
        <w:rPr>
          <w:rFonts w:ascii="仿宋" w:hAnsi="仿宋" w:eastAsia="仿宋" w:cs="仿宋"/>
          <w:color w:val="auto"/>
          <w:sz w:val="18"/>
          <w:szCs w:val="20"/>
        </w:rPr>
      </w:pPr>
    </w:p>
    <w:p>
      <w:pPr>
        <w:pStyle w:val="32"/>
        <w:rPr>
          <w:rFonts w:ascii="仿宋" w:hAnsi="仿宋" w:eastAsia="仿宋" w:cs="仿宋"/>
          <w:color w:val="auto"/>
          <w:sz w:val="18"/>
          <w:szCs w:val="20"/>
        </w:rPr>
      </w:pPr>
    </w:p>
    <w:p>
      <w:pPr>
        <w:pStyle w:val="32"/>
        <w:rPr>
          <w:rFonts w:ascii="仿宋" w:hAnsi="仿宋" w:eastAsia="仿宋" w:cs="仿宋"/>
          <w:color w:val="auto"/>
          <w:sz w:val="18"/>
          <w:szCs w:val="20"/>
        </w:rPr>
      </w:pPr>
    </w:p>
    <w:p>
      <w:pPr>
        <w:pStyle w:val="32"/>
        <w:rPr>
          <w:rFonts w:ascii="仿宋" w:hAnsi="仿宋" w:eastAsia="仿宋" w:cs="仿宋"/>
          <w:color w:val="auto"/>
          <w:sz w:val="18"/>
          <w:szCs w:val="20"/>
        </w:rPr>
      </w:pPr>
    </w:p>
    <w:p>
      <w:pPr>
        <w:pStyle w:val="2"/>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pPr>
        <w:pStyle w:val="2"/>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pPr>
        <w:pStyle w:val="2"/>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pPr>
        <w:pStyle w:val="2"/>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pPr>
        <w:pStyle w:val="2"/>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pPr>
        <w:pStyle w:val="32"/>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pPr>
        <w:pStyle w:val="5"/>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72" w:name="_Toc6008"/>
      <w:bookmarkStart w:id="73" w:name="_Toc515647812"/>
      <w:bookmarkStart w:id="74" w:name="_Toc1137"/>
      <w:r>
        <w:rPr>
          <w:rFonts w:hint="eastAsia" w:ascii="仿宋" w:hAnsi="仿宋" w:eastAsia="仿宋" w:cs="仿宋"/>
          <w:color w:val="auto"/>
          <w:sz w:val="24"/>
          <w:lang w:eastAsia="zh-CN"/>
        </w:rPr>
        <w:t>在经营活动中没有重大违法记录的书面声明</w:t>
      </w:r>
      <w:bookmarkEnd w:id="72"/>
      <w:bookmarkEnd w:id="73"/>
      <w:bookmarkEnd w:id="74"/>
    </w:p>
    <w:p>
      <w:pPr>
        <w:pStyle w:val="11"/>
        <w:tabs>
          <w:tab w:val="left" w:pos="5580"/>
        </w:tabs>
        <w:spacing w:line="240" w:lineRule="atLeast"/>
        <w:ind w:left="1164" w:leftChars="257" w:hanging="540"/>
        <w:jc w:val="center"/>
        <w:rPr>
          <w:rFonts w:ascii="仿宋" w:hAnsi="仿宋" w:eastAsia="仿宋" w:cs="仿宋"/>
          <w:b/>
          <w:color w:val="auto"/>
          <w:lang w:eastAsia="zh-CN"/>
        </w:rPr>
      </w:pPr>
    </w:p>
    <w:p>
      <w:pPr>
        <w:pStyle w:val="11"/>
        <w:tabs>
          <w:tab w:val="left" w:pos="5580"/>
        </w:tabs>
        <w:spacing w:line="240" w:lineRule="atLeast"/>
        <w:ind w:left="1164" w:leftChars="257" w:hanging="540"/>
        <w:rPr>
          <w:rFonts w:ascii="仿宋" w:hAnsi="仿宋" w:eastAsia="仿宋" w:cs="仿宋"/>
          <w:color w:val="auto"/>
          <w:lang w:eastAsia="zh-CN"/>
        </w:rPr>
      </w:pPr>
    </w:p>
    <w:p>
      <w:pPr>
        <w:pStyle w:val="11"/>
        <w:tabs>
          <w:tab w:val="left" w:pos="5580"/>
        </w:tabs>
        <w:spacing w:line="240" w:lineRule="atLeast"/>
        <w:ind w:left="1164" w:leftChars="257" w:hanging="540"/>
        <w:rPr>
          <w:rFonts w:ascii="仿宋" w:hAnsi="仿宋" w:eastAsia="仿宋" w:cs="仿宋"/>
          <w:color w:val="auto"/>
          <w:lang w:eastAsia="zh-CN"/>
        </w:rPr>
      </w:pPr>
    </w:p>
    <w:p>
      <w:pPr>
        <w:pStyle w:val="11"/>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pPr>
        <w:pStyle w:val="11"/>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pPr>
        <w:pStyle w:val="11"/>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6"/>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spacing w:line="240" w:lineRule="atLeast"/>
        <w:rPr>
          <w:rFonts w:ascii="仿宋" w:hAnsi="仿宋" w:eastAsia="仿宋" w:cs="仿宋"/>
          <w:bCs/>
          <w:color w:val="auto"/>
          <w:sz w:val="36"/>
          <w:szCs w:val="36"/>
          <w:lang w:eastAsia="zh-CN"/>
        </w:rPr>
      </w:pPr>
    </w:p>
    <w:p>
      <w:pPr>
        <w:pStyle w:val="5"/>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w:t>
      </w:r>
      <w:r>
        <w:rPr>
          <w:rFonts w:hint="eastAsia" w:ascii="仿宋" w:hAnsi="仿宋" w:eastAsia="仿宋" w:cs="仿宋"/>
          <w:bCs/>
          <w:color w:val="auto"/>
          <w:sz w:val="36"/>
          <w:szCs w:val="36"/>
          <w:lang w:val="en-US" w:eastAsia="zh-CN"/>
        </w:rPr>
        <w:t>投标保证金</w:t>
      </w:r>
      <w:r>
        <w:rPr>
          <w:rFonts w:hint="eastAsia" w:ascii="仿宋" w:hAnsi="仿宋" w:eastAsia="仿宋" w:cs="仿宋"/>
          <w:bCs/>
          <w:color w:val="auto"/>
          <w:sz w:val="36"/>
          <w:szCs w:val="36"/>
          <w:lang w:eastAsia="zh-CN"/>
        </w:rPr>
        <w:t>汇款凭证或投标担保函</w:t>
      </w:r>
    </w:p>
    <w:p>
      <w:pPr>
        <w:ind w:firstLine="486" w:firstLineChars="200"/>
        <w:rPr>
          <w:rFonts w:ascii="仿宋" w:hAnsi="仿宋" w:eastAsia="仿宋" w:cs="仿宋"/>
          <w:color w:val="auto"/>
          <w:lang w:eastAsia="zh-CN"/>
        </w:rPr>
      </w:pPr>
      <w:bookmarkStart w:id="75" w:name="_Toc494296991"/>
      <w:bookmarkStart w:id="76" w:name="_Toc494296665"/>
    </w:p>
    <w:bookmarkEnd w:id="75"/>
    <w:bookmarkEnd w:id="76"/>
    <w:p>
      <w:pPr>
        <w:pStyle w:val="7"/>
        <w:rPr>
          <w:rFonts w:ascii="仿宋" w:hAnsi="仿宋" w:eastAsia="仿宋" w:cs="仿宋"/>
          <w:color w:val="auto"/>
          <w:lang w:eastAsia="zh-CN"/>
        </w:rPr>
      </w:pPr>
    </w:p>
    <w:p>
      <w:pPr>
        <w:pStyle w:val="7"/>
        <w:rPr>
          <w:rFonts w:ascii="仿宋" w:hAnsi="仿宋" w:eastAsia="仿宋" w:cs="仿宋"/>
          <w:color w:val="auto"/>
        </w:rPr>
      </w:pPr>
    </w:p>
    <w:p>
      <w:pPr>
        <w:spacing w:line="240" w:lineRule="atLeast"/>
        <w:ind w:left="1164" w:leftChars="257" w:hanging="540"/>
        <w:jc w:val="center"/>
        <w:rPr>
          <w:rFonts w:ascii="仿宋" w:hAnsi="仿宋" w:eastAsia="仿宋" w:cs="仿宋"/>
          <w:color w:val="auto"/>
        </w:rPr>
      </w:pPr>
    </w:p>
    <w:p>
      <w:pPr>
        <w:spacing w:line="460" w:lineRule="exact"/>
        <w:ind w:firstLine="486"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投标人须将本项目投标保证金缴纳有效凭证做在本部分； 复印件上应加盖本单位章。</w:t>
      </w:r>
    </w:p>
    <w:p>
      <w:pPr>
        <w:rPr>
          <w:rFonts w:ascii="仿宋" w:hAnsi="仿宋" w:eastAsia="仿宋" w:cs="仿宋"/>
          <w:color w:val="auto"/>
          <w:sz w:val="28"/>
          <w:szCs w:val="28"/>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pStyle w:val="7"/>
        <w:rPr>
          <w:rFonts w:ascii="仿宋" w:hAnsi="仿宋" w:eastAsia="仿宋" w:cs="仿宋"/>
          <w:color w:val="auto"/>
        </w:rPr>
      </w:pPr>
    </w:p>
    <w:p>
      <w:pPr>
        <w:rPr>
          <w:rFonts w:ascii="仿宋" w:hAnsi="仿宋" w:eastAsia="仿宋" w:cs="仿宋"/>
          <w:color w:val="auto"/>
        </w:rPr>
      </w:pPr>
    </w:p>
    <w:p>
      <w:pPr>
        <w:pStyle w:val="6"/>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spacing w:line="360" w:lineRule="auto"/>
        <w:jc w:val="both"/>
        <w:rPr>
          <w:rFonts w:ascii="仿宋" w:hAnsi="仿宋" w:eastAsia="仿宋" w:cs="仿宋"/>
          <w:b/>
          <w:bCs/>
          <w:color w:val="auto"/>
          <w:sz w:val="28"/>
          <w:szCs w:val="28"/>
          <w:lang w:eastAsia="zh-CN"/>
        </w:rPr>
      </w:pPr>
    </w:p>
    <w:p>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pPr>
        <w:spacing w:line="360" w:lineRule="auto"/>
        <w:ind w:firstLine="6439" w:firstLineChars="2650"/>
        <w:rPr>
          <w:rFonts w:ascii="仿宋" w:hAnsi="仿宋" w:eastAsia="仿宋" w:cs="仿宋"/>
          <w:color w:val="auto"/>
          <w:lang w:eastAsia="zh-CN"/>
        </w:rPr>
      </w:pPr>
    </w:p>
    <w:p>
      <w:pPr>
        <w:spacing w:line="360" w:lineRule="auto"/>
        <w:ind w:firstLine="6439" w:firstLineChars="2650"/>
        <w:rPr>
          <w:rFonts w:ascii="仿宋" w:hAnsi="仿宋" w:eastAsia="仿宋" w:cs="仿宋"/>
          <w:color w:val="auto"/>
          <w:lang w:eastAsia="zh-CN"/>
        </w:rPr>
      </w:pPr>
    </w:p>
    <w:p>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6318" w:firstLineChars="2600"/>
        <w:rPr>
          <w:rFonts w:ascii="仿宋" w:hAnsi="仿宋" w:eastAsia="仿宋" w:cs="仿宋"/>
          <w:color w:val="auto"/>
          <w:lang w:eastAsia="zh-CN"/>
        </w:rPr>
        <w:sectPr>
          <w:headerReference r:id="rId6" w:type="default"/>
          <w:footerReference r:id="rId7" w:type="default"/>
          <w:pgSz w:w="11905" w:h="16838"/>
          <w:pgMar w:top="1327" w:right="1191" w:bottom="1327" w:left="1191" w:header="850" w:footer="992" w:gutter="0"/>
          <w:pgNumType w:start="1"/>
          <w:cols w:space="0" w:num="1"/>
          <w:docGrid w:type="linesAndChars" w:linePitch="325" w:charSpace="635"/>
        </w:sectPr>
      </w:pPr>
      <w:r>
        <w:rPr>
          <w:rFonts w:hint="eastAsia" w:ascii="仿宋" w:hAnsi="仿宋" w:eastAsia="仿宋" w:cs="仿宋"/>
          <w:color w:val="auto"/>
          <w:lang w:eastAsia="zh-CN"/>
        </w:rPr>
        <w:t>年     月      日</w:t>
      </w:r>
    </w:p>
    <w:p>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6、投标企业须提供投标人（被授权在职人员）近期社保证明</w:t>
      </w:r>
    </w:p>
    <w:p>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spacing w:line="400" w:lineRule="exact"/>
        <w:ind w:firstLine="241" w:firstLineChars="100"/>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ind w:firstLine="0"/>
        <w:rPr>
          <w:rFonts w:ascii="仿宋" w:hAnsi="仿宋" w:eastAsia="仿宋" w:cs="仿宋"/>
          <w:b/>
          <w:bCs/>
          <w:color w:val="auto"/>
          <w:lang w:eastAsia="zh-CN"/>
        </w:rPr>
      </w:pPr>
    </w:p>
    <w:p>
      <w:pPr>
        <w:spacing w:line="400" w:lineRule="exact"/>
        <w:rPr>
          <w:rFonts w:ascii="仿宋" w:hAnsi="仿宋" w:eastAsia="仿宋" w:cs="仿宋"/>
          <w:b/>
          <w:bCs/>
          <w:color w:val="auto"/>
          <w:lang w:eastAsia="zh-CN"/>
        </w:rPr>
      </w:pPr>
    </w:p>
    <w:p>
      <w:pPr>
        <w:spacing w:line="400" w:lineRule="exact"/>
        <w:ind w:firstLine="482" w:firstLineChars="200"/>
        <w:rPr>
          <w:rFonts w:ascii="仿宋" w:hAnsi="仿宋" w:eastAsia="仿宋" w:cs="仿宋"/>
          <w:b/>
          <w:bCs/>
          <w:color w:val="auto"/>
          <w:lang w:eastAsia="zh-CN"/>
        </w:rPr>
      </w:pPr>
    </w:p>
    <w:p>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7、参加采购活动前三年内，在经营活动中没有重大违法记录，供应商须提供 “信用中国”网站（http://www.creditchina.gov.cn/）、“中国政府采购网”网站（http://www.ccgp.gov.cn）无违法违规行为的查询记录（提供查询结果网页截图并加盖供应商公章）</w:t>
      </w:r>
    </w:p>
    <w:p>
      <w:pPr>
        <w:pStyle w:val="32"/>
        <w:ind w:firstLine="0"/>
        <w:rPr>
          <w:rFonts w:ascii="仿宋" w:hAnsi="仿宋" w:eastAsia="仿宋" w:cs="仿宋"/>
          <w:color w:val="auto"/>
          <w:lang w:eastAsia="zh-CN"/>
        </w:rPr>
      </w:pPr>
    </w:p>
    <w:p>
      <w:pPr>
        <w:pStyle w:val="32"/>
        <w:rPr>
          <w:rFonts w:ascii="仿宋" w:hAnsi="仿宋" w:eastAsia="仿宋" w:cs="仿宋"/>
          <w:color w:val="auto"/>
          <w:lang w:eastAsia="zh-CN"/>
        </w:rPr>
      </w:pPr>
    </w:p>
    <w:p>
      <w:pPr>
        <w:pStyle w:val="32"/>
        <w:rPr>
          <w:rFonts w:ascii="仿宋" w:hAnsi="仿宋" w:eastAsia="仿宋" w:cs="仿宋"/>
          <w:color w:val="auto"/>
          <w:lang w:eastAsia="zh-CN"/>
        </w:rPr>
      </w:pPr>
    </w:p>
    <w:p>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8、供应商须知资料表要求的其他资格证明文件</w:t>
      </w:r>
    </w:p>
    <w:p>
      <w:pPr>
        <w:pStyle w:val="32"/>
        <w:ind w:firstLine="0"/>
        <w:rPr>
          <w:rFonts w:ascii="仿宋" w:hAnsi="仿宋" w:eastAsia="仿宋" w:cs="仿宋"/>
          <w:b/>
          <w:bCs/>
          <w:color w:val="auto"/>
          <w:lang w:eastAsia="zh-CN"/>
        </w:rPr>
      </w:pPr>
    </w:p>
    <w:p>
      <w:pPr>
        <w:pStyle w:val="32"/>
        <w:rPr>
          <w:rFonts w:ascii="仿宋" w:hAnsi="仿宋" w:eastAsia="仿宋" w:cs="仿宋"/>
          <w:b/>
          <w:bCs/>
          <w:color w:val="auto"/>
          <w:lang w:eastAsia="zh-CN"/>
        </w:rPr>
      </w:pPr>
    </w:p>
    <w:p>
      <w:pPr>
        <w:rPr>
          <w:rFonts w:ascii="仿宋" w:hAnsi="仿宋" w:eastAsia="仿宋" w:cs="仿宋"/>
          <w:color w:val="auto"/>
          <w:lang w:eastAsia="zh-CN"/>
        </w:rPr>
      </w:pPr>
    </w:p>
    <w:p>
      <w:pPr>
        <w:spacing w:line="400" w:lineRule="exact"/>
        <w:ind w:firstLine="482" w:firstLineChars="200"/>
        <w:rPr>
          <w:rFonts w:ascii="仿宋" w:hAnsi="仿宋" w:eastAsia="仿宋" w:cs="仿宋"/>
          <w:b/>
          <w:bCs/>
          <w:color w:val="auto"/>
          <w:lang w:eastAsia="zh-CN"/>
        </w:rPr>
      </w:pPr>
    </w:p>
    <w:p>
      <w:pPr>
        <w:spacing w:line="400" w:lineRule="exact"/>
        <w:ind w:firstLine="482" w:firstLineChars="200"/>
        <w:rPr>
          <w:rFonts w:hint="eastAsia" w:ascii="仿宋" w:hAnsi="仿宋" w:eastAsia="仿宋" w:cs="仿宋"/>
          <w:b/>
          <w:bCs/>
          <w:color w:val="auto"/>
          <w:lang w:eastAsia="zh-CN"/>
        </w:rPr>
      </w:pPr>
    </w:p>
    <w:p>
      <w:pPr>
        <w:pStyle w:val="4"/>
        <w:spacing w:before="40" w:after="40" w:line="579" w:lineRule="auto"/>
        <w:jc w:val="both"/>
        <w:rPr>
          <w:rFonts w:hint="eastAsia" w:ascii="仿宋" w:hAnsi="仿宋" w:eastAsia="仿宋" w:cs="仿宋"/>
          <w:color w:val="auto"/>
          <w:sz w:val="32"/>
          <w:szCs w:val="32"/>
          <w:lang w:eastAsia="zh-CN"/>
        </w:rPr>
      </w:pPr>
      <w:bookmarkStart w:id="77" w:name="_Toc515647816"/>
      <w:bookmarkStart w:id="78" w:name="_Toc22967"/>
      <w:bookmarkStart w:id="79" w:name="_Toc5695"/>
      <w:bookmarkStart w:id="80" w:name="_Toc11180"/>
    </w:p>
    <w:p>
      <w:pPr>
        <w:rPr>
          <w:rFonts w:hint="eastAsia" w:ascii="仿宋" w:hAnsi="仿宋" w:eastAsia="仿宋" w:cs="仿宋"/>
          <w:color w:val="auto"/>
          <w:sz w:val="32"/>
          <w:szCs w:val="32"/>
          <w:lang w:eastAsia="zh-CN"/>
        </w:rPr>
      </w:pPr>
    </w:p>
    <w:p>
      <w:pPr>
        <w:pStyle w:val="6"/>
        <w:rPr>
          <w:rFonts w:hint="eastAsia" w:ascii="仿宋" w:hAnsi="仿宋" w:eastAsia="仿宋" w:cs="仿宋"/>
          <w:color w:val="auto"/>
          <w:sz w:val="32"/>
          <w:szCs w:val="32"/>
          <w:lang w:eastAsia="zh-CN"/>
        </w:rPr>
      </w:pPr>
    </w:p>
    <w:p>
      <w:pPr>
        <w:pStyle w:val="4"/>
        <w:spacing w:line="240" w:lineRule="auto"/>
        <w:jc w:val="center"/>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7"/>
        <w:rPr>
          <w:rFonts w:hint="eastAsia" w:ascii="仿宋" w:hAnsi="仿宋" w:eastAsia="仿宋" w:cs="仿宋"/>
          <w:color w:val="auto"/>
          <w:sz w:val="32"/>
          <w:szCs w:val="32"/>
          <w:lang w:eastAsia="zh-CN"/>
        </w:rPr>
      </w:pPr>
    </w:p>
    <w:p>
      <w:pPr>
        <w:pStyle w:val="7"/>
        <w:rPr>
          <w:rFonts w:hint="eastAsia" w:ascii="仿宋" w:hAnsi="仿宋" w:eastAsia="仿宋" w:cs="仿宋"/>
          <w:color w:val="auto"/>
          <w:sz w:val="32"/>
          <w:szCs w:val="32"/>
          <w:lang w:eastAsia="zh-CN"/>
        </w:rPr>
      </w:pPr>
    </w:p>
    <w:p>
      <w:pPr>
        <w:pStyle w:val="4"/>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77"/>
      <w:bookmarkEnd w:id="78"/>
      <w:bookmarkEnd w:id="79"/>
      <w:bookmarkEnd w:id="80"/>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3、技术规格偏离表</w:t>
      </w:r>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4、商务条款偏离表</w:t>
      </w:r>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5、供应商基本情况表</w:t>
      </w:r>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6、近三年（20</w:t>
      </w:r>
      <w:r>
        <w:rPr>
          <w:rFonts w:hint="eastAsia" w:ascii="仿宋" w:hAnsi="仿宋" w:eastAsia="仿宋" w:cs="仿宋"/>
          <w:color w:val="auto"/>
          <w:lang w:val="en-US" w:eastAsia="zh-CN"/>
        </w:rPr>
        <w:t>20</w:t>
      </w:r>
      <w:r>
        <w:rPr>
          <w:rFonts w:hint="eastAsia" w:ascii="仿宋" w:hAnsi="仿宋" w:eastAsia="仿宋" w:cs="仿宋"/>
          <w:color w:val="auto"/>
          <w:lang w:eastAsia="zh-CN"/>
        </w:rPr>
        <w:t>年</w:t>
      </w:r>
      <w:r>
        <w:rPr>
          <w:rFonts w:hint="eastAsia" w:ascii="仿宋" w:hAnsi="仿宋" w:eastAsia="仿宋" w:cs="仿宋"/>
          <w:color w:val="auto"/>
          <w:lang w:val="en-US" w:eastAsia="zh-CN"/>
        </w:rPr>
        <w:t>10</w:t>
      </w:r>
      <w:r>
        <w:rPr>
          <w:rFonts w:hint="eastAsia" w:ascii="仿宋" w:hAnsi="仿宋" w:eastAsia="仿宋" w:cs="仿宋"/>
          <w:color w:val="auto"/>
          <w:lang w:eastAsia="zh-CN"/>
        </w:rPr>
        <w:t>月1日至今）类似项目业绩表</w:t>
      </w:r>
    </w:p>
    <w:p>
      <w:pPr>
        <w:pStyle w:val="11"/>
        <w:spacing w:line="400" w:lineRule="exact"/>
        <w:ind w:left="1157" w:leftChars="257" w:hanging="540"/>
        <w:rPr>
          <w:rFonts w:ascii="仿宋" w:hAnsi="仿宋" w:eastAsia="仿宋" w:cs="仿宋"/>
          <w:color w:val="auto"/>
          <w:lang w:eastAsia="zh-CN"/>
        </w:rPr>
      </w:pPr>
      <w:r>
        <w:rPr>
          <w:rFonts w:hint="eastAsia" w:ascii="仿宋" w:hAnsi="仿宋" w:eastAsia="仿宋" w:cs="仿宋"/>
          <w:color w:val="auto"/>
          <w:lang w:eastAsia="zh-CN"/>
        </w:rPr>
        <w:t>7、中小企业声明函(</w:t>
      </w:r>
      <w:r>
        <w:rPr>
          <w:rFonts w:hint="eastAsia" w:ascii="仿宋" w:hAnsi="仿宋" w:eastAsia="仿宋" w:cs="仿宋"/>
          <w:color w:val="auto"/>
          <w:lang w:val="en-US" w:eastAsia="zh-CN"/>
        </w:rPr>
        <w:t>农业</w:t>
      </w:r>
      <w:r>
        <w:rPr>
          <w:rFonts w:hint="eastAsia" w:ascii="仿宋" w:hAnsi="仿宋" w:eastAsia="仿宋" w:cs="仿宋"/>
          <w:color w:val="auto"/>
          <w:lang w:eastAsia="zh-CN"/>
        </w:rPr>
        <w:t>)</w:t>
      </w:r>
    </w:p>
    <w:p>
      <w:pPr>
        <w:pStyle w:val="11"/>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eastAsia="zh-CN"/>
        </w:rPr>
        <w:t>8、《残疾人福利性单位声明函》</w:t>
      </w:r>
    </w:p>
    <w:p>
      <w:pPr>
        <w:pStyle w:val="11"/>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eastAsia="zh-CN"/>
        </w:rPr>
        <w:t>9、评分标准和细则中技术部分证明材料</w:t>
      </w:r>
    </w:p>
    <w:p>
      <w:pPr>
        <w:pStyle w:val="11"/>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eastAsia="zh-CN"/>
        </w:rPr>
        <w:t>10、评分标准和细则中技术部分证明材料（格式自拟）</w:t>
      </w:r>
    </w:p>
    <w:p>
      <w:pPr>
        <w:pStyle w:val="11"/>
        <w:spacing w:line="400" w:lineRule="exact"/>
        <w:ind w:left="355" w:leftChars="148" w:firstLine="228"/>
        <w:rPr>
          <w:rFonts w:ascii="仿宋" w:hAnsi="仿宋" w:eastAsia="仿宋" w:cs="仿宋"/>
          <w:color w:val="auto"/>
          <w:lang w:eastAsia="zh-CN"/>
        </w:rPr>
      </w:pPr>
      <w:r>
        <w:rPr>
          <w:rFonts w:hint="eastAsia" w:ascii="仿宋" w:hAnsi="仿宋" w:eastAsia="仿宋" w:cs="仿宋"/>
          <w:color w:val="auto"/>
          <w:lang w:eastAsia="zh-CN"/>
        </w:rPr>
        <w:t>11、供应商认为有必要提供的其他证明材料（格式自拟）</w:t>
      </w:r>
    </w:p>
    <w:p>
      <w:pPr>
        <w:pStyle w:val="11"/>
        <w:tabs>
          <w:tab w:val="left" w:pos="5580"/>
        </w:tabs>
        <w:spacing w:line="400" w:lineRule="exact"/>
        <w:ind w:left="641"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pPr>
        <w:pStyle w:val="2"/>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w:t>
      </w:r>
      <w:r>
        <w:rPr>
          <w:rFonts w:hint="eastAsia" w:ascii="仿宋" w:hAnsi="仿宋" w:eastAsia="仿宋" w:cs="仿宋"/>
          <w:color w:val="auto"/>
          <w:lang w:val="en-US" w:eastAsia="zh-CN"/>
        </w:rPr>
        <w:t>服务</w:t>
      </w:r>
      <w:r>
        <w:rPr>
          <w:rFonts w:hint="eastAsia" w:ascii="仿宋" w:hAnsi="仿宋" w:eastAsia="仿宋" w:cs="仿宋"/>
          <w:color w:val="auto"/>
          <w:lang w:eastAsia="zh-CN"/>
        </w:rPr>
        <w:t>与相关服务的投标总价详见《报价一览表》。</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w:t>
      </w:r>
      <w:r>
        <w:rPr>
          <w:rFonts w:hint="eastAsia" w:ascii="仿宋" w:hAnsi="仿宋" w:eastAsia="仿宋" w:cs="仿宋"/>
          <w:color w:val="auto"/>
          <w:lang w:val="en-US" w:eastAsia="zh-CN"/>
        </w:rPr>
        <w:t>服务</w:t>
      </w:r>
      <w:r>
        <w:rPr>
          <w:rFonts w:hint="eastAsia" w:ascii="仿宋" w:hAnsi="仿宋" w:eastAsia="仿宋" w:cs="仿宋"/>
          <w:color w:val="auto"/>
          <w:lang w:eastAsia="zh-CN"/>
        </w:rPr>
        <w:t>时，如有第三方提出侵犯其知识产权主张的，责任由我方承担。</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pPr>
        <w:spacing w:line="48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pPr>
        <w:spacing w:line="4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pPr>
        <w:wordWrap w:val="0"/>
        <w:spacing w:line="440" w:lineRule="exact"/>
        <w:ind w:firstLine="480"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pPr>
        <w:wordWrap w:val="0"/>
        <w:spacing w:line="440" w:lineRule="exact"/>
        <w:ind w:firstLine="480"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pStyle w:val="32"/>
        <w:rPr>
          <w:rFonts w:ascii="仿宋" w:hAnsi="仿宋" w:eastAsia="仿宋" w:cs="仿宋"/>
          <w:color w:val="auto"/>
          <w:lang w:eastAsia="zh-CN"/>
        </w:rPr>
      </w:pPr>
      <w:r>
        <w:rPr>
          <w:rFonts w:hint="eastAsia" w:ascii="仿宋" w:hAnsi="仿宋" w:eastAsia="仿宋" w:cs="仿宋"/>
          <w:color w:val="auto"/>
          <w:lang w:eastAsia="zh-CN"/>
        </w:rPr>
        <w:br w:type="page"/>
      </w:r>
    </w:p>
    <w:p>
      <w:pPr>
        <w:pStyle w:val="7"/>
        <w:tabs>
          <w:tab w:val="left" w:pos="5580"/>
        </w:tabs>
        <w:spacing w:line="240" w:lineRule="atLeast"/>
        <w:ind w:firstLine="3350"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5"/>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服务期：（天）</w:t>
            </w:r>
          </w:p>
        </w:tc>
        <w:tc>
          <w:tcPr>
            <w:tcW w:w="6185" w:type="dxa"/>
            <w:vAlign w:val="center"/>
          </w:tcPr>
          <w:p>
            <w:pPr>
              <w:jc w:val="cente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投标报价</w:t>
            </w:r>
          </w:p>
          <w:p>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ascii="仿宋" w:hAnsi="仿宋" w:eastAsia="仿宋" w:cs="仿宋"/>
                <w:color w:val="auto"/>
                <w:szCs w:val="21"/>
              </w:rPr>
            </w:pPr>
          </w:p>
        </w:tc>
      </w:tr>
    </w:tbl>
    <w:p>
      <w:pPr>
        <w:spacing w:line="500" w:lineRule="exact"/>
        <w:ind w:firstLine="470" w:firstLineChars="196"/>
        <w:rPr>
          <w:rFonts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5"/>
        <w:spacing w:line="240" w:lineRule="atLeast"/>
        <w:rPr>
          <w:rFonts w:ascii="宋体" w:hAnsi="宋体" w:eastAsia="宋体" w:cs="宋体"/>
          <w:bCs/>
          <w:color w:val="auto"/>
          <w:sz w:val="24"/>
          <w:lang w:eastAsia="zh-CN"/>
        </w:rPr>
      </w:pPr>
    </w:p>
    <w:p>
      <w:pPr>
        <w:pStyle w:val="5"/>
        <w:spacing w:line="240" w:lineRule="atLeast"/>
        <w:rPr>
          <w:rFonts w:ascii="宋体" w:hAnsi="宋体" w:eastAsia="宋体" w:cs="宋体"/>
          <w:bCs/>
          <w:color w:val="auto"/>
          <w:sz w:val="24"/>
          <w:lang w:eastAsia="zh-CN"/>
        </w:rPr>
      </w:pPr>
    </w:p>
    <w:p>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p>
    <w:p>
      <w:pPr>
        <w:pStyle w:val="2"/>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pPr>
        <w:spacing w:line="360" w:lineRule="auto"/>
        <w:jc w:val="center"/>
        <w:rPr>
          <w:rFonts w:ascii="仿宋" w:hAnsi="仿宋" w:eastAsia="仿宋" w:cs="仿宋"/>
          <w:b/>
          <w:color w:val="auto"/>
          <w:sz w:val="36"/>
          <w:szCs w:val="36"/>
          <w:lang w:eastAsia="zh-CN"/>
        </w:rPr>
      </w:pPr>
    </w:p>
    <w:p>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val="en-US" w:eastAsia="zh-CN"/>
        </w:rPr>
        <w:t>3</w:t>
      </w:r>
      <w:r>
        <w:rPr>
          <w:rFonts w:hint="eastAsia" w:ascii="仿宋" w:hAnsi="仿宋" w:eastAsia="仿宋" w:cs="仿宋"/>
          <w:b/>
          <w:color w:val="auto"/>
          <w:sz w:val="36"/>
          <w:szCs w:val="36"/>
          <w:lang w:eastAsia="zh-CN"/>
        </w:rPr>
        <w:t>、</w:t>
      </w:r>
      <w:r>
        <w:rPr>
          <w:rFonts w:hint="eastAsia" w:ascii="仿宋" w:hAnsi="仿宋" w:eastAsia="仿宋" w:cs="仿宋"/>
          <w:b/>
          <w:bCs/>
          <w:color w:val="auto"/>
          <w:sz w:val="32"/>
          <w:szCs w:val="32"/>
          <w:lang w:eastAsia="zh-CN"/>
        </w:rPr>
        <w:t>技术条款偏离表</w:t>
      </w:r>
    </w:p>
    <w:tbl>
      <w:tblPr>
        <w:tblStyle w:val="25"/>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pPr>
              <w:jc w:val="center"/>
              <w:rPr>
                <w:rFonts w:ascii="仿宋" w:hAnsi="仿宋" w:eastAsia="仿宋" w:cs="仿宋"/>
                <w:bCs/>
                <w:color w:val="auto"/>
              </w:rPr>
            </w:pPr>
            <w:r>
              <w:rPr>
                <w:rFonts w:hint="eastAsia" w:ascii="仿宋" w:hAnsi="仿宋" w:eastAsia="仿宋" w:cs="仿宋"/>
                <w:bCs/>
                <w:color w:val="auto"/>
                <w:lang w:val="en-US" w:eastAsia="zh-CN"/>
              </w:rPr>
              <w:t>服务</w:t>
            </w:r>
            <w:r>
              <w:rPr>
                <w:rFonts w:hint="eastAsia" w:ascii="仿宋" w:hAnsi="仿宋" w:eastAsia="仿宋" w:cs="仿宋"/>
                <w:bCs/>
                <w:color w:val="auto"/>
              </w:rPr>
              <w:t>名称</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条目号</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要求规格</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pPr>
              <w:jc w:val="center"/>
              <w:rPr>
                <w:rFonts w:ascii="仿宋" w:hAnsi="仿宋" w:eastAsia="仿宋" w:cs="仿宋"/>
                <w:bCs/>
                <w:color w:val="auto"/>
              </w:rPr>
            </w:pPr>
            <w:r>
              <w:rPr>
                <w:rFonts w:hint="eastAsia" w:ascii="仿宋" w:hAnsi="仿宋" w:eastAsia="仿宋" w:cs="仿宋"/>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rPr>
            </w:pPr>
          </w:p>
        </w:tc>
        <w:tc>
          <w:tcPr>
            <w:tcW w:w="1357"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7" w:type="dxa"/>
          </w:tcPr>
          <w:p>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bl>
    <w:p>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w:t>
      </w:r>
      <w:r>
        <w:rPr>
          <w:rFonts w:hint="eastAsia" w:ascii="仿宋" w:hAnsi="仿宋" w:eastAsia="仿宋" w:cs="仿宋"/>
          <w:color w:val="auto"/>
          <w:lang w:val="en-US" w:eastAsia="zh-CN"/>
        </w:rPr>
        <w:t>服务</w:t>
      </w:r>
      <w:r>
        <w:rPr>
          <w:rFonts w:hint="eastAsia" w:ascii="仿宋" w:hAnsi="仿宋" w:eastAsia="仿宋" w:cs="仿宋"/>
          <w:color w:val="auto"/>
          <w:lang w:eastAsia="zh-CN"/>
        </w:rPr>
        <w:t>，对照磋商文件第四章“技术标准和要求”中的要求，有差异的，则在此表中列明实际响应的内容提要并加以说明，以便查对。本表包括所有的技术响应及差异。无差异说明表示完全响应。</w:t>
      </w:r>
    </w:p>
    <w:p>
      <w:pPr>
        <w:pStyle w:val="11"/>
        <w:tabs>
          <w:tab w:val="left" w:pos="5580"/>
        </w:tabs>
        <w:spacing w:line="360" w:lineRule="auto"/>
        <w:ind w:firstLine="3120" w:firstLineChars="1300"/>
        <w:rPr>
          <w:rFonts w:ascii="仿宋" w:hAnsi="仿宋" w:eastAsia="仿宋" w:cs="仿宋"/>
          <w:color w:val="auto"/>
          <w:lang w:eastAsia="zh-CN"/>
        </w:rPr>
      </w:pPr>
    </w:p>
    <w:p>
      <w:pPr>
        <w:pStyle w:val="11"/>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pStyle w:val="11"/>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pPr>
        <w:pStyle w:val="6"/>
        <w:rPr>
          <w:rFonts w:ascii="仿宋" w:hAnsi="仿宋" w:eastAsia="仿宋" w:cs="仿宋"/>
          <w:color w:val="auto"/>
          <w:sz w:val="36"/>
          <w:szCs w:val="36"/>
          <w:lang w:eastAsia="zh-CN"/>
        </w:rPr>
      </w:pPr>
    </w:p>
    <w:p>
      <w:pPr>
        <w:rPr>
          <w:rFonts w:ascii="仿宋" w:hAnsi="仿宋" w:eastAsia="仿宋" w:cs="仿宋"/>
          <w:color w:val="auto"/>
          <w:lang w:eastAsia="zh-CN"/>
        </w:rPr>
      </w:pPr>
    </w:p>
    <w:p>
      <w:pPr>
        <w:pStyle w:val="36"/>
        <w:spacing w:after="0"/>
        <w:ind w:firstLine="420"/>
        <w:jc w:val="center"/>
        <w:rPr>
          <w:rFonts w:ascii="仿宋" w:hAnsi="仿宋" w:eastAsia="仿宋" w:cs="仿宋"/>
          <w:color w:val="auto"/>
          <w:sz w:val="36"/>
          <w:szCs w:val="36"/>
          <w:lang w:eastAsia="zh-CN"/>
        </w:rPr>
      </w:pPr>
    </w:p>
    <w:p>
      <w:pPr>
        <w:pStyle w:val="36"/>
        <w:spacing w:after="0"/>
        <w:ind w:firstLine="420"/>
        <w:jc w:val="center"/>
        <w:rPr>
          <w:rFonts w:ascii="仿宋" w:hAnsi="仿宋" w:eastAsia="仿宋" w:cs="仿宋"/>
          <w:color w:val="auto"/>
          <w:sz w:val="36"/>
          <w:szCs w:val="36"/>
          <w:lang w:eastAsia="zh-CN"/>
        </w:rPr>
      </w:pPr>
    </w:p>
    <w:p>
      <w:pPr>
        <w:pStyle w:val="36"/>
        <w:spacing w:after="0"/>
        <w:ind w:firstLine="420"/>
        <w:jc w:val="center"/>
        <w:rPr>
          <w:rFonts w:ascii="仿宋" w:hAnsi="仿宋" w:eastAsia="仿宋" w:cs="仿宋"/>
          <w:color w:val="auto"/>
          <w:sz w:val="36"/>
          <w:szCs w:val="36"/>
          <w:lang w:eastAsia="zh-CN"/>
        </w:rPr>
      </w:pPr>
    </w:p>
    <w:p>
      <w:pPr>
        <w:pStyle w:val="36"/>
        <w:spacing w:after="0"/>
        <w:ind w:firstLine="420"/>
        <w:jc w:val="center"/>
        <w:rPr>
          <w:rFonts w:ascii="仿宋" w:hAnsi="仿宋" w:eastAsia="仿宋" w:cs="仿宋"/>
          <w:color w:val="auto"/>
          <w:sz w:val="36"/>
          <w:szCs w:val="36"/>
          <w:lang w:eastAsia="zh-CN"/>
        </w:rPr>
      </w:pPr>
    </w:p>
    <w:p>
      <w:pPr>
        <w:pStyle w:val="36"/>
        <w:spacing w:after="0"/>
        <w:ind w:firstLine="420"/>
        <w:jc w:val="center"/>
        <w:rPr>
          <w:rFonts w:ascii="仿宋" w:hAnsi="仿宋" w:eastAsia="仿宋" w:cs="仿宋"/>
          <w:color w:val="auto"/>
          <w:sz w:val="36"/>
          <w:szCs w:val="36"/>
          <w:lang w:eastAsia="zh-CN"/>
        </w:rPr>
      </w:pPr>
    </w:p>
    <w:p>
      <w:pPr>
        <w:pStyle w:val="36"/>
        <w:spacing w:after="0"/>
        <w:ind w:firstLine="420"/>
        <w:jc w:val="center"/>
        <w:rPr>
          <w:rFonts w:ascii="仿宋" w:hAnsi="仿宋" w:eastAsia="仿宋" w:cs="仿宋"/>
          <w:color w:val="auto"/>
          <w:sz w:val="36"/>
          <w:szCs w:val="36"/>
          <w:lang w:eastAsia="zh-CN"/>
        </w:rPr>
      </w:pPr>
    </w:p>
    <w:p>
      <w:pPr>
        <w:pStyle w:val="36"/>
        <w:spacing w:after="0"/>
        <w:ind w:firstLine="420"/>
        <w:jc w:val="center"/>
        <w:rPr>
          <w:rFonts w:ascii="仿宋" w:hAnsi="仿宋" w:eastAsia="仿宋" w:cs="仿宋"/>
          <w:color w:val="auto"/>
          <w:sz w:val="36"/>
          <w:szCs w:val="36"/>
          <w:lang w:eastAsia="zh-CN"/>
        </w:rPr>
      </w:pPr>
    </w:p>
    <w:p>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lang w:eastAsia="zh-CN"/>
        </w:rPr>
        <w:t>、商务条款偏离表</w:t>
      </w: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磋商文件条款号</w:t>
            </w:r>
          </w:p>
        </w:tc>
        <w:tc>
          <w:tcPr>
            <w:tcW w:w="2477"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454"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pPr>
              <w:pStyle w:val="11"/>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bl>
    <w:p>
      <w:pPr>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w:t>
      </w:r>
    </w:p>
    <w:p>
      <w:pPr>
        <w:pStyle w:val="2"/>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36"/>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6"/>
        <w:spacing w:after="0"/>
        <w:ind w:firstLine="420"/>
        <w:jc w:val="center"/>
        <w:rPr>
          <w:rFonts w:ascii="仿宋" w:hAnsi="仿宋" w:eastAsia="仿宋" w:cs="仿宋"/>
          <w:color w:val="auto"/>
          <w:sz w:val="36"/>
          <w:szCs w:val="36"/>
        </w:rPr>
      </w:pPr>
    </w:p>
    <w:p>
      <w:pPr>
        <w:pStyle w:val="37"/>
        <w:tabs>
          <w:tab w:val="left" w:pos="826"/>
        </w:tabs>
        <w:spacing w:line="470" w:lineRule="exact"/>
        <w:ind w:firstLine="0"/>
        <w:jc w:val="center"/>
        <w:rPr>
          <w:rFonts w:ascii="仿宋" w:hAnsi="仿宋" w:eastAsia="仿宋" w:cs="仿宋"/>
          <w:color w:val="auto"/>
          <w:sz w:val="21"/>
          <w:szCs w:val="21"/>
        </w:rPr>
      </w:pPr>
    </w:p>
    <w:p>
      <w:pPr>
        <w:pStyle w:val="37"/>
        <w:tabs>
          <w:tab w:val="left" w:pos="826"/>
        </w:tabs>
        <w:spacing w:line="470" w:lineRule="exact"/>
        <w:ind w:firstLine="0"/>
        <w:jc w:val="center"/>
        <w:rPr>
          <w:rFonts w:ascii="仿宋" w:hAnsi="仿宋" w:eastAsia="仿宋" w:cs="仿宋"/>
          <w:color w:val="auto"/>
          <w:sz w:val="21"/>
          <w:szCs w:val="21"/>
        </w:rPr>
      </w:pPr>
    </w:p>
    <w:p>
      <w:pPr>
        <w:pStyle w:val="37"/>
        <w:tabs>
          <w:tab w:val="left" w:pos="826"/>
        </w:tabs>
        <w:spacing w:line="470" w:lineRule="exact"/>
        <w:ind w:firstLine="0"/>
        <w:jc w:val="both"/>
        <w:rPr>
          <w:rFonts w:ascii="仿宋" w:hAnsi="仿宋" w:eastAsia="仿宋" w:cs="仿宋"/>
          <w:color w:val="auto"/>
          <w:sz w:val="21"/>
          <w:szCs w:val="21"/>
        </w:rPr>
      </w:pPr>
    </w:p>
    <w:p>
      <w:pPr>
        <w:pStyle w:val="37"/>
        <w:tabs>
          <w:tab w:val="left" w:pos="826"/>
        </w:tabs>
        <w:spacing w:line="470" w:lineRule="exact"/>
        <w:ind w:firstLine="0"/>
        <w:jc w:val="center"/>
        <w:rPr>
          <w:rFonts w:ascii="仿宋" w:hAnsi="仿宋" w:eastAsia="仿宋" w:cs="仿宋"/>
          <w:color w:val="auto"/>
          <w:sz w:val="21"/>
          <w:szCs w:val="21"/>
        </w:rPr>
      </w:pPr>
    </w:p>
    <w:p>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、供应商基本情况表</w:t>
      </w:r>
    </w:p>
    <w:p>
      <w:pPr>
        <w:pStyle w:val="2"/>
        <w:numPr>
          <w:ilvl w:val="0"/>
          <w:numId w:val="0"/>
        </w:numPr>
        <w:kinsoku w:val="0"/>
        <w:overflowPunct w:val="0"/>
        <w:spacing w:before="5"/>
        <w:rPr>
          <w:rFonts w:ascii="仿宋" w:hAnsi="仿宋" w:eastAsia="仿宋" w:cs="仿宋"/>
          <w:b/>
          <w:bCs/>
          <w:color w:val="auto"/>
          <w:sz w:val="6"/>
          <w:szCs w:val="6"/>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40"/>
              <w:kinsoku w:val="0"/>
              <w:overflowPunct w:val="0"/>
              <w:spacing w:before="4"/>
              <w:rPr>
                <w:rFonts w:ascii="仿宋" w:hAnsi="仿宋" w:eastAsia="仿宋" w:cs="仿宋"/>
                <w:b/>
                <w:bCs/>
                <w:color w:val="auto"/>
                <w:sz w:val="20"/>
                <w:szCs w:val="20"/>
              </w:rPr>
            </w:pPr>
          </w:p>
          <w:p>
            <w:pPr>
              <w:pStyle w:val="40"/>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40"/>
              <w:kinsoku w:val="0"/>
              <w:overflowPunct w:val="0"/>
              <w:spacing w:before="4"/>
              <w:rPr>
                <w:rFonts w:ascii="仿宋" w:hAnsi="仿宋" w:eastAsia="仿宋" w:cs="仿宋"/>
                <w:b/>
                <w:bCs/>
                <w:color w:val="auto"/>
                <w:sz w:val="20"/>
                <w:szCs w:val="20"/>
              </w:rPr>
            </w:pPr>
          </w:p>
          <w:p>
            <w:pPr>
              <w:pStyle w:val="40"/>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40"/>
              <w:kinsoku w:val="0"/>
              <w:overflowPunct w:val="0"/>
              <w:rPr>
                <w:rFonts w:ascii="仿宋" w:hAnsi="仿宋" w:eastAsia="仿宋" w:cs="仿宋"/>
                <w:b/>
                <w:bCs/>
                <w:color w:val="auto"/>
              </w:rPr>
            </w:pPr>
          </w:p>
          <w:p>
            <w:pPr>
              <w:pStyle w:val="40"/>
              <w:kinsoku w:val="0"/>
              <w:overflowPunct w:val="0"/>
              <w:rPr>
                <w:rFonts w:ascii="仿宋" w:hAnsi="仿宋" w:eastAsia="仿宋" w:cs="仿宋"/>
                <w:b/>
                <w:bCs/>
                <w:color w:val="auto"/>
              </w:rPr>
            </w:pPr>
          </w:p>
          <w:p>
            <w:pPr>
              <w:pStyle w:val="40"/>
              <w:kinsoku w:val="0"/>
              <w:overflowPunct w:val="0"/>
              <w:rPr>
                <w:rFonts w:ascii="仿宋" w:hAnsi="仿宋" w:eastAsia="仿宋" w:cs="仿宋"/>
                <w:b/>
                <w:bCs/>
                <w:color w:val="auto"/>
              </w:rPr>
            </w:pPr>
          </w:p>
          <w:p>
            <w:pPr>
              <w:pStyle w:val="40"/>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40"/>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40"/>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0"/>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1"/>
              <w:rPr>
                <w:rFonts w:ascii="仿宋" w:hAnsi="仿宋" w:eastAsia="仿宋" w:cs="仿宋"/>
                <w:b/>
                <w:bCs/>
                <w:color w:val="auto"/>
                <w:sz w:val="23"/>
                <w:szCs w:val="23"/>
              </w:rPr>
            </w:pPr>
          </w:p>
          <w:p>
            <w:pPr>
              <w:pStyle w:val="40"/>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bl>
    <w:p>
      <w:pPr>
        <w:pStyle w:val="37"/>
        <w:spacing w:line="440" w:lineRule="exact"/>
        <w:ind w:firstLine="0"/>
        <w:jc w:val="both"/>
        <w:rPr>
          <w:rFonts w:ascii="仿宋" w:hAnsi="仿宋" w:eastAsia="仿宋" w:cs="仿宋"/>
          <w:b/>
          <w:color w:val="auto"/>
          <w:sz w:val="30"/>
          <w:szCs w:val="30"/>
        </w:rPr>
      </w:pPr>
    </w:p>
    <w:p>
      <w:pPr>
        <w:pStyle w:val="37"/>
        <w:spacing w:line="440" w:lineRule="exact"/>
        <w:ind w:firstLine="0"/>
        <w:jc w:val="both"/>
        <w:rPr>
          <w:rFonts w:ascii="仿宋" w:hAnsi="仿宋" w:eastAsia="仿宋" w:cs="仿宋"/>
          <w:b/>
          <w:color w:val="auto"/>
          <w:sz w:val="30"/>
          <w:szCs w:val="30"/>
        </w:rPr>
      </w:pPr>
    </w:p>
    <w:p>
      <w:pPr>
        <w:pStyle w:val="37"/>
        <w:spacing w:line="440" w:lineRule="exact"/>
        <w:ind w:firstLine="0"/>
        <w:jc w:val="both"/>
        <w:rPr>
          <w:rFonts w:ascii="仿宋" w:hAnsi="仿宋" w:eastAsia="仿宋" w:cs="仿宋"/>
          <w:b/>
          <w:color w:val="auto"/>
          <w:sz w:val="30"/>
          <w:szCs w:val="30"/>
        </w:rPr>
      </w:pPr>
    </w:p>
    <w:p>
      <w:pPr>
        <w:pStyle w:val="37"/>
        <w:spacing w:line="440" w:lineRule="exact"/>
        <w:ind w:firstLine="0"/>
        <w:jc w:val="both"/>
        <w:rPr>
          <w:rFonts w:ascii="仿宋" w:hAnsi="仿宋" w:eastAsia="仿宋" w:cs="仿宋"/>
          <w:b/>
          <w:color w:val="auto"/>
          <w:sz w:val="30"/>
          <w:szCs w:val="30"/>
        </w:rPr>
      </w:pPr>
    </w:p>
    <w:p>
      <w:pPr>
        <w:pStyle w:val="37"/>
        <w:spacing w:line="440" w:lineRule="exact"/>
        <w:ind w:firstLine="0"/>
        <w:jc w:val="both"/>
        <w:rPr>
          <w:rFonts w:ascii="仿宋" w:hAnsi="仿宋" w:eastAsia="仿宋" w:cs="仿宋"/>
          <w:b/>
          <w:color w:val="auto"/>
          <w:sz w:val="30"/>
          <w:szCs w:val="30"/>
        </w:rPr>
      </w:pPr>
    </w:p>
    <w:p>
      <w:pPr>
        <w:pStyle w:val="37"/>
        <w:spacing w:line="440" w:lineRule="exact"/>
        <w:ind w:firstLine="0"/>
        <w:jc w:val="both"/>
        <w:rPr>
          <w:rFonts w:ascii="仿宋" w:hAnsi="仿宋" w:eastAsia="仿宋" w:cs="仿宋"/>
          <w:b/>
          <w:color w:val="auto"/>
          <w:sz w:val="30"/>
          <w:szCs w:val="30"/>
        </w:rPr>
      </w:pPr>
    </w:p>
    <w:p>
      <w:pPr>
        <w:pStyle w:val="2"/>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pPr>
        <w:pStyle w:val="2"/>
        <w:numPr>
          <w:ilvl w:val="0"/>
          <w:numId w:val="0"/>
        </w:numPr>
        <w:kinsoku w:val="0"/>
        <w:overflowPunct w:val="0"/>
        <w:spacing w:before="34" w:line="357" w:lineRule="auto"/>
        <w:ind w:left="480" w:right="126"/>
        <w:jc w:val="center"/>
        <w:rPr>
          <w:rFonts w:ascii="仿宋" w:hAnsi="仿宋" w:eastAsia="仿宋" w:cs="仿宋"/>
          <w:b/>
          <w:bCs/>
          <w:color w:val="auto"/>
          <w:w w:val="90"/>
          <w:lang w:eastAsia="zh-CN"/>
        </w:rPr>
      </w:pPr>
      <w:r>
        <w:rPr>
          <w:rFonts w:hint="eastAsia" w:ascii="仿宋" w:hAnsi="仿宋" w:eastAsia="仿宋" w:cs="仿宋"/>
          <w:bCs/>
          <w:color w:val="auto"/>
          <w:sz w:val="36"/>
          <w:szCs w:val="36"/>
          <w:lang w:val="en-US" w:eastAsia="zh-CN"/>
        </w:rPr>
        <w:t>6</w:t>
      </w:r>
      <w:r>
        <w:rPr>
          <w:rFonts w:hint="eastAsia" w:ascii="仿宋" w:hAnsi="仿宋" w:eastAsia="仿宋" w:cs="仿宋"/>
          <w:bCs/>
          <w:color w:val="auto"/>
          <w:sz w:val="36"/>
          <w:szCs w:val="36"/>
          <w:lang w:eastAsia="zh-CN"/>
        </w:rPr>
        <w:t>、</w:t>
      </w:r>
      <w:r>
        <w:rPr>
          <w:rFonts w:hint="eastAsia" w:ascii="仿宋" w:hAnsi="仿宋" w:eastAsia="仿宋" w:cs="仿宋"/>
          <w:b/>
          <w:bCs/>
          <w:color w:val="auto"/>
          <w:w w:val="90"/>
          <w:sz w:val="36"/>
          <w:szCs w:val="36"/>
          <w:lang w:eastAsia="zh-CN"/>
        </w:rPr>
        <w:t>近三年（20</w:t>
      </w:r>
      <w:r>
        <w:rPr>
          <w:rFonts w:hint="eastAsia" w:ascii="仿宋" w:hAnsi="仿宋" w:eastAsia="仿宋" w:cs="仿宋"/>
          <w:b/>
          <w:bCs/>
          <w:color w:val="auto"/>
          <w:w w:val="90"/>
          <w:sz w:val="36"/>
          <w:szCs w:val="36"/>
          <w:lang w:val="en-US" w:eastAsia="zh-CN"/>
        </w:rPr>
        <w:t>20</w:t>
      </w:r>
      <w:r>
        <w:rPr>
          <w:rFonts w:hint="eastAsia" w:ascii="仿宋" w:hAnsi="仿宋" w:eastAsia="仿宋" w:cs="仿宋"/>
          <w:b/>
          <w:bCs/>
          <w:color w:val="auto"/>
          <w:w w:val="90"/>
          <w:sz w:val="36"/>
          <w:szCs w:val="36"/>
          <w:lang w:eastAsia="zh-CN"/>
        </w:rPr>
        <w:t>年1月1日至今）类似项目业绩表</w:t>
      </w:r>
    </w:p>
    <w:p>
      <w:pPr>
        <w:pStyle w:val="2"/>
        <w:numPr>
          <w:ilvl w:val="0"/>
          <w:numId w:val="0"/>
        </w:numPr>
        <w:kinsoku w:val="0"/>
        <w:overflowPunct w:val="0"/>
        <w:rPr>
          <w:rFonts w:ascii="仿宋" w:hAnsi="仿宋" w:eastAsia="仿宋" w:cs="仿宋"/>
          <w:b/>
          <w:bCs/>
          <w:color w:val="auto"/>
          <w:sz w:val="20"/>
          <w:szCs w:val="20"/>
          <w:lang w:eastAsia="zh-CN"/>
        </w:rPr>
      </w:pPr>
    </w:p>
    <w:tbl>
      <w:tblPr>
        <w:tblStyle w:val="25"/>
        <w:tblW w:w="8731" w:type="dxa"/>
        <w:jc w:val="center"/>
        <w:tblLayout w:type="fixed"/>
        <w:tblCellMar>
          <w:top w:w="0" w:type="dxa"/>
          <w:left w:w="10" w:type="dxa"/>
          <w:bottom w:w="0" w:type="dxa"/>
          <w:right w:w="10" w:type="dxa"/>
        </w:tblCellMar>
      </w:tblPr>
      <w:tblGrid>
        <w:gridCol w:w="2002"/>
        <w:gridCol w:w="6729"/>
      </w:tblGrid>
      <w:tr>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pPr>
              <w:pStyle w:val="38"/>
              <w:spacing w:line="240" w:lineRule="auto"/>
              <w:ind w:firstLine="0"/>
              <w:jc w:val="center"/>
              <w:rPr>
                <w:rFonts w:ascii="仿宋" w:hAnsi="仿宋" w:eastAsia="仿宋" w:cs="仿宋"/>
                <w:color w:val="auto"/>
              </w:rPr>
            </w:pPr>
            <w:r>
              <w:rPr>
                <w:rFonts w:hint="eastAsia" w:ascii="仿宋" w:hAnsi="仿宋" w:eastAsia="仿宋" w:cs="仿宋"/>
                <w:color w:val="auto"/>
              </w:rPr>
              <w:t>项目名称</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8"/>
              <w:spacing w:before="120" w:line="240" w:lineRule="auto"/>
              <w:ind w:firstLine="220"/>
              <w:rPr>
                <w:rFonts w:ascii="仿宋" w:hAnsi="仿宋" w:eastAsia="仿宋" w:cs="仿宋"/>
                <w:color w:val="auto"/>
              </w:rPr>
            </w:pPr>
            <w:r>
              <w:rPr>
                <w:rFonts w:hint="eastAsia" w:ascii="仿宋" w:hAnsi="仿宋" w:eastAsia="仿宋" w:cs="仿宋"/>
                <w:color w:val="auto"/>
              </w:rPr>
              <w:t>项目单位名称</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pPr>
              <w:pStyle w:val="38"/>
              <w:spacing w:line="320" w:lineRule="exact"/>
              <w:ind w:firstLine="0"/>
              <w:jc w:val="center"/>
              <w:rPr>
                <w:rFonts w:ascii="仿宋" w:hAnsi="仿宋" w:eastAsia="仿宋" w:cs="仿宋"/>
                <w:color w:val="auto"/>
              </w:rPr>
            </w:pPr>
            <w:r>
              <w:rPr>
                <w:rFonts w:hint="eastAsia" w:ascii="仿宋" w:hAnsi="仿宋" w:eastAsia="仿宋" w:cs="仿宋"/>
                <w:color w:val="auto"/>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lang w:eastAsia="zh-CN"/>
              </w:rPr>
            </w:pPr>
          </w:p>
        </w:tc>
      </w:tr>
      <w:tr>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pPr>
              <w:pStyle w:val="38"/>
              <w:spacing w:line="240" w:lineRule="auto"/>
              <w:ind w:firstLine="0"/>
              <w:jc w:val="center"/>
              <w:rPr>
                <w:rFonts w:ascii="仿宋" w:hAnsi="仿宋" w:eastAsia="仿宋" w:cs="仿宋"/>
                <w:color w:val="auto"/>
              </w:rPr>
            </w:pPr>
            <w:r>
              <w:rPr>
                <w:rFonts w:hint="eastAsia" w:ascii="仿宋" w:hAnsi="仿宋" w:eastAsia="仿宋" w:cs="仿宋"/>
                <w:color w:val="auto"/>
              </w:rPr>
              <w:t>合同金额</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pPr>
              <w:pStyle w:val="38"/>
              <w:spacing w:line="306" w:lineRule="exact"/>
              <w:ind w:firstLine="0"/>
              <w:jc w:val="center"/>
              <w:rPr>
                <w:rFonts w:ascii="仿宋" w:hAnsi="仿宋" w:eastAsia="仿宋" w:cs="仿宋"/>
                <w:color w:val="auto"/>
              </w:rPr>
            </w:pPr>
            <w:r>
              <w:rPr>
                <w:rFonts w:hint="eastAsia" w:ascii="仿宋" w:hAnsi="仿宋" w:eastAsia="仿宋" w:cs="仿宋"/>
                <w:color w:val="auto"/>
              </w:rPr>
              <w:t>项目负责人姓名</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8"/>
              <w:spacing w:before="120" w:line="240" w:lineRule="auto"/>
              <w:ind w:firstLine="220"/>
              <w:rPr>
                <w:rFonts w:ascii="仿宋" w:hAnsi="仿宋" w:eastAsia="仿宋" w:cs="仿宋"/>
                <w:color w:val="auto"/>
              </w:rPr>
            </w:pPr>
            <w:r>
              <w:rPr>
                <w:rFonts w:hint="eastAsia" w:ascii="仿宋" w:hAnsi="仿宋" w:eastAsia="仿宋" w:cs="仿宋"/>
                <w:color w:val="auto"/>
              </w:rPr>
              <w:t>项目实施时间</w:t>
            </w:r>
          </w:p>
        </w:tc>
        <w:tc>
          <w:tcPr>
            <w:tcW w:w="6729" w:type="dxa"/>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rPr>
            </w:pPr>
          </w:p>
        </w:tc>
      </w:tr>
      <w:tr>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pPr>
              <w:pStyle w:val="38"/>
              <w:spacing w:line="240" w:lineRule="auto"/>
              <w:ind w:firstLine="220"/>
              <w:rPr>
                <w:rFonts w:ascii="仿宋" w:hAnsi="仿宋" w:eastAsia="仿宋" w:cs="仿宋"/>
                <w:color w:val="auto"/>
              </w:rPr>
            </w:pPr>
            <w:r>
              <w:rPr>
                <w:rFonts w:hint="eastAsia" w:ascii="仿宋" w:hAnsi="仿宋" w:eastAsia="仿宋" w:cs="仿宋"/>
                <w:color w:val="auto"/>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color w:val="auto"/>
                <w:sz w:val="10"/>
                <w:szCs w:val="10"/>
              </w:rPr>
            </w:pPr>
          </w:p>
        </w:tc>
      </w:tr>
    </w:tbl>
    <w:p>
      <w:pPr>
        <w:rPr>
          <w:rFonts w:ascii="仿宋" w:hAnsi="仿宋" w:eastAsia="仿宋" w:cs="仿宋"/>
          <w:color w:val="auto"/>
          <w:spacing w:val="-1"/>
          <w:lang w:eastAsia="zh-CN"/>
        </w:rPr>
      </w:pPr>
      <w:r>
        <w:rPr>
          <w:rFonts w:hint="eastAsia" w:ascii="仿宋" w:hAnsi="仿宋" w:eastAsia="仿宋" w:cs="仿宋"/>
          <w:color w:val="auto"/>
          <w:spacing w:val="-1"/>
          <w:lang w:eastAsia="zh-CN"/>
        </w:rPr>
        <w:t>注：每个业绩须单独附表，并附上合同</w:t>
      </w:r>
      <w:r>
        <w:rPr>
          <w:rFonts w:hint="eastAsia" w:ascii="仿宋" w:hAnsi="仿宋" w:eastAsia="仿宋" w:cs="仿宋"/>
          <w:color w:val="auto"/>
          <w:spacing w:val="-1"/>
          <w:lang w:val="en-US" w:eastAsia="zh-CN"/>
        </w:rPr>
        <w:t>和</w:t>
      </w:r>
      <w:r>
        <w:rPr>
          <w:rFonts w:hint="eastAsia" w:ascii="仿宋" w:hAnsi="仿宋" w:eastAsia="仿宋" w:cs="仿宋"/>
          <w:color w:val="auto"/>
          <w:spacing w:val="-1"/>
          <w:lang w:eastAsia="zh-CN"/>
        </w:rPr>
        <w:t>标通知书</w:t>
      </w:r>
      <w:r>
        <w:rPr>
          <w:rFonts w:hint="eastAsia" w:ascii="仿宋" w:hAnsi="仿宋" w:eastAsia="仿宋" w:cs="仿宋"/>
          <w:color w:val="auto"/>
          <w:spacing w:val="-1"/>
          <w:lang w:val="en-US" w:eastAsia="zh-CN"/>
        </w:rPr>
        <w:t>等</w:t>
      </w:r>
      <w:r>
        <w:rPr>
          <w:rFonts w:hint="eastAsia" w:ascii="仿宋" w:hAnsi="仿宋" w:eastAsia="仿宋" w:cs="仿宋"/>
          <w:color w:val="auto"/>
          <w:spacing w:val="-1"/>
          <w:lang w:eastAsia="zh-CN"/>
        </w:rPr>
        <w:t>相关证明材料，否则专家在评审时将不予采信。</w:t>
      </w:r>
    </w:p>
    <w:p>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 xml:space="preserve">供应商：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2"/>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w:t>
      </w:r>
      <w:r>
        <w:rPr>
          <w:rFonts w:hint="eastAsia" w:ascii="仿宋" w:hAnsi="仿宋" w:eastAsia="仿宋" w:cs="仿宋"/>
          <w:color w:val="auto"/>
          <w:w w:val="95"/>
          <w:sz w:val="24"/>
          <w:lang w:eastAsia="zh-CN"/>
        </w:rPr>
        <w:t>签章）</w:t>
      </w:r>
    </w:p>
    <w:p>
      <w:pPr>
        <w:pStyle w:val="2"/>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36"/>
        <w:spacing w:after="580"/>
        <w:ind w:firstLine="360"/>
        <w:rPr>
          <w:rFonts w:ascii="仿宋" w:hAnsi="仿宋" w:eastAsia="仿宋" w:cs="仿宋"/>
          <w:color w:val="auto"/>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numPr>
          <w:ilvl w:val="0"/>
          <w:numId w:val="7"/>
        </w:numPr>
        <w:spacing w:line="360" w:lineRule="auto"/>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lang w:eastAsia="zh-CN"/>
        </w:rPr>
        <w:t>）</w:t>
      </w:r>
    </w:p>
    <w:p>
      <w:pPr>
        <w:spacing w:line="360" w:lineRule="auto"/>
        <w:ind w:firstLine="2880" w:firstLineChars="120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农、林、牧、渔业</w:t>
      </w: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w:t>
      </w:r>
      <w:r>
        <w:rPr>
          <w:rFonts w:hint="eastAsia" w:ascii="仿宋" w:hAnsi="仿宋" w:eastAsia="仿宋" w:cs="仿宋"/>
          <w:color w:val="auto"/>
          <w:lang w:val="en-US" w:eastAsia="zh-CN"/>
        </w:rPr>
        <w:t>服务</w:t>
      </w:r>
      <w:r>
        <w:rPr>
          <w:rFonts w:hint="eastAsia" w:ascii="仿宋" w:hAnsi="仿宋" w:eastAsia="仿宋" w:cs="仿宋"/>
          <w:color w:val="auto"/>
          <w:lang w:eastAsia="zh-CN"/>
        </w:rPr>
        <w:t>全部由符合政策要求的中小企业</w:t>
      </w:r>
      <w:r>
        <w:rPr>
          <w:rFonts w:hint="eastAsia" w:ascii="仿宋" w:hAnsi="仿宋" w:eastAsia="仿宋" w:cs="仿宋"/>
          <w:color w:val="auto"/>
          <w:lang w:val="en-US" w:eastAsia="zh-CN"/>
        </w:rPr>
        <w:t>承接</w:t>
      </w:r>
      <w:r>
        <w:rPr>
          <w:rFonts w:hint="eastAsia" w:ascii="仿宋" w:hAnsi="仿宋" w:eastAsia="仿宋" w:cs="仿宋"/>
          <w:color w:val="auto"/>
          <w:lang w:eastAsia="zh-CN"/>
        </w:rPr>
        <w:t>。相关企业（含联合体中的中小企业、签订分包意向协议的中小企业）的具体情况如下：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 xml:space="preserve">（标的名称） </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行业；承接为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人，营业收入为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万元，属于（中型企业、小型企业、微型企业）；</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 xml:space="preserve">（标的名称） </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行业；承接为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 xml:space="preserve">，从业人员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万元，属于（中型企业、小型企业、微型企业）；</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80" w:firstLineChars="200"/>
        <w:rPr>
          <w:rFonts w:ascii="仿宋" w:hAnsi="仿宋" w:eastAsia="仿宋" w:cs="仿宋"/>
          <w:color w:val="auto"/>
          <w:lang w:eastAsia="zh-CN"/>
        </w:rPr>
      </w:pPr>
    </w:p>
    <w:p>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pStyle w:val="17"/>
        <w:rPr>
          <w:rFonts w:ascii="仿宋" w:hAnsi="仿宋" w:eastAsia="仿宋" w:cs="仿宋"/>
          <w:color w:val="auto"/>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p>
    <w:p>
      <w:pPr>
        <w:pStyle w:val="32"/>
        <w:rPr>
          <w:color w:val="auto"/>
          <w:lang w:eastAsia="zh-CN"/>
        </w:rPr>
      </w:pPr>
    </w:p>
    <w:p>
      <w:pPr>
        <w:pStyle w:val="32"/>
        <w:rPr>
          <w:color w:val="auto"/>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p>
    <w:p>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8</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ascii="仿宋" w:hAnsi="仿宋" w:eastAsia="仿宋" w:cs="仿宋"/>
          <w:color w:val="auto"/>
          <w:spacing w:val="6"/>
          <w:lang w:eastAsia="zh-CN"/>
        </w:rPr>
      </w:pP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w:t>
      </w:r>
      <w:r>
        <w:rPr>
          <w:rFonts w:hint="eastAsia" w:ascii="仿宋" w:hAnsi="仿宋" w:eastAsia="仿宋" w:cs="仿宋"/>
          <w:color w:val="auto"/>
          <w:spacing w:val="6"/>
          <w:lang w:val="en-US" w:eastAsia="zh-CN"/>
        </w:rPr>
        <w:t>服务</w:t>
      </w:r>
      <w:r>
        <w:rPr>
          <w:rFonts w:hint="eastAsia" w:ascii="仿宋" w:hAnsi="仿宋" w:eastAsia="仿宋" w:cs="仿宋"/>
          <w:color w:val="auto"/>
          <w:spacing w:val="6"/>
          <w:lang w:eastAsia="zh-CN"/>
        </w:rPr>
        <w:t>（由本单位承担工程/提供服务），或者提供其他残疾人福利性单位</w:t>
      </w:r>
      <w:r>
        <w:rPr>
          <w:rFonts w:hint="eastAsia" w:ascii="仿宋" w:hAnsi="仿宋" w:eastAsia="仿宋" w:cs="仿宋"/>
          <w:color w:val="auto"/>
          <w:spacing w:val="6"/>
          <w:lang w:val="en-US" w:eastAsia="zh-CN"/>
        </w:rPr>
        <w:t>服务</w:t>
      </w:r>
      <w:r>
        <w:rPr>
          <w:rFonts w:hint="eastAsia" w:ascii="仿宋" w:hAnsi="仿宋" w:eastAsia="仿宋" w:cs="仿宋"/>
          <w:color w:val="auto"/>
          <w:spacing w:val="6"/>
          <w:lang w:eastAsia="zh-CN"/>
        </w:rPr>
        <w:t>（不包括使用非残疾人福利性单位注册商标的</w:t>
      </w:r>
      <w:r>
        <w:rPr>
          <w:rFonts w:hint="eastAsia" w:ascii="仿宋" w:hAnsi="仿宋" w:eastAsia="仿宋" w:cs="仿宋"/>
          <w:color w:val="auto"/>
          <w:spacing w:val="6"/>
          <w:lang w:val="en-US" w:eastAsia="zh-CN"/>
        </w:rPr>
        <w:t>服务</w:t>
      </w:r>
      <w:r>
        <w:rPr>
          <w:rFonts w:hint="eastAsia" w:ascii="仿宋" w:hAnsi="仿宋" w:eastAsia="仿宋" w:cs="仿宋"/>
          <w:color w:val="auto"/>
          <w:spacing w:val="6"/>
          <w:lang w:eastAsia="zh-CN"/>
        </w:rPr>
        <w:t>）。</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32"/>
        <w:rPr>
          <w:rFonts w:ascii="仿宋" w:hAnsi="仿宋" w:eastAsia="仿宋" w:cs="仿宋"/>
          <w:b/>
          <w:bCs/>
          <w:color w:val="auto"/>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9</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pPr>
        <w:pStyle w:val="5"/>
        <w:numPr>
          <w:ilvl w:val="1"/>
          <w:numId w:val="0"/>
        </w:numPr>
        <w:spacing w:line="240" w:lineRule="atLeast"/>
        <w:ind w:left="617" w:leftChars="257"/>
        <w:rPr>
          <w:rFonts w:ascii="仿宋" w:hAnsi="仿宋" w:eastAsia="仿宋" w:cs="仿宋"/>
          <w:color w:val="auto"/>
          <w:sz w:val="24"/>
          <w:lang w:eastAsia="zh-CN"/>
        </w:rPr>
      </w:pP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要求的其他资格证明文件（主要包括：项目实施方案、回收处置方案、服务期间的响应时间、应急预案</w:t>
      </w:r>
      <w:r>
        <w:rPr>
          <w:rFonts w:hint="eastAsia" w:ascii="仿宋" w:hAnsi="仿宋" w:eastAsia="仿宋" w:cs="仿宋"/>
          <w:color w:val="auto"/>
          <w:highlight w:val="none"/>
          <w:lang w:val="en-US" w:eastAsia="zh-CN"/>
        </w:rPr>
        <w:t>等响应情况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pPr>
        <w:pStyle w:val="11"/>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ascii="仿宋" w:hAnsi="仿宋" w:eastAsia="仿宋" w:cs="仿宋"/>
          <w:color w:val="auto"/>
          <w:lang w:eastAsia="zh-CN"/>
        </w:rPr>
      </w:pPr>
    </w:p>
    <w:p>
      <w:pPr>
        <w:pStyle w:val="5"/>
        <w:numPr>
          <w:ilvl w:val="1"/>
          <w:numId w:val="0"/>
        </w:numPr>
        <w:spacing w:line="240" w:lineRule="atLeast"/>
        <w:ind w:left="617" w:leftChars="257"/>
        <w:rPr>
          <w:rFonts w:ascii="仿宋" w:hAnsi="仿宋" w:eastAsia="仿宋" w:cs="仿宋"/>
          <w:color w:val="auto"/>
          <w:sz w:val="24"/>
          <w:lang w:eastAsia="zh-CN"/>
        </w:rPr>
      </w:pPr>
    </w:p>
    <w:p>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lang w:eastAsia="zh-CN"/>
        </w:rPr>
        <w:t>、评分标准和细则中商务部分证明材料（格式自拟）</w:t>
      </w:r>
    </w:p>
    <w:p>
      <w:pPr>
        <w:pStyle w:val="11"/>
        <w:tabs>
          <w:tab w:val="left" w:pos="5580"/>
        </w:tabs>
        <w:spacing w:line="240" w:lineRule="atLeast"/>
        <w:rPr>
          <w:rFonts w:ascii="仿宋" w:hAnsi="仿宋" w:eastAsia="仿宋" w:cs="仿宋"/>
          <w:color w:val="auto"/>
          <w:lang w:eastAsia="zh-CN"/>
        </w:rPr>
      </w:pPr>
    </w:p>
    <w:p>
      <w:pPr>
        <w:spacing w:line="440" w:lineRule="exact"/>
        <w:jc w:val="lef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w:t>
      </w:r>
      <w:r>
        <w:rPr>
          <w:rFonts w:hint="eastAsia" w:ascii="仿宋" w:hAnsi="仿宋" w:eastAsia="仿宋" w:cs="仿宋"/>
          <w:color w:val="auto"/>
          <w:szCs w:val="21"/>
          <w:highlight w:val="none"/>
          <w:lang w:val="en-US" w:eastAsia="zh-CN" w:bidi="ar-SA"/>
        </w:rPr>
        <w:t>类似</w:t>
      </w:r>
      <w:r>
        <w:rPr>
          <w:rFonts w:hint="eastAsia" w:ascii="仿宋" w:hAnsi="仿宋" w:eastAsia="仿宋" w:cs="仿宋"/>
          <w:color w:val="auto"/>
          <w:szCs w:val="21"/>
          <w:highlight w:val="none"/>
          <w:lang w:eastAsia="zh-CN" w:bidi="ar-SA"/>
        </w:rPr>
        <w:t>业绩</w:t>
      </w:r>
      <w:r>
        <w:rPr>
          <w:rFonts w:hint="eastAsia" w:ascii="仿宋" w:hAnsi="仿宋" w:eastAsia="仿宋" w:cs="仿宋"/>
          <w:color w:val="auto"/>
          <w:highlight w:val="none"/>
          <w:lang w:eastAsia="zh-CN"/>
        </w:rPr>
        <w:t>、车辆配备、</w:t>
      </w:r>
      <w:r>
        <w:rPr>
          <w:rFonts w:hint="eastAsia" w:ascii="仿宋" w:hAnsi="仿宋" w:eastAsia="仿宋" w:cs="仿宋"/>
          <w:color w:val="auto"/>
          <w:highlight w:val="none"/>
          <w:lang w:val="en-US" w:eastAsia="zh-CN"/>
        </w:rPr>
        <w:t>人员配置</w:t>
      </w:r>
      <w:r>
        <w:rPr>
          <w:rFonts w:hint="eastAsia" w:ascii="仿宋" w:hAnsi="仿宋" w:eastAsia="仿宋" w:cs="仿宋"/>
          <w:color w:val="auto"/>
          <w:highlight w:val="none"/>
          <w:lang w:eastAsia="zh-CN"/>
        </w:rPr>
        <w:t>等）。</w:t>
      </w:r>
    </w:p>
    <w:p>
      <w:pPr>
        <w:pStyle w:val="11"/>
        <w:tabs>
          <w:tab w:val="left" w:pos="5580"/>
        </w:tabs>
        <w:spacing w:line="240" w:lineRule="atLeast"/>
        <w:ind w:firstLine="720" w:firstLineChars="3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5"/>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color w:val="auto"/>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pPr>
        <w:pStyle w:val="11"/>
        <w:tabs>
          <w:tab w:val="left" w:pos="5580"/>
        </w:tabs>
        <w:spacing w:line="240" w:lineRule="atLeast"/>
        <w:ind w:firstLine="480" w:firstLineChars="200"/>
        <w:rPr>
          <w:rFonts w:ascii="仿宋" w:hAnsi="仿宋" w:eastAsia="仿宋" w:cs="仿宋"/>
          <w:color w:val="auto"/>
          <w:lang w:eastAsia="zh-CN"/>
        </w:rPr>
      </w:pPr>
    </w:p>
    <w:p>
      <w:pPr>
        <w:pStyle w:val="11"/>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pPr>
        <w:pStyle w:val="12"/>
        <w:ind w:left="2880"/>
        <w:rPr>
          <w:color w:val="auto"/>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仿宋_GB2312">
    <w:altName w:val="仿宋"/>
    <w:panose1 w:val="02000000000000000000"/>
    <w:charset w:val="86"/>
    <w:family w:val="auto"/>
    <w:pitch w:val="default"/>
    <w:sig w:usb0="00000000" w:usb1="00000000" w:usb2="00000012"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pPr>
                      <w:pStyle w:val="15"/>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pPr>
      <w:pStyle w:val="15"/>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B6659"/>
    <w:multiLevelType w:val="singleLevel"/>
    <w:tmpl w:val="963B6659"/>
    <w:lvl w:ilvl="0" w:tentative="0">
      <w:start w:val="7"/>
      <w:numFmt w:val="decimal"/>
      <w:suff w:val="nothing"/>
      <w:lvlText w:val="%1、"/>
      <w:lvlJc w:val="left"/>
    </w:lvl>
  </w:abstractNum>
  <w:abstractNum w:abstractNumId="1">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36F4FD3F"/>
    <w:multiLevelType w:val="singleLevel"/>
    <w:tmpl w:val="36F4FD3F"/>
    <w:lvl w:ilvl="0" w:tentative="0">
      <w:start w:val="1"/>
      <w:numFmt w:val="decimal"/>
      <w:suff w:val="nothing"/>
      <w:lvlText w:val="（%1）"/>
      <w:lvlJc w:val="left"/>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UxMGNhODBjMWJhNGE5NzdiZWUyMzM4ZjljZGEifQ=="/>
  </w:docVars>
  <w:rsids>
    <w:rsidRoot w:val="430832B2"/>
    <w:rsid w:val="00036274"/>
    <w:rsid w:val="000E7277"/>
    <w:rsid w:val="00153D08"/>
    <w:rsid w:val="001909B2"/>
    <w:rsid w:val="0023248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E44B68"/>
    <w:rsid w:val="020F7B83"/>
    <w:rsid w:val="02614ACA"/>
    <w:rsid w:val="02E7054D"/>
    <w:rsid w:val="03120DC1"/>
    <w:rsid w:val="03152839"/>
    <w:rsid w:val="03531E23"/>
    <w:rsid w:val="035508BA"/>
    <w:rsid w:val="03B1713F"/>
    <w:rsid w:val="042A106A"/>
    <w:rsid w:val="050F221F"/>
    <w:rsid w:val="051E7B81"/>
    <w:rsid w:val="0591547A"/>
    <w:rsid w:val="059D67BC"/>
    <w:rsid w:val="05CE725F"/>
    <w:rsid w:val="05D26519"/>
    <w:rsid w:val="05E43238"/>
    <w:rsid w:val="06141E47"/>
    <w:rsid w:val="062E44A1"/>
    <w:rsid w:val="06385AA9"/>
    <w:rsid w:val="063B7194"/>
    <w:rsid w:val="068F23C3"/>
    <w:rsid w:val="06A20D46"/>
    <w:rsid w:val="072C60C0"/>
    <w:rsid w:val="073826E5"/>
    <w:rsid w:val="074F6B51"/>
    <w:rsid w:val="076D07CD"/>
    <w:rsid w:val="08253C96"/>
    <w:rsid w:val="08323FEC"/>
    <w:rsid w:val="085D5AE7"/>
    <w:rsid w:val="086504F8"/>
    <w:rsid w:val="08825C2C"/>
    <w:rsid w:val="08863C2F"/>
    <w:rsid w:val="091D420B"/>
    <w:rsid w:val="09231976"/>
    <w:rsid w:val="093F2ABC"/>
    <w:rsid w:val="095073FA"/>
    <w:rsid w:val="09B17236"/>
    <w:rsid w:val="09CD45A7"/>
    <w:rsid w:val="09E92566"/>
    <w:rsid w:val="0A007485"/>
    <w:rsid w:val="0A226110"/>
    <w:rsid w:val="0A271261"/>
    <w:rsid w:val="0A622E54"/>
    <w:rsid w:val="0A982D0F"/>
    <w:rsid w:val="0AEC1713"/>
    <w:rsid w:val="0AFE7394"/>
    <w:rsid w:val="0B213EE8"/>
    <w:rsid w:val="0B2F3756"/>
    <w:rsid w:val="0B472137"/>
    <w:rsid w:val="0B641CFB"/>
    <w:rsid w:val="0B941400"/>
    <w:rsid w:val="0B9E39F1"/>
    <w:rsid w:val="0BA66282"/>
    <w:rsid w:val="0BB54396"/>
    <w:rsid w:val="0BF26C44"/>
    <w:rsid w:val="0C1429D4"/>
    <w:rsid w:val="0C330954"/>
    <w:rsid w:val="0CB56FAB"/>
    <w:rsid w:val="0D054345"/>
    <w:rsid w:val="0D533015"/>
    <w:rsid w:val="0D5B011C"/>
    <w:rsid w:val="0D9030DE"/>
    <w:rsid w:val="0D9378B6"/>
    <w:rsid w:val="0DAF7E82"/>
    <w:rsid w:val="0E3E1813"/>
    <w:rsid w:val="0E556ACD"/>
    <w:rsid w:val="0F5349F5"/>
    <w:rsid w:val="0FA22205"/>
    <w:rsid w:val="10015291"/>
    <w:rsid w:val="102070C5"/>
    <w:rsid w:val="10685029"/>
    <w:rsid w:val="11390DA8"/>
    <w:rsid w:val="114227C7"/>
    <w:rsid w:val="116457F1"/>
    <w:rsid w:val="12326DC2"/>
    <w:rsid w:val="12392131"/>
    <w:rsid w:val="12891287"/>
    <w:rsid w:val="130308CA"/>
    <w:rsid w:val="1312560D"/>
    <w:rsid w:val="132C218A"/>
    <w:rsid w:val="13D33102"/>
    <w:rsid w:val="13D55805"/>
    <w:rsid w:val="13F84D28"/>
    <w:rsid w:val="142B46CE"/>
    <w:rsid w:val="14513B82"/>
    <w:rsid w:val="14602089"/>
    <w:rsid w:val="14841E5F"/>
    <w:rsid w:val="14953EB8"/>
    <w:rsid w:val="14A32AD4"/>
    <w:rsid w:val="14AD4D52"/>
    <w:rsid w:val="14CD6092"/>
    <w:rsid w:val="1525173B"/>
    <w:rsid w:val="153C6A85"/>
    <w:rsid w:val="156D1711"/>
    <w:rsid w:val="159F732A"/>
    <w:rsid w:val="15C31338"/>
    <w:rsid w:val="15DC0BC8"/>
    <w:rsid w:val="15E839EB"/>
    <w:rsid w:val="16010E59"/>
    <w:rsid w:val="167B61DA"/>
    <w:rsid w:val="171F0B4E"/>
    <w:rsid w:val="172577D0"/>
    <w:rsid w:val="173761B3"/>
    <w:rsid w:val="178644DD"/>
    <w:rsid w:val="17881C02"/>
    <w:rsid w:val="17EB3771"/>
    <w:rsid w:val="18FE29CF"/>
    <w:rsid w:val="1910625E"/>
    <w:rsid w:val="19445F08"/>
    <w:rsid w:val="19791440"/>
    <w:rsid w:val="19896869"/>
    <w:rsid w:val="198D3D53"/>
    <w:rsid w:val="199F3A59"/>
    <w:rsid w:val="19D24BCD"/>
    <w:rsid w:val="1A463753"/>
    <w:rsid w:val="1A6A7BF0"/>
    <w:rsid w:val="1A6C043C"/>
    <w:rsid w:val="1AA14F3E"/>
    <w:rsid w:val="1AB8732E"/>
    <w:rsid w:val="1ACD57BB"/>
    <w:rsid w:val="1B2938B4"/>
    <w:rsid w:val="1B3867B7"/>
    <w:rsid w:val="1B3917D2"/>
    <w:rsid w:val="1B526E30"/>
    <w:rsid w:val="1B5A42F2"/>
    <w:rsid w:val="1BA46EB4"/>
    <w:rsid w:val="1BE65325"/>
    <w:rsid w:val="1BE87833"/>
    <w:rsid w:val="1BEA5C68"/>
    <w:rsid w:val="1BF54431"/>
    <w:rsid w:val="1C6731C0"/>
    <w:rsid w:val="1C752C38"/>
    <w:rsid w:val="1C770BAC"/>
    <w:rsid w:val="1C8812E8"/>
    <w:rsid w:val="1CBF4223"/>
    <w:rsid w:val="1CC048D1"/>
    <w:rsid w:val="1CFF3DC8"/>
    <w:rsid w:val="1D004366"/>
    <w:rsid w:val="1D28001A"/>
    <w:rsid w:val="1D6F5759"/>
    <w:rsid w:val="1DDE4B7D"/>
    <w:rsid w:val="1DF157BB"/>
    <w:rsid w:val="1E435DE1"/>
    <w:rsid w:val="1E6813A9"/>
    <w:rsid w:val="1E6D1634"/>
    <w:rsid w:val="1E9C398E"/>
    <w:rsid w:val="1ECE4F82"/>
    <w:rsid w:val="1EE5064C"/>
    <w:rsid w:val="1F5903F9"/>
    <w:rsid w:val="1F5B26D6"/>
    <w:rsid w:val="1F6007D8"/>
    <w:rsid w:val="1F6D08CF"/>
    <w:rsid w:val="1FB748C5"/>
    <w:rsid w:val="1FB805A3"/>
    <w:rsid w:val="203828DD"/>
    <w:rsid w:val="20746CEC"/>
    <w:rsid w:val="209D4381"/>
    <w:rsid w:val="20F3403C"/>
    <w:rsid w:val="218454A5"/>
    <w:rsid w:val="21F7470F"/>
    <w:rsid w:val="2250591D"/>
    <w:rsid w:val="22561186"/>
    <w:rsid w:val="22676060"/>
    <w:rsid w:val="22965E6B"/>
    <w:rsid w:val="22AE28BF"/>
    <w:rsid w:val="22D26291"/>
    <w:rsid w:val="22D700DE"/>
    <w:rsid w:val="22F917C9"/>
    <w:rsid w:val="23226B91"/>
    <w:rsid w:val="23463622"/>
    <w:rsid w:val="235B1AD6"/>
    <w:rsid w:val="23874BA3"/>
    <w:rsid w:val="245B2E54"/>
    <w:rsid w:val="24CC35FF"/>
    <w:rsid w:val="25002F8D"/>
    <w:rsid w:val="25546BA5"/>
    <w:rsid w:val="25550156"/>
    <w:rsid w:val="256D43FD"/>
    <w:rsid w:val="25FB512C"/>
    <w:rsid w:val="26204460"/>
    <w:rsid w:val="262B2929"/>
    <w:rsid w:val="267D2FA7"/>
    <w:rsid w:val="26D37563"/>
    <w:rsid w:val="273677D8"/>
    <w:rsid w:val="274B4345"/>
    <w:rsid w:val="2759752E"/>
    <w:rsid w:val="27641FEC"/>
    <w:rsid w:val="277460B0"/>
    <w:rsid w:val="27B56703"/>
    <w:rsid w:val="283D072F"/>
    <w:rsid w:val="286B44D3"/>
    <w:rsid w:val="28F05E4B"/>
    <w:rsid w:val="290F6532"/>
    <w:rsid w:val="291C049E"/>
    <w:rsid w:val="291F0973"/>
    <w:rsid w:val="29384AB9"/>
    <w:rsid w:val="294E1863"/>
    <w:rsid w:val="29EC3DAC"/>
    <w:rsid w:val="29F20F87"/>
    <w:rsid w:val="2A015314"/>
    <w:rsid w:val="2A2953D2"/>
    <w:rsid w:val="2A6F2C28"/>
    <w:rsid w:val="2AA94A95"/>
    <w:rsid w:val="2AB303AA"/>
    <w:rsid w:val="2ADC5AFD"/>
    <w:rsid w:val="2AE40947"/>
    <w:rsid w:val="2AE56C24"/>
    <w:rsid w:val="2AF23A16"/>
    <w:rsid w:val="2AF552B4"/>
    <w:rsid w:val="2AF9470D"/>
    <w:rsid w:val="2B2A724C"/>
    <w:rsid w:val="2B762634"/>
    <w:rsid w:val="2B97636B"/>
    <w:rsid w:val="2BCD0F34"/>
    <w:rsid w:val="2C173EF7"/>
    <w:rsid w:val="2C302A48"/>
    <w:rsid w:val="2D1B0C53"/>
    <w:rsid w:val="2D261D28"/>
    <w:rsid w:val="2D380A40"/>
    <w:rsid w:val="2D475908"/>
    <w:rsid w:val="2D7E66F1"/>
    <w:rsid w:val="2D95546D"/>
    <w:rsid w:val="2DB43A1E"/>
    <w:rsid w:val="2DF1140A"/>
    <w:rsid w:val="2E1B0C2F"/>
    <w:rsid w:val="2E2D19AE"/>
    <w:rsid w:val="2E3662A3"/>
    <w:rsid w:val="2E5F51AF"/>
    <w:rsid w:val="2E764B34"/>
    <w:rsid w:val="2F265E4E"/>
    <w:rsid w:val="2F277335"/>
    <w:rsid w:val="2F762E67"/>
    <w:rsid w:val="2FA50B1C"/>
    <w:rsid w:val="2FAD33C2"/>
    <w:rsid w:val="309F3022"/>
    <w:rsid w:val="30CE72A7"/>
    <w:rsid w:val="30F97BB0"/>
    <w:rsid w:val="31C54436"/>
    <w:rsid w:val="31DE4CF4"/>
    <w:rsid w:val="32387E25"/>
    <w:rsid w:val="3240775C"/>
    <w:rsid w:val="328F5FEE"/>
    <w:rsid w:val="335B1D88"/>
    <w:rsid w:val="335C76C1"/>
    <w:rsid w:val="339A61A5"/>
    <w:rsid w:val="33FC0938"/>
    <w:rsid w:val="34364798"/>
    <w:rsid w:val="3464452F"/>
    <w:rsid w:val="34AC63E7"/>
    <w:rsid w:val="34D66156"/>
    <w:rsid w:val="34F903B8"/>
    <w:rsid w:val="35044A71"/>
    <w:rsid w:val="351A6043"/>
    <w:rsid w:val="35427B0F"/>
    <w:rsid w:val="354E2A06"/>
    <w:rsid w:val="356B5D1D"/>
    <w:rsid w:val="357207E8"/>
    <w:rsid w:val="357F49FA"/>
    <w:rsid w:val="35887DAA"/>
    <w:rsid w:val="35A3072E"/>
    <w:rsid w:val="36A4475E"/>
    <w:rsid w:val="36AA5E0A"/>
    <w:rsid w:val="36CA0C5E"/>
    <w:rsid w:val="36F14775"/>
    <w:rsid w:val="371C74DF"/>
    <w:rsid w:val="372E04CB"/>
    <w:rsid w:val="374E6478"/>
    <w:rsid w:val="37503F9E"/>
    <w:rsid w:val="37520F41"/>
    <w:rsid w:val="3762161D"/>
    <w:rsid w:val="378679C0"/>
    <w:rsid w:val="378A0E41"/>
    <w:rsid w:val="378F65A8"/>
    <w:rsid w:val="37992045"/>
    <w:rsid w:val="37A12630"/>
    <w:rsid w:val="37AC319E"/>
    <w:rsid w:val="37D44BCF"/>
    <w:rsid w:val="38083993"/>
    <w:rsid w:val="380F260F"/>
    <w:rsid w:val="386D368C"/>
    <w:rsid w:val="38895400"/>
    <w:rsid w:val="38BD4DB8"/>
    <w:rsid w:val="38C56C0D"/>
    <w:rsid w:val="38DB5751"/>
    <w:rsid w:val="38DE52AC"/>
    <w:rsid w:val="391A24A3"/>
    <w:rsid w:val="394A14BD"/>
    <w:rsid w:val="399227EF"/>
    <w:rsid w:val="39A77BA6"/>
    <w:rsid w:val="39C07B4A"/>
    <w:rsid w:val="3A1273C6"/>
    <w:rsid w:val="3A5E2E76"/>
    <w:rsid w:val="3A6D6A80"/>
    <w:rsid w:val="3AE06945"/>
    <w:rsid w:val="3B015EE0"/>
    <w:rsid w:val="3B1339F6"/>
    <w:rsid w:val="3B7F7C46"/>
    <w:rsid w:val="3BDE19D1"/>
    <w:rsid w:val="3C893FAF"/>
    <w:rsid w:val="3CA827C1"/>
    <w:rsid w:val="3CAD59EE"/>
    <w:rsid w:val="3CDA4418"/>
    <w:rsid w:val="3D38095E"/>
    <w:rsid w:val="3D723DD3"/>
    <w:rsid w:val="3D751F42"/>
    <w:rsid w:val="3DA87F4F"/>
    <w:rsid w:val="3F224345"/>
    <w:rsid w:val="3F6A3151"/>
    <w:rsid w:val="3F874C1D"/>
    <w:rsid w:val="3FED6FFF"/>
    <w:rsid w:val="403F2E01"/>
    <w:rsid w:val="40585637"/>
    <w:rsid w:val="40814B23"/>
    <w:rsid w:val="408E72C3"/>
    <w:rsid w:val="408E7BCF"/>
    <w:rsid w:val="40AB15B8"/>
    <w:rsid w:val="40B26236"/>
    <w:rsid w:val="40C14C05"/>
    <w:rsid w:val="416359C8"/>
    <w:rsid w:val="41681350"/>
    <w:rsid w:val="416F668A"/>
    <w:rsid w:val="419378A9"/>
    <w:rsid w:val="419F6662"/>
    <w:rsid w:val="41A72D03"/>
    <w:rsid w:val="41BC55E0"/>
    <w:rsid w:val="41BF069E"/>
    <w:rsid w:val="420B7389"/>
    <w:rsid w:val="423563C7"/>
    <w:rsid w:val="429C042B"/>
    <w:rsid w:val="42C57370"/>
    <w:rsid w:val="430832B2"/>
    <w:rsid w:val="43144276"/>
    <w:rsid w:val="43264088"/>
    <w:rsid w:val="43333AFF"/>
    <w:rsid w:val="434966C0"/>
    <w:rsid w:val="43603D96"/>
    <w:rsid w:val="437C4518"/>
    <w:rsid w:val="43900453"/>
    <w:rsid w:val="43997819"/>
    <w:rsid w:val="43CA332A"/>
    <w:rsid w:val="43CB7C06"/>
    <w:rsid w:val="43CE514A"/>
    <w:rsid w:val="43F26816"/>
    <w:rsid w:val="445769C9"/>
    <w:rsid w:val="44637696"/>
    <w:rsid w:val="44740DA7"/>
    <w:rsid w:val="44C7578F"/>
    <w:rsid w:val="44D31AB8"/>
    <w:rsid w:val="44F00B6E"/>
    <w:rsid w:val="45111167"/>
    <w:rsid w:val="4517597F"/>
    <w:rsid w:val="45363F72"/>
    <w:rsid w:val="45442C68"/>
    <w:rsid w:val="454815E5"/>
    <w:rsid w:val="457C2033"/>
    <w:rsid w:val="45ED51BC"/>
    <w:rsid w:val="45FA370C"/>
    <w:rsid w:val="466A125B"/>
    <w:rsid w:val="46994235"/>
    <w:rsid w:val="46A2549B"/>
    <w:rsid w:val="46A95479"/>
    <w:rsid w:val="46B856BC"/>
    <w:rsid w:val="46F77B89"/>
    <w:rsid w:val="470628CB"/>
    <w:rsid w:val="4743767B"/>
    <w:rsid w:val="4757256C"/>
    <w:rsid w:val="47E47144"/>
    <w:rsid w:val="47F15329"/>
    <w:rsid w:val="484E7795"/>
    <w:rsid w:val="487B3318"/>
    <w:rsid w:val="48B93029"/>
    <w:rsid w:val="49726A4B"/>
    <w:rsid w:val="4A076C56"/>
    <w:rsid w:val="4A431F7F"/>
    <w:rsid w:val="4A711501"/>
    <w:rsid w:val="4AAC10BE"/>
    <w:rsid w:val="4AAF0341"/>
    <w:rsid w:val="4ADE5F63"/>
    <w:rsid w:val="4AE253FD"/>
    <w:rsid w:val="4B097E96"/>
    <w:rsid w:val="4B105AC6"/>
    <w:rsid w:val="4B7B64DF"/>
    <w:rsid w:val="4BA10E14"/>
    <w:rsid w:val="4BAA48EE"/>
    <w:rsid w:val="4BB73B85"/>
    <w:rsid w:val="4BF478AD"/>
    <w:rsid w:val="4C17384D"/>
    <w:rsid w:val="4C257A37"/>
    <w:rsid w:val="4C64712B"/>
    <w:rsid w:val="4C700EF1"/>
    <w:rsid w:val="4C760354"/>
    <w:rsid w:val="4C793B3F"/>
    <w:rsid w:val="4D0305B0"/>
    <w:rsid w:val="4D61751C"/>
    <w:rsid w:val="4D7F6F33"/>
    <w:rsid w:val="4DF50B78"/>
    <w:rsid w:val="4DF570E6"/>
    <w:rsid w:val="4E2055A5"/>
    <w:rsid w:val="4E407FC3"/>
    <w:rsid w:val="4E6938E7"/>
    <w:rsid w:val="4E6A5759"/>
    <w:rsid w:val="4E701DC0"/>
    <w:rsid w:val="4E93713A"/>
    <w:rsid w:val="4EBB21ED"/>
    <w:rsid w:val="4ECA741E"/>
    <w:rsid w:val="4EF851EF"/>
    <w:rsid w:val="4F006719"/>
    <w:rsid w:val="4F2E489B"/>
    <w:rsid w:val="4F4C72E9"/>
    <w:rsid w:val="4F5166AD"/>
    <w:rsid w:val="4F5D25FD"/>
    <w:rsid w:val="4F643265"/>
    <w:rsid w:val="4F741231"/>
    <w:rsid w:val="4F8052EF"/>
    <w:rsid w:val="4FB41D44"/>
    <w:rsid w:val="4FB93303"/>
    <w:rsid w:val="4FBC32D6"/>
    <w:rsid w:val="50105D76"/>
    <w:rsid w:val="50397007"/>
    <w:rsid w:val="50BF6E81"/>
    <w:rsid w:val="50FF0870"/>
    <w:rsid w:val="513D513B"/>
    <w:rsid w:val="513F080C"/>
    <w:rsid w:val="514638CF"/>
    <w:rsid w:val="517B177C"/>
    <w:rsid w:val="518E2B89"/>
    <w:rsid w:val="51B27B6E"/>
    <w:rsid w:val="522C14CB"/>
    <w:rsid w:val="52654DCD"/>
    <w:rsid w:val="52B027A0"/>
    <w:rsid w:val="52DA541F"/>
    <w:rsid w:val="52DE30AC"/>
    <w:rsid w:val="5306542C"/>
    <w:rsid w:val="533662E6"/>
    <w:rsid w:val="53390376"/>
    <w:rsid w:val="533C1C56"/>
    <w:rsid w:val="53594454"/>
    <w:rsid w:val="536203AC"/>
    <w:rsid w:val="538232D9"/>
    <w:rsid w:val="53842532"/>
    <w:rsid w:val="53FF1AEA"/>
    <w:rsid w:val="53FF4927"/>
    <w:rsid w:val="540A24A6"/>
    <w:rsid w:val="541D6439"/>
    <w:rsid w:val="5421450D"/>
    <w:rsid w:val="54260EC8"/>
    <w:rsid w:val="542D593B"/>
    <w:rsid w:val="546A09A4"/>
    <w:rsid w:val="546E0331"/>
    <w:rsid w:val="54846008"/>
    <w:rsid w:val="549E4143"/>
    <w:rsid w:val="54DA0A47"/>
    <w:rsid w:val="54F2623D"/>
    <w:rsid w:val="552535BC"/>
    <w:rsid w:val="553813F1"/>
    <w:rsid w:val="557E3F74"/>
    <w:rsid w:val="55821076"/>
    <w:rsid w:val="56493792"/>
    <w:rsid w:val="56777341"/>
    <w:rsid w:val="56D402F0"/>
    <w:rsid w:val="572F4B71"/>
    <w:rsid w:val="575329D5"/>
    <w:rsid w:val="57706630"/>
    <w:rsid w:val="57C2639A"/>
    <w:rsid w:val="57D8796C"/>
    <w:rsid w:val="58C370A9"/>
    <w:rsid w:val="58F20481"/>
    <w:rsid w:val="59301A29"/>
    <w:rsid w:val="594015B1"/>
    <w:rsid w:val="59554FEC"/>
    <w:rsid w:val="595A0DC1"/>
    <w:rsid w:val="596D4A2C"/>
    <w:rsid w:val="599B0EFC"/>
    <w:rsid w:val="59BD150F"/>
    <w:rsid w:val="59C725C5"/>
    <w:rsid w:val="5A130C2C"/>
    <w:rsid w:val="5A39563D"/>
    <w:rsid w:val="5AE0581C"/>
    <w:rsid w:val="5AE96334"/>
    <w:rsid w:val="5B31213F"/>
    <w:rsid w:val="5B5F738D"/>
    <w:rsid w:val="5BA54009"/>
    <w:rsid w:val="5BE43388"/>
    <w:rsid w:val="5C643EC4"/>
    <w:rsid w:val="5CCF1148"/>
    <w:rsid w:val="5CD53D28"/>
    <w:rsid w:val="5CF718B7"/>
    <w:rsid w:val="5D0460DC"/>
    <w:rsid w:val="5D2366CB"/>
    <w:rsid w:val="5D3331A6"/>
    <w:rsid w:val="5D8A153C"/>
    <w:rsid w:val="5D8A7A3E"/>
    <w:rsid w:val="5D99194B"/>
    <w:rsid w:val="5DE1497B"/>
    <w:rsid w:val="5E135BA1"/>
    <w:rsid w:val="5E1D1079"/>
    <w:rsid w:val="5E211941"/>
    <w:rsid w:val="5E6D59C3"/>
    <w:rsid w:val="5E9341CF"/>
    <w:rsid w:val="5E9C0CBE"/>
    <w:rsid w:val="5EDA6373"/>
    <w:rsid w:val="5EF46D8B"/>
    <w:rsid w:val="5F5A15AE"/>
    <w:rsid w:val="5F9C1BC7"/>
    <w:rsid w:val="5FCD3FB6"/>
    <w:rsid w:val="5FFB68ED"/>
    <w:rsid w:val="601F4136"/>
    <w:rsid w:val="6022031E"/>
    <w:rsid w:val="602A68DF"/>
    <w:rsid w:val="6075117A"/>
    <w:rsid w:val="6098119C"/>
    <w:rsid w:val="60AA69DE"/>
    <w:rsid w:val="61183C2B"/>
    <w:rsid w:val="611C2181"/>
    <w:rsid w:val="614D6AC9"/>
    <w:rsid w:val="617D1400"/>
    <w:rsid w:val="61903A3C"/>
    <w:rsid w:val="61C24BFD"/>
    <w:rsid w:val="61D16C2E"/>
    <w:rsid w:val="62874F65"/>
    <w:rsid w:val="62AF1C11"/>
    <w:rsid w:val="634A483E"/>
    <w:rsid w:val="637A3FCD"/>
    <w:rsid w:val="63C51B85"/>
    <w:rsid w:val="642B45E0"/>
    <w:rsid w:val="645E34C9"/>
    <w:rsid w:val="64604EAC"/>
    <w:rsid w:val="64740A1C"/>
    <w:rsid w:val="64805FF8"/>
    <w:rsid w:val="64D7429C"/>
    <w:rsid w:val="65434447"/>
    <w:rsid w:val="65D200F0"/>
    <w:rsid w:val="65F73581"/>
    <w:rsid w:val="66457796"/>
    <w:rsid w:val="66A5387A"/>
    <w:rsid w:val="66AD6611"/>
    <w:rsid w:val="66C2621A"/>
    <w:rsid w:val="66D82907"/>
    <w:rsid w:val="670018C2"/>
    <w:rsid w:val="67470482"/>
    <w:rsid w:val="67656B1B"/>
    <w:rsid w:val="679542C8"/>
    <w:rsid w:val="67AE419D"/>
    <w:rsid w:val="67B22635"/>
    <w:rsid w:val="67BE74C9"/>
    <w:rsid w:val="67DD23F4"/>
    <w:rsid w:val="683769EB"/>
    <w:rsid w:val="684F37DE"/>
    <w:rsid w:val="68B2669E"/>
    <w:rsid w:val="68BF755E"/>
    <w:rsid w:val="68D31B4E"/>
    <w:rsid w:val="68E22B52"/>
    <w:rsid w:val="68EB131E"/>
    <w:rsid w:val="69182A19"/>
    <w:rsid w:val="69764EE6"/>
    <w:rsid w:val="698C50B9"/>
    <w:rsid w:val="698E1753"/>
    <w:rsid w:val="69D47128"/>
    <w:rsid w:val="69F07ED0"/>
    <w:rsid w:val="69FE3890"/>
    <w:rsid w:val="69FE414B"/>
    <w:rsid w:val="6A10379F"/>
    <w:rsid w:val="6A7A0A2B"/>
    <w:rsid w:val="6A7F636D"/>
    <w:rsid w:val="6A9F255F"/>
    <w:rsid w:val="6ADE7537"/>
    <w:rsid w:val="6B133F99"/>
    <w:rsid w:val="6B221B0E"/>
    <w:rsid w:val="6B426B13"/>
    <w:rsid w:val="6B9419A4"/>
    <w:rsid w:val="6BC4672D"/>
    <w:rsid w:val="6BCB64CA"/>
    <w:rsid w:val="6C0C37DA"/>
    <w:rsid w:val="6C3222CB"/>
    <w:rsid w:val="6C364F34"/>
    <w:rsid w:val="6C3A4520"/>
    <w:rsid w:val="6C6204DD"/>
    <w:rsid w:val="6C7543E1"/>
    <w:rsid w:val="6C7D42B4"/>
    <w:rsid w:val="6C8A3E98"/>
    <w:rsid w:val="6C963B87"/>
    <w:rsid w:val="6CA96079"/>
    <w:rsid w:val="6CAC1F8A"/>
    <w:rsid w:val="6CAD0F6F"/>
    <w:rsid w:val="6CC81EA4"/>
    <w:rsid w:val="6D37776E"/>
    <w:rsid w:val="6D69517B"/>
    <w:rsid w:val="6DD644F6"/>
    <w:rsid w:val="6EC8214A"/>
    <w:rsid w:val="6F176B74"/>
    <w:rsid w:val="6F1976C8"/>
    <w:rsid w:val="6F9208F0"/>
    <w:rsid w:val="6FFC5967"/>
    <w:rsid w:val="70021CEB"/>
    <w:rsid w:val="703412AA"/>
    <w:rsid w:val="704838FD"/>
    <w:rsid w:val="707F6878"/>
    <w:rsid w:val="709119F6"/>
    <w:rsid w:val="70AF7F0C"/>
    <w:rsid w:val="70D16063"/>
    <w:rsid w:val="70F562D7"/>
    <w:rsid w:val="713D64DC"/>
    <w:rsid w:val="71941D4C"/>
    <w:rsid w:val="71F7318A"/>
    <w:rsid w:val="721A3870"/>
    <w:rsid w:val="726E6AEC"/>
    <w:rsid w:val="72873F22"/>
    <w:rsid w:val="728E35F1"/>
    <w:rsid w:val="72DB435C"/>
    <w:rsid w:val="72EC194C"/>
    <w:rsid w:val="72FF622E"/>
    <w:rsid w:val="731750C1"/>
    <w:rsid w:val="737C6513"/>
    <w:rsid w:val="739641CD"/>
    <w:rsid w:val="73F76C73"/>
    <w:rsid w:val="73F950CC"/>
    <w:rsid w:val="746135D3"/>
    <w:rsid w:val="74C9106A"/>
    <w:rsid w:val="753541F8"/>
    <w:rsid w:val="75781DD0"/>
    <w:rsid w:val="75824D9D"/>
    <w:rsid w:val="75AB1C93"/>
    <w:rsid w:val="761B163F"/>
    <w:rsid w:val="761F3505"/>
    <w:rsid w:val="76457166"/>
    <w:rsid w:val="76486327"/>
    <w:rsid w:val="76810114"/>
    <w:rsid w:val="76E41762"/>
    <w:rsid w:val="76E46ECE"/>
    <w:rsid w:val="7717316E"/>
    <w:rsid w:val="77603777"/>
    <w:rsid w:val="77901BB9"/>
    <w:rsid w:val="779B3C6B"/>
    <w:rsid w:val="77AB5706"/>
    <w:rsid w:val="77C7479C"/>
    <w:rsid w:val="78211D8C"/>
    <w:rsid w:val="787B3EF7"/>
    <w:rsid w:val="787D26D8"/>
    <w:rsid w:val="788E3223"/>
    <w:rsid w:val="78E06AB0"/>
    <w:rsid w:val="798E0318"/>
    <w:rsid w:val="79AF62F8"/>
    <w:rsid w:val="7A1E525A"/>
    <w:rsid w:val="7A1F0FD2"/>
    <w:rsid w:val="7A326EC1"/>
    <w:rsid w:val="7A351E7E"/>
    <w:rsid w:val="7A831952"/>
    <w:rsid w:val="7AC415A1"/>
    <w:rsid w:val="7AD135EE"/>
    <w:rsid w:val="7AD93877"/>
    <w:rsid w:val="7BA14BF9"/>
    <w:rsid w:val="7BF53DED"/>
    <w:rsid w:val="7BFC0690"/>
    <w:rsid w:val="7C1D50F5"/>
    <w:rsid w:val="7C6106D5"/>
    <w:rsid w:val="7C6151AF"/>
    <w:rsid w:val="7CC540BD"/>
    <w:rsid w:val="7D3B4375"/>
    <w:rsid w:val="7D423759"/>
    <w:rsid w:val="7D605B8A"/>
    <w:rsid w:val="7D695F1A"/>
    <w:rsid w:val="7DD956AA"/>
    <w:rsid w:val="7E2D5B39"/>
    <w:rsid w:val="7E42351F"/>
    <w:rsid w:val="7ED160D1"/>
    <w:rsid w:val="7EDB5E10"/>
    <w:rsid w:val="7F0F44D4"/>
    <w:rsid w:val="7F132979"/>
    <w:rsid w:val="7F2B4D67"/>
    <w:rsid w:val="7F5931D8"/>
    <w:rsid w:val="7F9F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numPr>
        <w:ilvl w:val="0"/>
        <w:numId w:val="1"/>
      </w:numPr>
      <w:tabs>
        <w:tab w:val="clear" w:pos="780"/>
      </w:tabs>
      <w:ind w:left="0" w:firstLine="0"/>
    </w:pPr>
    <w:rPr>
      <w:rFonts w:ascii="黑体" w:eastAsia="黑体"/>
      <w:sz w:val="22"/>
    </w:rPr>
  </w:style>
  <w:style w:type="paragraph" w:customStyle="1" w:styleId="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7">
    <w:name w:val="Normal Indent"/>
    <w:basedOn w:val="1"/>
    <w:qFormat/>
    <w:uiPriority w:val="0"/>
    <w:pPr>
      <w:autoSpaceDE w:val="0"/>
      <w:autoSpaceDN w:val="0"/>
      <w:adjustRightInd w:val="0"/>
      <w:ind w:firstLine="420"/>
    </w:pPr>
    <w:rPr>
      <w:rFonts w:ascii="宋体"/>
      <w:szCs w:val="20"/>
    </w:rPr>
  </w:style>
  <w:style w:type="paragraph" w:styleId="8">
    <w:name w:val="index 5"/>
    <w:basedOn w:val="1"/>
    <w:next w:val="1"/>
    <w:qFormat/>
    <w:uiPriority w:val="0"/>
    <w:pPr>
      <w:ind w:left="800" w:leftChars="800"/>
    </w:pPr>
    <w:rPr>
      <w:szCs w:val="20"/>
      <w:lang w:bidi="he-IL"/>
    </w:rPr>
  </w:style>
  <w:style w:type="paragraph" w:styleId="9">
    <w:name w:val="toa heading"/>
    <w:basedOn w:val="1"/>
    <w:next w:val="1"/>
    <w:qFormat/>
    <w:uiPriority w:val="0"/>
    <w:pPr>
      <w:spacing w:before="120"/>
    </w:pPr>
    <w:rPr>
      <w:rFonts w:ascii="Cambria" w:hAnsi="Cambria"/>
      <w:szCs w:val="20"/>
    </w:rPr>
  </w:style>
  <w:style w:type="paragraph" w:styleId="10">
    <w:name w:val="Body Text Indent"/>
    <w:basedOn w:val="1"/>
    <w:next w:val="1"/>
    <w:qFormat/>
    <w:uiPriority w:val="0"/>
    <w:pPr>
      <w:spacing w:after="120"/>
      <w:ind w:left="200" w:leftChars="200"/>
    </w:p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Date"/>
    <w:basedOn w:val="1"/>
    <w:next w:val="1"/>
    <w:qFormat/>
    <w:uiPriority w:val="0"/>
    <w:rPr>
      <w:rFonts w:ascii="Arial" w:hAnsi="Arial" w:eastAsia="仿宋_GB2312"/>
      <w:sz w:val="32"/>
      <w:szCs w:val="20"/>
      <w:u w:color="000000"/>
    </w:r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footnote text"/>
    <w:basedOn w:val="1"/>
    <w:next w:val="8"/>
    <w:semiHidden/>
    <w:unhideWhenUsed/>
    <w:qFormat/>
    <w:uiPriority w:val="99"/>
    <w:pPr>
      <w:snapToGrid w:val="0"/>
    </w:pPr>
    <w:rPr>
      <w:sz w:val="18"/>
      <w:szCs w:val="18"/>
    </w:rPr>
  </w:style>
  <w:style w:type="paragraph" w:styleId="18">
    <w:name w:val="Body Text 2"/>
    <w:basedOn w:val="1"/>
    <w:qFormat/>
    <w:uiPriority w:val="0"/>
    <w:pPr>
      <w:tabs>
        <w:tab w:val="left" w:pos="0"/>
      </w:tabs>
      <w:spacing w:line="400" w:lineRule="atLeast"/>
    </w:pPr>
    <w:rPr>
      <w:rFonts w:ascii="Arial" w:hAnsi="Arial"/>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0">
    <w:name w:val="Normal (Web)"/>
    <w:basedOn w:val="1"/>
    <w:next w:val="21"/>
    <w:qFormat/>
    <w:uiPriority w:val="99"/>
    <w:pPr>
      <w:widowControl/>
    </w:pPr>
    <w:rPr>
      <w:rFonts w:ascii="宋体" w:hAnsi="宋体" w:eastAsia="宋体" w:cs="宋体"/>
    </w:rPr>
  </w:style>
  <w:style w:type="paragraph" w:customStyle="1" w:styleId="21">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w:basedOn w:val="2"/>
    <w:next w:val="1"/>
    <w:unhideWhenUsed/>
    <w:qFormat/>
    <w:uiPriority w:val="99"/>
    <w:pPr>
      <w:tabs>
        <w:tab w:val="left" w:pos="567"/>
        <w:tab w:val="left" w:pos="780"/>
      </w:tabs>
      <w:ind w:firstLine="420" w:firstLineChars="100"/>
    </w:pPr>
  </w:style>
  <w:style w:type="paragraph" w:styleId="24">
    <w:name w:val="Body Text First Indent 2"/>
    <w:basedOn w:val="10"/>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样式 样式 左侧:  2 字符 + 左侧:  0.85 厘米 首行缩进:  2 字符1"/>
    <w:basedOn w:val="1"/>
    <w:qFormat/>
    <w:uiPriority w:val="0"/>
    <w:pPr>
      <w:ind w:left="482" w:firstLine="200" w:firstLineChars="200"/>
    </w:pPr>
    <w:rPr>
      <w:rFonts w:cs="宋体"/>
      <w:szCs w:val="20"/>
    </w:rPr>
  </w:style>
  <w:style w:type="paragraph" w:customStyle="1" w:styleId="32">
    <w:name w:val="正文格式"/>
    <w:basedOn w:val="1"/>
    <w:qFormat/>
    <w:uiPriority w:val="99"/>
    <w:pPr>
      <w:widowControl/>
      <w:adjustRightInd w:val="0"/>
      <w:snapToGrid w:val="0"/>
      <w:spacing w:line="400" w:lineRule="atLeast"/>
      <w:ind w:firstLine="482"/>
      <w:textAlignment w:val="baseline"/>
    </w:pPr>
  </w:style>
  <w:style w:type="paragraph" w:customStyle="1" w:styleId="33">
    <w:name w:val="文档正文"/>
    <w:basedOn w:val="7"/>
    <w:qFormat/>
    <w:uiPriority w:val="0"/>
    <w:pPr>
      <w:spacing w:line="360" w:lineRule="auto"/>
    </w:pPr>
    <w:rPr>
      <w:rFonts w:hAnsi="宋体"/>
      <w:b/>
      <w:bCs/>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6">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7">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Table caption|1"/>
    <w:basedOn w:val="1"/>
    <w:qFormat/>
    <w:uiPriority w:val="0"/>
    <w:rPr>
      <w:rFonts w:ascii="宋体" w:hAnsi="宋体" w:eastAsia="宋体" w:cs="宋体"/>
      <w:sz w:val="22"/>
      <w:szCs w:val="22"/>
      <w:lang w:val="zh-TW" w:eastAsia="zh-TW" w:bidi="zh-TW"/>
    </w:rPr>
  </w:style>
  <w:style w:type="paragraph" w:customStyle="1" w:styleId="40">
    <w:name w:val="Table Paragraph"/>
    <w:basedOn w:val="1"/>
    <w:qFormat/>
    <w:uiPriority w:val="1"/>
    <w:pPr>
      <w:autoSpaceDE w:val="0"/>
      <w:autoSpaceDN w:val="0"/>
      <w:adjustRightInd w:val="0"/>
    </w:pPr>
    <w:rPr>
      <w:rFonts w:eastAsia="宋体"/>
    </w:rPr>
  </w:style>
  <w:style w:type="paragraph" w:customStyle="1" w:styleId="41">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2">
    <w:name w:val="图例"/>
    <w:basedOn w:val="1"/>
    <w:qFormat/>
    <w:uiPriority w:val="0"/>
    <w:pPr>
      <w:spacing w:before="120" w:after="120" w:line="360" w:lineRule="auto"/>
      <w:jc w:val="center"/>
    </w:pPr>
    <w:rPr>
      <w:rFonts w:eastAsia="仿宋_GB2312"/>
      <w:b/>
    </w:rPr>
  </w:style>
  <w:style w:type="paragraph" w:customStyle="1" w:styleId="43">
    <w:name w:val="WPS Plain"/>
    <w:qFormat/>
    <w:uiPriority w:val="0"/>
    <w:rPr>
      <w:rFonts w:ascii="Times New Roman" w:hAnsi="Times New Roman" w:eastAsia="宋体" w:cs="Times New Roman"/>
      <w:lang w:val="en-US" w:eastAsia="zh-CN" w:bidi="ar-SA"/>
    </w:rPr>
  </w:style>
  <w:style w:type="paragraph" w:customStyle="1" w:styleId="44">
    <w:name w:val="样式 左侧:  0 厘米 悬挂缩进: 2.5 字符"/>
    <w:basedOn w:val="1"/>
    <w:qFormat/>
    <w:uiPriority w:val="0"/>
    <w:pPr>
      <w:ind w:left="525" w:hanging="525" w:hangingChars="250"/>
    </w:pPr>
    <w:rPr>
      <w:szCs w:val="20"/>
    </w:rPr>
  </w:style>
  <w:style w:type="character" w:customStyle="1" w:styleId="45">
    <w:name w:val="font11"/>
    <w:basedOn w:val="27"/>
    <w:qFormat/>
    <w:uiPriority w:val="0"/>
    <w:rPr>
      <w:rFonts w:ascii="Calibri" w:hAnsi="Calibri" w:cs="Calibri"/>
      <w:color w:val="000000"/>
      <w:sz w:val="20"/>
      <w:szCs w:val="20"/>
      <w:u w:val="none"/>
    </w:rPr>
  </w:style>
  <w:style w:type="paragraph" w:styleId="46">
    <w:name w:val="List Paragraph"/>
    <w:basedOn w:val="1"/>
    <w:qFormat/>
    <w:uiPriority w:val="0"/>
    <w:pPr>
      <w:widowControl/>
      <w:ind w:firstLine="420" w:firstLineChars="200"/>
    </w:pPr>
  </w:style>
  <w:style w:type="paragraph" w:customStyle="1" w:styleId="47">
    <w:name w:val="列出段落1"/>
    <w:basedOn w:val="1"/>
    <w:qFormat/>
    <w:uiPriority w:val="34"/>
    <w:pPr>
      <w:ind w:firstLine="420" w:firstLineChars="200"/>
    </w:p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0">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5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78</Pages>
  <Words>41626</Words>
  <Characters>44475</Characters>
  <Lines>389</Lines>
  <Paragraphs>109</Paragraphs>
  <TotalTime>3</TotalTime>
  <ScaleCrop>false</ScaleCrop>
  <LinksUpToDate>false</LinksUpToDate>
  <CharactersWithSpaces>48749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2023-10-17T03:37:00Z</cp:lastPrinted>
  <dcterms:modified xsi:type="dcterms:W3CDTF">2023-10-26T08:39:32Z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F2D7764741B04607B3BBEAEBB45A542E</vt:lpwstr>
  </property>
</Properties>
</file>