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FF444E1">
      <w:pPr>
        <w:widowControl/>
        <w:tabs>
          <w:tab w:val="left" w:pos="6013"/>
        </w:tabs>
        <w:autoSpaceDE w:val="0"/>
        <w:autoSpaceDN w:val="0"/>
        <w:ind w:right="-26"/>
        <w:jc w:val="center"/>
        <w:textAlignment w:val="bottom"/>
        <w:rPr>
          <w:rFonts w:hint="eastAsia" w:ascii="宋体" w:hAnsi="宋体" w:cs="宋体"/>
          <w:b/>
          <w:bCs/>
          <w:sz w:val="52"/>
          <w:szCs w:val="52"/>
          <w:lang w:val="en-US" w:eastAsia="zh-CN"/>
        </w:rPr>
      </w:pPr>
      <w:bookmarkStart w:id="0" w:name="_Toc469495723"/>
    </w:p>
    <w:p w14:paraId="52FBFA38">
      <w:pPr>
        <w:keepNext w:val="0"/>
        <w:keepLines w:val="0"/>
        <w:pageBreakBefore w:val="0"/>
        <w:widowControl/>
        <w:tabs>
          <w:tab w:val="left" w:pos="6013"/>
        </w:tabs>
        <w:kinsoku/>
        <w:wordWrap/>
        <w:overflowPunct/>
        <w:topLinePunct w:val="0"/>
        <w:autoSpaceDE w:val="0"/>
        <w:autoSpaceDN w:val="0"/>
        <w:bidi w:val="0"/>
        <w:adjustRightInd/>
        <w:snapToGrid/>
        <w:spacing w:line="600" w:lineRule="exact"/>
        <w:ind w:right="-28"/>
        <w:jc w:val="center"/>
        <w:textAlignment w:val="bottom"/>
        <w:rPr>
          <w:rFonts w:hint="eastAsia" w:ascii="宋体" w:hAnsi="宋体" w:cs="宋体"/>
          <w:b/>
          <w:bCs/>
          <w:sz w:val="52"/>
          <w:szCs w:val="52"/>
          <w:lang w:val="en-US" w:eastAsia="zh-CN"/>
        </w:rPr>
      </w:pPr>
      <w:r>
        <w:rPr>
          <w:rFonts w:hint="eastAsia" w:ascii="宋体" w:hAnsi="宋体" w:cs="宋体"/>
          <w:b/>
          <w:bCs/>
          <w:sz w:val="52"/>
          <w:szCs w:val="52"/>
          <w:lang w:val="en-US" w:eastAsia="zh-CN"/>
        </w:rPr>
        <w:t>劳务外包采购项目</w:t>
      </w:r>
    </w:p>
    <w:p w14:paraId="33B55108">
      <w:pPr>
        <w:keepNext w:val="0"/>
        <w:keepLines w:val="0"/>
        <w:pageBreakBefore w:val="0"/>
        <w:widowControl/>
        <w:tabs>
          <w:tab w:val="left" w:pos="6013"/>
        </w:tabs>
        <w:kinsoku/>
        <w:wordWrap/>
        <w:overflowPunct/>
        <w:topLinePunct w:val="0"/>
        <w:autoSpaceDE w:val="0"/>
        <w:autoSpaceDN w:val="0"/>
        <w:bidi w:val="0"/>
        <w:adjustRightInd/>
        <w:snapToGrid/>
        <w:spacing w:line="600" w:lineRule="exact"/>
        <w:ind w:right="-28"/>
        <w:jc w:val="center"/>
        <w:textAlignment w:val="bottom"/>
        <w:rPr>
          <w:rFonts w:hint="eastAsia" w:ascii="宋体" w:hAnsi="宋体" w:cs="宋体"/>
          <w:b/>
          <w:bCs/>
          <w:sz w:val="52"/>
          <w:szCs w:val="52"/>
          <w:lang w:val="en-US" w:eastAsia="zh-CN"/>
        </w:rPr>
      </w:pPr>
    </w:p>
    <w:p w14:paraId="2FE52B9F">
      <w:pPr>
        <w:keepNext w:val="0"/>
        <w:keepLines w:val="0"/>
        <w:pageBreakBefore w:val="0"/>
        <w:widowControl/>
        <w:tabs>
          <w:tab w:val="left" w:pos="6013"/>
        </w:tabs>
        <w:kinsoku/>
        <w:wordWrap/>
        <w:overflowPunct/>
        <w:topLinePunct w:val="0"/>
        <w:autoSpaceDE w:val="0"/>
        <w:autoSpaceDN w:val="0"/>
        <w:bidi w:val="0"/>
        <w:adjustRightInd/>
        <w:snapToGrid/>
        <w:spacing w:line="600" w:lineRule="exact"/>
        <w:ind w:right="-28"/>
        <w:jc w:val="center"/>
        <w:textAlignment w:val="bottom"/>
        <w:rPr>
          <w:rFonts w:hint="eastAsia" w:ascii="宋体" w:hAnsi="宋体" w:cs="宋体"/>
          <w:b/>
          <w:bCs/>
          <w:sz w:val="52"/>
          <w:szCs w:val="52"/>
          <w:lang w:val="en-US" w:eastAsia="zh-CN"/>
        </w:rPr>
      </w:pPr>
      <w:r>
        <w:rPr>
          <w:rFonts w:hint="eastAsia" w:ascii="宋体" w:hAnsi="宋体" w:cs="宋体"/>
          <w:b/>
          <w:bCs/>
          <w:sz w:val="52"/>
          <w:szCs w:val="52"/>
          <w:lang w:val="en-US" w:eastAsia="zh-CN"/>
        </w:rPr>
        <w:t>竞</w:t>
      </w:r>
    </w:p>
    <w:p w14:paraId="75B164CF">
      <w:pPr>
        <w:keepNext w:val="0"/>
        <w:keepLines w:val="0"/>
        <w:pageBreakBefore w:val="0"/>
        <w:widowControl/>
        <w:tabs>
          <w:tab w:val="left" w:pos="6013"/>
        </w:tabs>
        <w:kinsoku/>
        <w:wordWrap/>
        <w:overflowPunct/>
        <w:topLinePunct w:val="0"/>
        <w:autoSpaceDE w:val="0"/>
        <w:autoSpaceDN w:val="0"/>
        <w:bidi w:val="0"/>
        <w:adjustRightInd/>
        <w:snapToGrid/>
        <w:spacing w:line="600" w:lineRule="exact"/>
        <w:ind w:right="-28"/>
        <w:jc w:val="center"/>
        <w:textAlignment w:val="bottom"/>
        <w:rPr>
          <w:rFonts w:hint="eastAsia" w:ascii="宋体" w:hAnsi="宋体" w:cs="宋体"/>
          <w:b/>
          <w:bCs/>
          <w:sz w:val="52"/>
          <w:szCs w:val="52"/>
          <w:lang w:val="en-US" w:eastAsia="zh-CN"/>
        </w:rPr>
      </w:pPr>
      <w:r>
        <w:rPr>
          <w:rFonts w:hint="eastAsia" w:ascii="宋体" w:hAnsi="宋体" w:cs="宋体"/>
          <w:b/>
          <w:bCs/>
          <w:sz w:val="52"/>
          <w:szCs w:val="52"/>
          <w:lang w:val="en-US" w:eastAsia="zh-CN"/>
        </w:rPr>
        <w:t>争</w:t>
      </w:r>
    </w:p>
    <w:p w14:paraId="3FE66498">
      <w:pPr>
        <w:keepNext w:val="0"/>
        <w:keepLines w:val="0"/>
        <w:pageBreakBefore w:val="0"/>
        <w:widowControl/>
        <w:tabs>
          <w:tab w:val="left" w:pos="6013"/>
        </w:tabs>
        <w:kinsoku/>
        <w:wordWrap/>
        <w:overflowPunct/>
        <w:topLinePunct w:val="0"/>
        <w:autoSpaceDE w:val="0"/>
        <w:autoSpaceDN w:val="0"/>
        <w:bidi w:val="0"/>
        <w:adjustRightInd/>
        <w:snapToGrid/>
        <w:spacing w:line="600" w:lineRule="exact"/>
        <w:ind w:right="-28"/>
        <w:jc w:val="center"/>
        <w:textAlignment w:val="bottom"/>
        <w:rPr>
          <w:rFonts w:hint="eastAsia" w:ascii="宋体" w:hAnsi="宋体" w:cs="宋体"/>
          <w:b/>
          <w:bCs/>
          <w:sz w:val="52"/>
          <w:szCs w:val="52"/>
          <w:lang w:val="en-US" w:eastAsia="zh-CN"/>
        </w:rPr>
      </w:pPr>
      <w:r>
        <w:rPr>
          <w:rFonts w:hint="eastAsia" w:ascii="宋体" w:hAnsi="宋体" w:cs="宋体"/>
          <w:b/>
          <w:bCs/>
          <w:sz w:val="52"/>
          <w:szCs w:val="52"/>
          <w:lang w:val="en-US" w:eastAsia="zh-CN"/>
        </w:rPr>
        <w:t>性</w:t>
      </w:r>
    </w:p>
    <w:p w14:paraId="5725CFE5">
      <w:pPr>
        <w:keepNext w:val="0"/>
        <w:keepLines w:val="0"/>
        <w:pageBreakBefore w:val="0"/>
        <w:widowControl/>
        <w:tabs>
          <w:tab w:val="left" w:pos="6013"/>
        </w:tabs>
        <w:kinsoku/>
        <w:wordWrap/>
        <w:overflowPunct/>
        <w:topLinePunct w:val="0"/>
        <w:autoSpaceDE w:val="0"/>
        <w:autoSpaceDN w:val="0"/>
        <w:bidi w:val="0"/>
        <w:adjustRightInd/>
        <w:snapToGrid/>
        <w:spacing w:line="600" w:lineRule="exact"/>
        <w:ind w:right="-28"/>
        <w:jc w:val="center"/>
        <w:textAlignment w:val="bottom"/>
        <w:rPr>
          <w:rFonts w:hint="eastAsia" w:ascii="宋体" w:hAnsi="宋体" w:cs="宋体"/>
          <w:b/>
          <w:bCs/>
          <w:sz w:val="52"/>
          <w:szCs w:val="52"/>
          <w:lang w:val="en-US" w:eastAsia="zh-CN"/>
        </w:rPr>
      </w:pPr>
      <w:r>
        <w:rPr>
          <w:rFonts w:hint="eastAsia" w:ascii="宋体" w:hAnsi="宋体" w:cs="宋体"/>
          <w:b/>
          <w:bCs/>
          <w:sz w:val="52"/>
          <w:szCs w:val="52"/>
          <w:lang w:val="en-US" w:eastAsia="zh-CN"/>
        </w:rPr>
        <w:t>谈</w:t>
      </w:r>
    </w:p>
    <w:p w14:paraId="4440CFD9">
      <w:pPr>
        <w:keepNext w:val="0"/>
        <w:keepLines w:val="0"/>
        <w:pageBreakBefore w:val="0"/>
        <w:widowControl/>
        <w:tabs>
          <w:tab w:val="left" w:pos="6013"/>
        </w:tabs>
        <w:kinsoku/>
        <w:wordWrap/>
        <w:overflowPunct/>
        <w:topLinePunct w:val="0"/>
        <w:autoSpaceDE w:val="0"/>
        <w:autoSpaceDN w:val="0"/>
        <w:bidi w:val="0"/>
        <w:adjustRightInd/>
        <w:snapToGrid/>
        <w:spacing w:line="600" w:lineRule="exact"/>
        <w:ind w:right="-28"/>
        <w:jc w:val="center"/>
        <w:textAlignment w:val="bottom"/>
        <w:rPr>
          <w:rFonts w:hint="eastAsia" w:ascii="宋体" w:hAnsi="宋体" w:cs="宋体"/>
          <w:b/>
          <w:bCs/>
          <w:sz w:val="52"/>
          <w:szCs w:val="52"/>
          <w:lang w:val="en-US" w:eastAsia="zh-CN"/>
        </w:rPr>
      </w:pPr>
      <w:r>
        <w:rPr>
          <w:rFonts w:hint="eastAsia" w:ascii="宋体" w:hAnsi="宋体" w:cs="宋体"/>
          <w:b/>
          <w:bCs/>
          <w:sz w:val="52"/>
          <w:szCs w:val="52"/>
          <w:lang w:val="en-US" w:eastAsia="zh-CN"/>
        </w:rPr>
        <w:t>判</w:t>
      </w:r>
    </w:p>
    <w:p w14:paraId="071023E3">
      <w:pPr>
        <w:keepNext w:val="0"/>
        <w:keepLines w:val="0"/>
        <w:pageBreakBefore w:val="0"/>
        <w:widowControl/>
        <w:tabs>
          <w:tab w:val="left" w:pos="6013"/>
        </w:tabs>
        <w:kinsoku/>
        <w:wordWrap/>
        <w:overflowPunct/>
        <w:topLinePunct w:val="0"/>
        <w:autoSpaceDE w:val="0"/>
        <w:autoSpaceDN w:val="0"/>
        <w:bidi w:val="0"/>
        <w:adjustRightInd/>
        <w:snapToGrid/>
        <w:spacing w:line="600" w:lineRule="exact"/>
        <w:ind w:right="-28"/>
        <w:jc w:val="center"/>
        <w:textAlignment w:val="bottom"/>
        <w:rPr>
          <w:rFonts w:hint="eastAsia" w:ascii="宋体" w:hAnsi="宋体" w:cs="宋体"/>
          <w:b/>
          <w:bCs/>
          <w:sz w:val="52"/>
          <w:szCs w:val="52"/>
          <w:lang w:val="en-US" w:eastAsia="zh-CN"/>
        </w:rPr>
      </w:pPr>
      <w:r>
        <w:rPr>
          <w:rFonts w:hint="eastAsia" w:ascii="宋体" w:hAnsi="宋体" w:cs="宋体"/>
          <w:b/>
          <w:bCs/>
          <w:sz w:val="52"/>
          <w:szCs w:val="52"/>
          <w:lang w:val="en-US" w:eastAsia="zh-CN"/>
        </w:rPr>
        <w:t>文</w:t>
      </w:r>
    </w:p>
    <w:p w14:paraId="0C7A3C55">
      <w:pPr>
        <w:keepNext w:val="0"/>
        <w:keepLines w:val="0"/>
        <w:pageBreakBefore w:val="0"/>
        <w:widowControl/>
        <w:tabs>
          <w:tab w:val="left" w:pos="6013"/>
        </w:tabs>
        <w:kinsoku/>
        <w:wordWrap/>
        <w:overflowPunct/>
        <w:topLinePunct w:val="0"/>
        <w:autoSpaceDE w:val="0"/>
        <w:autoSpaceDN w:val="0"/>
        <w:bidi w:val="0"/>
        <w:adjustRightInd/>
        <w:snapToGrid/>
        <w:spacing w:line="600" w:lineRule="exact"/>
        <w:ind w:right="-28"/>
        <w:jc w:val="center"/>
        <w:textAlignment w:val="bottom"/>
        <w:rPr>
          <w:rFonts w:hint="eastAsia" w:ascii="宋体" w:hAnsi="宋体" w:cs="宋体"/>
          <w:b/>
          <w:bCs/>
          <w:sz w:val="52"/>
          <w:szCs w:val="52"/>
          <w:lang w:val="en-US" w:eastAsia="zh-CN"/>
        </w:rPr>
      </w:pPr>
      <w:r>
        <w:rPr>
          <w:rFonts w:hint="eastAsia" w:ascii="宋体" w:hAnsi="宋体" w:cs="宋体"/>
          <w:b/>
          <w:bCs/>
          <w:sz w:val="52"/>
          <w:szCs w:val="52"/>
          <w:lang w:val="en-US" w:eastAsia="zh-CN"/>
        </w:rPr>
        <w:t>件</w:t>
      </w:r>
    </w:p>
    <w:p w14:paraId="393950FD">
      <w:pPr>
        <w:keepNext w:val="0"/>
        <w:keepLines w:val="0"/>
        <w:pageBreakBefore w:val="0"/>
        <w:widowControl/>
        <w:tabs>
          <w:tab w:val="left" w:pos="6013"/>
        </w:tabs>
        <w:kinsoku/>
        <w:wordWrap/>
        <w:overflowPunct/>
        <w:topLinePunct w:val="0"/>
        <w:autoSpaceDE w:val="0"/>
        <w:autoSpaceDN w:val="0"/>
        <w:bidi w:val="0"/>
        <w:adjustRightInd/>
        <w:snapToGrid/>
        <w:spacing w:line="600" w:lineRule="exact"/>
        <w:ind w:right="-28"/>
        <w:jc w:val="center"/>
        <w:textAlignment w:val="bottom"/>
        <w:rPr>
          <w:rFonts w:hint="eastAsia" w:ascii="宋体" w:hAnsi="宋体" w:cs="宋体"/>
          <w:b/>
          <w:bCs/>
          <w:sz w:val="52"/>
          <w:szCs w:val="52"/>
          <w:lang w:val="en-US" w:eastAsia="zh-CN"/>
        </w:rPr>
      </w:pPr>
    </w:p>
    <w:p w14:paraId="5E21C5F0">
      <w:pPr>
        <w:keepNext w:val="0"/>
        <w:keepLines w:val="0"/>
        <w:pageBreakBefore w:val="0"/>
        <w:widowControl/>
        <w:tabs>
          <w:tab w:val="left" w:pos="6013"/>
        </w:tabs>
        <w:kinsoku/>
        <w:wordWrap/>
        <w:overflowPunct/>
        <w:topLinePunct w:val="0"/>
        <w:autoSpaceDE w:val="0"/>
        <w:autoSpaceDN w:val="0"/>
        <w:bidi w:val="0"/>
        <w:adjustRightInd/>
        <w:snapToGrid/>
        <w:spacing w:line="600" w:lineRule="exact"/>
        <w:ind w:right="-28"/>
        <w:jc w:val="center"/>
        <w:textAlignment w:val="bottom"/>
        <w:rPr>
          <w:rFonts w:hint="eastAsia" w:ascii="宋体" w:hAnsi="宋体" w:cs="宋体"/>
          <w:b/>
          <w:bCs/>
          <w:sz w:val="52"/>
          <w:szCs w:val="52"/>
          <w:lang w:val="zh-CN" w:eastAsia="zh-CN"/>
        </w:rPr>
      </w:pPr>
    </w:p>
    <w:p w14:paraId="294E3197">
      <w:pPr>
        <w:keepNext w:val="0"/>
        <w:keepLines w:val="0"/>
        <w:pageBreakBefore w:val="0"/>
        <w:widowControl/>
        <w:tabs>
          <w:tab w:val="left" w:pos="6013"/>
        </w:tabs>
        <w:kinsoku/>
        <w:wordWrap/>
        <w:overflowPunct/>
        <w:topLinePunct w:val="0"/>
        <w:autoSpaceDE w:val="0"/>
        <w:autoSpaceDN w:val="0"/>
        <w:bidi w:val="0"/>
        <w:adjustRightInd/>
        <w:snapToGrid/>
        <w:spacing w:line="600" w:lineRule="exact"/>
        <w:ind w:right="-28"/>
        <w:jc w:val="center"/>
        <w:textAlignment w:val="bottom"/>
        <w:rPr>
          <w:rFonts w:hint="eastAsia" w:ascii="宋体" w:hAnsi="宋体" w:cs="宋体"/>
          <w:b/>
          <w:bCs/>
          <w:sz w:val="52"/>
          <w:szCs w:val="52"/>
          <w:lang w:val="zh-CN" w:eastAsia="zh-CN"/>
        </w:rPr>
      </w:pPr>
    </w:p>
    <w:p w14:paraId="74865EBD">
      <w:pPr>
        <w:widowControl/>
        <w:autoSpaceDE w:val="0"/>
        <w:autoSpaceDN w:val="0"/>
        <w:spacing w:line="600" w:lineRule="auto"/>
        <w:ind w:right="-28" w:firstLine="553" w:firstLineChars="196"/>
        <w:textAlignment w:val="bottom"/>
        <w:rPr>
          <w:rFonts w:hint="eastAsia" w:asciiTheme="majorEastAsia" w:hAnsiTheme="majorEastAsia" w:eastAsiaTheme="majorEastAsia" w:cstheme="majorEastAsia"/>
          <w:b/>
          <w:sz w:val="28"/>
          <w:szCs w:val="28"/>
          <w:highlight w:val="none"/>
          <w:lang w:val="en-US" w:eastAsia="zh-CN"/>
        </w:rPr>
      </w:pPr>
      <w:r>
        <w:rPr>
          <w:rFonts w:hint="eastAsia" w:asciiTheme="majorEastAsia" w:hAnsiTheme="majorEastAsia" w:eastAsiaTheme="majorEastAsia" w:cstheme="majorEastAsia"/>
          <w:b/>
          <w:sz w:val="28"/>
          <w:szCs w:val="28"/>
          <w:highlight w:val="none"/>
        </w:rPr>
        <w:t>采购单位：</w:t>
      </w:r>
      <w:r>
        <w:rPr>
          <w:rFonts w:hint="eastAsia" w:asciiTheme="majorEastAsia" w:hAnsiTheme="majorEastAsia" w:eastAsiaTheme="majorEastAsia" w:cstheme="majorEastAsia"/>
          <w:b/>
          <w:sz w:val="28"/>
          <w:szCs w:val="28"/>
          <w:highlight w:val="none"/>
          <w:lang w:eastAsia="zh-CN"/>
        </w:rPr>
        <w:t>克孜勒苏柯尔克孜自治州质量与计量检验检测中心</w:t>
      </w:r>
      <w:r>
        <w:rPr>
          <w:rFonts w:hint="eastAsia" w:asciiTheme="majorEastAsia" w:hAnsiTheme="majorEastAsia" w:eastAsiaTheme="majorEastAsia" w:cstheme="majorEastAsia"/>
          <w:b/>
          <w:sz w:val="28"/>
          <w:szCs w:val="28"/>
          <w:highlight w:val="none"/>
          <w:lang w:val="en-US" w:eastAsia="zh-CN"/>
        </w:rPr>
        <w:t xml:space="preserve"> </w:t>
      </w:r>
    </w:p>
    <w:p w14:paraId="5455FA0A">
      <w:pPr>
        <w:widowControl/>
        <w:autoSpaceDE w:val="0"/>
        <w:autoSpaceDN w:val="0"/>
        <w:spacing w:line="600" w:lineRule="auto"/>
        <w:ind w:right="-28" w:firstLine="566" w:firstLineChars="200"/>
        <w:textAlignment w:val="bottom"/>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b/>
          <w:sz w:val="28"/>
          <w:szCs w:val="28"/>
          <w:highlight w:val="none"/>
        </w:rPr>
        <w:t>项目负责人：</w:t>
      </w:r>
      <w:r>
        <w:rPr>
          <w:rFonts w:hint="eastAsia" w:asciiTheme="majorEastAsia" w:hAnsiTheme="majorEastAsia" w:eastAsiaTheme="majorEastAsia" w:cstheme="majorEastAsia"/>
          <w:b/>
          <w:sz w:val="28"/>
          <w:szCs w:val="28"/>
          <w:highlight w:val="none"/>
          <w:lang w:val="en-US" w:eastAsia="zh-CN"/>
        </w:rPr>
        <w:t xml:space="preserve">依先生   </w:t>
      </w:r>
      <w:r>
        <w:rPr>
          <w:rFonts w:hint="eastAsia" w:asciiTheme="majorEastAsia" w:hAnsiTheme="majorEastAsia" w:eastAsiaTheme="majorEastAsia" w:cstheme="majorEastAsia"/>
          <w:b/>
          <w:sz w:val="28"/>
          <w:szCs w:val="28"/>
          <w:highlight w:val="none"/>
        </w:rPr>
        <w:t xml:space="preserve">   联系电话：</w:t>
      </w:r>
      <w:r>
        <w:rPr>
          <w:rFonts w:hint="eastAsia" w:asciiTheme="majorEastAsia" w:hAnsiTheme="majorEastAsia" w:eastAsiaTheme="majorEastAsia" w:cstheme="majorEastAsia"/>
          <w:b/>
          <w:sz w:val="28"/>
          <w:szCs w:val="28"/>
          <w:highlight w:val="none"/>
          <w:lang w:val="en-US" w:eastAsia="zh-CN"/>
        </w:rPr>
        <w:t>19990981116</w:t>
      </w:r>
    </w:p>
    <w:p w14:paraId="514B94CE">
      <w:pPr>
        <w:widowControl/>
        <w:autoSpaceDE w:val="0"/>
        <w:autoSpaceDN w:val="0"/>
        <w:spacing w:line="600" w:lineRule="auto"/>
        <w:ind w:right="-28" w:firstLine="553" w:firstLineChars="196"/>
        <w:textAlignment w:val="bottom"/>
        <w:rPr>
          <w:rFonts w:hint="eastAsia" w:asciiTheme="majorEastAsia" w:hAnsiTheme="majorEastAsia" w:eastAsiaTheme="majorEastAsia" w:cstheme="majorEastAsia"/>
          <w:b/>
          <w:sz w:val="28"/>
          <w:szCs w:val="28"/>
          <w:highlight w:val="none"/>
          <w:lang w:eastAsia="zh-CN"/>
        </w:rPr>
      </w:pPr>
      <w:r>
        <w:rPr>
          <w:rFonts w:hint="eastAsia" w:asciiTheme="majorEastAsia" w:hAnsiTheme="majorEastAsia" w:eastAsiaTheme="majorEastAsia" w:cstheme="majorEastAsia"/>
          <w:b/>
          <w:sz w:val="28"/>
          <w:szCs w:val="28"/>
          <w:highlight w:val="none"/>
        </w:rPr>
        <w:t>代理机构：</w:t>
      </w:r>
      <w:r>
        <w:rPr>
          <w:rFonts w:hint="eastAsia" w:asciiTheme="majorEastAsia" w:hAnsiTheme="majorEastAsia" w:eastAsiaTheme="majorEastAsia" w:cstheme="majorEastAsia"/>
          <w:b/>
          <w:sz w:val="28"/>
          <w:szCs w:val="28"/>
          <w:highlight w:val="none"/>
          <w:lang w:val="en-US" w:eastAsia="zh-CN"/>
        </w:rPr>
        <w:t>新疆西极项目管理有限公司</w:t>
      </w:r>
    </w:p>
    <w:p w14:paraId="3A59B54E">
      <w:pPr>
        <w:widowControl/>
        <w:autoSpaceDE w:val="0"/>
        <w:autoSpaceDN w:val="0"/>
        <w:spacing w:line="600" w:lineRule="auto"/>
        <w:ind w:right="-28" w:firstLine="566" w:firstLineChars="200"/>
        <w:textAlignment w:val="bottom"/>
        <w:rPr>
          <w:rFonts w:hint="default" w:asciiTheme="majorEastAsia" w:hAnsiTheme="majorEastAsia" w:eastAsiaTheme="majorEastAsia" w:cstheme="majorEastAsia"/>
          <w:b/>
          <w:kern w:val="2"/>
          <w:sz w:val="28"/>
          <w:szCs w:val="28"/>
          <w:highlight w:val="none"/>
          <w:lang w:val="en-US" w:eastAsia="zh-CN" w:bidi="ar-SA"/>
        </w:rPr>
      </w:pPr>
      <w:r>
        <w:rPr>
          <w:rFonts w:hint="eastAsia" w:asciiTheme="majorEastAsia" w:hAnsiTheme="majorEastAsia" w:eastAsiaTheme="majorEastAsia" w:cstheme="majorEastAsia"/>
          <w:b/>
          <w:sz w:val="28"/>
          <w:szCs w:val="28"/>
          <w:highlight w:val="none"/>
        </w:rPr>
        <w:t>项目负责人：</w:t>
      </w:r>
      <w:r>
        <w:rPr>
          <w:rFonts w:hint="eastAsia" w:asciiTheme="majorEastAsia" w:hAnsiTheme="majorEastAsia" w:eastAsiaTheme="majorEastAsia" w:cstheme="majorEastAsia"/>
          <w:b/>
          <w:sz w:val="28"/>
          <w:szCs w:val="28"/>
          <w:highlight w:val="none"/>
          <w:lang w:val="en-US" w:eastAsia="zh-CN"/>
        </w:rPr>
        <w:t>王先生</w:t>
      </w:r>
      <w:r>
        <w:rPr>
          <w:rFonts w:hint="eastAsia" w:asciiTheme="majorEastAsia" w:hAnsiTheme="majorEastAsia" w:eastAsiaTheme="majorEastAsia" w:cstheme="majorEastAsia"/>
          <w:b/>
          <w:sz w:val="28"/>
          <w:szCs w:val="28"/>
          <w:highlight w:val="none"/>
        </w:rPr>
        <w:t xml:space="preserve">   联系电话: </w:t>
      </w:r>
      <w:r>
        <w:rPr>
          <w:rFonts w:hint="eastAsia" w:asciiTheme="majorEastAsia" w:hAnsiTheme="majorEastAsia" w:eastAsiaTheme="majorEastAsia" w:cstheme="majorEastAsia"/>
          <w:b/>
          <w:sz w:val="28"/>
          <w:szCs w:val="28"/>
          <w:highlight w:val="none"/>
          <w:lang w:val="en-US" w:eastAsia="zh-CN"/>
        </w:rPr>
        <w:t>18809085988</w:t>
      </w:r>
    </w:p>
    <w:p w14:paraId="1EF264BD">
      <w:pPr>
        <w:pStyle w:val="12"/>
        <w:spacing w:line="720" w:lineRule="auto"/>
        <w:jc w:val="center"/>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b/>
          <w:kern w:val="2"/>
          <w:sz w:val="28"/>
          <w:szCs w:val="28"/>
          <w:highlight w:val="none"/>
          <w:lang w:val="en-US" w:eastAsia="zh-CN" w:bidi="ar-SA"/>
        </w:rPr>
        <w:t>2025年7月</w:t>
      </w:r>
    </w:p>
    <w:p w14:paraId="3C45BACF">
      <w:pPr>
        <w:shd w:val="clear" w:color="auto" w:fill="auto"/>
        <w:jc w:val="center"/>
        <w:rPr>
          <w:rFonts w:hint="eastAsia" w:asciiTheme="majorEastAsia" w:hAnsiTheme="majorEastAsia" w:eastAsiaTheme="majorEastAsia" w:cstheme="majorEastAsia"/>
          <w:b/>
          <w:color w:val="auto"/>
          <w:sz w:val="36"/>
          <w:highlight w:val="none"/>
        </w:rPr>
      </w:pPr>
    </w:p>
    <w:p w14:paraId="4EE46EC7">
      <w:pPr>
        <w:shd w:val="clear" w:color="auto" w:fill="auto"/>
        <w:jc w:val="center"/>
        <w:rPr>
          <w:rFonts w:hint="eastAsia" w:asciiTheme="majorEastAsia" w:hAnsiTheme="majorEastAsia" w:eastAsiaTheme="majorEastAsia" w:cstheme="majorEastAsia"/>
          <w:b/>
          <w:color w:val="auto"/>
          <w:sz w:val="36"/>
          <w:highlight w:val="none"/>
        </w:rPr>
      </w:pPr>
    </w:p>
    <w:p w14:paraId="6F7568EC">
      <w:pPr>
        <w:shd w:val="clear" w:color="auto" w:fill="auto"/>
        <w:jc w:val="center"/>
        <w:rPr>
          <w:rFonts w:hint="eastAsia" w:asciiTheme="majorEastAsia" w:hAnsiTheme="majorEastAsia" w:eastAsiaTheme="majorEastAsia" w:cstheme="majorEastAsia"/>
          <w:b/>
          <w:color w:val="auto"/>
          <w:sz w:val="36"/>
          <w:highlight w:val="none"/>
        </w:rPr>
      </w:pPr>
      <w:r>
        <w:rPr>
          <w:rFonts w:hint="eastAsia" w:asciiTheme="majorEastAsia" w:hAnsiTheme="majorEastAsia" w:eastAsiaTheme="majorEastAsia" w:cstheme="majorEastAsia"/>
          <w:b/>
          <w:color w:val="auto"/>
          <w:sz w:val="36"/>
          <w:highlight w:val="none"/>
        </w:rPr>
        <w:t>目  录</w:t>
      </w:r>
    </w:p>
    <w:p w14:paraId="3D71AC61">
      <w:pPr>
        <w:spacing w:line="360" w:lineRule="auto"/>
        <w:ind w:firstLine="1818" w:firstLineChars="600"/>
        <w:rPr>
          <w:rFonts w:ascii="仿宋" w:hAnsi="仿宋" w:eastAsia="仿宋" w:cs="仿宋"/>
          <w:b/>
          <w:color w:val="auto"/>
          <w:sz w:val="30"/>
          <w:szCs w:val="30"/>
        </w:rPr>
      </w:pPr>
      <w:r>
        <w:rPr>
          <w:rFonts w:hint="eastAsia" w:ascii="仿宋" w:hAnsi="仿宋" w:eastAsia="仿宋" w:cs="仿宋"/>
          <w:b/>
          <w:color w:val="auto"/>
          <w:sz w:val="30"/>
          <w:szCs w:val="30"/>
        </w:rPr>
        <w:t>第一部分      竞争性</w:t>
      </w:r>
      <w:r>
        <w:rPr>
          <w:rFonts w:hint="eastAsia" w:ascii="仿宋" w:hAnsi="仿宋" w:eastAsia="仿宋" w:cs="仿宋"/>
          <w:b/>
          <w:color w:val="auto"/>
          <w:sz w:val="30"/>
          <w:szCs w:val="30"/>
          <w:lang w:eastAsia="zh-CN"/>
        </w:rPr>
        <w:t>谈判</w:t>
      </w:r>
      <w:r>
        <w:rPr>
          <w:rFonts w:hint="eastAsia" w:ascii="仿宋" w:hAnsi="仿宋" w:eastAsia="仿宋" w:cs="仿宋"/>
          <w:b/>
          <w:color w:val="auto"/>
          <w:sz w:val="30"/>
          <w:szCs w:val="30"/>
        </w:rPr>
        <w:t>公告</w:t>
      </w:r>
    </w:p>
    <w:p w14:paraId="4834BAB9">
      <w:pPr>
        <w:spacing w:line="360" w:lineRule="auto"/>
        <w:ind w:firstLine="1818" w:firstLineChars="600"/>
        <w:rPr>
          <w:rFonts w:ascii="仿宋" w:hAnsi="仿宋" w:eastAsia="仿宋" w:cs="仿宋"/>
          <w:b/>
          <w:color w:val="auto"/>
          <w:sz w:val="30"/>
          <w:szCs w:val="30"/>
        </w:rPr>
      </w:pPr>
      <w:r>
        <w:rPr>
          <w:rFonts w:hint="eastAsia" w:ascii="仿宋" w:hAnsi="仿宋" w:eastAsia="仿宋" w:cs="仿宋"/>
          <w:b/>
          <w:color w:val="auto"/>
          <w:sz w:val="30"/>
          <w:szCs w:val="30"/>
        </w:rPr>
        <w:t>第二部分      供应商须知</w:t>
      </w:r>
    </w:p>
    <w:p w14:paraId="37945D8F">
      <w:pPr>
        <w:spacing w:line="360" w:lineRule="auto"/>
        <w:ind w:firstLine="1818" w:firstLineChars="600"/>
        <w:rPr>
          <w:rFonts w:ascii="仿宋" w:hAnsi="仿宋" w:eastAsia="仿宋" w:cs="仿宋"/>
          <w:b/>
          <w:color w:val="auto"/>
          <w:sz w:val="30"/>
          <w:szCs w:val="30"/>
        </w:rPr>
      </w:pPr>
      <w:r>
        <w:rPr>
          <w:rFonts w:hint="eastAsia" w:ascii="仿宋" w:hAnsi="仿宋" w:eastAsia="仿宋" w:cs="仿宋"/>
          <w:b/>
          <w:color w:val="auto"/>
          <w:sz w:val="30"/>
          <w:szCs w:val="30"/>
        </w:rPr>
        <w:t xml:space="preserve">第三部分      </w:t>
      </w:r>
      <w:r>
        <w:rPr>
          <w:rFonts w:hint="eastAsia" w:ascii="仿宋" w:hAnsi="仿宋" w:eastAsia="仿宋" w:cs="仿宋"/>
          <w:b/>
          <w:color w:val="auto"/>
          <w:sz w:val="30"/>
          <w:szCs w:val="30"/>
          <w:lang w:eastAsia="zh-CN"/>
        </w:rPr>
        <w:t>技术要</w:t>
      </w:r>
      <w:r>
        <w:rPr>
          <w:rFonts w:hint="eastAsia" w:ascii="仿宋" w:hAnsi="仿宋" w:eastAsia="仿宋" w:cs="仿宋"/>
          <w:b/>
          <w:color w:val="auto"/>
          <w:sz w:val="30"/>
          <w:szCs w:val="30"/>
        </w:rPr>
        <w:t>求</w:t>
      </w:r>
    </w:p>
    <w:p w14:paraId="6D20101C">
      <w:pPr>
        <w:spacing w:line="360" w:lineRule="auto"/>
        <w:ind w:firstLine="1818" w:firstLineChars="600"/>
        <w:rPr>
          <w:rFonts w:ascii="仿宋" w:hAnsi="仿宋" w:eastAsia="仿宋" w:cs="仿宋"/>
          <w:b/>
          <w:color w:val="auto"/>
          <w:sz w:val="30"/>
          <w:szCs w:val="30"/>
        </w:rPr>
      </w:pPr>
      <w:r>
        <w:rPr>
          <w:rFonts w:hint="eastAsia" w:ascii="仿宋" w:hAnsi="仿宋" w:eastAsia="仿宋" w:cs="仿宋"/>
          <w:b/>
          <w:color w:val="auto"/>
          <w:sz w:val="30"/>
          <w:szCs w:val="30"/>
        </w:rPr>
        <w:t>第四部分      合同文本（参考）</w:t>
      </w:r>
    </w:p>
    <w:p w14:paraId="10509908">
      <w:pPr>
        <w:spacing w:line="360" w:lineRule="auto"/>
        <w:ind w:firstLine="1818" w:firstLineChars="600"/>
        <w:rPr>
          <w:rFonts w:ascii="仿宋" w:hAnsi="仿宋" w:eastAsia="仿宋" w:cs="仿宋"/>
          <w:b/>
          <w:color w:val="auto"/>
          <w:sz w:val="30"/>
          <w:szCs w:val="30"/>
        </w:rPr>
      </w:pPr>
      <w:r>
        <w:rPr>
          <w:rFonts w:hint="eastAsia" w:ascii="仿宋" w:hAnsi="仿宋" w:eastAsia="仿宋" w:cs="仿宋"/>
          <w:b/>
          <w:color w:val="auto"/>
          <w:sz w:val="30"/>
          <w:szCs w:val="30"/>
        </w:rPr>
        <w:t>第五部分      响应文件格式</w:t>
      </w:r>
    </w:p>
    <w:p w14:paraId="1065D887">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Theme="majorEastAsia" w:hAnsiTheme="majorEastAsia" w:eastAsiaTheme="majorEastAsia" w:cstheme="majorEastAsia"/>
          <w:b/>
          <w:bCs/>
          <w:kern w:val="36"/>
          <w:sz w:val="36"/>
          <w:szCs w:val="36"/>
          <w:highlight w:val="none"/>
          <w:lang w:val="en-US" w:eastAsia="zh-CN"/>
        </w:rPr>
      </w:pPr>
      <w:r>
        <w:rPr>
          <w:rFonts w:hint="eastAsia" w:asciiTheme="majorEastAsia" w:hAnsiTheme="majorEastAsia" w:eastAsiaTheme="majorEastAsia" w:cstheme="majorEastAsia"/>
          <w:color w:val="FF0000"/>
          <w:sz w:val="24"/>
          <w:highlight w:val="none"/>
        </w:rPr>
        <w:br w:type="page"/>
      </w:r>
      <w:r>
        <w:rPr>
          <w:rFonts w:hint="eastAsia" w:asciiTheme="majorEastAsia" w:hAnsiTheme="majorEastAsia" w:eastAsiaTheme="majorEastAsia" w:cstheme="majorEastAsia"/>
          <w:b/>
          <w:bCs/>
          <w:kern w:val="36"/>
          <w:sz w:val="36"/>
          <w:szCs w:val="36"/>
          <w:highlight w:val="none"/>
        </w:rPr>
        <w:t xml:space="preserve">第一部分 </w:t>
      </w:r>
    </w:p>
    <w:p w14:paraId="57CFF30E">
      <w:pPr>
        <w:pStyle w:val="2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default" w:ascii="Calibri" w:hAnsi="Calibri" w:cs="Calibri"/>
          <w:sz w:val="22"/>
          <w:szCs w:val="22"/>
        </w:rPr>
      </w:pPr>
      <w:r>
        <w:rPr>
          <w:rFonts w:hint="eastAsia" w:ascii="微软雅黑" w:hAnsi="微软雅黑" w:eastAsia="微软雅黑" w:cs="微软雅黑"/>
          <w:b/>
          <w:bCs/>
          <w:i w:val="0"/>
          <w:iCs w:val="0"/>
          <w:caps w:val="0"/>
          <w:color w:val="000000"/>
          <w:spacing w:val="0"/>
          <w:sz w:val="28"/>
          <w:szCs w:val="28"/>
          <w:lang w:eastAsia="zh-CN"/>
        </w:rPr>
        <w:t>劳务外包采购项目竞争性谈判公告</w:t>
      </w:r>
    </w:p>
    <w:p w14:paraId="47C48ACB">
      <w:pPr>
        <w:pStyle w:val="2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Times New Roman" w:hAnsi="Times New Roman" w:cs="Times New Roman"/>
          <w:sz w:val="22"/>
          <w:szCs w:val="22"/>
        </w:rPr>
      </w:pPr>
      <w:r>
        <w:rPr>
          <w:rFonts w:hint="eastAsia" w:ascii="宋体" w:hAnsi="宋体" w:eastAsia="宋体" w:cs="宋体"/>
          <w:color w:val="000000"/>
          <w:sz w:val="22"/>
          <w:szCs w:val="22"/>
        </w:rPr>
        <w:t> </w:t>
      </w:r>
      <w:r>
        <w:rPr>
          <w:rFonts w:hint="default" w:ascii="Times New Roman" w:hAnsi="Times New Roman" w:eastAsia="微软雅黑" w:cs="Times New Roman"/>
          <w:color w:val="333333"/>
          <w:sz w:val="22"/>
          <w:szCs w:val="22"/>
          <w:vertAlign w:val="baseline"/>
        </w:rPr>
        <w:t> </w:t>
      </w:r>
    </w:p>
    <w:p w14:paraId="6E957552">
      <w:pPr>
        <w:pStyle w:val="25"/>
        <w:keepNext w:val="0"/>
        <w:keepLines w:val="0"/>
        <w:pageBreakBefore w:val="0"/>
        <w:widowControl/>
        <w:suppressLineNumbers w:val="0"/>
        <w:pBdr>
          <w:top w:val="single" w:color="auto" w:sz="8" w:space="1"/>
          <w:left w:val="single" w:color="auto" w:sz="8" w:space="4"/>
          <w:bottom w:val="single" w:color="auto" w:sz="8" w:space="1"/>
          <w:right w:val="single" w:color="auto" w:sz="8" w:space="4"/>
        </w:pBdr>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default" w:ascii="Calibri" w:hAnsi="Calibri" w:cs="Calibri"/>
          <w:sz w:val="20"/>
          <w:szCs w:val="20"/>
        </w:rPr>
      </w:pPr>
      <w:r>
        <w:rPr>
          <w:rFonts w:ascii="仿宋" w:hAnsi="仿宋" w:eastAsia="仿宋" w:cs="仿宋"/>
          <w:color w:val="000000"/>
          <w:sz w:val="22"/>
          <w:szCs w:val="22"/>
        </w:rPr>
        <w:t>项目概况</w:t>
      </w:r>
    </w:p>
    <w:p w14:paraId="01CF3690">
      <w:pPr>
        <w:pStyle w:val="25"/>
        <w:keepNext w:val="0"/>
        <w:keepLines w:val="0"/>
        <w:pageBreakBefore w:val="0"/>
        <w:widowControl/>
        <w:suppressLineNumbers w:val="0"/>
        <w:pBdr>
          <w:top w:val="single" w:color="auto" w:sz="8" w:space="1"/>
          <w:left w:val="single" w:color="auto" w:sz="8" w:space="4"/>
          <w:bottom w:val="single" w:color="auto" w:sz="8" w:space="1"/>
          <w:right w:val="single" w:color="auto" w:sz="8" w:space="4"/>
        </w:pBdr>
        <w:kinsoku/>
        <w:wordWrap/>
        <w:overflowPunct/>
        <w:topLinePunct w:val="0"/>
        <w:autoSpaceDE/>
        <w:autoSpaceDN/>
        <w:bidi w:val="0"/>
        <w:adjustRightInd/>
        <w:snapToGrid/>
        <w:spacing w:before="0" w:beforeAutospacing="0" w:after="0" w:afterAutospacing="0" w:line="440" w:lineRule="exact"/>
        <w:ind w:left="0" w:right="0" w:firstLine="480"/>
        <w:jc w:val="both"/>
        <w:textAlignment w:val="auto"/>
        <w:rPr>
          <w:rFonts w:hint="default" w:ascii="Calibri" w:hAnsi="Calibri" w:cs="Calibri"/>
          <w:sz w:val="20"/>
          <w:szCs w:val="20"/>
        </w:rPr>
      </w:pPr>
      <w:r>
        <w:rPr>
          <w:rFonts w:hint="eastAsia" w:ascii="仿宋" w:hAnsi="仿宋" w:eastAsia="仿宋" w:cs="仿宋"/>
          <w:color w:val="000000"/>
          <w:sz w:val="22"/>
          <w:szCs w:val="22"/>
          <w:lang w:eastAsia="zh-CN"/>
        </w:rPr>
        <w:t>劳务外包采购项目</w:t>
      </w:r>
      <w:r>
        <w:rPr>
          <w:rFonts w:hint="eastAsia" w:ascii="仿宋" w:hAnsi="仿宋" w:eastAsia="仿宋" w:cs="仿宋"/>
          <w:color w:val="000000"/>
          <w:sz w:val="22"/>
          <w:szCs w:val="22"/>
        </w:rPr>
        <w:t>的潜在供应商应在政采云平台线上获取采购文件，并于</w:t>
      </w:r>
      <w:r>
        <w:rPr>
          <w:rFonts w:hint="eastAsia" w:ascii="仿宋" w:hAnsi="仿宋" w:eastAsia="仿宋" w:cs="仿宋"/>
          <w:color w:val="000000"/>
          <w:sz w:val="22"/>
          <w:szCs w:val="22"/>
          <w:highlight w:val="none"/>
        </w:rPr>
        <w:t>202</w:t>
      </w:r>
      <w:r>
        <w:rPr>
          <w:rFonts w:hint="eastAsia" w:ascii="仿宋" w:hAnsi="仿宋" w:eastAsia="仿宋" w:cs="仿宋"/>
          <w:color w:val="000000"/>
          <w:sz w:val="22"/>
          <w:szCs w:val="22"/>
          <w:highlight w:val="none"/>
          <w:lang w:val="en-US" w:eastAsia="zh-CN"/>
        </w:rPr>
        <w:t>5</w:t>
      </w:r>
      <w:r>
        <w:rPr>
          <w:rFonts w:hint="eastAsia" w:ascii="仿宋" w:hAnsi="仿宋" w:eastAsia="仿宋" w:cs="仿宋"/>
          <w:color w:val="000000"/>
          <w:sz w:val="22"/>
          <w:szCs w:val="22"/>
          <w:highlight w:val="none"/>
        </w:rPr>
        <w:t>年</w:t>
      </w:r>
      <w:r>
        <w:rPr>
          <w:rFonts w:hint="eastAsia" w:ascii="仿宋" w:hAnsi="仿宋" w:eastAsia="仿宋" w:cs="仿宋"/>
          <w:color w:val="000000"/>
          <w:sz w:val="22"/>
          <w:szCs w:val="22"/>
          <w:highlight w:val="none"/>
          <w:lang w:val="en-US" w:eastAsia="zh-CN"/>
        </w:rPr>
        <w:t xml:space="preserve"> 08</w:t>
      </w:r>
      <w:r>
        <w:rPr>
          <w:rFonts w:hint="eastAsia" w:ascii="仿宋" w:hAnsi="仿宋" w:eastAsia="仿宋" w:cs="仿宋"/>
          <w:color w:val="000000"/>
          <w:sz w:val="22"/>
          <w:szCs w:val="22"/>
          <w:highlight w:val="none"/>
        </w:rPr>
        <w:t>月</w:t>
      </w:r>
      <w:r>
        <w:rPr>
          <w:rFonts w:hint="eastAsia" w:ascii="仿宋" w:hAnsi="仿宋" w:eastAsia="仿宋" w:cs="仿宋"/>
          <w:color w:val="000000"/>
          <w:sz w:val="22"/>
          <w:szCs w:val="22"/>
          <w:highlight w:val="none"/>
          <w:lang w:val="en-US" w:eastAsia="zh-CN"/>
        </w:rPr>
        <w:t xml:space="preserve">08 </w:t>
      </w:r>
      <w:r>
        <w:rPr>
          <w:rFonts w:hint="eastAsia" w:ascii="仿宋" w:hAnsi="仿宋" w:eastAsia="仿宋" w:cs="仿宋"/>
          <w:color w:val="000000"/>
          <w:sz w:val="22"/>
          <w:szCs w:val="22"/>
          <w:highlight w:val="none"/>
        </w:rPr>
        <w:t>日1</w:t>
      </w:r>
      <w:r>
        <w:rPr>
          <w:rFonts w:hint="eastAsia" w:ascii="仿宋" w:hAnsi="仿宋" w:eastAsia="仿宋" w:cs="仿宋"/>
          <w:color w:val="000000"/>
          <w:sz w:val="22"/>
          <w:szCs w:val="22"/>
          <w:highlight w:val="none"/>
          <w:lang w:val="en-US" w:eastAsia="zh-CN"/>
        </w:rPr>
        <w:t>0</w:t>
      </w:r>
      <w:r>
        <w:rPr>
          <w:rFonts w:hint="eastAsia" w:ascii="仿宋" w:hAnsi="仿宋" w:eastAsia="仿宋" w:cs="仿宋"/>
          <w:color w:val="000000"/>
          <w:sz w:val="22"/>
          <w:szCs w:val="22"/>
          <w:highlight w:val="none"/>
        </w:rPr>
        <w:t>:</w:t>
      </w:r>
      <w:r>
        <w:rPr>
          <w:rFonts w:hint="eastAsia" w:ascii="仿宋" w:hAnsi="仿宋" w:eastAsia="仿宋" w:cs="仿宋"/>
          <w:color w:val="000000"/>
          <w:sz w:val="22"/>
          <w:szCs w:val="22"/>
          <w:highlight w:val="none"/>
          <w:lang w:val="en-US" w:eastAsia="zh-CN"/>
        </w:rPr>
        <w:t>3</w:t>
      </w:r>
      <w:r>
        <w:rPr>
          <w:rFonts w:hint="eastAsia" w:ascii="仿宋" w:hAnsi="仿宋" w:eastAsia="仿宋" w:cs="仿宋"/>
          <w:color w:val="000000"/>
          <w:sz w:val="22"/>
          <w:szCs w:val="22"/>
          <w:highlight w:val="none"/>
        </w:rPr>
        <w:t>0</w:t>
      </w:r>
      <w:r>
        <w:rPr>
          <w:rFonts w:hint="eastAsia" w:ascii="仿宋" w:hAnsi="仿宋" w:eastAsia="仿宋" w:cs="仿宋"/>
          <w:color w:val="000000"/>
          <w:sz w:val="22"/>
          <w:szCs w:val="22"/>
        </w:rPr>
        <w:t xml:space="preserve">（北京时间）前提交响应文件。    </w:t>
      </w:r>
    </w:p>
    <w:p w14:paraId="1C22D7C7">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left="0" w:right="0" w:firstLine="0"/>
        <w:jc w:val="both"/>
        <w:textAlignment w:val="auto"/>
        <w:rPr>
          <w:rFonts w:hint="default" w:ascii="Calibri" w:hAnsi="Calibri" w:cs="Calibri"/>
          <w:sz w:val="22"/>
          <w:szCs w:val="22"/>
        </w:rPr>
      </w:pPr>
      <w:r>
        <w:rPr>
          <w:rFonts w:ascii="黑体" w:hAnsi="宋体" w:eastAsia="黑体" w:cs="黑体"/>
          <w:b/>
          <w:bCs/>
          <w:i w:val="0"/>
          <w:iCs w:val="0"/>
          <w:caps w:val="0"/>
          <w:color w:val="000000"/>
          <w:spacing w:val="0"/>
          <w:sz w:val="22"/>
          <w:szCs w:val="22"/>
        </w:rPr>
        <w:t>一、项目基本情况</w:t>
      </w:r>
    </w:p>
    <w:p w14:paraId="0A947E0C">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373"/>
        <w:jc w:val="left"/>
        <w:textAlignment w:val="auto"/>
        <w:rPr>
          <w:rFonts w:hint="default"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rPr>
        <w:t>项目编号：</w:t>
      </w:r>
      <w:r>
        <w:rPr>
          <w:rFonts w:hint="eastAsia" w:ascii="仿宋" w:hAnsi="仿宋" w:eastAsia="仿宋" w:cs="仿宋"/>
          <w:i w:val="0"/>
          <w:iCs w:val="0"/>
          <w:caps w:val="0"/>
          <w:color w:val="000000"/>
          <w:spacing w:val="0"/>
          <w:sz w:val="22"/>
          <w:szCs w:val="22"/>
          <w:lang w:val="en-US" w:eastAsia="zh-CN"/>
        </w:rPr>
        <w:t>KZZB-2025118</w:t>
      </w:r>
    </w:p>
    <w:p w14:paraId="57E846FA">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373"/>
        <w:jc w:val="left"/>
        <w:textAlignment w:val="auto"/>
        <w:rPr>
          <w:rFonts w:hint="default" w:ascii="Calibri" w:hAnsi="Calibri" w:cs="Calibri"/>
          <w:sz w:val="22"/>
          <w:szCs w:val="22"/>
        </w:rPr>
      </w:pPr>
      <w:r>
        <w:rPr>
          <w:rFonts w:hint="eastAsia" w:ascii="仿宋" w:hAnsi="仿宋" w:eastAsia="仿宋" w:cs="仿宋"/>
          <w:i w:val="0"/>
          <w:iCs w:val="0"/>
          <w:caps w:val="0"/>
          <w:color w:val="000000"/>
          <w:spacing w:val="0"/>
          <w:sz w:val="22"/>
          <w:szCs w:val="22"/>
        </w:rPr>
        <w:t>项目名称：</w:t>
      </w:r>
      <w:r>
        <w:rPr>
          <w:rFonts w:hint="eastAsia" w:ascii="仿宋" w:hAnsi="仿宋" w:eastAsia="仿宋" w:cs="仿宋"/>
          <w:i w:val="0"/>
          <w:iCs w:val="0"/>
          <w:caps w:val="0"/>
          <w:color w:val="000000"/>
          <w:spacing w:val="0"/>
          <w:sz w:val="22"/>
          <w:szCs w:val="22"/>
          <w:lang w:eastAsia="zh-CN"/>
        </w:rPr>
        <w:t>劳务外包采购项目</w:t>
      </w:r>
      <w:r>
        <w:rPr>
          <w:rFonts w:hint="eastAsia" w:ascii="仿宋" w:hAnsi="仿宋" w:eastAsia="仿宋" w:cs="仿宋"/>
          <w:i w:val="0"/>
          <w:iCs w:val="0"/>
          <w:caps w:val="0"/>
          <w:color w:val="000000"/>
          <w:spacing w:val="0"/>
          <w:sz w:val="22"/>
          <w:szCs w:val="22"/>
        </w:rPr>
        <w:t> </w:t>
      </w:r>
    </w:p>
    <w:p w14:paraId="197AF4D2">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jc w:val="left"/>
        <w:textAlignment w:val="auto"/>
        <w:rPr>
          <w:rFonts w:hint="default" w:ascii="Calibri" w:hAnsi="Calibri" w:cs="Calibri"/>
          <w:sz w:val="22"/>
          <w:szCs w:val="22"/>
        </w:rPr>
      </w:pPr>
      <w:r>
        <w:rPr>
          <w:rFonts w:hint="eastAsia" w:ascii="仿宋" w:hAnsi="仿宋" w:eastAsia="仿宋" w:cs="仿宋"/>
          <w:i w:val="0"/>
          <w:iCs w:val="0"/>
          <w:caps w:val="0"/>
          <w:color w:val="000000"/>
          <w:spacing w:val="0"/>
          <w:sz w:val="22"/>
          <w:szCs w:val="22"/>
        </w:rPr>
        <w:t>    采购方式：竞争性</w:t>
      </w:r>
      <w:r>
        <w:rPr>
          <w:rFonts w:hint="eastAsia" w:ascii="仿宋" w:hAnsi="仿宋" w:eastAsia="仿宋" w:cs="仿宋"/>
          <w:i w:val="0"/>
          <w:iCs w:val="0"/>
          <w:caps w:val="0"/>
          <w:color w:val="000000"/>
          <w:spacing w:val="0"/>
          <w:sz w:val="22"/>
          <w:szCs w:val="22"/>
          <w:lang w:val="en-US" w:eastAsia="zh-CN"/>
        </w:rPr>
        <w:t>谈判</w:t>
      </w:r>
      <w:r>
        <w:rPr>
          <w:rFonts w:hint="eastAsia" w:ascii="仿宋" w:hAnsi="仿宋" w:eastAsia="仿宋" w:cs="仿宋"/>
          <w:i w:val="0"/>
          <w:iCs w:val="0"/>
          <w:caps w:val="0"/>
          <w:color w:val="000000"/>
          <w:spacing w:val="0"/>
          <w:sz w:val="22"/>
          <w:szCs w:val="22"/>
        </w:rPr>
        <w:t> </w:t>
      </w:r>
    </w:p>
    <w:p w14:paraId="5B579C0E">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373"/>
        <w:jc w:val="left"/>
        <w:textAlignment w:val="auto"/>
        <w:rPr>
          <w:rFonts w:hint="default"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rPr>
        <w:t>预算金额（元）：</w:t>
      </w:r>
      <w:r>
        <w:rPr>
          <w:rFonts w:hint="eastAsia" w:ascii="仿宋" w:hAnsi="仿宋" w:eastAsia="仿宋" w:cs="仿宋"/>
          <w:i w:val="0"/>
          <w:iCs w:val="0"/>
          <w:caps w:val="0"/>
          <w:color w:val="000000"/>
          <w:spacing w:val="0"/>
          <w:sz w:val="22"/>
          <w:szCs w:val="22"/>
          <w:lang w:val="en-US" w:eastAsia="zh-CN"/>
        </w:rPr>
        <w:t>1010000</w:t>
      </w:r>
    </w:p>
    <w:p w14:paraId="60E057C6">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jc w:val="left"/>
        <w:textAlignment w:val="auto"/>
        <w:rPr>
          <w:rFonts w:hint="default" w:ascii="Calibri" w:hAnsi="Calibri" w:cs="Calibri"/>
          <w:sz w:val="22"/>
          <w:szCs w:val="22"/>
          <w:lang w:val="en-US"/>
        </w:rPr>
      </w:pPr>
      <w:r>
        <w:rPr>
          <w:rFonts w:hint="eastAsia" w:ascii="仿宋" w:hAnsi="仿宋" w:eastAsia="仿宋" w:cs="仿宋"/>
          <w:i w:val="0"/>
          <w:iCs w:val="0"/>
          <w:caps w:val="0"/>
          <w:color w:val="000000"/>
          <w:spacing w:val="0"/>
          <w:sz w:val="22"/>
          <w:szCs w:val="22"/>
        </w:rPr>
        <w:t>    最高限价（</w:t>
      </w:r>
      <w:r>
        <w:rPr>
          <w:rFonts w:hint="eastAsia" w:ascii="仿宋" w:hAnsi="仿宋" w:eastAsia="仿宋" w:cs="仿宋"/>
          <w:i w:val="0"/>
          <w:iCs w:val="0"/>
          <w:caps w:val="0"/>
          <w:color w:val="000000"/>
          <w:spacing w:val="0"/>
          <w:sz w:val="22"/>
          <w:szCs w:val="22"/>
          <w:lang w:val="en-US" w:eastAsia="zh-CN"/>
        </w:rPr>
        <w:t>实付工资的</w:t>
      </w:r>
      <w:r>
        <w:rPr>
          <w:rFonts w:hint="eastAsia" w:ascii="仿宋" w:hAnsi="仿宋" w:eastAsia="仿宋" w:cs="仿宋"/>
          <w:i w:val="0"/>
          <w:iCs w:val="0"/>
          <w:caps w:val="0"/>
          <w:color w:val="000000"/>
          <w:spacing w:val="0"/>
          <w:sz w:val="22"/>
          <w:szCs w:val="22"/>
        </w:rPr>
        <w:t>）：</w:t>
      </w:r>
      <w:r>
        <w:rPr>
          <w:rFonts w:hint="eastAsia" w:ascii="仿宋" w:hAnsi="仿宋" w:eastAsia="仿宋" w:cs="仿宋"/>
          <w:i w:val="0"/>
          <w:iCs w:val="0"/>
          <w:caps w:val="0"/>
          <w:color w:val="000000"/>
          <w:spacing w:val="0"/>
          <w:sz w:val="22"/>
          <w:szCs w:val="22"/>
          <w:highlight w:val="none"/>
          <w:lang w:val="en-US" w:eastAsia="zh-CN"/>
        </w:rPr>
        <w:t>7%</w:t>
      </w:r>
    </w:p>
    <w:p w14:paraId="76C11DE2">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373"/>
        <w:jc w:val="left"/>
        <w:textAlignment w:val="auto"/>
        <w:rPr>
          <w:rFonts w:hint="default" w:ascii="Calibri" w:hAnsi="Calibri" w:cs="Calibri"/>
          <w:sz w:val="22"/>
          <w:szCs w:val="22"/>
        </w:rPr>
      </w:pPr>
      <w:r>
        <w:rPr>
          <w:rFonts w:hint="eastAsia" w:ascii="仿宋" w:hAnsi="仿宋" w:eastAsia="仿宋" w:cs="仿宋"/>
          <w:i w:val="0"/>
          <w:iCs w:val="0"/>
          <w:caps w:val="0"/>
          <w:color w:val="000000"/>
          <w:spacing w:val="0"/>
          <w:sz w:val="22"/>
          <w:szCs w:val="22"/>
        </w:rPr>
        <w:t>采购需求：</w:t>
      </w:r>
    </w:p>
    <w:p w14:paraId="57FF5F3D">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373"/>
        <w:jc w:val="left"/>
        <w:textAlignment w:val="auto"/>
        <w:rPr>
          <w:rFonts w:hint="default" w:ascii="仿宋" w:hAnsi="仿宋" w:eastAsia="仿宋" w:cs="仿宋"/>
          <w:i w:val="0"/>
          <w:iCs w:val="0"/>
          <w:caps w:val="0"/>
          <w:color w:val="000000"/>
          <w:spacing w:val="0"/>
          <w:sz w:val="22"/>
          <w:szCs w:val="22"/>
          <w:lang w:eastAsia="zh-CN"/>
        </w:rPr>
      </w:pPr>
      <w:r>
        <w:rPr>
          <w:rFonts w:hint="eastAsia" w:ascii="仿宋" w:hAnsi="仿宋" w:eastAsia="仿宋" w:cs="仿宋"/>
          <w:i w:val="0"/>
          <w:iCs w:val="0"/>
          <w:caps w:val="0"/>
          <w:color w:val="000000"/>
          <w:spacing w:val="0"/>
          <w:sz w:val="22"/>
          <w:szCs w:val="22"/>
        </w:rPr>
        <w:t> </w:t>
      </w:r>
      <w:r>
        <w:rPr>
          <w:rFonts w:hint="eastAsia" w:ascii="仿宋" w:hAnsi="仿宋" w:eastAsia="仿宋" w:cs="仿宋"/>
          <w:i w:val="0"/>
          <w:iCs w:val="0"/>
          <w:caps w:val="0"/>
          <w:color w:val="000000"/>
          <w:spacing w:val="0"/>
          <w:sz w:val="22"/>
          <w:szCs w:val="22"/>
          <w:lang w:eastAsia="zh-CN"/>
        </w:rPr>
        <w:t>标项名称： 劳务外包采购项目 </w:t>
      </w:r>
    </w:p>
    <w:p w14:paraId="5ED37E68">
      <w:pPr>
        <w:pStyle w:val="2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jc w:val="left"/>
        <w:textAlignment w:val="auto"/>
        <w:rPr>
          <w:rFonts w:hint="default" w:ascii="Calibri" w:hAnsi="Calibri" w:cs="Calibri"/>
          <w:sz w:val="20"/>
          <w:szCs w:val="20"/>
        </w:rPr>
      </w:pPr>
      <w:r>
        <w:rPr>
          <w:rFonts w:hint="eastAsia" w:ascii="仿宋" w:hAnsi="仿宋" w:eastAsia="仿宋" w:cs="仿宋"/>
          <w:i w:val="0"/>
          <w:iCs w:val="0"/>
          <w:caps w:val="0"/>
          <w:color w:val="000000"/>
          <w:spacing w:val="0"/>
          <w:sz w:val="22"/>
          <w:szCs w:val="22"/>
        </w:rPr>
        <w:t xml:space="preserve">  </w:t>
      </w:r>
      <w:r>
        <w:rPr>
          <w:rFonts w:hint="eastAsia" w:ascii="仿宋" w:hAnsi="仿宋" w:eastAsia="仿宋" w:cs="仿宋"/>
          <w:i w:val="0"/>
          <w:iCs w:val="0"/>
          <w:caps w:val="0"/>
          <w:color w:val="000000"/>
          <w:spacing w:val="0"/>
          <w:sz w:val="22"/>
          <w:szCs w:val="22"/>
          <w:lang w:val="en-US" w:eastAsia="zh-CN"/>
        </w:rPr>
        <w:t xml:space="preserve"> </w:t>
      </w:r>
      <w:r>
        <w:rPr>
          <w:rFonts w:hint="eastAsia" w:ascii="仿宋" w:hAnsi="仿宋" w:eastAsia="仿宋" w:cs="仿宋"/>
          <w:i w:val="0"/>
          <w:iCs w:val="0"/>
          <w:caps w:val="0"/>
          <w:color w:val="000000"/>
          <w:spacing w:val="0"/>
          <w:sz w:val="22"/>
          <w:szCs w:val="22"/>
        </w:rPr>
        <w:t> 数量：</w:t>
      </w:r>
      <w:r>
        <w:rPr>
          <w:rFonts w:hint="eastAsia" w:ascii="仿宋" w:hAnsi="仿宋" w:eastAsia="仿宋" w:cs="仿宋"/>
          <w:i w:val="0"/>
          <w:iCs w:val="0"/>
          <w:caps w:val="0"/>
          <w:color w:val="000000"/>
          <w:spacing w:val="0"/>
          <w:sz w:val="22"/>
          <w:szCs w:val="22"/>
          <w:lang w:val="en-US" w:eastAsia="zh-CN"/>
        </w:rPr>
        <w:t>1</w:t>
      </w:r>
      <w:r>
        <w:rPr>
          <w:rFonts w:hint="eastAsia" w:ascii="仿宋" w:hAnsi="仿宋" w:eastAsia="仿宋" w:cs="仿宋"/>
          <w:i w:val="0"/>
          <w:iCs w:val="0"/>
          <w:caps w:val="0"/>
          <w:color w:val="000000"/>
          <w:spacing w:val="0"/>
          <w:sz w:val="22"/>
          <w:szCs w:val="22"/>
        </w:rPr>
        <w:t>     </w:t>
      </w:r>
    </w:p>
    <w:p w14:paraId="4D324226">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jc w:val="left"/>
        <w:textAlignment w:val="auto"/>
        <w:rPr>
          <w:rFonts w:hint="default" w:ascii="仿宋" w:hAnsi="仿宋" w:eastAsia="仿宋" w:cs="仿宋"/>
          <w:i w:val="0"/>
          <w:iCs w:val="0"/>
          <w:caps w:val="0"/>
          <w:color w:val="000000"/>
          <w:spacing w:val="0"/>
          <w:sz w:val="22"/>
          <w:szCs w:val="22"/>
          <w:lang w:val="en-US"/>
        </w:rPr>
      </w:pPr>
      <w:r>
        <w:rPr>
          <w:rFonts w:hint="eastAsia" w:ascii="仿宋" w:hAnsi="仿宋" w:eastAsia="仿宋" w:cs="仿宋"/>
          <w:i w:val="0"/>
          <w:iCs w:val="0"/>
          <w:caps w:val="0"/>
          <w:color w:val="000000"/>
          <w:spacing w:val="0"/>
          <w:sz w:val="22"/>
          <w:szCs w:val="22"/>
        </w:rPr>
        <w:t>   预算金额（元）：</w:t>
      </w:r>
      <w:r>
        <w:rPr>
          <w:rFonts w:hint="eastAsia" w:ascii="仿宋" w:hAnsi="仿宋" w:eastAsia="仿宋" w:cs="仿宋"/>
          <w:i w:val="0"/>
          <w:iCs w:val="0"/>
          <w:caps w:val="0"/>
          <w:color w:val="000000"/>
          <w:spacing w:val="0"/>
          <w:sz w:val="22"/>
          <w:szCs w:val="22"/>
          <w:lang w:val="en-US" w:eastAsia="zh-CN"/>
        </w:rPr>
        <w:t>1010000</w:t>
      </w:r>
    </w:p>
    <w:p w14:paraId="1B431DF9">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jc w:val="left"/>
        <w:textAlignment w:val="auto"/>
        <w:rPr>
          <w:rFonts w:hint="eastAsia" w:ascii="Calibri" w:hAnsi="Calibri" w:eastAsia="仿宋" w:cs="Calibri"/>
          <w:sz w:val="22"/>
          <w:szCs w:val="22"/>
          <w:lang w:val="en-US" w:eastAsia="zh-CN"/>
        </w:rPr>
      </w:pPr>
      <w:r>
        <w:rPr>
          <w:rFonts w:hint="eastAsia" w:ascii="仿宋" w:hAnsi="仿宋" w:eastAsia="仿宋" w:cs="仿宋"/>
          <w:i w:val="0"/>
          <w:iCs w:val="0"/>
          <w:caps w:val="0"/>
          <w:color w:val="000000"/>
          <w:spacing w:val="0"/>
          <w:sz w:val="22"/>
          <w:szCs w:val="22"/>
        </w:rPr>
        <w:t>   单位：</w:t>
      </w:r>
      <w:r>
        <w:rPr>
          <w:rFonts w:hint="eastAsia" w:ascii="仿宋" w:hAnsi="仿宋" w:eastAsia="仿宋" w:cs="仿宋"/>
          <w:i w:val="0"/>
          <w:iCs w:val="0"/>
          <w:caps w:val="0"/>
          <w:color w:val="000000"/>
          <w:spacing w:val="0"/>
          <w:sz w:val="22"/>
          <w:szCs w:val="22"/>
          <w:lang w:val="en-US" w:eastAsia="zh-CN"/>
        </w:rPr>
        <w:t>批</w:t>
      </w:r>
    </w:p>
    <w:p w14:paraId="6A0D79B2">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rPr>
        <w:t>   简要规格描述：使用棉花大容量快速测试仪日常检验</w:t>
      </w:r>
      <w:r>
        <w:rPr>
          <w:rFonts w:hint="eastAsia" w:ascii="仿宋" w:hAnsi="仿宋" w:eastAsia="仿宋" w:cs="仿宋"/>
          <w:i w:val="0"/>
          <w:iCs w:val="0"/>
          <w:caps w:val="0"/>
          <w:color w:val="000000"/>
          <w:spacing w:val="0"/>
          <w:sz w:val="22"/>
          <w:szCs w:val="22"/>
          <w:lang w:eastAsia="zh-CN"/>
        </w:rPr>
        <w:t>，实验室样品周转、交接、回潮率测试、留样、清样、入库</w:t>
      </w:r>
      <w:r>
        <w:rPr>
          <w:rFonts w:hint="eastAsia" w:ascii="仿宋" w:hAnsi="仿宋" w:eastAsia="仿宋" w:cs="仿宋"/>
          <w:i w:val="0"/>
          <w:iCs w:val="0"/>
          <w:caps w:val="0"/>
          <w:color w:val="000000"/>
          <w:spacing w:val="0"/>
          <w:sz w:val="22"/>
          <w:szCs w:val="22"/>
        </w:rPr>
        <w:t>。</w:t>
      </w:r>
      <w:r>
        <w:rPr>
          <w:rFonts w:hint="eastAsia" w:ascii="仿宋" w:hAnsi="仿宋" w:eastAsia="仿宋" w:cs="仿宋"/>
          <w:i w:val="0"/>
          <w:iCs w:val="0"/>
          <w:caps w:val="0"/>
          <w:color w:val="000000"/>
          <w:spacing w:val="0"/>
          <w:sz w:val="22"/>
          <w:szCs w:val="22"/>
          <w:lang w:val="en-US" w:eastAsia="zh-CN"/>
        </w:rPr>
        <w:t>（详见采购参数清单）</w:t>
      </w:r>
    </w:p>
    <w:p w14:paraId="21EF08DC">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jc w:val="left"/>
        <w:textAlignment w:val="auto"/>
        <w:rPr>
          <w:rFonts w:hint="default" w:ascii="Calibri" w:hAnsi="Calibri" w:cs="Calibri"/>
          <w:sz w:val="22"/>
          <w:szCs w:val="22"/>
        </w:rPr>
      </w:pPr>
      <w:r>
        <w:rPr>
          <w:rFonts w:hint="eastAsia" w:ascii="仿宋" w:hAnsi="仿宋" w:eastAsia="仿宋" w:cs="仿宋"/>
          <w:i w:val="0"/>
          <w:iCs w:val="0"/>
          <w:caps w:val="0"/>
          <w:color w:val="000000"/>
          <w:spacing w:val="0"/>
          <w:sz w:val="22"/>
          <w:szCs w:val="22"/>
        </w:rPr>
        <w:t>   备注： </w:t>
      </w:r>
    </w:p>
    <w:p w14:paraId="2A43FDC1">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jc w:val="left"/>
        <w:textAlignment w:val="auto"/>
        <w:rPr>
          <w:rFonts w:hint="default"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rPr>
        <w:t>    合同履约期限：</w:t>
      </w:r>
      <w:r>
        <w:rPr>
          <w:rFonts w:hint="eastAsia" w:ascii="仿宋" w:hAnsi="仿宋" w:eastAsia="仿宋" w:cs="仿宋"/>
          <w:i w:val="0"/>
          <w:iCs w:val="0"/>
          <w:caps w:val="0"/>
          <w:color w:val="000000"/>
          <w:spacing w:val="0"/>
          <w:sz w:val="22"/>
          <w:szCs w:val="22"/>
          <w:lang w:eastAsia="zh-CN"/>
        </w:rPr>
        <w:t>标项 1，</w:t>
      </w:r>
      <w:r>
        <w:rPr>
          <w:rFonts w:hint="default" w:ascii="仿宋" w:hAnsi="仿宋" w:eastAsia="仿宋" w:cs="仿宋"/>
          <w:i w:val="0"/>
          <w:iCs w:val="0"/>
          <w:caps w:val="0"/>
          <w:color w:val="000000"/>
          <w:spacing w:val="0"/>
          <w:sz w:val="22"/>
          <w:szCs w:val="22"/>
          <w:lang w:val="en-US" w:eastAsia="zh-CN"/>
        </w:rPr>
        <w:t>具体详见谈判文件</w:t>
      </w:r>
      <w:r>
        <w:rPr>
          <w:rFonts w:hint="eastAsia" w:ascii="仿宋" w:hAnsi="仿宋" w:eastAsia="仿宋" w:cs="仿宋"/>
          <w:i w:val="0"/>
          <w:iCs w:val="0"/>
          <w:caps w:val="0"/>
          <w:color w:val="000000"/>
          <w:spacing w:val="0"/>
          <w:sz w:val="22"/>
          <w:szCs w:val="22"/>
          <w:lang w:val="en-US" w:eastAsia="zh-CN"/>
        </w:rPr>
        <w:t> </w:t>
      </w:r>
    </w:p>
    <w:p w14:paraId="0D7D276F">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jc w:val="left"/>
        <w:textAlignment w:val="auto"/>
        <w:rPr>
          <w:rFonts w:hint="default" w:ascii="Calibri" w:hAnsi="Calibri" w:cs="Calibri"/>
          <w:sz w:val="22"/>
          <w:szCs w:val="22"/>
        </w:rPr>
      </w:pPr>
      <w:r>
        <w:rPr>
          <w:rFonts w:hint="eastAsia" w:ascii="仿宋" w:hAnsi="仿宋" w:eastAsia="仿宋" w:cs="仿宋"/>
          <w:i w:val="0"/>
          <w:iCs w:val="0"/>
          <w:caps w:val="0"/>
          <w:color w:val="000000"/>
          <w:spacing w:val="0"/>
          <w:sz w:val="22"/>
          <w:szCs w:val="22"/>
        </w:rPr>
        <w:t>    本项目</w:t>
      </w:r>
      <w:r>
        <w:rPr>
          <w:rFonts w:hint="eastAsia" w:ascii="仿宋" w:hAnsi="仿宋" w:eastAsia="仿宋" w:cs="仿宋"/>
          <w:i w:val="0"/>
          <w:iCs w:val="0"/>
          <w:caps w:val="0"/>
          <w:color w:val="000000"/>
          <w:spacing w:val="0"/>
          <w:sz w:val="22"/>
          <w:szCs w:val="22"/>
          <w:lang w:val="en-US" w:eastAsia="zh-CN"/>
        </w:rPr>
        <w:t>（否）</w:t>
      </w:r>
      <w:r>
        <w:rPr>
          <w:rFonts w:hint="eastAsia" w:ascii="仿宋" w:hAnsi="仿宋" w:eastAsia="仿宋" w:cs="仿宋"/>
          <w:i w:val="0"/>
          <w:iCs w:val="0"/>
          <w:caps w:val="0"/>
          <w:color w:val="000000"/>
          <w:spacing w:val="0"/>
          <w:sz w:val="22"/>
          <w:szCs w:val="22"/>
        </w:rPr>
        <w:t>接受联合体投标。  </w:t>
      </w:r>
    </w:p>
    <w:p w14:paraId="72BDB042">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left="0" w:right="0" w:firstLine="0"/>
        <w:jc w:val="both"/>
        <w:textAlignment w:val="auto"/>
        <w:rPr>
          <w:rFonts w:hint="default" w:ascii="Calibri" w:hAnsi="Calibri" w:cs="Calibri"/>
          <w:sz w:val="22"/>
          <w:szCs w:val="22"/>
        </w:rPr>
      </w:pPr>
      <w:r>
        <w:rPr>
          <w:rFonts w:hint="eastAsia" w:ascii="黑体" w:hAnsi="宋体" w:eastAsia="黑体" w:cs="黑体"/>
          <w:i w:val="0"/>
          <w:iCs w:val="0"/>
          <w:caps w:val="0"/>
          <w:color w:val="000000"/>
          <w:spacing w:val="0"/>
          <w:sz w:val="22"/>
          <w:szCs w:val="22"/>
        </w:rPr>
        <w:t>二、</w:t>
      </w:r>
      <w:r>
        <w:rPr>
          <w:rFonts w:hint="eastAsia" w:ascii="黑体" w:hAnsi="宋体" w:eastAsia="黑体" w:cs="黑体"/>
          <w:b/>
          <w:bCs/>
          <w:i w:val="0"/>
          <w:iCs w:val="0"/>
          <w:caps w:val="0"/>
          <w:color w:val="000000"/>
          <w:spacing w:val="0"/>
          <w:sz w:val="22"/>
          <w:szCs w:val="22"/>
        </w:rPr>
        <w:t>申请人的资格要求：</w:t>
      </w:r>
    </w:p>
    <w:p w14:paraId="56EA259E">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left="0" w:right="0" w:firstLine="240"/>
        <w:jc w:val="both"/>
        <w:textAlignment w:val="auto"/>
        <w:rPr>
          <w:rFonts w:hint="default" w:ascii="Calibri" w:hAnsi="Calibri" w:cs="Calibri"/>
          <w:sz w:val="22"/>
          <w:szCs w:val="22"/>
        </w:rPr>
      </w:pPr>
      <w:r>
        <w:rPr>
          <w:rFonts w:hint="eastAsia" w:ascii="仿宋" w:hAnsi="仿宋" w:eastAsia="仿宋" w:cs="仿宋"/>
          <w:i w:val="0"/>
          <w:iCs w:val="0"/>
          <w:caps w:val="0"/>
          <w:color w:val="000000"/>
          <w:spacing w:val="0"/>
          <w:sz w:val="22"/>
          <w:szCs w:val="22"/>
        </w:rPr>
        <w:t>1.满足《中华人民共和国政府采购法》第二十二条规定；</w:t>
      </w:r>
    </w:p>
    <w:p w14:paraId="7234F780">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left="78" w:right="0"/>
        <w:jc w:val="both"/>
        <w:textAlignment w:val="auto"/>
        <w:rPr>
          <w:rFonts w:hint="default" w:ascii="Calibri" w:hAnsi="Calibri" w:cs="Calibri"/>
          <w:color w:val="auto"/>
          <w:sz w:val="22"/>
          <w:szCs w:val="22"/>
        </w:rPr>
      </w:pPr>
      <w:r>
        <w:rPr>
          <w:rFonts w:hint="eastAsia" w:ascii="仿宋" w:hAnsi="仿宋" w:eastAsia="仿宋" w:cs="仿宋"/>
          <w:i w:val="0"/>
          <w:iCs w:val="0"/>
          <w:caps w:val="0"/>
          <w:color w:val="000000"/>
          <w:spacing w:val="0"/>
          <w:sz w:val="22"/>
          <w:szCs w:val="22"/>
        </w:rPr>
        <w:t>  2.落实政府采购政策需满足的资格要求：标项</w:t>
      </w:r>
      <w:r>
        <w:rPr>
          <w:rFonts w:hint="eastAsia" w:ascii="仿宋" w:hAnsi="仿宋" w:eastAsia="仿宋" w:cs="仿宋"/>
          <w:i w:val="0"/>
          <w:iCs w:val="0"/>
          <w:caps w:val="0"/>
          <w:color w:val="auto"/>
          <w:spacing w:val="0"/>
          <w:sz w:val="22"/>
          <w:szCs w:val="22"/>
        </w:rPr>
        <w:t>1：</w:t>
      </w:r>
      <w:r>
        <w:rPr>
          <w:rFonts w:hint="eastAsia" w:ascii="仿宋" w:hAnsi="仿宋" w:eastAsia="仿宋" w:cs="仿宋"/>
          <w:i w:val="0"/>
          <w:iCs w:val="0"/>
          <w:caps w:val="0"/>
          <w:color w:val="auto"/>
          <w:spacing w:val="0"/>
          <w:sz w:val="22"/>
          <w:szCs w:val="22"/>
          <w:lang w:val="en-US" w:eastAsia="zh-CN"/>
        </w:rPr>
        <w:t>供应商为</w:t>
      </w:r>
      <w:r>
        <w:rPr>
          <w:rFonts w:hint="eastAsia" w:ascii="仿宋" w:hAnsi="仿宋" w:eastAsia="仿宋" w:cs="仿宋"/>
          <w:i w:val="0"/>
          <w:iCs w:val="0"/>
          <w:caps w:val="0"/>
          <w:color w:val="auto"/>
          <w:spacing w:val="0"/>
          <w:sz w:val="22"/>
          <w:szCs w:val="22"/>
        </w:rPr>
        <w:t>中小企业； </w:t>
      </w:r>
    </w:p>
    <w:p w14:paraId="2F6AB542">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right="0" w:firstLine="223" w:firstLineChars="100"/>
        <w:jc w:val="both"/>
        <w:textAlignment w:val="auto"/>
        <w:rPr>
          <w:rFonts w:hint="eastAsia" w:ascii="仿宋" w:hAnsi="仿宋" w:eastAsia="仿宋" w:cs="仿宋"/>
          <w:i w:val="0"/>
          <w:iCs w:val="0"/>
          <w:caps w:val="0"/>
          <w:color w:val="auto"/>
          <w:spacing w:val="0"/>
          <w:sz w:val="22"/>
          <w:szCs w:val="22"/>
        </w:rPr>
      </w:pPr>
      <w:r>
        <w:rPr>
          <w:rFonts w:hint="eastAsia" w:ascii="仿宋" w:hAnsi="仿宋" w:eastAsia="仿宋" w:cs="仿宋"/>
          <w:i w:val="0"/>
          <w:iCs w:val="0"/>
          <w:caps w:val="0"/>
          <w:color w:val="auto"/>
          <w:spacing w:val="0"/>
          <w:sz w:val="22"/>
          <w:szCs w:val="22"/>
        </w:rPr>
        <w:t>3.本项目的特定资格要求：</w:t>
      </w:r>
    </w:p>
    <w:p w14:paraId="2FAAE533">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left="0" w:right="0" w:firstLine="240"/>
        <w:jc w:val="both"/>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auto"/>
          <w:spacing w:val="0"/>
          <w:sz w:val="22"/>
          <w:szCs w:val="22"/>
        </w:rPr>
        <w:t>【标项1】</w:t>
      </w:r>
      <w:r>
        <w:rPr>
          <w:rFonts w:hint="eastAsia" w:ascii="仿宋" w:hAnsi="仿宋" w:eastAsia="仿宋" w:cs="仿宋"/>
          <w:i w:val="0"/>
          <w:iCs w:val="0"/>
          <w:caps w:val="0"/>
          <w:color w:val="auto"/>
          <w:spacing w:val="0"/>
          <w:sz w:val="22"/>
          <w:szCs w:val="22"/>
        </w:rPr>
        <w:br w:type="textWrapping"/>
      </w:r>
      <w:r>
        <w:rPr>
          <w:rFonts w:hint="eastAsia" w:ascii="仿宋" w:hAnsi="仿宋" w:eastAsia="仿宋" w:cs="仿宋"/>
          <w:i w:val="0"/>
          <w:iCs w:val="0"/>
          <w:caps w:val="0"/>
          <w:color w:val="000000"/>
          <w:spacing w:val="0"/>
          <w:sz w:val="22"/>
          <w:szCs w:val="22"/>
          <w:lang w:val="en-US" w:eastAsia="zh-CN"/>
        </w:rPr>
        <w:t>（1）具有合格有效的营业执照；</w:t>
      </w:r>
    </w:p>
    <w:p w14:paraId="3D588CAA">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right="0"/>
        <w:jc w:val="both"/>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（2）法定代表人投标需提供法定代表人资格证明书，委托代理人投标需提供法定代表人授权委托书及被授权在职人员近6个月内任意1个月有效的社保证明；</w:t>
      </w:r>
    </w:p>
    <w:p w14:paraId="28DCD51E">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right="0"/>
        <w:jc w:val="both"/>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（3）在“信用中国”及“中国政府采购网”网站上未被列入失信被执行人、重大税收违法案件当事人名单以及政府采购严重违法失信行为记录名单的投标企业。</w:t>
      </w:r>
    </w:p>
    <w:p w14:paraId="23D1B626">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right="0"/>
        <w:jc w:val="both"/>
        <w:textAlignment w:val="auto"/>
        <w:rPr>
          <w:rFonts w:hint="default"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（4）供应商须同时具有《劳务派遣经营许可证》和《人力资源服务许可证》</w:t>
      </w:r>
    </w:p>
    <w:p w14:paraId="2971C738">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left="0" w:right="0" w:firstLine="0"/>
        <w:jc w:val="both"/>
        <w:textAlignment w:val="auto"/>
        <w:rPr>
          <w:rFonts w:hint="default" w:ascii="Calibri" w:hAnsi="Calibri" w:cs="Calibri"/>
          <w:color w:val="auto"/>
          <w:sz w:val="22"/>
          <w:szCs w:val="22"/>
        </w:rPr>
      </w:pPr>
      <w:r>
        <w:rPr>
          <w:rFonts w:hint="eastAsia" w:ascii="黑体" w:hAnsi="宋体" w:eastAsia="黑体" w:cs="黑体"/>
          <w:b/>
          <w:bCs/>
          <w:i w:val="0"/>
          <w:iCs w:val="0"/>
          <w:caps w:val="0"/>
          <w:color w:val="auto"/>
          <w:spacing w:val="0"/>
          <w:sz w:val="22"/>
          <w:szCs w:val="22"/>
        </w:rPr>
        <w:t>三、获取采购文件</w:t>
      </w:r>
    </w:p>
    <w:p w14:paraId="42509751">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left="0" w:right="0" w:firstLine="240"/>
        <w:jc w:val="both"/>
        <w:textAlignment w:val="auto"/>
        <w:rPr>
          <w:rFonts w:hint="default" w:ascii="Calibri" w:hAnsi="Calibri" w:cs="Calibri"/>
          <w:color w:val="auto"/>
          <w:sz w:val="22"/>
          <w:szCs w:val="22"/>
        </w:rPr>
      </w:pPr>
      <w:r>
        <w:rPr>
          <w:rFonts w:hint="eastAsia" w:ascii="仿宋" w:hAnsi="仿宋" w:eastAsia="仿宋" w:cs="仿宋"/>
          <w:i w:val="0"/>
          <w:iCs w:val="0"/>
          <w:caps w:val="0"/>
          <w:color w:val="auto"/>
          <w:spacing w:val="0"/>
          <w:sz w:val="22"/>
          <w:szCs w:val="22"/>
        </w:rPr>
        <w:t> 时间：</w:t>
      </w:r>
      <w:r>
        <w:rPr>
          <w:rFonts w:hint="eastAsia" w:ascii="仿宋" w:hAnsi="仿宋" w:eastAsia="仿宋" w:cs="仿宋"/>
          <w:i w:val="0"/>
          <w:iCs w:val="0"/>
          <w:caps w:val="0"/>
          <w:color w:val="auto"/>
          <w:spacing w:val="0"/>
          <w:sz w:val="22"/>
          <w:szCs w:val="22"/>
          <w:highlight w:val="none"/>
        </w:rPr>
        <w:t>202</w:t>
      </w:r>
      <w:r>
        <w:rPr>
          <w:rFonts w:hint="eastAsia" w:ascii="仿宋" w:hAnsi="仿宋" w:eastAsia="仿宋" w:cs="仿宋"/>
          <w:i w:val="0"/>
          <w:iCs w:val="0"/>
          <w:caps w:val="0"/>
          <w:color w:val="auto"/>
          <w:spacing w:val="0"/>
          <w:sz w:val="22"/>
          <w:szCs w:val="22"/>
          <w:highlight w:val="none"/>
          <w:lang w:val="en-US" w:eastAsia="zh-CN"/>
        </w:rPr>
        <w:t>5</w:t>
      </w:r>
      <w:r>
        <w:rPr>
          <w:rFonts w:hint="eastAsia" w:ascii="仿宋" w:hAnsi="仿宋" w:eastAsia="仿宋" w:cs="仿宋"/>
          <w:i w:val="0"/>
          <w:iCs w:val="0"/>
          <w:caps w:val="0"/>
          <w:color w:val="auto"/>
          <w:spacing w:val="0"/>
          <w:sz w:val="22"/>
          <w:szCs w:val="22"/>
          <w:highlight w:val="none"/>
        </w:rPr>
        <w:t>年</w:t>
      </w:r>
      <w:r>
        <w:rPr>
          <w:rFonts w:hint="eastAsia" w:ascii="仿宋" w:hAnsi="仿宋" w:eastAsia="仿宋" w:cs="仿宋"/>
          <w:i w:val="0"/>
          <w:iCs w:val="0"/>
          <w:caps w:val="0"/>
          <w:color w:val="auto"/>
          <w:spacing w:val="0"/>
          <w:sz w:val="22"/>
          <w:szCs w:val="22"/>
          <w:highlight w:val="none"/>
          <w:lang w:val="en-US" w:eastAsia="zh-CN"/>
        </w:rPr>
        <w:t>08</w:t>
      </w:r>
      <w:r>
        <w:rPr>
          <w:rFonts w:hint="eastAsia" w:ascii="仿宋" w:hAnsi="仿宋" w:eastAsia="仿宋" w:cs="仿宋"/>
          <w:i w:val="0"/>
          <w:iCs w:val="0"/>
          <w:caps w:val="0"/>
          <w:color w:val="auto"/>
          <w:spacing w:val="0"/>
          <w:sz w:val="22"/>
          <w:szCs w:val="22"/>
          <w:highlight w:val="none"/>
        </w:rPr>
        <w:t>月</w:t>
      </w:r>
      <w:r>
        <w:rPr>
          <w:rFonts w:hint="eastAsia" w:ascii="仿宋" w:hAnsi="仿宋" w:eastAsia="仿宋" w:cs="仿宋"/>
          <w:i w:val="0"/>
          <w:iCs w:val="0"/>
          <w:caps w:val="0"/>
          <w:color w:val="auto"/>
          <w:spacing w:val="0"/>
          <w:sz w:val="22"/>
          <w:szCs w:val="22"/>
          <w:highlight w:val="none"/>
          <w:lang w:val="en-US" w:eastAsia="zh-CN"/>
        </w:rPr>
        <w:t>05</w:t>
      </w:r>
      <w:r>
        <w:rPr>
          <w:rFonts w:hint="eastAsia" w:ascii="仿宋" w:hAnsi="仿宋" w:eastAsia="仿宋" w:cs="仿宋"/>
          <w:i w:val="0"/>
          <w:iCs w:val="0"/>
          <w:caps w:val="0"/>
          <w:color w:val="auto"/>
          <w:spacing w:val="0"/>
          <w:sz w:val="22"/>
          <w:szCs w:val="22"/>
          <w:highlight w:val="none"/>
        </w:rPr>
        <w:t>日至202</w:t>
      </w:r>
      <w:r>
        <w:rPr>
          <w:rFonts w:hint="eastAsia" w:ascii="仿宋" w:hAnsi="仿宋" w:eastAsia="仿宋" w:cs="仿宋"/>
          <w:i w:val="0"/>
          <w:iCs w:val="0"/>
          <w:caps w:val="0"/>
          <w:color w:val="auto"/>
          <w:spacing w:val="0"/>
          <w:sz w:val="22"/>
          <w:szCs w:val="22"/>
          <w:highlight w:val="none"/>
          <w:lang w:val="en-US" w:eastAsia="zh-CN"/>
        </w:rPr>
        <w:t>5</w:t>
      </w:r>
      <w:r>
        <w:rPr>
          <w:rFonts w:hint="eastAsia" w:ascii="仿宋" w:hAnsi="仿宋" w:eastAsia="仿宋" w:cs="仿宋"/>
          <w:i w:val="0"/>
          <w:iCs w:val="0"/>
          <w:caps w:val="0"/>
          <w:color w:val="auto"/>
          <w:spacing w:val="0"/>
          <w:sz w:val="22"/>
          <w:szCs w:val="22"/>
          <w:highlight w:val="none"/>
        </w:rPr>
        <w:t>年</w:t>
      </w:r>
      <w:r>
        <w:rPr>
          <w:rFonts w:hint="eastAsia" w:ascii="仿宋" w:hAnsi="仿宋" w:eastAsia="仿宋" w:cs="仿宋"/>
          <w:i w:val="0"/>
          <w:iCs w:val="0"/>
          <w:caps w:val="0"/>
          <w:color w:val="auto"/>
          <w:spacing w:val="0"/>
          <w:sz w:val="22"/>
          <w:szCs w:val="22"/>
          <w:highlight w:val="none"/>
          <w:lang w:val="en-US" w:eastAsia="zh-CN"/>
        </w:rPr>
        <w:t>08</w:t>
      </w:r>
      <w:r>
        <w:rPr>
          <w:rFonts w:hint="eastAsia" w:ascii="仿宋" w:hAnsi="仿宋" w:eastAsia="仿宋" w:cs="仿宋"/>
          <w:i w:val="0"/>
          <w:iCs w:val="0"/>
          <w:caps w:val="0"/>
          <w:color w:val="auto"/>
          <w:spacing w:val="0"/>
          <w:sz w:val="22"/>
          <w:szCs w:val="22"/>
          <w:highlight w:val="none"/>
        </w:rPr>
        <w:t>月</w:t>
      </w:r>
      <w:r>
        <w:rPr>
          <w:rFonts w:hint="eastAsia" w:ascii="仿宋" w:hAnsi="仿宋" w:eastAsia="仿宋" w:cs="仿宋"/>
          <w:i w:val="0"/>
          <w:iCs w:val="0"/>
          <w:caps w:val="0"/>
          <w:color w:val="auto"/>
          <w:spacing w:val="0"/>
          <w:sz w:val="22"/>
          <w:szCs w:val="22"/>
          <w:highlight w:val="none"/>
          <w:lang w:val="en-US" w:eastAsia="zh-CN"/>
        </w:rPr>
        <w:t>07</w:t>
      </w:r>
      <w:r>
        <w:rPr>
          <w:rFonts w:hint="eastAsia" w:ascii="仿宋" w:hAnsi="仿宋" w:eastAsia="仿宋" w:cs="仿宋"/>
          <w:i w:val="0"/>
          <w:iCs w:val="0"/>
          <w:caps w:val="0"/>
          <w:color w:val="auto"/>
          <w:spacing w:val="0"/>
          <w:sz w:val="22"/>
          <w:szCs w:val="22"/>
          <w:highlight w:val="none"/>
        </w:rPr>
        <w:t>日</w:t>
      </w:r>
      <w:r>
        <w:rPr>
          <w:rFonts w:hint="eastAsia" w:ascii="仿宋" w:hAnsi="仿宋" w:eastAsia="仿宋" w:cs="仿宋"/>
          <w:i w:val="0"/>
          <w:iCs w:val="0"/>
          <w:caps w:val="0"/>
          <w:color w:val="auto"/>
          <w:spacing w:val="0"/>
          <w:sz w:val="22"/>
          <w:szCs w:val="22"/>
        </w:rPr>
        <w:t>，每天上午10:00至1</w:t>
      </w:r>
      <w:r>
        <w:rPr>
          <w:rFonts w:hint="eastAsia" w:ascii="仿宋" w:hAnsi="仿宋" w:eastAsia="仿宋" w:cs="仿宋"/>
          <w:i w:val="0"/>
          <w:iCs w:val="0"/>
          <w:caps w:val="0"/>
          <w:color w:val="auto"/>
          <w:spacing w:val="0"/>
          <w:sz w:val="22"/>
          <w:szCs w:val="22"/>
          <w:lang w:val="en-US" w:eastAsia="zh-CN"/>
        </w:rPr>
        <w:t>4</w:t>
      </w:r>
      <w:r>
        <w:rPr>
          <w:rFonts w:hint="eastAsia" w:ascii="仿宋" w:hAnsi="仿宋" w:eastAsia="仿宋" w:cs="仿宋"/>
          <w:i w:val="0"/>
          <w:iCs w:val="0"/>
          <w:caps w:val="0"/>
          <w:color w:val="auto"/>
          <w:spacing w:val="0"/>
          <w:sz w:val="22"/>
          <w:szCs w:val="22"/>
        </w:rPr>
        <w:t>:</w:t>
      </w:r>
      <w:r>
        <w:rPr>
          <w:rFonts w:hint="eastAsia" w:ascii="仿宋" w:hAnsi="仿宋" w:eastAsia="仿宋" w:cs="仿宋"/>
          <w:i w:val="0"/>
          <w:iCs w:val="0"/>
          <w:caps w:val="0"/>
          <w:color w:val="auto"/>
          <w:spacing w:val="0"/>
          <w:sz w:val="22"/>
          <w:szCs w:val="22"/>
          <w:lang w:val="en-US" w:eastAsia="zh-CN"/>
        </w:rPr>
        <w:t>0</w:t>
      </w:r>
      <w:r>
        <w:rPr>
          <w:rFonts w:hint="eastAsia" w:ascii="仿宋" w:hAnsi="仿宋" w:eastAsia="仿宋" w:cs="仿宋"/>
          <w:i w:val="0"/>
          <w:iCs w:val="0"/>
          <w:caps w:val="0"/>
          <w:color w:val="auto"/>
          <w:spacing w:val="0"/>
          <w:sz w:val="22"/>
          <w:szCs w:val="22"/>
        </w:rPr>
        <w:t>0，下午16:</w:t>
      </w:r>
      <w:r>
        <w:rPr>
          <w:rFonts w:hint="eastAsia" w:ascii="仿宋" w:hAnsi="仿宋" w:eastAsia="仿宋" w:cs="仿宋"/>
          <w:i w:val="0"/>
          <w:iCs w:val="0"/>
          <w:caps w:val="0"/>
          <w:color w:val="auto"/>
          <w:spacing w:val="0"/>
          <w:sz w:val="22"/>
          <w:szCs w:val="22"/>
          <w:lang w:val="en-US" w:eastAsia="zh-CN"/>
        </w:rPr>
        <w:t>0</w:t>
      </w:r>
      <w:r>
        <w:rPr>
          <w:rFonts w:hint="eastAsia" w:ascii="仿宋" w:hAnsi="仿宋" w:eastAsia="仿宋" w:cs="仿宋"/>
          <w:i w:val="0"/>
          <w:iCs w:val="0"/>
          <w:caps w:val="0"/>
          <w:color w:val="auto"/>
          <w:spacing w:val="0"/>
          <w:sz w:val="22"/>
          <w:szCs w:val="22"/>
        </w:rPr>
        <w:t>0至</w:t>
      </w:r>
      <w:r>
        <w:rPr>
          <w:rFonts w:hint="eastAsia" w:ascii="仿宋" w:hAnsi="仿宋" w:eastAsia="仿宋" w:cs="仿宋"/>
          <w:i w:val="0"/>
          <w:iCs w:val="0"/>
          <w:caps w:val="0"/>
          <w:color w:val="auto"/>
          <w:spacing w:val="0"/>
          <w:sz w:val="22"/>
          <w:szCs w:val="22"/>
          <w:lang w:val="en-US" w:eastAsia="zh-CN"/>
        </w:rPr>
        <w:t>20</w:t>
      </w:r>
      <w:r>
        <w:rPr>
          <w:rFonts w:hint="eastAsia" w:ascii="仿宋" w:hAnsi="仿宋" w:eastAsia="仿宋" w:cs="仿宋"/>
          <w:i w:val="0"/>
          <w:iCs w:val="0"/>
          <w:caps w:val="0"/>
          <w:color w:val="auto"/>
          <w:spacing w:val="0"/>
          <w:sz w:val="22"/>
          <w:szCs w:val="22"/>
        </w:rPr>
        <w:t>:</w:t>
      </w:r>
      <w:r>
        <w:rPr>
          <w:rFonts w:hint="eastAsia" w:ascii="仿宋" w:hAnsi="仿宋" w:eastAsia="仿宋" w:cs="仿宋"/>
          <w:i w:val="0"/>
          <w:iCs w:val="0"/>
          <w:caps w:val="0"/>
          <w:color w:val="auto"/>
          <w:spacing w:val="0"/>
          <w:sz w:val="22"/>
          <w:szCs w:val="22"/>
          <w:lang w:val="en-US" w:eastAsia="zh-CN"/>
        </w:rPr>
        <w:t>0</w:t>
      </w:r>
      <w:r>
        <w:rPr>
          <w:rFonts w:hint="eastAsia" w:ascii="仿宋" w:hAnsi="仿宋" w:eastAsia="仿宋" w:cs="仿宋"/>
          <w:i w:val="0"/>
          <w:iCs w:val="0"/>
          <w:caps w:val="0"/>
          <w:color w:val="auto"/>
          <w:spacing w:val="0"/>
          <w:sz w:val="22"/>
          <w:szCs w:val="22"/>
        </w:rPr>
        <w:t>0（北京时间，法定节假日除外）</w:t>
      </w:r>
    </w:p>
    <w:p w14:paraId="49278559">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jc w:val="left"/>
        <w:textAlignment w:val="auto"/>
        <w:rPr>
          <w:rFonts w:hint="default" w:ascii="Calibri" w:hAnsi="Calibri" w:cs="Calibri"/>
          <w:color w:val="auto"/>
          <w:sz w:val="22"/>
          <w:szCs w:val="22"/>
        </w:rPr>
      </w:pPr>
      <w:r>
        <w:rPr>
          <w:rFonts w:hint="eastAsia" w:ascii="仿宋" w:hAnsi="仿宋" w:eastAsia="仿宋" w:cs="仿宋"/>
          <w:i w:val="0"/>
          <w:iCs w:val="0"/>
          <w:caps w:val="0"/>
          <w:color w:val="auto"/>
          <w:spacing w:val="0"/>
          <w:sz w:val="22"/>
          <w:szCs w:val="22"/>
        </w:rPr>
        <w:t>    地点：政采云平台线上获取 </w:t>
      </w:r>
    </w:p>
    <w:p w14:paraId="5B6A724F">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373"/>
        <w:jc w:val="left"/>
        <w:textAlignment w:val="auto"/>
        <w:rPr>
          <w:rFonts w:hint="eastAsia" w:ascii="仿宋" w:hAnsi="仿宋" w:eastAsia="仿宋" w:cs="仿宋"/>
          <w:i w:val="0"/>
          <w:iCs w:val="0"/>
          <w:caps w:val="0"/>
          <w:color w:val="auto"/>
          <w:spacing w:val="0"/>
          <w:sz w:val="22"/>
          <w:szCs w:val="22"/>
        </w:rPr>
      </w:pPr>
      <w:r>
        <w:rPr>
          <w:rFonts w:hint="eastAsia" w:ascii="仿宋" w:hAnsi="仿宋" w:eastAsia="仿宋" w:cs="仿宋"/>
          <w:i w:val="0"/>
          <w:iCs w:val="0"/>
          <w:caps w:val="0"/>
          <w:color w:val="auto"/>
          <w:spacing w:val="0"/>
          <w:sz w:val="22"/>
          <w:szCs w:val="22"/>
        </w:rPr>
        <w:t>方式：供应商登录政采云平台https://www.zcygov.cn/在线申请获取采购文件（进入“项目采购”应用，在获取采购文件菜单中选择项目，申请获取采购文件），或者点击采购公告底部潜在供应商“获取采购文件”，页面跳转后登</w:t>
      </w:r>
      <w:r>
        <w:rPr>
          <w:rFonts w:hint="eastAsia" w:ascii="仿宋" w:hAnsi="仿宋" w:eastAsia="仿宋" w:cs="仿宋"/>
          <w:i w:val="0"/>
          <w:iCs w:val="0"/>
          <w:caps w:val="0"/>
          <w:color w:val="auto"/>
          <w:spacing w:val="0"/>
          <w:sz w:val="22"/>
          <w:szCs w:val="22"/>
          <w:lang w:val="en-US" w:eastAsia="zh-CN"/>
        </w:rPr>
        <w:t>录</w:t>
      </w:r>
      <w:r>
        <w:rPr>
          <w:rFonts w:hint="eastAsia" w:ascii="仿宋" w:hAnsi="仿宋" w:eastAsia="仿宋" w:cs="仿宋"/>
          <w:i w:val="0"/>
          <w:iCs w:val="0"/>
          <w:caps w:val="0"/>
          <w:color w:val="auto"/>
          <w:spacing w:val="0"/>
          <w:sz w:val="22"/>
          <w:szCs w:val="22"/>
        </w:rPr>
        <w:t>，直接获取采购文件。 </w:t>
      </w:r>
    </w:p>
    <w:p w14:paraId="20D783A5">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373"/>
        <w:jc w:val="left"/>
        <w:textAlignment w:val="auto"/>
        <w:rPr>
          <w:rFonts w:hint="default" w:ascii="Calibri" w:hAnsi="Calibri" w:cs="Calibri"/>
          <w:color w:val="auto"/>
          <w:sz w:val="22"/>
          <w:szCs w:val="22"/>
        </w:rPr>
      </w:pPr>
      <w:r>
        <w:rPr>
          <w:rFonts w:hint="eastAsia" w:ascii="仿宋" w:hAnsi="仿宋" w:eastAsia="仿宋" w:cs="仿宋"/>
          <w:i w:val="0"/>
          <w:iCs w:val="0"/>
          <w:caps w:val="0"/>
          <w:color w:val="auto"/>
          <w:spacing w:val="0"/>
          <w:sz w:val="22"/>
          <w:szCs w:val="22"/>
        </w:rPr>
        <w:t>售价（元）： 0 </w:t>
      </w:r>
    </w:p>
    <w:p w14:paraId="580E8057">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left="0" w:right="0" w:firstLine="0"/>
        <w:jc w:val="both"/>
        <w:textAlignment w:val="auto"/>
        <w:rPr>
          <w:rFonts w:hint="default" w:ascii="Calibri" w:hAnsi="Calibri" w:cs="Calibri"/>
          <w:color w:val="auto"/>
          <w:sz w:val="22"/>
          <w:szCs w:val="22"/>
        </w:rPr>
      </w:pPr>
      <w:r>
        <w:rPr>
          <w:rFonts w:hint="eastAsia" w:ascii="黑体" w:hAnsi="宋体" w:eastAsia="黑体" w:cs="黑体"/>
          <w:b/>
          <w:bCs/>
          <w:i w:val="0"/>
          <w:iCs w:val="0"/>
          <w:caps w:val="0"/>
          <w:color w:val="auto"/>
          <w:spacing w:val="0"/>
          <w:sz w:val="22"/>
          <w:szCs w:val="22"/>
        </w:rPr>
        <w:t>四、响应文件提交</w:t>
      </w:r>
      <w:r>
        <w:rPr>
          <w:rFonts w:hint="eastAsia" w:ascii="黑体" w:hAnsi="宋体" w:eastAsia="黑体" w:cs="黑体"/>
          <w:i w:val="0"/>
          <w:iCs w:val="0"/>
          <w:caps w:val="0"/>
          <w:color w:val="auto"/>
          <w:spacing w:val="0"/>
          <w:sz w:val="22"/>
          <w:szCs w:val="22"/>
        </w:rPr>
        <w:t> </w:t>
      </w:r>
    </w:p>
    <w:p w14:paraId="18BF4C3A">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jc w:val="left"/>
        <w:textAlignment w:val="auto"/>
        <w:rPr>
          <w:rFonts w:hint="default" w:ascii="Calibri" w:hAnsi="Calibri" w:cs="Calibri"/>
          <w:color w:val="auto"/>
          <w:sz w:val="22"/>
          <w:szCs w:val="22"/>
        </w:rPr>
      </w:pPr>
      <w:r>
        <w:rPr>
          <w:rFonts w:hint="eastAsia" w:ascii="仿宋" w:hAnsi="仿宋" w:eastAsia="仿宋" w:cs="仿宋"/>
          <w:i w:val="0"/>
          <w:iCs w:val="0"/>
          <w:caps w:val="0"/>
          <w:color w:val="auto"/>
          <w:spacing w:val="0"/>
          <w:sz w:val="22"/>
          <w:szCs w:val="22"/>
        </w:rPr>
        <w:t>    截止时间：</w:t>
      </w:r>
      <w:r>
        <w:rPr>
          <w:rFonts w:hint="eastAsia" w:ascii="仿宋" w:hAnsi="仿宋" w:eastAsia="仿宋" w:cs="仿宋"/>
          <w:i w:val="0"/>
          <w:iCs w:val="0"/>
          <w:caps w:val="0"/>
          <w:color w:val="auto"/>
          <w:spacing w:val="0"/>
          <w:sz w:val="22"/>
          <w:szCs w:val="22"/>
          <w:highlight w:val="none"/>
        </w:rPr>
        <w:t>202</w:t>
      </w:r>
      <w:r>
        <w:rPr>
          <w:rFonts w:hint="eastAsia" w:ascii="仿宋" w:hAnsi="仿宋" w:eastAsia="仿宋" w:cs="仿宋"/>
          <w:i w:val="0"/>
          <w:iCs w:val="0"/>
          <w:caps w:val="0"/>
          <w:color w:val="auto"/>
          <w:spacing w:val="0"/>
          <w:sz w:val="22"/>
          <w:szCs w:val="22"/>
          <w:highlight w:val="none"/>
          <w:lang w:val="en-US" w:eastAsia="zh-CN"/>
        </w:rPr>
        <w:t>5</w:t>
      </w:r>
      <w:r>
        <w:rPr>
          <w:rFonts w:hint="eastAsia" w:ascii="仿宋" w:hAnsi="仿宋" w:eastAsia="仿宋" w:cs="仿宋"/>
          <w:i w:val="0"/>
          <w:iCs w:val="0"/>
          <w:caps w:val="0"/>
          <w:color w:val="auto"/>
          <w:spacing w:val="0"/>
          <w:sz w:val="22"/>
          <w:szCs w:val="22"/>
          <w:highlight w:val="none"/>
        </w:rPr>
        <w:t>年</w:t>
      </w:r>
      <w:r>
        <w:rPr>
          <w:rFonts w:hint="eastAsia" w:ascii="仿宋" w:hAnsi="仿宋" w:eastAsia="仿宋" w:cs="仿宋"/>
          <w:i w:val="0"/>
          <w:iCs w:val="0"/>
          <w:caps w:val="0"/>
          <w:color w:val="auto"/>
          <w:spacing w:val="0"/>
          <w:sz w:val="22"/>
          <w:szCs w:val="22"/>
          <w:highlight w:val="none"/>
          <w:lang w:val="en-US" w:eastAsia="zh-CN"/>
        </w:rPr>
        <w:t>08</w:t>
      </w:r>
      <w:r>
        <w:rPr>
          <w:rFonts w:hint="eastAsia" w:ascii="仿宋" w:hAnsi="仿宋" w:eastAsia="仿宋" w:cs="仿宋"/>
          <w:i w:val="0"/>
          <w:iCs w:val="0"/>
          <w:caps w:val="0"/>
          <w:color w:val="auto"/>
          <w:spacing w:val="0"/>
          <w:sz w:val="22"/>
          <w:szCs w:val="22"/>
          <w:highlight w:val="none"/>
        </w:rPr>
        <w:t>月</w:t>
      </w:r>
      <w:r>
        <w:rPr>
          <w:rFonts w:hint="eastAsia" w:ascii="仿宋" w:hAnsi="仿宋" w:eastAsia="仿宋" w:cs="仿宋"/>
          <w:i w:val="0"/>
          <w:iCs w:val="0"/>
          <w:caps w:val="0"/>
          <w:color w:val="auto"/>
          <w:spacing w:val="0"/>
          <w:sz w:val="22"/>
          <w:szCs w:val="22"/>
          <w:highlight w:val="none"/>
          <w:lang w:val="en-US" w:eastAsia="zh-CN"/>
        </w:rPr>
        <w:t>08</w:t>
      </w:r>
      <w:r>
        <w:rPr>
          <w:rFonts w:hint="eastAsia" w:ascii="仿宋" w:hAnsi="仿宋" w:eastAsia="仿宋" w:cs="仿宋"/>
          <w:i w:val="0"/>
          <w:iCs w:val="0"/>
          <w:caps w:val="0"/>
          <w:color w:val="auto"/>
          <w:spacing w:val="0"/>
          <w:sz w:val="22"/>
          <w:szCs w:val="22"/>
          <w:highlight w:val="none"/>
        </w:rPr>
        <w:t>日</w:t>
      </w:r>
      <w:r>
        <w:rPr>
          <w:rFonts w:hint="eastAsia" w:ascii="仿宋" w:hAnsi="仿宋" w:eastAsia="仿宋" w:cs="仿宋"/>
          <w:i w:val="0"/>
          <w:iCs w:val="0"/>
          <w:caps w:val="0"/>
          <w:color w:val="auto"/>
          <w:spacing w:val="0"/>
          <w:sz w:val="22"/>
          <w:szCs w:val="22"/>
        </w:rPr>
        <w:t xml:space="preserve"> 1</w:t>
      </w:r>
      <w:r>
        <w:rPr>
          <w:rFonts w:hint="eastAsia" w:ascii="仿宋" w:hAnsi="仿宋" w:eastAsia="仿宋" w:cs="仿宋"/>
          <w:i w:val="0"/>
          <w:iCs w:val="0"/>
          <w:caps w:val="0"/>
          <w:color w:val="auto"/>
          <w:spacing w:val="0"/>
          <w:sz w:val="22"/>
          <w:szCs w:val="22"/>
          <w:lang w:val="en-US" w:eastAsia="zh-CN"/>
        </w:rPr>
        <w:t>0：3</w:t>
      </w:r>
      <w:r>
        <w:rPr>
          <w:rFonts w:hint="eastAsia" w:ascii="仿宋" w:hAnsi="仿宋" w:eastAsia="仿宋" w:cs="仿宋"/>
          <w:i w:val="0"/>
          <w:iCs w:val="0"/>
          <w:caps w:val="0"/>
          <w:color w:val="auto"/>
          <w:spacing w:val="0"/>
          <w:sz w:val="22"/>
          <w:szCs w:val="22"/>
        </w:rPr>
        <w:t>0（北京时间）</w:t>
      </w:r>
    </w:p>
    <w:p w14:paraId="64E936EC">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jc w:val="left"/>
        <w:textAlignment w:val="auto"/>
        <w:rPr>
          <w:rFonts w:hint="eastAsia" w:ascii="Calibri" w:hAnsi="Calibri" w:eastAsia="仿宋" w:cs="Calibri"/>
          <w:color w:val="auto"/>
          <w:sz w:val="22"/>
          <w:szCs w:val="22"/>
          <w:lang w:val="en-US" w:eastAsia="zh-CN"/>
        </w:rPr>
      </w:pPr>
      <w:r>
        <w:rPr>
          <w:rFonts w:hint="eastAsia" w:ascii="仿宋" w:hAnsi="仿宋" w:eastAsia="仿宋" w:cs="仿宋"/>
          <w:i w:val="0"/>
          <w:iCs w:val="0"/>
          <w:caps w:val="0"/>
          <w:color w:val="auto"/>
          <w:spacing w:val="0"/>
          <w:sz w:val="22"/>
          <w:szCs w:val="22"/>
        </w:rPr>
        <w:t>    地点：请登录政采云投标客户端投标 </w:t>
      </w:r>
      <w:r>
        <w:rPr>
          <w:rFonts w:hint="eastAsia" w:ascii="仿宋" w:hAnsi="仿宋" w:eastAsia="仿宋" w:cs="仿宋"/>
          <w:i w:val="0"/>
          <w:iCs w:val="0"/>
          <w:caps w:val="0"/>
          <w:color w:val="auto"/>
          <w:spacing w:val="0"/>
          <w:sz w:val="22"/>
          <w:szCs w:val="22"/>
          <w:lang w:val="en-US" w:eastAsia="zh-CN"/>
        </w:rPr>
        <w:t xml:space="preserve"> </w:t>
      </w:r>
    </w:p>
    <w:p w14:paraId="0476FCE1">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left="0" w:right="0" w:firstLine="0"/>
        <w:jc w:val="both"/>
        <w:textAlignment w:val="auto"/>
        <w:rPr>
          <w:rFonts w:hint="default" w:ascii="Calibri" w:hAnsi="Calibri" w:cs="Calibri"/>
          <w:color w:val="auto"/>
          <w:sz w:val="22"/>
          <w:szCs w:val="22"/>
        </w:rPr>
      </w:pPr>
      <w:r>
        <w:rPr>
          <w:rFonts w:hint="eastAsia" w:ascii="黑体" w:hAnsi="宋体" w:eastAsia="黑体" w:cs="黑体"/>
          <w:b/>
          <w:bCs/>
          <w:i w:val="0"/>
          <w:iCs w:val="0"/>
          <w:caps w:val="0"/>
          <w:color w:val="auto"/>
          <w:spacing w:val="0"/>
          <w:sz w:val="22"/>
          <w:szCs w:val="22"/>
        </w:rPr>
        <w:t>五、响应文件开启</w:t>
      </w:r>
      <w:r>
        <w:rPr>
          <w:rFonts w:hint="eastAsia" w:ascii="黑体" w:hAnsi="宋体" w:eastAsia="黑体" w:cs="黑体"/>
          <w:i w:val="0"/>
          <w:iCs w:val="0"/>
          <w:caps w:val="0"/>
          <w:color w:val="auto"/>
          <w:spacing w:val="0"/>
          <w:sz w:val="22"/>
          <w:szCs w:val="22"/>
        </w:rPr>
        <w:t> </w:t>
      </w:r>
    </w:p>
    <w:p w14:paraId="1E08C56B">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jc w:val="left"/>
        <w:textAlignment w:val="auto"/>
        <w:rPr>
          <w:rFonts w:hint="default" w:ascii="Calibri" w:hAnsi="Calibri" w:cs="Calibri"/>
          <w:color w:val="auto"/>
          <w:sz w:val="22"/>
          <w:szCs w:val="22"/>
        </w:rPr>
      </w:pPr>
      <w:r>
        <w:rPr>
          <w:rFonts w:hint="eastAsia" w:ascii="仿宋" w:hAnsi="仿宋" w:eastAsia="仿宋" w:cs="仿宋"/>
          <w:i w:val="0"/>
          <w:iCs w:val="0"/>
          <w:caps w:val="0"/>
          <w:color w:val="auto"/>
          <w:spacing w:val="0"/>
          <w:sz w:val="22"/>
          <w:szCs w:val="22"/>
        </w:rPr>
        <w:t>    开启时间：</w:t>
      </w:r>
      <w:r>
        <w:rPr>
          <w:rFonts w:hint="eastAsia" w:ascii="仿宋" w:hAnsi="仿宋" w:eastAsia="仿宋" w:cs="仿宋"/>
          <w:i w:val="0"/>
          <w:iCs w:val="0"/>
          <w:caps w:val="0"/>
          <w:color w:val="auto"/>
          <w:spacing w:val="0"/>
          <w:sz w:val="22"/>
          <w:szCs w:val="22"/>
          <w:highlight w:val="none"/>
        </w:rPr>
        <w:t>202</w:t>
      </w:r>
      <w:r>
        <w:rPr>
          <w:rFonts w:hint="eastAsia" w:ascii="仿宋" w:hAnsi="仿宋" w:eastAsia="仿宋" w:cs="仿宋"/>
          <w:i w:val="0"/>
          <w:iCs w:val="0"/>
          <w:caps w:val="0"/>
          <w:color w:val="auto"/>
          <w:spacing w:val="0"/>
          <w:sz w:val="22"/>
          <w:szCs w:val="22"/>
          <w:highlight w:val="none"/>
          <w:lang w:val="en-US" w:eastAsia="zh-CN"/>
        </w:rPr>
        <w:t>5</w:t>
      </w:r>
      <w:r>
        <w:rPr>
          <w:rFonts w:hint="eastAsia" w:ascii="仿宋" w:hAnsi="仿宋" w:eastAsia="仿宋" w:cs="仿宋"/>
          <w:i w:val="0"/>
          <w:iCs w:val="0"/>
          <w:caps w:val="0"/>
          <w:color w:val="auto"/>
          <w:spacing w:val="0"/>
          <w:sz w:val="22"/>
          <w:szCs w:val="22"/>
          <w:highlight w:val="none"/>
        </w:rPr>
        <w:t>年</w:t>
      </w:r>
      <w:r>
        <w:rPr>
          <w:rFonts w:hint="eastAsia" w:ascii="仿宋" w:hAnsi="仿宋" w:eastAsia="仿宋" w:cs="仿宋"/>
          <w:i w:val="0"/>
          <w:iCs w:val="0"/>
          <w:caps w:val="0"/>
          <w:color w:val="auto"/>
          <w:spacing w:val="0"/>
          <w:sz w:val="22"/>
          <w:szCs w:val="22"/>
          <w:highlight w:val="none"/>
          <w:lang w:val="en-US" w:eastAsia="zh-CN"/>
        </w:rPr>
        <w:t>08</w:t>
      </w:r>
      <w:r>
        <w:rPr>
          <w:rFonts w:hint="eastAsia" w:ascii="仿宋" w:hAnsi="仿宋" w:eastAsia="仿宋" w:cs="仿宋"/>
          <w:i w:val="0"/>
          <w:iCs w:val="0"/>
          <w:caps w:val="0"/>
          <w:color w:val="auto"/>
          <w:spacing w:val="0"/>
          <w:sz w:val="22"/>
          <w:szCs w:val="22"/>
          <w:highlight w:val="none"/>
        </w:rPr>
        <w:t>月</w:t>
      </w:r>
      <w:r>
        <w:rPr>
          <w:rFonts w:hint="eastAsia" w:ascii="仿宋" w:hAnsi="仿宋" w:eastAsia="仿宋" w:cs="仿宋"/>
          <w:i w:val="0"/>
          <w:iCs w:val="0"/>
          <w:caps w:val="0"/>
          <w:color w:val="auto"/>
          <w:spacing w:val="0"/>
          <w:sz w:val="22"/>
          <w:szCs w:val="22"/>
          <w:highlight w:val="none"/>
          <w:lang w:val="en-US" w:eastAsia="zh-CN"/>
        </w:rPr>
        <w:t>08</w:t>
      </w:r>
      <w:r>
        <w:rPr>
          <w:rFonts w:hint="eastAsia" w:ascii="仿宋" w:hAnsi="仿宋" w:eastAsia="仿宋" w:cs="仿宋"/>
          <w:i w:val="0"/>
          <w:iCs w:val="0"/>
          <w:caps w:val="0"/>
          <w:color w:val="auto"/>
          <w:spacing w:val="0"/>
          <w:sz w:val="22"/>
          <w:szCs w:val="22"/>
        </w:rPr>
        <w:t>日 1</w:t>
      </w:r>
      <w:r>
        <w:rPr>
          <w:rFonts w:hint="eastAsia" w:ascii="仿宋" w:hAnsi="仿宋" w:eastAsia="仿宋" w:cs="仿宋"/>
          <w:i w:val="0"/>
          <w:iCs w:val="0"/>
          <w:caps w:val="0"/>
          <w:color w:val="auto"/>
          <w:spacing w:val="0"/>
          <w:sz w:val="22"/>
          <w:szCs w:val="22"/>
          <w:lang w:val="en-US" w:eastAsia="zh-CN"/>
        </w:rPr>
        <w:t>0：3</w:t>
      </w:r>
      <w:r>
        <w:rPr>
          <w:rFonts w:hint="eastAsia" w:ascii="仿宋" w:hAnsi="仿宋" w:eastAsia="仿宋" w:cs="仿宋"/>
          <w:i w:val="0"/>
          <w:iCs w:val="0"/>
          <w:caps w:val="0"/>
          <w:color w:val="auto"/>
          <w:spacing w:val="0"/>
          <w:sz w:val="22"/>
          <w:szCs w:val="22"/>
        </w:rPr>
        <w:t>0 （北京时间）</w:t>
      </w:r>
    </w:p>
    <w:p w14:paraId="4E7BBCDD">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jc w:val="left"/>
        <w:textAlignment w:val="auto"/>
        <w:rPr>
          <w:rFonts w:hint="default" w:ascii="Calibri" w:hAnsi="Calibri" w:cs="Calibri"/>
          <w:sz w:val="22"/>
          <w:szCs w:val="22"/>
        </w:rPr>
      </w:pPr>
      <w:r>
        <w:rPr>
          <w:rFonts w:hint="eastAsia" w:ascii="仿宋" w:hAnsi="仿宋" w:eastAsia="仿宋" w:cs="仿宋"/>
          <w:i w:val="0"/>
          <w:iCs w:val="0"/>
          <w:caps w:val="0"/>
          <w:color w:val="auto"/>
          <w:spacing w:val="0"/>
          <w:sz w:val="22"/>
          <w:szCs w:val="22"/>
        </w:rPr>
        <w:t>    地点：</w:t>
      </w:r>
      <w:r>
        <w:rPr>
          <w:rFonts w:hint="eastAsia" w:ascii="仿宋" w:hAnsi="仿宋" w:eastAsia="仿宋" w:cs="仿宋"/>
          <w:i w:val="0"/>
          <w:iCs w:val="0"/>
          <w:caps w:val="0"/>
          <w:color w:val="auto"/>
          <w:spacing w:val="0"/>
          <w:sz w:val="22"/>
          <w:szCs w:val="22"/>
          <w:lang w:val="en-US" w:eastAsia="zh-CN"/>
        </w:rPr>
        <w:t>投标人登录政采云平台https://www.zcygov.cn/，进入</w:t>
      </w:r>
      <w:r>
        <w:rPr>
          <w:rFonts w:hint="eastAsia" w:ascii="仿宋" w:hAnsi="仿宋" w:eastAsia="仿宋" w:cs="仿宋"/>
          <w:i w:val="0"/>
          <w:iCs w:val="0"/>
          <w:caps w:val="0"/>
          <w:color w:val="000000"/>
          <w:spacing w:val="0"/>
          <w:sz w:val="22"/>
          <w:szCs w:val="22"/>
          <w:lang w:val="en-US" w:eastAsia="zh-CN"/>
        </w:rPr>
        <w:t>“项目采购-开标评标-右边选择对应项目点击“进入项目”进入开标大厅。 </w:t>
      </w:r>
    </w:p>
    <w:p w14:paraId="41DF0514">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left="0" w:right="0" w:firstLine="0"/>
        <w:jc w:val="both"/>
        <w:textAlignment w:val="auto"/>
        <w:rPr>
          <w:rFonts w:hint="default" w:ascii="Calibri" w:hAnsi="Calibri" w:cs="Calibri"/>
          <w:sz w:val="22"/>
          <w:szCs w:val="22"/>
        </w:rPr>
      </w:pPr>
      <w:r>
        <w:rPr>
          <w:rFonts w:hint="eastAsia" w:ascii="黑体" w:hAnsi="宋体" w:eastAsia="黑体" w:cs="黑体"/>
          <w:b/>
          <w:bCs/>
          <w:i w:val="0"/>
          <w:iCs w:val="0"/>
          <w:caps w:val="0"/>
          <w:color w:val="000000"/>
          <w:spacing w:val="0"/>
          <w:sz w:val="22"/>
          <w:szCs w:val="22"/>
        </w:rPr>
        <w:t>六、公告期限</w:t>
      </w:r>
    </w:p>
    <w:p w14:paraId="0D7DF52C">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326"/>
        <w:jc w:val="left"/>
        <w:textAlignment w:val="auto"/>
        <w:rPr>
          <w:rFonts w:hint="default" w:ascii="Calibri" w:hAnsi="Calibri" w:cs="Calibri"/>
          <w:sz w:val="22"/>
          <w:szCs w:val="22"/>
        </w:rPr>
      </w:pPr>
      <w:r>
        <w:rPr>
          <w:rFonts w:hint="eastAsia" w:ascii="仿宋" w:hAnsi="仿宋" w:eastAsia="仿宋" w:cs="仿宋"/>
          <w:i w:val="0"/>
          <w:iCs w:val="0"/>
          <w:caps w:val="0"/>
          <w:color w:val="000000"/>
          <w:spacing w:val="0"/>
          <w:sz w:val="22"/>
          <w:szCs w:val="22"/>
        </w:rPr>
        <w:t>自本公告发布之日起3个工作日。</w:t>
      </w:r>
    </w:p>
    <w:p w14:paraId="46417DD6">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left="0" w:right="0" w:firstLine="0"/>
        <w:jc w:val="both"/>
        <w:textAlignment w:val="auto"/>
        <w:rPr>
          <w:rFonts w:hint="default" w:ascii="Calibri" w:hAnsi="Calibri" w:cs="Calibri"/>
          <w:sz w:val="22"/>
          <w:szCs w:val="22"/>
        </w:rPr>
      </w:pPr>
      <w:r>
        <w:rPr>
          <w:rFonts w:hint="eastAsia" w:ascii="黑体" w:hAnsi="宋体" w:eastAsia="黑体" w:cs="黑体"/>
          <w:b/>
          <w:bCs/>
          <w:i w:val="0"/>
          <w:iCs w:val="0"/>
          <w:caps w:val="0"/>
          <w:color w:val="000000"/>
          <w:spacing w:val="0"/>
          <w:sz w:val="22"/>
          <w:szCs w:val="22"/>
        </w:rPr>
        <w:t>七、其他补充事宜</w:t>
      </w:r>
      <w:r>
        <w:rPr>
          <w:rFonts w:hint="eastAsia" w:ascii="黑体" w:hAnsi="宋体" w:eastAsia="黑体" w:cs="黑体"/>
          <w:i w:val="0"/>
          <w:iCs w:val="0"/>
          <w:caps w:val="0"/>
          <w:color w:val="000000"/>
          <w:spacing w:val="0"/>
          <w:sz w:val="22"/>
          <w:szCs w:val="22"/>
        </w:rPr>
        <w:t> </w:t>
      </w:r>
    </w:p>
    <w:p w14:paraId="7DD0FBFE">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223" w:firstLineChars="10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1、本项目实行网上投标，采用电子投标文件。</w:t>
      </w:r>
    </w:p>
    <w:p w14:paraId="61A4250E">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223" w:firstLineChars="10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p>
    <w:p w14:paraId="3F891944">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223" w:firstLineChars="10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3、供应商将政采云电子交易客户端下载、安装完成后，可通过账号密码或CA登录客户端进行投标文件的制作。在使用政采云投标客户端时，建议使用WIN7及以上操作系统。</w:t>
      </w:r>
    </w:p>
    <w:p w14:paraId="7B7C3B22">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223" w:firstLineChars="10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4、其他事项： /</w:t>
      </w:r>
    </w:p>
    <w:p w14:paraId="2C9CEFD6">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left="0" w:right="0" w:firstLine="0"/>
        <w:jc w:val="both"/>
        <w:textAlignment w:val="auto"/>
        <w:rPr>
          <w:rFonts w:hint="default" w:ascii="黑体" w:hAnsi="宋体" w:eastAsia="黑体" w:cs="黑体"/>
          <w:b/>
          <w:bCs/>
          <w:i w:val="0"/>
          <w:iCs w:val="0"/>
          <w:caps w:val="0"/>
          <w:color w:val="000000"/>
          <w:spacing w:val="0"/>
          <w:sz w:val="22"/>
          <w:szCs w:val="22"/>
        </w:rPr>
      </w:pPr>
      <w:r>
        <w:rPr>
          <w:rFonts w:hint="eastAsia" w:ascii="黑体" w:hAnsi="宋体" w:eastAsia="黑体" w:cs="黑体"/>
          <w:b/>
          <w:bCs/>
          <w:i w:val="0"/>
          <w:iCs w:val="0"/>
          <w:caps w:val="0"/>
          <w:color w:val="000000"/>
          <w:spacing w:val="0"/>
          <w:sz w:val="22"/>
          <w:szCs w:val="22"/>
        </w:rPr>
        <w:t>八、凡对本次招标提出询问，请按以下方式联系</w:t>
      </w:r>
    </w:p>
    <w:p w14:paraId="51FE5C5D">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223" w:firstLineChars="10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1.采购人信息</w:t>
      </w:r>
    </w:p>
    <w:p w14:paraId="529D8546">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223" w:firstLineChars="10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名 称：克孜勒苏柯尔克孜自治州质量与计量检验检测中心</w:t>
      </w:r>
    </w:p>
    <w:p w14:paraId="5C9A3817">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223" w:firstLineChars="10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地 址：阿图什市</w:t>
      </w:r>
    </w:p>
    <w:p w14:paraId="2B4CEB76">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223" w:firstLineChars="10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联系方式：19990981116</w:t>
      </w:r>
    </w:p>
    <w:p w14:paraId="36B11825">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right="0" w:firstLine="223" w:firstLineChars="10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2.采购代理机构信息</w:t>
      </w:r>
    </w:p>
    <w:p w14:paraId="720D0F58">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223" w:firstLineChars="10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名 称：新疆西极项目管理有限公司</w:t>
      </w:r>
    </w:p>
    <w:p w14:paraId="62F9318A">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223" w:firstLineChars="10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地 址：新疆克州阿图什市松他克镇亚喀巴格村99号2单元201室</w:t>
      </w:r>
    </w:p>
    <w:p w14:paraId="3EA84D93">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223" w:firstLineChars="100"/>
        <w:jc w:val="left"/>
        <w:textAlignment w:val="auto"/>
        <w:rPr>
          <w:rFonts w:hint="default"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联系方式：18809085988</w:t>
      </w:r>
    </w:p>
    <w:p w14:paraId="48E4842C">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right="0" w:firstLine="223" w:firstLineChars="10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3.项目联系方式</w:t>
      </w:r>
    </w:p>
    <w:p w14:paraId="1435D5A2">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223" w:firstLineChars="100"/>
        <w:jc w:val="left"/>
        <w:textAlignment w:val="auto"/>
        <w:rPr>
          <w:rFonts w:hint="eastAsia"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项目联系人：王先生</w:t>
      </w:r>
    </w:p>
    <w:p w14:paraId="7F00653C">
      <w:pPr>
        <w:pStyle w:val="2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440" w:lineRule="exact"/>
        <w:ind w:left="0" w:right="0" w:firstLine="223" w:firstLineChars="100"/>
        <w:jc w:val="left"/>
        <w:textAlignment w:val="auto"/>
        <w:rPr>
          <w:rFonts w:hint="default" w:ascii="仿宋" w:hAnsi="仿宋" w:eastAsia="仿宋" w:cs="仿宋"/>
          <w:i w:val="0"/>
          <w:iCs w:val="0"/>
          <w:caps w:val="0"/>
          <w:color w:val="000000"/>
          <w:spacing w:val="0"/>
          <w:sz w:val="22"/>
          <w:szCs w:val="22"/>
          <w:lang w:val="en-US" w:eastAsia="zh-CN"/>
        </w:rPr>
      </w:pPr>
      <w:r>
        <w:rPr>
          <w:rFonts w:hint="eastAsia" w:ascii="仿宋" w:hAnsi="仿宋" w:eastAsia="仿宋" w:cs="仿宋"/>
          <w:i w:val="0"/>
          <w:iCs w:val="0"/>
          <w:caps w:val="0"/>
          <w:color w:val="000000"/>
          <w:spacing w:val="0"/>
          <w:sz w:val="22"/>
          <w:szCs w:val="22"/>
          <w:lang w:val="en-US" w:eastAsia="zh-CN"/>
        </w:rPr>
        <w:t>电 话：18809085988</w:t>
      </w:r>
    </w:p>
    <w:p w14:paraId="70C66C51">
      <w:pPr>
        <w:pStyle w:val="25"/>
        <w:keepNext w:val="0"/>
        <w:keepLines w:val="0"/>
        <w:widowControl/>
        <w:suppressLineNumbers w:val="0"/>
        <w:wordWrap w:val="0"/>
        <w:spacing w:before="75" w:beforeAutospacing="0" w:after="75" w:afterAutospacing="0"/>
        <w:ind w:left="0" w:right="0" w:firstLine="420"/>
        <w:rPr>
          <w:rStyle w:val="43"/>
          <w:rFonts w:hint="eastAsia" w:asciiTheme="majorEastAsia" w:hAnsiTheme="majorEastAsia" w:eastAsiaTheme="majorEastAsia" w:cstheme="majorEastAsia"/>
          <w:sz w:val="27"/>
          <w:szCs w:val="27"/>
          <w:highlight w:val="none"/>
          <w:lang w:val="en-US" w:eastAsia="zh-CN"/>
        </w:rPr>
      </w:pPr>
    </w:p>
    <w:p w14:paraId="6759D181">
      <w:pPr>
        <w:pStyle w:val="25"/>
        <w:keepNext w:val="0"/>
        <w:keepLines w:val="0"/>
        <w:widowControl/>
        <w:suppressLineNumbers w:val="0"/>
        <w:wordWrap w:val="0"/>
        <w:spacing w:before="75" w:beforeAutospacing="0" w:after="75" w:afterAutospacing="0"/>
        <w:ind w:left="0" w:right="0" w:firstLine="420"/>
        <w:rPr>
          <w:rStyle w:val="43"/>
          <w:rFonts w:hint="eastAsia" w:asciiTheme="majorEastAsia" w:hAnsiTheme="majorEastAsia" w:eastAsiaTheme="majorEastAsia" w:cstheme="majorEastAsia"/>
          <w:sz w:val="27"/>
          <w:szCs w:val="27"/>
          <w:highlight w:val="none"/>
          <w:lang w:val="en-US" w:eastAsia="zh-CN"/>
        </w:rPr>
      </w:pPr>
    </w:p>
    <w:p w14:paraId="3F5A3060">
      <w:pPr>
        <w:numPr>
          <w:ilvl w:val="0"/>
          <w:numId w:val="0"/>
        </w:numPr>
        <w:shd w:val="clear" w:color="auto" w:fill="auto"/>
        <w:spacing w:line="500" w:lineRule="exact"/>
        <w:ind w:left="-1816" w:leftChars="0" w:firstLine="3520" w:firstLineChars="0"/>
        <w:jc w:val="center"/>
        <w:outlineLvl w:val="0"/>
        <w:rPr>
          <w:rFonts w:hint="eastAsia" w:asciiTheme="majorEastAsia" w:hAnsiTheme="majorEastAsia" w:eastAsiaTheme="majorEastAsia" w:cstheme="majorEastAsia"/>
          <w:b/>
          <w:color w:val="auto"/>
          <w:kern w:val="2"/>
          <w:sz w:val="32"/>
          <w:szCs w:val="32"/>
          <w:lang w:val="en-US" w:eastAsia="zh-CN" w:bidi="ar-SA"/>
        </w:rPr>
      </w:pPr>
    </w:p>
    <w:p w14:paraId="7C6DEF8F">
      <w:pPr>
        <w:numPr>
          <w:ilvl w:val="0"/>
          <w:numId w:val="0"/>
        </w:numPr>
        <w:shd w:val="clear" w:color="auto" w:fill="auto"/>
        <w:spacing w:line="500" w:lineRule="exact"/>
        <w:ind w:left="-1816" w:leftChars="0" w:firstLine="3520" w:firstLineChars="0"/>
        <w:jc w:val="center"/>
        <w:outlineLvl w:val="0"/>
        <w:rPr>
          <w:rFonts w:hint="eastAsia" w:asciiTheme="majorEastAsia" w:hAnsiTheme="majorEastAsia" w:eastAsiaTheme="majorEastAsia" w:cstheme="majorEastAsia"/>
          <w:b/>
          <w:color w:val="auto"/>
          <w:sz w:val="32"/>
          <w:szCs w:val="32"/>
          <w:highlight w:val="none"/>
        </w:rPr>
      </w:pPr>
      <w:r>
        <w:rPr>
          <w:rFonts w:hint="eastAsia" w:asciiTheme="majorEastAsia" w:hAnsiTheme="majorEastAsia" w:eastAsiaTheme="majorEastAsia" w:cstheme="majorEastAsia"/>
          <w:b/>
          <w:color w:val="auto"/>
          <w:kern w:val="2"/>
          <w:sz w:val="32"/>
          <w:szCs w:val="32"/>
          <w:lang w:val="en-US" w:eastAsia="zh-CN" w:bidi="ar-SA"/>
        </w:rPr>
        <w:t>第二章</w:t>
      </w:r>
      <w:r>
        <w:rPr>
          <w:rFonts w:hint="eastAsia" w:asciiTheme="majorEastAsia" w:hAnsiTheme="majorEastAsia" w:eastAsiaTheme="majorEastAsia" w:cstheme="majorEastAsia"/>
          <w:b/>
          <w:color w:val="auto"/>
          <w:sz w:val="32"/>
          <w:szCs w:val="32"/>
          <w:highlight w:val="none"/>
        </w:rPr>
        <w:t>投标人须知</w:t>
      </w:r>
      <w:bookmarkStart w:id="1" w:name="_Toc469495722"/>
    </w:p>
    <w:p w14:paraId="63C09C84">
      <w:pPr>
        <w:numPr>
          <w:ilvl w:val="0"/>
          <w:numId w:val="3"/>
        </w:numPr>
        <w:shd w:val="clear" w:color="auto" w:fill="auto"/>
        <w:spacing w:line="500" w:lineRule="exact"/>
        <w:ind w:left="0" w:leftChars="0" w:firstLine="3520" w:firstLineChars="0"/>
        <w:jc w:val="both"/>
        <w:outlineLvl w:val="0"/>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b/>
          <w:color w:val="auto"/>
          <w:sz w:val="28"/>
          <w:szCs w:val="28"/>
          <w:highlight w:val="none"/>
        </w:rPr>
        <w:t>投标人须知前附表</w:t>
      </w:r>
      <w:bookmarkEnd w:id="1"/>
    </w:p>
    <w:bookmarkEnd w:id="0"/>
    <w:tbl>
      <w:tblPr>
        <w:tblStyle w:val="28"/>
        <w:tblW w:w="9409"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894"/>
        <w:gridCol w:w="1402"/>
        <w:gridCol w:w="7113"/>
      </w:tblGrid>
      <w:tr w14:paraId="29DD87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 w:hRule="atLeast"/>
          <w:jc w:val="center"/>
        </w:trPr>
        <w:tc>
          <w:tcPr>
            <w:tcW w:w="894" w:type="dxa"/>
            <w:noWrap w:val="0"/>
            <w:vAlign w:val="center"/>
          </w:tcPr>
          <w:p w14:paraId="2E59D13C">
            <w:pPr>
              <w:pStyle w:val="15"/>
              <w:keepNext w:val="0"/>
              <w:keepLines w:val="0"/>
              <w:pageBreakBefore w:val="0"/>
              <w:shd w:val="clear" w:color="auto" w:fill="auto"/>
              <w:kinsoku/>
              <w:wordWrap/>
              <w:overflowPunct/>
              <w:topLinePunct w:val="0"/>
              <w:autoSpaceDE/>
              <w:autoSpaceDN/>
              <w:bidi w:val="0"/>
              <w:adjustRightInd/>
              <w:snapToGrid w:val="0"/>
              <w:spacing w:line="360" w:lineRule="exact"/>
              <w:ind w:left="-95" w:leftChars="-45" w:right="-83" w:rightChars="-39"/>
              <w:jc w:val="center"/>
              <w:textAlignment w:val="auto"/>
              <w:outlineLvl w:val="9"/>
              <w:rPr>
                <w:rFonts w:hint="eastAsia" w:asciiTheme="majorEastAsia" w:hAnsiTheme="majorEastAsia" w:eastAsiaTheme="majorEastAsia" w:cstheme="majorEastAsia"/>
                <w:b/>
                <w:color w:val="auto"/>
                <w:sz w:val="21"/>
                <w:szCs w:val="21"/>
                <w:highlight w:val="none"/>
                <w:lang w:val="en-US" w:eastAsia="zh-CN"/>
              </w:rPr>
            </w:pPr>
            <w:bookmarkStart w:id="2" w:name="OLE_LINK4"/>
            <w:r>
              <w:rPr>
                <w:rFonts w:hint="eastAsia" w:asciiTheme="majorEastAsia" w:hAnsiTheme="majorEastAsia" w:eastAsiaTheme="majorEastAsia" w:cstheme="majorEastAsia"/>
                <w:b/>
                <w:color w:val="auto"/>
                <w:sz w:val="21"/>
                <w:szCs w:val="21"/>
                <w:highlight w:val="none"/>
                <w:lang w:val="en-US" w:eastAsia="zh-CN"/>
              </w:rPr>
              <w:t>条款号</w:t>
            </w:r>
          </w:p>
        </w:tc>
        <w:tc>
          <w:tcPr>
            <w:tcW w:w="1402" w:type="dxa"/>
            <w:noWrap w:val="0"/>
            <w:vAlign w:val="center"/>
          </w:tcPr>
          <w:p w14:paraId="7F3CAD95">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b/>
                <w:color w:val="auto"/>
                <w:sz w:val="21"/>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内容</w:t>
            </w:r>
          </w:p>
        </w:tc>
        <w:tc>
          <w:tcPr>
            <w:tcW w:w="7113" w:type="dxa"/>
            <w:noWrap w:val="0"/>
            <w:vAlign w:val="center"/>
          </w:tcPr>
          <w:p w14:paraId="61054AC0">
            <w:pPr>
              <w:pStyle w:val="15"/>
              <w:keepNext w:val="0"/>
              <w:keepLines w:val="0"/>
              <w:pageBreakBefore w:val="0"/>
              <w:shd w:val="clear" w:color="auto" w:fill="auto"/>
              <w:kinsoku/>
              <w:wordWrap/>
              <w:overflowPunct/>
              <w:topLinePunct w:val="0"/>
              <w:autoSpaceDE/>
              <w:autoSpaceDN/>
              <w:bidi w:val="0"/>
              <w:adjustRightInd/>
              <w:snapToGrid w:val="0"/>
              <w:spacing w:line="360" w:lineRule="exact"/>
              <w:ind w:firstLine="2130" w:firstLineChars="1000"/>
              <w:jc w:val="both"/>
              <w:textAlignment w:val="auto"/>
              <w:outlineLvl w:val="9"/>
              <w:rPr>
                <w:rFonts w:hint="eastAsia" w:asciiTheme="majorEastAsia" w:hAnsiTheme="majorEastAsia" w:eastAsiaTheme="majorEastAsia" w:cstheme="majorEastAsia"/>
                <w:b/>
                <w:color w:val="auto"/>
                <w:sz w:val="21"/>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说明与要求</w:t>
            </w:r>
          </w:p>
        </w:tc>
      </w:tr>
      <w:tr w14:paraId="3B9F68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9" w:hRule="atLeast"/>
          <w:jc w:val="center"/>
        </w:trPr>
        <w:tc>
          <w:tcPr>
            <w:tcW w:w="894" w:type="dxa"/>
            <w:noWrap w:val="0"/>
            <w:vAlign w:val="center"/>
          </w:tcPr>
          <w:p w14:paraId="1D1C2F88">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t>1</w:t>
            </w:r>
          </w:p>
        </w:tc>
        <w:tc>
          <w:tcPr>
            <w:tcW w:w="1402" w:type="dxa"/>
            <w:noWrap w:val="0"/>
            <w:vAlign w:val="center"/>
          </w:tcPr>
          <w:p w14:paraId="16A5E0ED">
            <w:pPr>
              <w:keepNext w:val="0"/>
              <w:keepLines w:val="0"/>
              <w:pageBreakBefore w:val="0"/>
              <w:widowControl/>
              <w:shd w:val="clear" w:color="auto" w:fill="auto"/>
              <w:kinsoku/>
              <w:wordWrap/>
              <w:overflowPunct/>
              <w:topLinePunct w:val="0"/>
              <w:autoSpaceDE/>
              <w:autoSpaceDN/>
              <w:bidi w:val="0"/>
              <w:adjustRightInd/>
              <w:snapToGrid/>
              <w:spacing w:line="360" w:lineRule="exact"/>
              <w:jc w:val="center"/>
              <w:textAlignment w:val="auto"/>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采购人</w:t>
            </w:r>
            <w:r>
              <w:rPr>
                <w:rFonts w:hint="eastAsia" w:asciiTheme="majorEastAsia" w:hAnsiTheme="majorEastAsia" w:eastAsiaTheme="majorEastAsia" w:cstheme="majorEastAsia"/>
                <w:color w:val="auto"/>
                <w:sz w:val="21"/>
                <w:szCs w:val="21"/>
                <w:highlight w:val="none"/>
                <w:lang w:eastAsia="zh-CN"/>
              </w:rPr>
              <w:t>信</w:t>
            </w:r>
            <w:r>
              <w:rPr>
                <w:rFonts w:hint="eastAsia" w:asciiTheme="majorEastAsia" w:hAnsiTheme="majorEastAsia" w:eastAsiaTheme="majorEastAsia" w:cstheme="majorEastAsia"/>
                <w:color w:val="auto"/>
                <w:sz w:val="21"/>
                <w:szCs w:val="21"/>
                <w:highlight w:val="none"/>
              </w:rPr>
              <w:t>息</w:t>
            </w:r>
          </w:p>
        </w:tc>
        <w:tc>
          <w:tcPr>
            <w:tcW w:w="7113" w:type="dxa"/>
            <w:noWrap w:val="0"/>
            <w:vAlign w:val="center"/>
          </w:tcPr>
          <w:p w14:paraId="40D368D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ajorEastAsia" w:hAnsiTheme="majorEastAsia" w:eastAsiaTheme="majorEastAsia" w:cstheme="majorEastAsia"/>
                <w:kern w:val="2"/>
                <w:sz w:val="21"/>
                <w:szCs w:val="21"/>
                <w:highlight w:val="none"/>
                <w:lang w:val="en-US" w:eastAsia="zh-CN" w:bidi="ar-SA"/>
              </w:rPr>
            </w:pPr>
            <w:r>
              <w:rPr>
                <w:rFonts w:hint="eastAsia" w:asciiTheme="majorEastAsia" w:hAnsiTheme="majorEastAsia" w:eastAsiaTheme="majorEastAsia" w:cstheme="majorEastAsia"/>
                <w:kern w:val="2"/>
                <w:sz w:val="21"/>
                <w:szCs w:val="21"/>
                <w:highlight w:val="none"/>
                <w:lang w:val="en-US" w:eastAsia="zh-CN" w:bidi="ar-SA"/>
              </w:rPr>
              <w:t>采购单位：克孜勒苏柯尔克孜自治州质量与计量检验检测中心</w:t>
            </w:r>
          </w:p>
          <w:p w14:paraId="4E8132B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b w:val="0"/>
                <w:bCs/>
                <w:sz w:val="21"/>
                <w:szCs w:val="21"/>
                <w:lang w:val="en-US" w:eastAsia="zh-CN"/>
              </w:rPr>
            </w:pPr>
            <w:r>
              <w:rPr>
                <w:rFonts w:hint="eastAsia"/>
                <w:b w:val="0"/>
                <w:bCs/>
                <w:sz w:val="21"/>
                <w:szCs w:val="21"/>
                <w:lang w:val="en-US" w:eastAsia="zh-CN"/>
              </w:rPr>
              <w:t>地    址：</w:t>
            </w:r>
            <w:r>
              <w:rPr>
                <w:rFonts w:hint="eastAsia" w:cs="Times New Roman"/>
                <w:b w:val="0"/>
                <w:bCs/>
                <w:sz w:val="21"/>
                <w:szCs w:val="21"/>
                <w:lang w:val="en-US" w:eastAsia="zh-CN"/>
              </w:rPr>
              <w:t>阿图什市</w:t>
            </w:r>
          </w:p>
          <w:p w14:paraId="1E8D9BB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ajorEastAsia" w:hAnsiTheme="majorEastAsia" w:eastAsiaTheme="majorEastAsia" w:cstheme="majorEastAsia"/>
                <w:kern w:val="2"/>
                <w:sz w:val="21"/>
                <w:szCs w:val="21"/>
                <w:highlight w:val="none"/>
                <w:lang w:val="en-US" w:eastAsia="zh-CN" w:bidi="ar-SA"/>
              </w:rPr>
            </w:pPr>
            <w:r>
              <w:rPr>
                <w:rFonts w:hint="eastAsia" w:asciiTheme="majorEastAsia" w:hAnsiTheme="majorEastAsia" w:eastAsiaTheme="majorEastAsia" w:cstheme="majorEastAsia"/>
                <w:kern w:val="2"/>
                <w:sz w:val="21"/>
                <w:szCs w:val="21"/>
                <w:highlight w:val="none"/>
                <w:lang w:val="en-US" w:eastAsia="zh-CN" w:bidi="ar-SA"/>
              </w:rPr>
              <w:t>联 系 人：</w:t>
            </w:r>
            <w:r>
              <w:rPr>
                <w:rFonts w:hint="eastAsia"/>
                <w:b w:val="0"/>
                <w:bCs/>
                <w:sz w:val="21"/>
                <w:szCs w:val="21"/>
                <w:lang w:val="en-US" w:eastAsia="zh-CN"/>
              </w:rPr>
              <w:t xml:space="preserve"> 依先生</w:t>
            </w:r>
            <w:r>
              <w:rPr>
                <w:rFonts w:hint="eastAsia" w:asciiTheme="majorEastAsia" w:hAnsiTheme="majorEastAsia" w:eastAsiaTheme="majorEastAsia" w:cstheme="majorEastAsia"/>
                <w:kern w:val="2"/>
                <w:sz w:val="21"/>
                <w:szCs w:val="21"/>
                <w:highlight w:val="none"/>
                <w:lang w:val="en-US" w:eastAsia="zh-CN" w:bidi="ar-SA"/>
              </w:rPr>
              <w:t xml:space="preserve">      联系电话： 19990981116</w:t>
            </w:r>
          </w:p>
        </w:tc>
      </w:tr>
      <w:tr w14:paraId="1CB7AB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359" w:hRule="atLeast"/>
          <w:jc w:val="center"/>
        </w:trPr>
        <w:tc>
          <w:tcPr>
            <w:tcW w:w="894" w:type="dxa"/>
            <w:noWrap w:val="0"/>
            <w:vAlign w:val="center"/>
          </w:tcPr>
          <w:p w14:paraId="2A501342">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t>2</w:t>
            </w:r>
          </w:p>
        </w:tc>
        <w:tc>
          <w:tcPr>
            <w:tcW w:w="1402" w:type="dxa"/>
            <w:noWrap w:val="0"/>
            <w:vAlign w:val="center"/>
          </w:tcPr>
          <w:p w14:paraId="36CC1FE5">
            <w:pPr>
              <w:keepNext w:val="0"/>
              <w:keepLines w:val="0"/>
              <w:pageBreakBefore w:val="0"/>
              <w:widowControl/>
              <w:shd w:val="clear" w:color="auto" w:fill="auto"/>
              <w:kinsoku/>
              <w:wordWrap/>
              <w:overflowPunct/>
              <w:topLinePunct w:val="0"/>
              <w:autoSpaceDE/>
              <w:autoSpaceDN/>
              <w:bidi w:val="0"/>
              <w:adjustRightInd/>
              <w:snapToGrid/>
              <w:spacing w:line="360" w:lineRule="exact"/>
              <w:jc w:val="center"/>
              <w:textAlignment w:val="auto"/>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rPr>
              <w:t>采购代理机构</w:t>
            </w:r>
          </w:p>
        </w:tc>
        <w:tc>
          <w:tcPr>
            <w:tcW w:w="7113" w:type="dxa"/>
            <w:noWrap w:val="0"/>
            <w:vAlign w:val="center"/>
          </w:tcPr>
          <w:p w14:paraId="4E4C9E9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ajorEastAsia" w:hAnsiTheme="majorEastAsia" w:eastAsiaTheme="majorEastAsia" w:cstheme="majorEastAsia"/>
                <w:kern w:val="2"/>
                <w:sz w:val="21"/>
                <w:szCs w:val="21"/>
                <w:highlight w:val="none"/>
                <w:lang w:val="en-US" w:eastAsia="zh-CN" w:bidi="ar-SA"/>
              </w:rPr>
            </w:pPr>
            <w:r>
              <w:rPr>
                <w:rFonts w:hint="eastAsia" w:asciiTheme="majorEastAsia" w:hAnsiTheme="majorEastAsia" w:eastAsiaTheme="majorEastAsia" w:cstheme="majorEastAsia"/>
                <w:kern w:val="2"/>
                <w:sz w:val="21"/>
                <w:szCs w:val="21"/>
                <w:highlight w:val="none"/>
                <w:lang w:val="en-US" w:eastAsia="zh-CN" w:bidi="ar-SA"/>
              </w:rPr>
              <w:t>名  称：新疆西极项目管理有限公司</w:t>
            </w:r>
          </w:p>
          <w:p w14:paraId="4205908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ajorEastAsia" w:hAnsiTheme="majorEastAsia" w:eastAsiaTheme="majorEastAsia" w:cstheme="majorEastAsia"/>
                <w:kern w:val="2"/>
                <w:sz w:val="21"/>
                <w:szCs w:val="21"/>
                <w:highlight w:val="none"/>
                <w:lang w:val="en-US" w:eastAsia="zh-CN" w:bidi="ar-SA"/>
              </w:rPr>
            </w:pPr>
            <w:r>
              <w:rPr>
                <w:rFonts w:hint="eastAsia" w:asciiTheme="majorEastAsia" w:hAnsiTheme="majorEastAsia" w:eastAsiaTheme="majorEastAsia" w:cstheme="majorEastAsia"/>
                <w:kern w:val="2"/>
                <w:sz w:val="21"/>
                <w:szCs w:val="21"/>
                <w:highlight w:val="none"/>
                <w:lang w:val="en-US" w:eastAsia="zh-CN" w:bidi="ar-SA"/>
              </w:rPr>
              <w:t>地  址：新疆克州阿图什市松他克镇亚喀巴格村99号2单元201室</w:t>
            </w:r>
          </w:p>
          <w:p w14:paraId="2923BDC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ajorEastAsia" w:hAnsiTheme="majorEastAsia" w:eastAsiaTheme="majorEastAsia" w:cstheme="majorEastAsia"/>
                <w:kern w:val="2"/>
                <w:sz w:val="21"/>
                <w:szCs w:val="21"/>
                <w:highlight w:val="none"/>
                <w:lang w:val="en-US" w:eastAsia="zh-CN" w:bidi="ar-SA"/>
              </w:rPr>
            </w:pPr>
            <w:r>
              <w:rPr>
                <w:rFonts w:hint="eastAsia" w:asciiTheme="majorEastAsia" w:hAnsiTheme="majorEastAsia" w:eastAsiaTheme="majorEastAsia" w:cstheme="majorEastAsia"/>
                <w:kern w:val="2"/>
                <w:sz w:val="21"/>
                <w:szCs w:val="21"/>
                <w:highlight w:val="none"/>
                <w:lang w:val="en-US" w:eastAsia="zh-CN" w:bidi="ar-SA"/>
              </w:rPr>
              <w:t>联系人：王先生      联系电话：18809085988</w:t>
            </w:r>
          </w:p>
        </w:tc>
      </w:tr>
      <w:tr w14:paraId="2ECC8F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894" w:type="dxa"/>
            <w:noWrap w:val="0"/>
            <w:vAlign w:val="center"/>
          </w:tcPr>
          <w:p w14:paraId="3C6F7F68">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t>3</w:t>
            </w:r>
          </w:p>
        </w:tc>
        <w:tc>
          <w:tcPr>
            <w:tcW w:w="1402" w:type="dxa"/>
            <w:noWrap w:val="0"/>
            <w:vAlign w:val="center"/>
          </w:tcPr>
          <w:p w14:paraId="7038A3FD">
            <w:pPr>
              <w:pStyle w:val="25"/>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exact"/>
              <w:ind w:right="0"/>
              <w:jc w:val="center"/>
              <w:textAlignment w:val="auto"/>
              <w:rPr>
                <w:rFonts w:hint="eastAsia" w:asciiTheme="majorEastAsia" w:hAnsiTheme="majorEastAsia" w:eastAsiaTheme="majorEastAsia" w:cstheme="majorEastAsia"/>
                <w:color w:val="auto"/>
                <w:kern w:val="2"/>
                <w:sz w:val="21"/>
                <w:szCs w:val="21"/>
                <w:highlight w:val="none"/>
                <w:lang w:val="en-US" w:eastAsia="zh-CN" w:bidi="ar-SA"/>
              </w:rPr>
            </w:pPr>
            <w:r>
              <w:rPr>
                <w:rFonts w:hint="eastAsia" w:asciiTheme="majorEastAsia" w:hAnsiTheme="majorEastAsia" w:eastAsiaTheme="majorEastAsia" w:cstheme="majorEastAsia"/>
                <w:color w:val="auto"/>
                <w:kern w:val="2"/>
                <w:sz w:val="21"/>
                <w:szCs w:val="21"/>
                <w:highlight w:val="none"/>
                <w:lang w:val="en-US" w:eastAsia="zh-CN" w:bidi="ar-SA"/>
              </w:rPr>
              <w:t>项目信息</w:t>
            </w:r>
          </w:p>
        </w:tc>
        <w:tc>
          <w:tcPr>
            <w:tcW w:w="7113" w:type="dxa"/>
            <w:noWrap w:val="0"/>
            <w:vAlign w:val="center"/>
          </w:tcPr>
          <w:p w14:paraId="365B228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宋体"/>
                <w:b/>
                <w:bCs/>
                <w:color w:val="auto"/>
                <w:kern w:val="2"/>
                <w:sz w:val="21"/>
                <w:szCs w:val="21"/>
                <w:lang w:val="en-US" w:eastAsia="zh-CN" w:bidi="ar-SA"/>
              </w:rPr>
            </w:pPr>
            <w:r>
              <w:rPr>
                <w:rFonts w:hint="eastAsia" w:ascii="Times New Roman" w:hAnsi="Times New Roman" w:eastAsia="宋体" w:cs="宋体"/>
                <w:b/>
                <w:bCs/>
                <w:color w:val="auto"/>
                <w:kern w:val="2"/>
                <w:sz w:val="21"/>
                <w:szCs w:val="21"/>
                <w:lang w:val="en-US" w:eastAsia="zh-CN" w:bidi="ar-SA"/>
              </w:rPr>
              <w:t>名称</w:t>
            </w:r>
            <w:r>
              <w:rPr>
                <w:rFonts w:hint="eastAsia" w:cs="宋体"/>
                <w:b/>
                <w:bCs/>
                <w:color w:val="auto"/>
                <w:kern w:val="2"/>
                <w:sz w:val="21"/>
                <w:szCs w:val="21"/>
                <w:lang w:val="en-US" w:eastAsia="zh-CN" w:bidi="ar-SA"/>
              </w:rPr>
              <w:t xml:space="preserve">：劳务外包采购项目  </w:t>
            </w:r>
            <w:r>
              <w:rPr>
                <w:rFonts w:hint="eastAsia" w:ascii="Times New Roman" w:hAnsi="Times New Roman" w:eastAsia="宋体" w:cs="宋体"/>
                <w:b/>
                <w:bCs/>
                <w:color w:val="auto"/>
                <w:kern w:val="2"/>
                <w:sz w:val="21"/>
                <w:szCs w:val="21"/>
                <w:lang w:val="en-US" w:eastAsia="zh-CN" w:bidi="ar-SA"/>
              </w:rPr>
              <w:t>项目编号：</w:t>
            </w:r>
            <w:r>
              <w:rPr>
                <w:rFonts w:hint="eastAsia" w:cs="宋体"/>
                <w:b/>
                <w:bCs/>
                <w:color w:val="auto"/>
                <w:kern w:val="2"/>
                <w:sz w:val="21"/>
                <w:szCs w:val="21"/>
                <w:lang w:val="en-US" w:eastAsia="zh-CN" w:bidi="ar-SA"/>
              </w:rPr>
              <w:t>KZZB-2025118</w:t>
            </w:r>
          </w:p>
          <w:p w14:paraId="323BBDC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宋体"/>
                <w:b/>
                <w:bCs/>
                <w:color w:val="auto"/>
                <w:kern w:val="2"/>
                <w:sz w:val="21"/>
                <w:szCs w:val="21"/>
                <w:lang w:val="en-US" w:eastAsia="zh-CN" w:bidi="ar-SA"/>
              </w:rPr>
            </w:pPr>
            <w:r>
              <w:rPr>
                <w:rFonts w:hint="eastAsia" w:ascii="Times New Roman" w:hAnsi="Times New Roman" w:eastAsia="宋体" w:cs="宋体"/>
                <w:b/>
                <w:bCs/>
                <w:color w:val="auto"/>
                <w:kern w:val="2"/>
                <w:sz w:val="21"/>
                <w:szCs w:val="21"/>
                <w:lang w:val="en-US" w:eastAsia="zh-CN" w:bidi="ar-SA"/>
              </w:rPr>
              <w:t>采购内容：详见招标公告及技术参数内容</w:t>
            </w:r>
          </w:p>
          <w:p w14:paraId="620DACD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宋体"/>
                <w:b/>
                <w:bCs/>
                <w:color w:val="auto"/>
                <w:kern w:val="2"/>
                <w:sz w:val="21"/>
                <w:szCs w:val="21"/>
                <w:lang w:val="en-US" w:eastAsia="zh-CN" w:bidi="ar-SA"/>
              </w:rPr>
            </w:pPr>
            <w:r>
              <w:rPr>
                <w:rFonts w:hint="eastAsia" w:ascii="Times New Roman" w:hAnsi="Times New Roman" w:eastAsia="宋体" w:cs="宋体"/>
                <w:b/>
                <w:bCs/>
                <w:color w:val="auto"/>
                <w:kern w:val="2"/>
                <w:sz w:val="21"/>
                <w:szCs w:val="21"/>
                <w:lang w:val="en-US" w:eastAsia="zh-CN" w:bidi="ar-SA"/>
              </w:rPr>
              <w:t>最高限价</w:t>
            </w:r>
            <w:r>
              <w:rPr>
                <w:rFonts w:hint="eastAsia" w:cs="宋体"/>
                <w:b/>
                <w:bCs/>
                <w:color w:val="auto"/>
                <w:kern w:val="2"/>
                <w:sz w:val="21"/>
                <w:szCs w:val="21"/>
                <w:highlight w:val="none"/>
                <w:lang w:val="en-US" w:eastAsia="zh-CN" w:bidi="ar-SA"/>
              </w:rPr>
              <w:t>（实付工资的）</w:t>
            </w:r>
            <w:r>
              <w:rPr>
                <w:rFonts w:hint="eastAsia" w:ascii="Times New Roman" w:hAnsi="Times New Roman" w:eastAsia="宋体" w:cs="宋体"/>
                <w:b/>
                <w:bCs/>
                <w:color w:val="auto"/>
                <w:kern w:val="2"/>
                <w:sz w:val="21"/>
                <w:szCs w:val="21"/>
                <w:highlight w:val="none"/>
                <w:lang w:val="en-US" w:eastAsia="zh-CN" w:bidi="ar-SA"/>
              </w:rPr>
              <w:t>：</w:t>
            </w:r>
            <w:r>
              <w:rPr>
                <w:rFonts w:hint="eastAsia" w:cs="宋体"/>
                <w:b/>
                <w:bCs/>
                <w:color w:val="auto"/>
                <w:kern w:val="2"/>
                <w:sz w:val="21"/>
                <w:szCs w:val="21"/>
                <w:highlight w:val="none"/>
                <w:lang w:val="en-US" w:eastAsia="zh-CN" w:bidi="ar-SA"/>
              </w:rPr>
              <w:t>7%</w:t>
            </w:r>
            <w:r>
              <w:rPr>
                <w:rFonts w:hint="eastAsia" w:ascii="Times New Roman" w:hAnsi="Times New Roman" w:eastAsia="宋体" w:cs="宋体"/>
                <w:b/>
                <w:bCs/>
                <w:color w:val="auto"/>
                <w:kern w:val="2"/>
                <w:sz w:val="21"/>
                <w:szCs w:val="21"/>
                <w:lang w:val="en-US" w:eastAsia="zh-CN" w:bidi="ar-SA"/>
              </w:rPr>
              <w:t>；</w:t>
            </w:r>
          </w:p>
          <w:p w14:paraId="10CE486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ajorEastAsia" w:hAnsiTheme="majorEastAsia" w:eastAsiaTheme="majorEastAsia" w:cstheme="majorEastAsia"/>
                <w:color w:val="auto"/>
                <w:highlight w:val="none"/>
                <w:lang w:val="en-US" w:eastAsia="zh-CN"/>
              </w:rPr>
            </w:pPr>
            <w:r>
              <w:rPr>
                <w:rFonts w:hint="eastAsia" w:ascii="Times New Roman" w:hAnsi="Times New Roman" w:eastAsia="宋体" w:cs="Times New Roman"/>
                <w:b/>
                <w:bCs/>
                <w:color w:val="auto"/>
                <w:kern w:val="2"/>
                <w:sz w:val="21"/>
                <w:szCs w:val="21"/>
                <w:lang w:val="en-US" w:eastAsia="zh-CN" w:bidi="ar-SA"/>
              </w:rPr>
              <w:t>注：投标总报价超过最高限价的按废标处理。</w:t>
            </w:r>
          </w:p>
        </w:tc>
      </w:tr>
      <w:tr w14:paraId="7444DC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2" w:hRule="atLeast"/>
          <w:jc w:val="center"/>
        </w:trPr>
        <w:tc>
          <w:tcPr>
            <w:tcW w:w="894" w:type="dxa"/>
            <w:noWrap w:val="0"/>
            <w:vAlign w:val="center"/>
          </w:tcPr>
          <w:p w14:paraId="3E5473DB">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t>4</w:t>
            </w:r>
          </w:p>
        </w:tc>
        <w:tc>
          <w:tcPr>
            <w:tcW w:w="1402" w:type="dxa"/>
            <w:noWrap w:val="0"/>
            <w:vAlign w:val="center"/>
          </w:tcPr>
          <w:p w14:paraId="762CF63F">
            <w:pPr>
              <w:keepNext w:val="0"/>
              <w:keepLines w:val="0"/>
              <w:pageBreakBefore w:val="0"/>
              <w:widowControl/>
              <w:shd w:val="clear" w:color="auto" w:fill="auto"/>
              <w:kinsoku/>
              <w:wordWrap/>
              <w:overflowPunct/>
              <w:topLinePunct w:val="0"/>
              <w:autoSpaceDE/>
              <w:autoSpaceDN/>
              <w:bidi w:val="0"/>
              <w:adjustRightInd/>
              <w:snapToGrid/>
              <w:spacing w:line="360" w:lineRule="exact"/>
              <w:jc w:val="center"/>
              <w:textAlignment w:val="auto"/>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资金来源</w:t>
            </w:r>
          </w:p>
        </w:tc>
        <w:tc>
          <w:tcPr>
            <w:tcW w:w="7113" w:type="dxa"/>
            <w:noWrap w:val="0"/>
            <w:vAlign w:val="center"/>
          </w:tcPr>
          <w:p w14:paraId="5DA43FB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ajorEastAsia" w:hAnsiTheme="majorEastAsia" w:eastAsiaTheme="majorEastAsia" w:cstheme="majorEastAsia"/>
                <w:color w:val="auto"/>
                <w:kern w:val="0"/>
                <w:sz w:val="21"/>
                <w:szCs w:val="21"/>
                <w:highlight w:val="none"/>
                <w:lang w:val="en-US" w:eastAsia="zh-CN"/>
              </w:rPr>
            </w:pPr>
            <w:r>
              <w:rPr>
                <w:rFonts w:hint="eastAsia" w:cs="Times New Roman"/>
                <w:b/>
                <w:bCs/>
                <w:color w:val="auto"/>
                <w:kern w:val="2"/>
                <w:sz w:val="21"/>
                <w:szCs w:val="21"/>
                <w:lang w:val="en-US" w:eastAsia="zh-CN" w:bidi="ar-SA"/>
              </w:rPr>
              <w:t>专项资金</w:t>
            </w:r>
          </w:p>
        </w:tc>
      </w:tr>
      <w:tr w14:paraId="2C11FBC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8" w:hRule="atLeast"/>
          <w:jc w:val="center"/>
        </w:trPr>
        <w:tc>
          <w:tcPr>
            <w:tcW w:w="894" w:type="dxa"/>
            <w:noWrap w:val="0"/>
            <w:vAlign w:val="center"/>
          </w:tcPr>
          <w:p w14:paraId="182E990A">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t>5</w:t>
            </w:r>
          </w:p>
        </w:tc>
        <w:tc>
          <w:tcPr>
            <w:tcW w:w="1402" w:type="dxa"/>
            <w:noWrap w:val="0"/>
            <w:vAlign w:val="center"/>
          </w:tcPr>
          <w:p w14:paraId="3DD40042">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招标方式</w:t>
            </w:r>
          </w:p>
        </w:tc>
        <w:tc>
          <w:tcPr>
            <w:tcW w:w="7113" w:type="dxa"/>
            <w:noWrap w:val="0"/>
            <w:vAlign w:val="center"/>
          </w:tcPr>
          <w:p w14:paraId="366F1293">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b/>
                <w:bCs/>
                <w:color w:val="auto"/>
                <w:sz w:val="21"/>
                <w:szCs w:val="21"/>
                <w:highlight w:val="none"/>
                <w:lang w:val="en-US" w:eastAsia="zh-CN"/>
              </w:rPr>
              <w:t>竞争性谈判</w:t>
            </w:r>
            <w:r>
              <w:rPr>
                <w:rFonts w:hint="eastAsia" w:asciiTheme="majorEastAsia" w:hAnsiTheme="majorEastAsia" w:eastAsiaTheme="majorEastAsia" w:cstheme="majorEastAsia"/>
                <w:b/>
                <w:color w:val="auto"/>
                <w:sz w:val="21"/>
                <w:szCs w:val="21"/>
                <w:highlight w:val="none"/>
                <w:lang w:val="en-US" w:eastAsia="zh-CN"/>
              </w:rPr>
              <w:t>(本项目采用网上电子招投标)</w:t>
            </w:r>
            <w:r>
              <w:rPr>
                <w:rFonts w:hint="eastAsia" w:asciiTheme="majorEastAsia" w:hAnsiTheme="majorEastAsia" w:eastAsiaTheme="majorEastAsia" w:cstheme="majorEastAsia"/>
                <w:color w:val="auto"/>
                <w:sz w:val="21"/>
                <w:szCs w:val="21"/>
                <w:highlight w:val="none"/>
                <w:lang w:val="en-US" w:eastAsia="zh-CN"/>
              </w:rPr>
              <w:t xml:space="preserve">             </w:t>
            </w:r>
          </w:p>
        </w:tc>
      </w:tr>
      <w:tr w14:paraId="2E6005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894" w:type="dxa"/>
            <w:noWrap w:val="0"/>
            <w:vAlign w:val="center"/>
          </w:tcPr>
          <w:p w14:paraId="50BDF431">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default"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t>6</w:t>
            </w:r>
          </w:p>
        </w:tc>
        <w:tc>
          <w:tcPr>
            <w:tcW w:w="1402" w:type="dxa"/>
            <w:noWrap w:val="0"/>
            <w:vAlign w:val="center"/>
          </w:tcPr>
          <w:p w14:paraId="2E11248F">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default"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服务期限</w:t>
            </w:r>
          </w:p>
        </w:tc>
        <w:tc>
          <w:tcPr>
            <w:tcW w:w="7113" w:type="dxa"/>
            <w:noWrap w:val="0"/>
            <w:vAlign w:val="center"/>
          </w:tcPr>
          <w:p w14:paraId="75061749">
            <w:pPr>
              <w:keepNext w:val="0"/>
              <w:keepLines w:val="0"/>
              <w:pageBreakBefore w:val="0"/>
              <w:kinsoku/>
              <w:wordWrap/>
              <w:overflowPunct/>
              <w:topLinePunct w:val="0"/>
              <w:autoSpaceDE/>
              <w:autoSpaceDN/>
              <w:bidi w:val="0"/>
              <w:adjustRightInd/>
              <w:snapToGrid w:val="0"/>
              <w:spacing w:line="360" w:lineRule="exact"/>
              <w:textAlignment w:val="auto"/>
              <w:rPr>
                <w:rFonts w:hint="default" w:ascii="宋体" w:hAnsi="宋体" w:cs="宋体"/>
                <w:b/>
                <w:bCs/>
                <w:kern w:val="2"/>
                <w:sz w:val="21"/>
                <w:szCs w:val="21"/>
                <w:lang w:val="en-US" w:eastAsia="zh-CN" w:bidi="ar-SA"/>
              </w:rPr>
            </w:pPr>
            <w:r>
              <w:rPr>
                <w:rFonts w:hint="eastAsia" w:ascii="宋体" w:hAnsi="宋体" w:cs="宋体"/>
                <w:b/>
                <w:bCs/>
                <w:kern w:val="2"/>
                <w:sz w:val="21"/>
                <w:szCs w:val="21"/>
                <w:lang w:val="en-US" w:eastAsia="zh-CN" w:bidi="ar-SA"/>
              </w:rPr>
              <w:t>2025年9月1日到2026年8月31日</w:t>
            </w:r>
          </w:p>
        </w:tc>
      </w:tr>
      <w:tr w14:paraId="46E74D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894" w:type="dxa"/>
            <w:noWrap w:val="0"/>
            <w:vAlign w:val="center"/>
          </w:tcPr>
          <w:p w14:paraId="100B434B">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t>7</w:t>
            </w:r>
          </w:p>
        </w:tc>
        <w:tc>
          <w:tcPr>
            <w:tcW w:w="1402" w:type="dxa"/>
            <w:noWrap w:val="0"/>
            <w:vAlign w:val="center"/>
          </w:tcPr>
          <w:p w14:paraId="3F6A0D42">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投标人资格条件及其他要求</w:t>
            </w:r>
          </w:p>
        </w:tc>
        <w:tc>
          <w:tcPr>
            <w:tcW w:w="7113" w:type="dxa"/>
            <w:noWrap w:val="0"/>
            <w:vAlign w:val="center"/>
          </w:tcPr>
          <w:p w14:paraId="32F93857">
            <w:pPr>
              <w:keepNext w:val="0"/>
              <w:keepLines w:val="0"/>
              <w:widowControl/>
              <w:suppressLineNumbers w:val="0"/>
              <w:spacing w:line="360" w:lineRule="auto"/>
              <w:jc w:val="left"/>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1、满足《中华人民共和国政府采购法》第二十二条规定；</w:t>
            </w:r>
          </w:p>
          <w:p w14:paraId="5E9DF1ED">
            <w:pPr>
              <w:keepNext w:val="0"/>
              <w:keepLines w:val="0"/>
              <w:widowControl/>
              <w:suppressLineNumbers w:val="0"/>
              <w:spacing w:line="360" w:lineRule="auto"/>
              <w:jc w:val="left"/>
              <w:rPr>
                <w:rFonts w:hint="eastAsia" w:ascii="宋体" w:hAnsi="宋体" w:cs="宋体"/>
                <w:b/>
                <w:bCs/>
                <w:kern w:val="2"/>
                <w:sz w:val="21"/>
                <w:szCs w:val="21"/>
                <w:lang w:val="en-US" w:eastAsia="zh-CN" w:bidi="ar-SA"/>
              </w:rPr>
            </w:pPr>
            <w:r>
              <w:rPr>
                <w:rFonts w:hint="eastAsia" w:ascii="宋体" w:hAnsi="宋体" w:cs="宋体"/>
                <w:b/>
                <w:bCs/>
                <w:kern w:val="2"/>
                <w:sz w:val="21"/>
                <w:szCs w:val="21"/>
                <w:lang w:val="en-US" w:eastAsia="zh-CN" w:bidi="ar-SA"/>
              </w:rPr>
              <w:t>2.落实政府采购政策需满足的资格要求：标项1：供应商为中小企业； </w:t>
            </w:r>
          </w:p>
          <w:p w14:paraId="0C7B9905">
            <w:pPr>
              <w:keepNext w:val="0"/>
              <w:keepLines w:val="0"/>
              <w:pageBreakBefore w:val="0"/>
              <w:kinsoku/>
              <w:wordWrap/>
              <w:overflowPunct/>
              <w:topLinePunct w:val="0"/>
              <w:autoSpaceDE/>
              <w:autoSpaceDN/>
              <w:bidi w:val="0"/>
              <w:adjustRightInd/>
              <w:snapToGrid w:val="0"/>
              <w:spacing w:line="360" w:lineRule="exact"/>
              <w:textAlignment w:val="auto"/>
              <w:rPr>
                <w:rFonts w:hint="eastAsia" w:ascii="宋体" w:hAnsi="宋体" w:cs="宋体"/>
                <w:b/>
                <w:bCs/>
                <w:kern w:val="2"/>
                <w:sz w:val="21"/>
                <w:szCs w:val="21"/>
                <w:lang w:val="en-US" w:eastAsia="zh-CN" w:bidi="ar-SA"/>
              </w:rPr>
            </w:pPr>
            <w:r>
              <w:rPr>
                <w:rFonts w:hint="eastAsia" w:ascii="宋体" w:hAnsi="宋体" w:cs="宋体"/>
                <w:b/>
                <w:bCs/>
                <w:kern w:val="2"/>
                <w:sz w:val="21"/>
                <w:szCs w:val="21"/>
                <w:lang w:val="en-US" w:eastAsia="zh-CN" w:bidi="ar-SA"/>
              </w:rPr>
              <w:t>3.本项目的特定资格要求：标项1</w:t>
            </w:r>
          </w:p>
          <w:p w14:paraId="21D475EF">
            <w:pPr>
              <w:keepNext w:val="0"/>
              <w:keepLines w:val="0"/>
              <w:pageBreakBefore w:val="0"/>
              <w:kinsoku/>
              <w:wordWrap/>
              <w:overflowPunct/>
              <w:topLinePunct w:val="0"/>
              <w:autoSpaceDE/>
              <w:autoSpaceDN/>
              <w:bidi w:val="0"/>
              <w:adjustRightInd/>
              <w:snapToGrid w:val="0"/>
              <w:spacing w:line="360" w:lineRule="exact"/>
              <w:textAlignment w:val="auto"/>
              <w:rPr>
                <w:rFonts w:hint="default" w:ascii="宋体" w:hAnsi="宋体" w:eastAsia="宋体" w:cs="宋体"/>
                <w:b/>
                <w:bCs/>
                <w:kern w:val="2"/>
                <w:sz w:val="21"/>
                <w:szCs w:val="21"/>
                <w:lang w:val="en-US" w:eastAsia="zh-CN" w:bidi="ar-SA"/>
              </w:rPr>
            </w:pPr>
            <w:r>
              <w:rPr>
                <w:rFonts w:hint="default" w:ascii="宋体" w:hAnsi="宋体" w:eastAsia="宋体" w:cs="宋体"/>
                <w:b/>
                <w:bCs/>
                <w:kern w:val="2"/>
                <w:sz w:val="21"/>
                <w:szCs w:val="21"/>
                <w:lang w:val="en-US" w:eastAsia="zh-CN" w:bidi="ar-SA"/>
              </w:rPr>
              <w:t>1).</w:t>
            </w:r>
            <w:r>
              <w:rPr>
                <w:rFonts w:hint="default" w:ascii="仿宋" w:hAnsi="仿宋" w:eastAsia="仿宋" w:cs="仿宋"/>
                <w:b/>
                <w:bCs/>
                <w:i w:val="0"/>
                <w:iCs w:val="0"/>
                <w:caps w:val="0"/>
                <w:color w:val="000000"/>
                <w:spacing w:val="0"/>
                <w:sz w:val="22"/>
                <w:szCs w:val="22"/>
                <w:lang w:val="en-US" w:eastAsia="zh-CN"/>
              </w:rPr>
              <w:t>具备三证合一营业执照；</w:t>
            </w:r>
          </w:p>
          <w:p w14:paraId="1FCC7F3A">
            <w:pPr>
              <w:keepNext w:val="0"/>
              <w:keepLines w:val="0"/>
              <w:pageBreakBefore w:val="0"/>
              <w:kinsoku/>
              <w:wordWrap/>
              <w:overflowPunct/>
              <w:topLinePunct w:val="0"/>
              <w:autoSpaceDE/>
              <w:autoSpaceDN/>
              <w:bidi w:val="0"/>
              <w:adjustRightInd/>
              <w:snapToGrid w:val="0"/>
              <w:spacing w:line="360" w:lineRule="exact"/>
              <w:textAlignment w:val="auto"/>
              <w:rPr>
                <w:rFonts w:hint="default" w:ascii="宋体" w:hAnsi="宋体" w:eastAsia="宋体" w:cs="宋体"/>
                <w:b/>
                <w:bCs/>
                <w:kern w:val="2"/>
                <w:sz w:val="21"/>
                <w:szCs w:val="21"/>
                <w:lang w:val="en-US" w:eastAsia="zh-CN" w:bidi="ar-SA"/>
              </w:rPr>
            </w:pPr>
            <w:r>
              <w:rPr>
                <w:rFonts w:hint="default" w:ascii="宋体" w:hAnsi="宋体" w:eastAsia="宋体" w:cs="宋体"/>
                <w:b/>
                <w:bCs/>
                <w:kern w:val="2"/>
                <w:sz w:val="21"/>
                <w:szCs w:val="21"/>
                <w:lang w:val="en-US" w:eastAsia="zh-CN" w:bidi="ar-SA"/>
              </w:rPr>
              <w:t>2).</w:t>
            </w:r>
            <w:r>
              <w:rPr>
                <w:rFonts w:hint="eastAsia" w:ascii="仿宋" w:hAnsi="仿宋" w:eastAsia="仿宋" w:cs="仿宋"/>
                <w:b/>
                <w:bCs/>
                <w:i w:val="0"/>
                <w:iCs w:val="0"/>
                <w:caps w:val="0"/>
                <w:color w:val="000000"/>
                <w:spacing w:val="0"/>
                <w:sz w:val="22"/>
                <w:szCs w:val="22"/>
                <w:lang w:val="en-US" w:eastAsia="zh-CN"/>
              </w:rPr>
              <w:t>法定代表人投标需提供法定代表人资格证明书，委托代理人投标需提供法定代表人授权委托书及被授权在职人员近6个月内任意1个月有效的社保证明</w:t>
            </w:r>
            <w:r>
              <w:rPr>
                <w:rFonts w:hint="default" w:ascii="宋体" w:hAnsi="宋体" w:eastAsia="宋体" w:cs="宋体"/>
                <w:b/>
                <w:bCs/>
                <w:kern w:val="2"/>
                <w:sz w:val="21"/>
                <w:szCs w:val="21"/>
                <w:lang w:val="en-US" w:eastAsia="zh-CN" w:bidi="ar-SA"/>
              </w:rPr>
              <w:t>；</w:t>
            </w:r>
          </w:p>
          <w:p w14:paraId="6BB6890F">
            <w:pPr>
              <w:keepNext w:val="0"/>
              <w:keepLines w:val="0"/>
              <w:pageBreakBefore w:val="0"/>
              <w:kinsoku/>
              <w:wordWrap/>
              <w:overflowPunct/>
              <w:topLinePunct w:val="0"/>
              <w:autoSpaceDE/>
              <w:autoSpaceDN/>
              <w:bidi w:val="0"/>
              <w:adjustRightInd/>
              <w:snapToGrid w:val="0"/>
              <w:spacing w:line="360" w:lineRule="exact"/>
              <w:textAlignment w:val="auto"/>
              <w:rPr>
                <w:rFonts w:hint="default" w:ascii="宋体" w:hAnsi="宋体" w:eastAsia="宋体" w:cs="宋体"/>
                <w:b/>
                <w:bCs/>
                <w:kern w:val="2"/>
                <w:sz w:val="21"/>
                <w:szCs w:val="21"/>
                <w:lang w:val="en-US" w:eastAsia="zh-CN" w:bidi="ar-SA"/>
              </w:rPr>
            </w:pPr>
            <w:r>
              <w:rPr>
                <w:rFonts w:hint="default" w:ascii="宋体" w:hAnsi="宋体" w:eastAsia="宋体" w:cs="宋体"/>
                <w:b/>
                <w:bCs/>
                <w:kern w:val="2"/>
                <w:sz w:val="21"/>
                <w:szCs w:val="21"/>
                <w:lang w:val="en-US" w:eastAsia="zh-CN" w:bidi="ar-SA"/>
              </w:rPr>
              <w:t>3).</w:t>
            </w:r>
            <w:r>
              <w:rPr>
                <w:rFonts w:hint="eastAsia" w:ascii="仿宋" w:hAnsi="仿宋" w:eastAsia="仿宋" w:cs="仿宋"/>
                <w:b/>
                <w:bCs/>
                <w:i w:val="0"/>
                <w:iCs w:val="0"/>
                <w:caps w:val="0"/>
                <w:color w:val="000000"/>
                <w:spacing w:val="0"/>
                <w:sz w:val="22"/>
                <w:szCs w:val="22"/>
                <w:lang w:val="en-US" w:eastAsia="zh-CN"/>
              </w:rPr>
              <w:t>在“信用中国”及“中国政府采购网”网站上未被列入失信被执行人、重大税收违法案件当事人名单以及政府采购严重违法失信行为记录名单的投标企业</w:t>
            </w:r>
            <w:r>
              <w:rPr>
                <w:rFonts w:hint="default" w:ascii="宋体" w:hAnsi="宋体" w:eastAsia="宋体" w:cs="宋体"/>
                <w:b/>
                <w:bCs/>
                <w:kern w:val="2"/>
                <w:sz w:val="21"/>
                <w:szCs w:val="21"/>
                <w:lang w:val="en-US" w:eastAsia="zh-CN" w:bidi="ar-SA"/>
              </w:rPr>
              <w:t>；</w:t>
            </w:r>
          </w:p>
          <w:p w14:paraId="218F1EAC">
            <w:pPr>
              <w:keepNext w:val="0"/>
              <w:keepLines w:val="0"/>
              <w:pageBreakBefore w:val="0"/>
              <w:kinsoku/>
              <w:wordWrap/>
              <w:overflowPunct/>
              <w:topLinePunct w:val="0"/>
              <w:autoSpaceDE/>
              <w:autoSpaceDN/>
              <w:bidi w:val="0"/>
              <w:adjustRightInd/>
              <w:snapToGrid w:val="0"/>
              <w:spacing w:line="360" w:lineRule="exact"/>
              <w:textAlignment w:val="auto"/>
              <w:rPr>
                <w:rFonts w:hint="default" w:ascii="宋体" w:hAnsi="宋体" w:eastAsia="宋体" w:cs="宋体"/>
                <w:b/>
                <w:bCs/>
                <w:kern w:val="2"/>
                <w:sz w:val="21"/>
                <w:szCs w:val="21"/>
                <w:lang w:val="en-US" w:eastAsia="zh-CN" w:bidi="ar-SA"/>
              </w:rPr>
            </w:pPr>
            <w:r>
              <w:rPr>
                <w:rFonts w:hint="default" w:ascii="宋体" w:hAnsi="宋体" w:eastAsia="宋体" w:cs="宋体"/>
                <w:b/>
                <w:bCs/>
                <w:kern w:val="2"/>
                <w:sz w:val="21"/>
                <w:szCs w:val="21"/>
                <w:lang w:val="en-US" w:eastAsia="zh-CN" w:bidi="ar-SA"/>
              </w:rPr>
              <w:t>4).</w:t>
            </w:r>
            <w:r>
              <w:rPr>
                <w:rFonts w:hint="eastAsia" w:ascii="仿宋" w:hAnsi="仿宋" w:eastAsia="仿宋" w:cs="仿宋"/>
                <w:b/>
                <w:bCs/>
                <w:i w:val="0"/>
                <w:iCs w:val="0"/>
                <w:caps w:val="0"/>
                <w:color w:val="000000"/>
                <w:spacing w:val="0"/>
                <w:sz w:val="22"/>
                <w:szCs w:val="22"/>
                <w:lang w:val="en-US" w:eastAsia="zh-CN"/>
              </w:rPr>
              <w:t>供应商须同时具有《劳务派遣经营许可证》和《人力资源服务许可证》</w:t>
            </w:r>
            <w:r>
              <w:rPr>
                <w:rFonts w:hint="default" w:ascii="宋体" w:hAnsi="宋体" w:eastAsia="宋体" w:cs="宋体"/>
                <w:b/>
                <w:bCs/>
                <w:kern w:val="2"/>
                <w:sz w:val="21"/>
                <w:szCs w:val="21"/>
                <w:lang w:val="en-US" w:eastAsia="zh-CN" w:bidi="ar-SA"/>
              </w:rPr>
              <w:t>；</w:t>
            </w:r>
          </w:p>
          <w:p w14:paraId="505846DC">
            <w:pPr>
              <w:keepNext w:val="0"/>
              <w:keepLines w:val="0"/>
              <w:pageBreakBefore w:val="0"/>
              <w:kinsoku/>
              <w:wordWrap/>
              <w:overflowPunct/>
              <w:topLinePunct w:val="0"/>
              <w:autoSpaceDE/>
              <w:autoSpaceDN/>
              <w:bidi w:val="0"/>
              <w:adjustRightInd/>
              <w:snapToGrid w:val="0"/>
              <w:spacing w:line="360" w:lineRule="exact"/>
              <w:textAlignment w:val="auto"/>
              <w:rPr>
                <w:rFonts w:hint="default" w:ascii="宋体" w:hAnsi="宋体" w:eastAsia="宋体" w:cs="宋体"/>
                <w:b/>
                <w:bCs/>
                <w:kern w:val="2"/>
                <w:sz w:val="21"/>
                <w:szCs w:val="21"/>
                <w:lang w:val="en-US" w:eastAsia="zh-CN" w:bidi="ar-SA"/>
              </w:rPr>
            </w:pPr>
            <w:r>
              <w:rPr>
                <w:rFonts w:hint="eastAsia" w:ascii="宋体" w:hAnsi="宋体" w:cs="宋体"/>
                <w:b/>
                <w:bCs/>
                <w:kern w:val="2"/>
                <w:sz w:val="21"/>
                <w:szCs w:val="21"/>
                <w:lang w:val="en-US" w:eastAsia="zh-CN" w:bidi="ar-SA"/>
              </w:rPr>
              <w:t>5</w:t>
            </w:r>
            <w:r>
              <w:rPr>
                <w:rFonts w:hint="default" w:ascii="宋体" w:hAnsi="宋体" w:eastAsia="宋体" w:cs="宋体"/>
                <w:b/>
                <w:bCs/>
                <w:kern w:val="2"/>
                <w:sz w:val="21"/>
                <w:szCs w:val="21"/>
                <w:lang w:val="en-US" w:eastAsia="zh-CN" w:bidi="ar-SA"/>
              </w:rPr>
              <w:t>).本项目不接受联合体投标。</w:t>
            </w:r>
          </w:p>
        </w:tc>
      </w:tr>
      <w:tr w14:paraId="232D95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jc w:val="center"/>
        </w:trPr>
        <w:tc>
          <w:tcPr>
            <w:tcW w:w="894" w:type="dxa"/>
            <w:noWrap w:val="0"/>
            <w:vAlign w:val="center"/>
          </w:tcPr>
          <w:p w14:paraId="173786F6">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t>8</w:t>
            </w:r>
          </w:p>
        </w:tc>
        <w:tc>
          <w:tcPr>
            <w:tcW w:w="1402" w:type="dxa"/>
            <w:noWrap w:val="0"/>
            <w:vAlign w:val="center"/>
          </w:tcPr>
          <w:p w14:paraId="0BF856C5">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kern w:val="2"/>
                <w:sz w:val="21"/>
                <w:szCs w:val="21"/>
                <w:highlight w:val="none"/>
                <w:u w:val="none"/>
                <w:lang w:val="en-US" w:eastAsia="zh-CN" w:bidi="ar-SA"/>
              </w:rPr>
            </w:pPr>
            <w:r>
              <w:rPr>
                <w:rFonts w:hint="eastAsia" w:asciiTheme="majorEastAsia" w:hAnsiTheme="majorEastAsia" w:eastAsiaTheme="majorEastAsia" w:cstheme="majorEastAsia"/>
                <w:color w:val="auto"/>
                <w:kern w:val="2"/>
                <w:sz w:val="21"/>
                <w:szCs w:val="21"/>
                <w:highlight w:val="none"/>
                <w:u w:val="none"/>
                <w:lang w:val="en-US" w:eastAsia="zh-CN" w:bidi="ar-SA"/>
              </w:rPr>
              <w:t>采购范围</w:t>
            </w:r>
          </w:p>
        </w:tc>
        <w:tc>
          <w:tcPr>
            <w:tcW w:w="7113" w:type="dxa"/>
            <w:noWrap w:val="0"/>
            <w:vAlign w:val="center"/>
          </w:tcPr>
          <w:p w14:paraId="13DAA5D0">
            <w:pPr>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kern w:val="2"/>
                <w:sz w:val="21"/>
                <w:szCs w:val="21"/>
                <w:highlight w:val="none"/>
                <w:u w:val="none"/>
                <w:lang w:val="en-US" w:eastAsia="zh-CN" w:bidi="ar-SA"/>
              </w:rPr>
            </w:pPr>
            <w:r>
              <w:rPr>
                <w:rFonts w:hint="eastAsia" w:asciiTheme="majorEastAsia" w:hAnsiTheme="majorEastAsia" w:eastAsiaTheme="majorEastAsia" w:cstheme="majorEastAsia"/>
                <w:color w:val="auto"/>
                <w:kern w:val="2"/>
                <w:sz w:val="21"/>
                <w:szCs w:val="21"/>
                <w:highlight w:val="none"/>
                <w:u w:val="none"/>
                <w:lang w:val="en-US" w:eastAsia="zh-CN" w:bidi="ar-SA"/>
              </w:rPr>
              <w:t>满足谈判文件要求。</w:t>
            </w:r>
          </w:p>
        </w:tc>
      </w:tr>
      <w:tr w14:paraId="5218B1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jc w:val="center"/>
        </w:trPr>
        <w:tc>
          <w:tcPr>
            <w:tcW w:w="894" w:type="dxa"/>
            <w:noWrap w:val="0"/>
            <w:vAlign w:val="center"/>
          </w:tcPr>
          <w:p w14:paraId="1D5B8342">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t>9</w:t>
            </w:r>
          </w:p>
        </w:tc>
        <w:tc>
          <w:tcPr>
            <w:tcW w:w="1402" w:type="dxa"/>
            <w:noWrap w:val="0"/>
            <w:vAlign w:val="center"/>
          </w:tcPr>
          <w:p w14:paraId="1E5751B1">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供应商信用查询</w:t>
            </w:r>
          </w:p>
        </w:tc>
        <w:tc>
          <w:tcPr>
            <w:tcW w:w="7113" w:type="dxa"/>
            <w:noWrap w:val="0"/>
            <w:vAlign w:val="center"/>
          </w:tcPr>
          <w:p w14:paraId="77656E49">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lef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1、查询渠道：信用中国（网址：http://www.creditchina.gov.cn）、中国政府采购网(网址：http://www.ccgp.gov.cn）。</w:t>
            </w:r>
          </w:p>
          <w:p w14:paraId="472FA637">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lef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2、截止时点：开标后评标前。</w:t>
            </w:r>
          </w:p>
          <w:p w14:paraId="4BE6330F">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lef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3、信用信息查询记录和证据留存的具体方式：由采购组织机构在规定查询时间内打印信用信息查询记录并归入项目档案。</w:t>
            </w:r>
          </w:p>
          <w:p w14:paraId="7C7959C5">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lef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6FFDD65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894" w:type="dxa"/>
            <w:noWrap w:val="0"/>
            <w:vAlign w:val="center"/>
          </w:tcPr>
          <w:p w14:paraId="3C4143F0">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default"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highlight w:val="none"/>
                <w:lang w:val="en-US" w:eastAsia="zh-CN"/>
                <w14:textFill>
                  <w14:solidFill>
                    <w14:schemeClr w14:val="tx1"/>
                  </w14:solidFill>
                </w14:textFill>
              </w:rPr>
              <w:t>10</w:t>
            </w:r>
          </w:p>
        </w:tc>
        <w:tc>
          <w:tcPr>
            <w:tcW w:w="1402" w:type="dxa"/>
            <w:noWrap w:val="0"/>
            <w:vAlign w:val="center"/>
          </w:tcPr>
          <w:p w14:paraId="246A8276">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踏勘现场</w:t>
            </w:r>
          </w:p>
        </w:tc>
        <w:tc>
          <w:tcPr>
            <w:tcW w:w="7113" w:type="dxa"/>
            <w:noWrap w:val="0"/>
            <w:vAlign w:val="center"/>
          </w:tcPr>
          <w:p w14:paraId="437CA137">
            <w:pPr>
              <w:keepNext w:val="0"/>
              <w:keepLines w:val="0"/>
              <w:pageBreakBefore w:val="0"/>
              <w:kinsoku/>
              <w:wordWrap/>
              <w:overflowPunct w:val="0"/>
              <w:topLinePunct w:val="0"/>
              <w:autoSpaceDE w:val="0"/>
              <w:autoSpaceDN w:val="0"/>
              <w:bidi w:val="0"/>
              <w:spacing w:line="400" w:lineRule="exact"/>
              <w:rPr>
                <w:rFonts w:hint="eastAsia" w:ascii="宋体" w:hAnsi="Times New Roman" w:eastAsia="宋体" w:cs="Times New Roman"/>
                <w:b w:val="0"/>
                <w:bCs/>
                <w:color w:val="auto"/>
                <w:kern w:val="2"/>
                <w:sz w:val="21"/>
                <w:szCs w:val="21"/>
                <w:highlight w:val="none"/>
                <w:u w:val="none" w:color="000000"/>
                <w:lang w:val="en-US" w:eastAsia="zh-CN" w:bidi="ar-SA"/>
              </w:rPr>
            </w:pPr>
            <w:r>
              <w:rPr>
                <w:rFonts w:hint="eastAsia" w:ascii="宋体" w:hAnsi="Times New Roman" w:eastAsia="宋体" w:cs="Times New Roman"/>
                <w:b w:val="0"/>
                <w:bCs/>
                <w:color w:val="auto"/>
                <w:kern w:val="2"/>
                <w:sz w:val="21"/>
                <w:szCs w:val="21"/>
                <w:highlight w:val="none"/>
                <w:u w:val="none" w:color="000000"/>
                <w:lang w:val="en-US" w:eastAsia="zh-CN" w:bidi="ar-SA"/>
              </w:rPr>
              <w:t>□是</w:t>
            </w:r>
          </w:p>
          <w:p w14:paraId="4A27861D">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宋体" w:hAnsi="Times New Roman" w:eastAsia="宋体" w:cs="Times New Roman"/>
                <w:b w:val="0"/>
                <w:bCs/>
                <w:color w:val="auto"/>
                <w:kern w:val="2"/>
                <w:sz w:val="21"/>
                <w:szCs w:val="21"/>
                <w:highlight w:val="none"/>
                <w:u w:val="none" w:color="000000"/>
                <w:lang w:val="en-US" w:eastAsia="zh-CN" w:bidi="ar-SA"/>
              </w:rPr>
              <w:t>☑否</w:t>
            </w:r>
          </w:p>
        </w:tc>
      </w:tr>
      <w:tr w14:paraId="7E1513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894" w:type="dxa"/>
            <w:noWrap w:val="0"/>
            <w:vAlign w:val="center"/>
          </w:tcPr>
          <w:p w14:paraId="4131F204">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11</w:t>
            </w:r>
          </w:p>
        </w:tc>
        <w:tc>
          <w:tcPr>
            <w:tcW w:w="1402" w:type="dxa"/>
            <w:noWrap w:val="0"/>
            <w:vAlign w:val="center"/>
          </w:tcPr>
          <w:p w14:paraId="2F2EFE19">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投标预备会</w:t>
            </w:r>
          </w:p>
        </w:tc>
        <w:tc>
          <w:tcPr>
            <w:tcW w:w="7113" w:type="dxa"/>
            <w:noWrap w:val="0"/>
            <w:vAlign w:val="center"/>
          </w:tcPr>
          <w:p w14:paraId="16A2DF8A">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不召开</w:t>
            </w:r>
          </w:p>
        </w:tc>
      </w:tr>
      <w:tr w14:paraId="7FAFAC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894" w:type="dxa"/>
            <w:noWrap w:val="0"/>
            <w:vAlign w:val="center"/>
          </w:tcPr>
          <w:p w14:paraId="1B1282E1">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12</w:t>
            </w:r>
          </w:p>
        </w:tc>
        <w:tc>
          <w:tcPr>
            <w:tcW w:w="1402" w:type="dxa"/>
            <w:noWrap w:val="0"/>
            <w:vAlign w:val="center"/>
          </w:tcPr>
          <w:p w14:paraId="52A33496">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联合体投标</w:t>
            </w:r>
          </w:p>
        </w:tc>
        <w:tc>
          <w:tcPr>
            <w:tcW w:w="7113" w:type="dxa"/>
            <w:noWrap w:val="0"/>
            <w:vAlign w:val="center"/>
          </w:tcPr>
          <w:p w14:paraId="1DB8F29F">
            <w:pPr>
              <w:keepNext w:val="0"/>
              <w:keepLines w:val="0"/>
              <w:pageBreakBefore w:val="0"/>
              <w:shd w:val="clear" w:color="auto" w:fill="auto"/>
              <w:kinsoku/>
              <w:wordWrap/>
              <w:overflowPunct/>
              <w:topLinePunct w:val="0"/>
              <w:autoSpaceDE/>
              <w:autoSpaceDN/>
              <w:bidi w:val="0"/>
              <w:adjustRightInd/>
              <w:spacing w:line="360" w:lineRule="exact"/>
              <w:textAlignment w:val="auto"/>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不接受</w:t>
            </w:r>
          </w:p>
          <w:p w14:paraId="7A44D615">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接受，联合体投标的须在投标文件中提供联合体协议书，联合体所有成员不得超过2家，联合体的任何一方均不得再与其他投标单位联合。</w:t>
            </w:r>
          </w:p>
        </w:tc>
      </w:tr>
      <w:tr w14:paraId="3445F88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1" w:hRule="atLeast"/>
          <w:jc w:val="center"/>
        </w:trPr>
        <w:tc>
          <w:tcPr>
            <w:tcW w:w="894" w:type="dxa"/>
            <w:noWrap w:val="0"/>
            <w:vAlign w:val="center"/>
          </w:tcPr>
          <w:p w14:paraId="59F0866E">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13</w:t>
            </w:r>
          </w:p>
        </w:tc>
        <w:tc>
          <w:tcPr>
            <w:tcW w:w="1402" w:type="dxa"/>
            <w:noWrap w:val="0"/>
            <w:vAlign w:val="center"/>
          </w:tcPr>
          <w:p w14:paraId="25DB3615">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招标代理费</w:t>
            </w:r>
          </w:p>
        </w:tc>
        <w:tc>
          <w:tcPr>
            <w:tcW w:w="7113" w:type="dxa"/>
            <w:noWrap w:val="0"/>
            <w:vAlign w:val="center"/>
          </w:tcPr>
          <w:p w14:paraId="0F83DE54">
            <w:pPr>
              <w:keepNext w:val="0"/>
              <w:keepLines w:val="0"/>
              <w:widowControl/>
              <w:suppressLineNumbers w:val="0"/>
              <w:spacing w:line="360" w:lineRule="auto"/>
              <w:jc w:val="left"/>
              <w:rPr>
                <w:rFonts w:hint="eastAsia" w:ascii="宋体" w:hAnsi="宋体" w:eastAsia="宋体" w:cs="宋体"/>
                <w:b/>
                <w:bCs/>
                <w:color w:val="000000"/>
                <w:kern w:val="0"/>
                <w:sz w:val="20"/>
                <w:szCs w:val="20"/>
                <w:lang w:val="en-US" w:eastAsia="zh-CN" w:bidi="ar"/>
              </w:rPr>
            </w:pPr>
            <w:r>
              <w:rPr>
                <w:rFonts w:hint="eastAsia" w:ascii="宋体" w:hAnsi="宋体" w:eastAsia="宋体" w:cs="宋体"/>
                <w:b/>
                <w:bCs/>
                <w:color w:val="000000"/>
                <w:kern w:val="0"/>
                <w:sz w:val="20"/>
                <w:szCs w:val="20"/>
                <w:lang w:val="en-US" w:eastAsia="zh-CN" w:bidi="ar"/>
              </w:rPr>
              <w:t>招标代理报酬为人民币，成交单位在领取本项目</w:t>
            </w:r>
            <w:r>
              <w:rPr>
                <w:rFonts w:hint="eastAsia" w:ascii="宋体" w:hAnsi="宋体" w:cs="宋体"/>
                <w:b/>
                <w:bCs/>
                <w:color w:val="000000"/>
                <w:kern w:val="0"/>
                <w:sz w:val="20"/>
                <w:szCs w:val="20"/>
                <w:lang w:val="en-US" w:eastAsia="zh-CN" w:bidi="ar"/>
              </w:rPr>
              <w:t>成交</w:t>
            </w:r>
            <w:r>
              <w:rPr>
                <w:rFonts w:hint="eastAsia" w:ascii="宋体" w:hAnsi="宋体" w:eastAsia="宋体" w:cs="宋体"/>
                <w:b/>
                <w:bCs/>
                <w:color w:val="000000"/>
                <w:kern w:val="0"/>
                <w:sz w:val="20"/>
                <w:szCs w:val="20"/>
                <w:lang w:val="en-US" w:eastAsia="zh-CN" w:bidi="ar"/>
              </w:rPr>
              <w:t>通知书时，本项目按照《国家计委关于印发招标代理服务收费管理暂行办法的通知（发改价格[2015]299 号）及《招标代理服务收费有关问题》（发改办价格〔2003〕857号文）中规定与采购人协商后确定由</w:t>
            </w:r>
            <w:r>
              <w:rPr>
                <w:rFonts w:hint="eastAsia" w:ascii="宋体" w:hAnsi="宋体" w:cs="宋体"/>
                <w:b/>
                <w:bCs/>
                <w:color w:val="000000"/>
                <w:kern w:val="0"/>
                <w:sz w:val="20"/>
                <w:szCs w:val="20"/>
                <w:lang w:val="en-US" w:eastAsia="zh-CN" w:bidi="ar"/>
              </w:rPr>
              <w:t>成交</w:t>
            </w:r>
            <w:r>
              <w:rPr>
                <w:rFonts w:hint="eastAsia" w:ascii="宋体" w:hAnsi="宋体" w:eastAsia="宋体" w:cs="宋体"/>
                <w:b/>
                <w:bCs/>
                <w:color w:val="000000"/>
                <w:kern w:val="0"/>
                <w:sz w:val="20"/>
                <w:szCs w:val="20"/>
                <w:lang w:val="en-US" w:eastAsia="zh-CN" w:bidi="ar"/>
              </w:rPr>
              <w:t xml:space="preserve">供应商支付。收费标准如下： </w:t>
            </w:r>
          </w:p>
          <w:p w14:paraId="47903721">
            <w:pPr>
              <w:keepNext w:val="0"/>
              <w:keepLines w:val="0"/>
              <w:pageBreakBefore w:val="0"/>
              <w:shd w:val="clear" w:color="auto" w:fill="auto"/>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招标代理服务收费标准</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7"/>
              <w:gridCol w:w="1985"/>
              <w:gridCol w:w="1986"/>
            </w:tblGrid>
            <w:tr w14:paraId="29D33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2507" w:type="dxa"/>
                  <w:noWrap w:val="0"/>
                  <w:vAlign w:val="top"/>
                </w:tcPr>
                <w:p w14:paraId="5AF12E62">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lang w:eastAsia="zh-CN"/>
                    </w:rPr>
                    <w:t>成交</w:t>
                  </w:r>
                  <w:r>
                    <w:rPr>
                      <w:rFonts w:hint="eastAsia" w:ascii="宋体" w:hAnsi="宋体" w:eastAsia="宋体" w:cs="宋体"/>
                      <w:b w:val="0"/>
                      <w:bCs/>
                      <w:snapToGrid w:val="0"/>
                      <w:color w:val="auto"/>
                      <w:sz w:val="21"/>
                      <w:szCs w:val="21"/>
                      <w:highlight w:val="none"/>
                    </w:rPr>
                    <w:t>金额（万元）</w:t>
                  </w:r>
                </w:p>
              </w:tc>
              <w:tc>
                <w:tcPr>
                  <w:tcW w:w="1985" w:type="dxa"/>
                  <w:noWrap w:val="0"/>
                  <w:vAlign w:val="top"/>
                </w:tcPr>
                <w:p w14:paraId="0B1D10D2">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货物招标</w:t>
                  </w:r>
                </w:p>
              </w:tc>
              <w:tc>
                <w:tcPr>
                  <w:tcW w:w="1986" w:type="dxa"/>
                  <w:noWrap w:val="0"/>
                  <w:vAlign w:val="top"/>
                </w:tcPr>
                <w:p w14:paraId="32B98B9F">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备注</w:t>
                  </w:r>
                </w:p>
              </w:tc>
            </w:tr>
            <w:tr w14:paraId="65CD3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2507" w:type="dxa"/>
                  <w:noWrap w:val="0"/>
                  <w:vAlign w:val="center"/>
                </w:tcPr>
                <w:p w14:paraId="3DA68437">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100以下</w:t>
                  </w:r>
                </w:p>
              </w:tc>
              <w:tc>
                <w:tcPr>
                  <w:tcW w:w="1985" w:type="dxa"/>
                  <w:noWrap w:val="0"/>
                  <w:vAlign w:val="center"/>
                </w:tcPr>
                <w:p w14:paraId="581CAB88">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1.5</w:t>
                  </w:r>
                  <w:r>
                    <w:rPr>
                      <w:rFonts w:hint="eastAsia" w:ascii="宋体" w:hAnsi="宋体" w:cs="宋体"/>
                      <w:b w:val="0"/>
                      <w:bCs/>
                      <w:snapToGrid w:val="0"/>
                      <w:color w:val="auto"/>
                      <w:sz w:val="21"/>
                      <w:szCs w:val="21"/>
                      <w:highlight w:val="none"/>
                      <w:lang w:val="en-US" w:eastAsia="zh-CN"/>
                    </w:rPr>
                    <w:t>8</w:t>
                  </w:r>
                  <w:r>
                    <w:rPr>
                      <w:rFonts w:hint="eastAsia" w:ascii="宋体" w:hAnsi="宋体" w:eastAsia="宋体" w:cs="宋体"/>
                      <w:b w:val="0"/>
                      <w:bCs/>
                      <w:snapToGrid w:val="0"/>
                      <w:color w:val="auto"/>
                      <w:sz w:val="21"/>
                      <w:szCs w:val="21"/>
                      <w:highlight w:val="none"/>
                    </w:rPr>
                    <w:t>%</w:t>
                  </w:r>
                </w:p>
              </w:tc>
              <w:tc>
                <w:tcPr>
                  <w:tcW w:w="1986" w:type="dxa"/>
                  <w:noWrap w:val="0"/>
                  <w:vAlign w:val="top"/>
                </w:tcPr>
                <w:p w14:paraId="58247D44">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p>
              </w:tc>
            </w:tr>
            <w:tr w14:paraId="0B43D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2507" w:type="dxa"/>
                  <w:noWrap w:val="0"/>
                  <w:vAlign w:val="center"/>
                </w:tcPr>
                <w:p w14:paraId="2A3A14C5">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100-500</w:t>
                  </w:r>
                </w:p>
              </w:tc>
              <w:tc>
                <w:tcPr>
                  <w:tcW w:w="1985" w:type="dxa"/>
                  <w:noWrap w:val="0"/>
                  <w:vAlign w:val="center"/>
                </w:tcPr>
                <w:p w14:paraId="0FD67E15">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1.1</w:t>
                  </w:r>
                  <w:r>
                    <w:rPr>
                      <w:rFonts w:hint="eastAsia" w:ascii="宋体" w:hAnsi="宋体" w:cs="宋体"/>
                      <w:b w:val="0"/>
                      <w:bCs/>
                      <w:snapToGrid w:val="0"/>
                      <w:color w:val="auto"/>
                      <w:sz w:val="21"/>
                      <w:szCs w:val="21"/>
                      <w:highlight w:val="none"/>
                      <w:lang w:val="en-US" w:eastAsia="zh-CN"/>
                    </w:rPr>
                    <w:t>6</w:t>
                  </w:r>
                  <w:r>
                    <w:rPr>
                      <w:rFonts w:hint="eastAsia" w:ascii="宋体" w:hAnsi="宋体" w:eastAsia="宋体" w:cs="宋体"/>
                      <w:b w:val="0"/>
                      <w:bCs/>
                      <w:snapToGrid w:val="0"/>
                      <w:color w:val="auto"/>
                      <w:sz w:val="21"/>
                      <w:szCs w:val="21"/>
                      <w:highlight w:val="none"/>
                    </w:rPr>
                    <w:t>%</w:t>
                  </w:r>
                </w:p>
              </w:tc>
              <w:tc>
                <w:tcPr>
                  <w:tcW w:w="1986" w:type="dxa"/>
                  <w:noWrap w:val="0"/>
                  <w:vAlign w:val="top"/>
                </w:tcPr>
                <w:p w14:paraId="76E64DCA">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p>
              </w:tc>
            </w:tr>
            <w:tr w14:paraId="2096C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7" w:type="dxa"/>
                  <w:noWrap w:val="0"/>
                  <w:vAlign w:val="center"/>
                </w:tcPr>
                <w:p w14:paraId="2F91E1CA">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500-1000</w:t>
                  </w:r>
                </w:p>
              </w:tc>
              <w:tc>
                <w:tcPr>
                  <w:tcW w:w="1985" w:type="dxa"/>
                  <w:noWrap w:val="0"/>
                  <w:vAlign w:val="center"/>
                </w:tcPr>
                <w:p w14:paraId="5157476E">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0.</w:t>
                  </w:r>
                  <w:r>
                    <w:rPr>
                      <w:rFonts w:hint="eastAsia" w:ascii="宋体" w:hAnsi="宋体" w:cs="宋体"/>
                      <w:b w:val="0"/>
                      <w:bCs/>
                      <w:snapToGrid w:val="0"/>
                      <w:color w:val="auto"/>
                      <w:sz w:val="21"/>
                      <w:szCs w:val="21"/>
                      <w:highlight w:val="none"/>
                      <w:lang w:val="en-US" w:eastAsia="zh-CN"/>
                    </w:rPr>
                    <w:t>93</w:t>
                  </w:r>
                  <w:r>
                    <w:rPr>
                      <w:rFonts w:hint="eastAsia" w:ascii="宋体" w:hAnsi="宋体" w:eastAsia="宋体" w:cs="宋体"/>
                      <w:b w:val="0"/>
                      <w:bCs/>
                      <w:snapToGrid w:val="0"/>
                      <w:color w:val="auto"/>
                      <w:sz w:val="21"/>
                      <w:szCs w:val="21"/>
                      <w:highlight w:val="none"/>
                    </w:rPr>
                    <w:t>%</w:t>
                  </w:r>
                </w:p>
              </w:tc>
              <w:tc>
                <w:tcPr>
                  <w:tcW w:w="1986" w:type="dxa"/>
                  <w:noWrap w:val="0"/>
                  <w:vAlign w:val="top"/>
                </w:tcPr>
                <w:p w14:paraId="5BC3D40A">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p>
              </w:tc>
            </w:tr>
            <w:tr w14:paraId="59A79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507" w:type="dxa"/>
                  <w:noWrap w:val="0"/>
                  <w:vAlign w:val="center"/>
                </w:tcPr>
                <w:p w14:paraId="388AFCEF">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1000-5000</w:t>
                  </w:r>
                </w:p>
              </w:tc>
              <w:tc>
                <w:tcPr>
                  <w:tcW w:w="1985" w:type="dxa"/>
                  <w:noWrap w:val="0"/>
                  <w:vAlign w:val="center"/>
                </w:tcPr>
                <w:p w14:paraId="6D65CAAE">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0.</w:t>
                  </w:r>
                  <w:r>
                    <w:rPr>
                      <w:rFonts w:hint="eastAsia" w:ascii="宋体" w:hAnsi="宋体" w:cs="宋体"/>
                      <w:b w:val="0"/>
                      <w:bCs/>
                      <w:snapToGrid w:val="0"/>
                      <w:color w:val="auto"/>
                      <w:sz w:val="21"/>
                      <w:szCs w:val="21"/>
                      <w:highlight w:val="none"/>
                      <w:lang w:val="en-US" w:eastAsia="zh-CN"/>
                    </w:rPr>
                    <w:t>61</w:t>
                  </w:r>
                  <w:r>
                    <w:rPr>
                      <w:rFonts w:hint="eastAsia" w:ascii="宋体" w:hAnsi="宋体" w:eastAsia="宋体" w:cs="宋体"/>
                      <w:b w:val="0"/>
                      <w:bCs/>
                      <w:snapToGrid w:val="0"/>
                      <w:color w:val="auto"/>
                      <w:sz w:val="21"/>
                      <w:szCs w:val="21"/>
                      <w:highlight w:val="none"/>
                    </w:rPr>
                    <w:t>%</w:t>
                  </w:r>
                </w:p>
              </w:tc>
              <w:tc>
                <w:tcPr>
                  <w:tcW w:w="1986" w:type="dxa"/>
                  <w:noWrap w:val="0"/>
                  <w:vAlign w:val="top"/>
                </w:tcPr>
                <w:p w14:paraId="4B3B2038">
                  <w:pPr>
                    <w:keepNext w:val="0"/>
                    <w:keepLines w:val="0"/>
                    <w:pageBreakBefore w:val="0"/>
                    <w:shd w:val="clear" w:color="auto" w:fill="auto"/>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val="0"/>
                      <w:bCs/>
                      <w:snapToGrid w:val="0"/>
                      <w:color w:val="auto"/>
                      <w:sz w:val="21"/>
                      <w:szCs w:val="21"/>
                      <w:highlight w:val="none"/>
                    </w:rPr>
                  </w:pPr>
                </w:p>
              </w:tc>
            </w:tr>
          </w:tbl>
          <w:p w14:paraId="62F09A5B">
            <w:pPr>
              <w:keepNext w:val="0"/>
              <w:keepLines w:val="0"/>
              <w:pageBreakBefore w:val="0"/>
              <w:shd w:val="clear" w:color="auto" w:fill="auto"/>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招标代理服务收费按差额定率累进法计算。例如：某项目招标代理业务</w:t>
            </w:r>
            <w:r>
              <w:rPr>
                <w:rFonts w:hint="eastAsia" w:ascii="宋体" w:hAnsi="宋体" w:eastAsia="宋体" w:cs="宋体"/>
                <w:b w:val="0"/>
                <w:bCs/>
                <w:snapToGrid w:val="0"/>
                <w:color w:val="auto"/>
                <w:sz w:val="21"/>
                <w:szCs w:val="21"/>
                <w:highlight w:val="none"/>
                <w:lang w:eastAsia="zh-CN"/>
              </w:rPr>
              <w:t>成交</w:t>
            </w:r>
            <w:r>
              <w:rPr>
                <w:rFonts w:hint="eastAsia" w:ascii="宋体" w:hAnsi="宋体" w:eastAsia="宋体" w:cs="宋体"/>
                <w:b w:val="0"/>
                <w:bCs/>
                <w:snapToGrid w:val="0"/>
                <w:color w:val="auto"/>
                <w:sz w:val="21"/>
                <w:szCs w:val="21"/>
                <w:highlight w:val="none"/>
              </w:rPr>
              <w:t>金额为2000万元，计算招标代理服务收费额如下：</w:t>
            </w:r>
          </w:p>
          <w:p w14:paraId="20D9454D">
            <w:pPr>
              <w:keepNext w:val="0"/>
              <w:keepLines w:val="0"/>
              <w:pageBreakBefore w:val="0"/>
              <w:shd w:val="clear" w:color="auto" w:fill="auto"/>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 xml:space="preserve"> 100万元×1.5</w:t>
            </w:r>
            <w:r>
              <w:rPr>
                <w:rFonts w:hint="eastAsia" w:ascii="宋体" w:hAnsi="宋体" w:cs="宋体"/>
                <w:b w:val="0"/>
                <w:bCs/>
                <w:snapToGrid w:val="0"/>
                <w:color w:val="auto"/>
                <w:sz w:val="21"/>
                <w:szCs w:val="21"/>
                <w:highlight w:val="none"/>
                <w:lang w:val="en-US" w:eastAsia="zh-CN"/>
              </w:rPr>
              <w:t>8</w:t>
            </w:r>
            <w:r>
              <w:rPr>
                <w:rFonts w:hint="eastAsia" w:ascii="宋体" w:hAnsi="宋体" w:eastAsia="宋体" w:cs="宋体"/>
                <w:b w:val="0"/>
                <w:bCs/>
                <w:snapToGrid w:val="0"/>
                <w:color w:val="auto"/>
                <w:sz w:val="21"/>
                <w:szCs w:val="21"/>
                <w:highlight w:val="none"/>
              </w:rPr>
              <w:t>%=1.5</w:t>
            </w:r>
            <w:r>
              <w:rPr>
                <w:rFonts w:hint="eastAsia" w:ascii="宋体" w:hAnsi="宋体" w:cs="宋体"/>
                <w:b w:val="0"/>
                <w:bCs/>
                <w:snapToGrid w:val="0"/>
                <w:color w:val="auto"/>
                <w:sz w:val="21"/>
                <w:szCs w:val="21"/>
                <w:highlight w:val="none"/>
                <w:lang w:val="en-US" w:eastAsia="zh-CN"/>
              </w:rPr>
              <w:t>8</w:t>
            </w:r>
            <w:r>
              <w:rPr>
                <w:rFonts w:hint="eastAsia" w:ascii="宋体" w:hAnsi="宋体" w:eastAsia="宋体" w:cs="宋体"/>
                <w:b w:val="0"/>
                <w:bCs/>
                <w:snapToGrid w:val="0"/>
                <w:color w:val="auto"/>
                <w:sz w:val="21"/>
                <w:szCs w:val="21"/>
                <w:highlight w:val="none"/>
              </w:rPr>
              <w:t>（万元）；</w:t>
            </w:r>
          </w:p>
          <w:p w14:paraId="627335E4">
            <w:pPr>
              <w:keepNext w:val="0"/>
              <w:keepLines w:val="0"/>
              <w:pageBreakBefore w:val="0"/>
              <w:shd w:val="clear" w:color="auto" w:fill="auto"/>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（500-100）万元×1.1</w:t>
            </w:r>
            <w:r>
              <w:rPr>
                <w:rFonts w:hint="eastAsia" w:ascii="宋体" w:hAnsi="宋体" w:cs="宋体"/>
                <w:b w:val="0"/>
                <w:bCs/>
                <w:snapToGrid w:val="0"/>
                <w:color w:val="auto"/>
                <w:sz w:val="21"/>
                <w:szCs w:val="21"/>
                <w:highlight w:val="none"/>
                <w:lang w:val="en-US" w:eastAsia="zh-CN"/>
              </w:rPr>
              <w:t>6</w:t>
            </w:r>
            <w:r>
              <w:rPr>
                <w:rFonts w:hint="eastAsia" w:ascii="宋体" w:hAnsi="宋体" w:eastAsia="宋体" w:cs="宋体"/>
                <w:b w:val="0"/>
                <w:bCs/>
                <w:snapToGrid w:val="0"/>
                <w:color w:val="auto"/>
                <w:sz w:val="21"/>
                <w:szCs w:val="21"/>
                <w:highlight w:val="none"/>
              </w:rPr>
              <w:t>%=4.</w:t>
            </w:r>
            <w:r>
              <w:rPr>
                <w:rFonts w:hint="eastAsia" w:ascii="宋体" w:hAnsi="宋体" w:cs="宋体"/>
                <w:b w:val="0"/>
                <w:bCs/>
                <w:snapToGrid w:val="0"/>
                <w:color w:val="auto"/>
                <w:sz w:val="21"/>
                <w:szCs w:val="21"/>
                <w:highlight w:val="none"/>
                <w:lang w:val="en-US" w:eastAsia="zh-CN"/>
              </w:rPr>
              <w:t>64</w:t>
            </w:r>
            <w:r>
              <w:rPr>
                <w:rFonts w:hint="eastAsia" w:ascii="宋体" w:hAnsi="宋体" w:eastAsia="宋体" w:cs="宋体"/>
                <w:b w:val="0"/>
                <w:bCs/>
                <w:snapToGrid w:val="0"/>
                <w:color w:val="auto"/>
                <w:sz w:val="21"/>
                <w:szCs w:val="21"/>
                <w:highlight w:val="none"/>
              </w:rPr>
              <w:t>（万元）</w:t>
            </w:r>
          </w:p>
          <w:p w14:paraId="77657191">
            <w:pPr>
              <w:keepNext w:val="0"/>
              <w:keepLines w:val="0"/>
              <w:pageBreakBefore w:val="0"/>
              <w:shd w:val="clear" w:color="auto" w:fill="auto"/>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（1000-500）万元×0.</w:t>
            </w:r>
            <w:r>
              <w:rPr>
                <w:rFonts w:hint="eastAsia" w:ascii="宋体" w:hAnsi="宋体" w:cs="宋体"/>
                <w:b w:val="0"/>
                <w:bCs/>
                <w:snapToGrid w:val="0"/>
                <w:color w:val="auto"/>
                <w:sz w:val="21"/>
                <w:szCs w:val="21"/>
                <w:highlight w:val="none"/>
                <w:lang w:val="en-US" w:eastAsia="zh-CN"/>
              </w:rPr>
              <w:t>93</w:t>
            </w:r>
            <w:r>
              <w:rPr>
                <w:rFonts w:hint="eastAsia" w:ascii="宋体" w:hAnsi="宋体" w:eastAsia="宋体" w:cs="宋体"/>
                <w:b w:val="0"/>
                <w:bCs/>
                <w:snapToGrid w:val="0"/>
                <w:color w:val="auto"/>
                <w:sz w:val="21"/>
                <w:szCs w:val="21"/>
                <w:highlight w:val="none"/>
              </w:rPr>
              <w:t>%=4.</w:t>
            </w:r>
            <w:r>
              <w:rPr>
                <w:rFonts w:hint="eastAsia" w:ascii="宋体" w:hAnsi="宋体" w:cs="宋体"/>
                <w:b w:val="0"/>
                <w:bCs/>
                <w:snapToGrid w:val="0"/>
                <w:color w:val="auto"/>
                <w:sz w:val="21"/>
                <w:szCs w:val="21"/>
                <w:highlight w:val="none"/>
                <w:lang w:val="en-US" w:eastAsia="zh-CN"/>
              </w:rPr>
              <w:t>65</w:t>
            </w:r>
            <w:r>
              <w:rPr>
                <w:rFonts w:hint="eastAsia" w:ascii="宋体" w:hAnsi="宋体" w:eastAsia="宋体" w:cs="宋体"/>
                <w:b w:val="0"/>
                <w:bCs/>
                <w:snapToGrid w:val="0"/>
                <w:color w:val="auto"/>
                <w:sz w:val="21"/>
                <w:szCs w:val="21"/>
                <w:highlight w:val="none"/>
              </w:rPr>
              <w:t>（万元）</w:t>
            </w:r>
          </w:p>
          <w:p w14:paraId="5AFBAA94">
            <w:pPr>
              <w:keepNext w:val="0"/>
              <w:keepLines w:val="0"/>
              <w:pageBreakBefore w:val="0"/>
              <w:shd w:val="clear" w:color="auto" w:fill="auto"/>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b w:val="0"/>
                <w:bCs/>
                <w:snapToGrid w:val="0"/>
                <w:color w:val="auto"/>
                <w:sz w:val="21"/>
                <w:szCs w:val="21"/>
                <w:highlight w:val="none"/>
              </w:rPr>
            </w:pPr>
            <w:r>
              <w:rPr>
                <w:rFonts w:hint="eastAsia" w:ascii="宋体" w:hAnsi="宋体" w:eastAsia="宋体" w:cs="宋体"/>
                <w:b w:val="0"/>
                <w:bCs/>
                <w:snapToGrid w:val="0"/>
                <w:color w:val="auto"/>
                <w:sz w:val="21"/>
                <w:szCs w:val="21"/>
                <w:highlight w:val="none"/>
              </w:rPr>
              <w:t>（2000-1000）万元×0.</w:t>
            </w:r>
            <w:r>
              <w:rPr>
                <w:rFonts w:hint="eastAsia" w:ascii="宋体" w:hAnsi="宋体" w:cs="宋体"/>
                <w:b w:val="0"/>
                <w:bCs/>
                <w:snapToGrid w:val="0"/>
                <w:color w:val="auto"/>
                <w:sz w:val="21"/>
                <w:szCs w:val="21"/>
                <w:highlight w:val="none"/>
                <w:lang w:val="en-US" w:eastAsia="zh-CN"/>
              </w:rPr>
              <w:t>61</w:t>
            </w:r>
            <w:r>
              <w:rPr>
                <w:rFonts w:hint="eastAsia" w:ascii="宋体" w:hAnsi="宋体" w:eastAsia="宋体" w:cs="宋体"/>
                <w:b w:val="0"/>
                <w:bCs/>
                <w:snapToGrid w:val="0"/>
                <w:color w:val="auto"/>
                <w:sz w:val="21"/>
                <w:szCs w:val="21"/>
                <w:highlight w:val="none"/>
              </w:rPr>
              <w:t>%=</w:t>
            </w:r>
            <w:r>
              <w:rPr>
                <w:rFonts w:hint="eastAsia" w:ascii="宋体" w:hAnsi="宋体" w:cs="宋体"/>
                <w:b w:val="0"/>
                <w:bCs/>
                <w:snapToGrid w:val="0"/>
                <w:color w:val="auto"/>
                <w:sz w:val="21"/>
                <w:szCs w:val="21"/>
                <w:highlight w:val="none"/>
                <w:lang w:val="en-US" w:eastAsia="zh-CN"/>
              </w:rPr>
              <w:t>6.1</w:t>
            </w:r>
            <w:r>
              <w:rPr>
                <w:rFonts w:hint="eastAsia" w:ascii="宋体" w:hAnsi="宋体" w:eastAsia="宋体" w:cs="宋体"/>
                <w:b w:val="0"/>
                <w:bCs/>
                <w:snapToGrid w:val="0"/>
                <w:color w:val="auto"/>
                <w:sz w:val="21"/>
                <w:szCs w:val="21"/>
                <w:highlight w:val="none"/>
              </w:rPr>
              <w:t>（万元）</w:t>
            </w:r>
          </w:p>
          <w:p w14:paraId="449DB6BF">
            <w:pPr>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snapToGrid w:val="0"/>
                <w:color w:val="auto"/>
                <w:sz w:val="21"/>
                <w:szCs w:val="21"/>
                <w:highlight w:val="none"/>
                <w:lang w:val="en-US" w:eastAsia="zh-CN"/>
              </w:rPr>
            </w:pPr>
            <w:r>
              <w:rPr>
                <w:rFonts w:hint="eastAsia" w:ascii="宋体" w:hAnsi="宋体" w:eastAsia="宋体" w:cs="宋体"/>
                <w:b w:val="0"/>
                <w:bCs/>
                <w:snapToGrid w:val="0"/>
                <w:color w:val="auto"/>
                <w:sz w:val="21"/>
                <w:szCs w:val="21"/>
                <w:highlight w:val="none"/>
              </w:rPr>
              <w:t>合计收费=1.5</w:t>
            </w:r>
            <w:r>
              <w:rPr>
                <w:rFonts w:hint="eastAsia" w:ascii="宋体" w:hAnsi="宋体" w:cs="宋体"/>
                <w:b w:val="0"/>
                <w:bCs/>
                <w:snapToGrid w:val="0"/>
                <w:color w:val="auto"/>
                <w:sz w:val="21"/>
                <w:szCs w:val="21"/>
                <w:highlight w:val="none"/>
                <w:lang w:val="en-US" w:eastAsia="zh-CN"/>
              </w:rPr>
              <w:t>8</w:t>
            </w:r>
            <w:r>
              <w:rPr>
                <w:rFonts w:hint="eastAsia" w:ascii="宋体" w:hAnsi="宋体" w:eastAsia="宋体" w:cs="宋体"/>
                <w:b w:val="0"/>
                <w:bCs/>
                <w:snapToGrid w:val="0"/>
                <w:color w:val="auto"/>
                <w:sz w:val="21"/>
                <w:szCs w:val="21"/>
                <w:highlight w:val="none"/>
              </w:rPr>
              <w:t>+4.</w:t>
            </w:r>
            <w:r>
              <w:rPr>
                <w:rFonts w:hint="eastAsia" w:ascii="宋体" w:hAnsi="宋体" w:cs="宋体"/>
                <w:b w:val="0"/>
                <w:bCs/>
                <w:snapToGrid w:val="0"/>
                <w:color w:val="auto"/>
                <w:sz w:val="21"/>
                <w:szCs w:val="21"/>
                <w:highlight w:val="none"/>
                <w:lang w:val="en-US" w:eastAsia="zh-CN"/>
              </w:rPr>
              <w:t>6</w:t>
            </w:r>
            <w:r>
              <w:rPr>
                <w:rFonts w:hint="eastAsia" w:ascii="宋体" w:hAnsi="宋体" w:eastAsia="宋体" w:cs="宋体"/>
                <w:b w:val="0"/>
                <w:bCs/>
                <w:snapToGrid w:val="0"/>
                <w:color w:val="auto"/>
                <w:sz w:val="21"/>
                <w:szCs w:val="21"/>
                <w:highlight w:val="none"/>
              </w:rPr>
              <w:t>4+4.</w:t>
            </w:r>
            <w:r>
              <w:rPr>
                <w:rFonts w:hint="eastAsia" w:ascii="宋体" w:hAnsi="宋体" w:cs="宋体"/>
                <w:b w:val="0"/>
                <w:bCs/>
                <w:snapToGrid w:val="0"/>
                <w:color w:val="auto"/>
                <w:sz w:val="21"/>
                <w:szCs w:val="21"/>
                <w:highlight w:val="none"/>
                <w:lang w:val="en-US" w:eastAsia="zh-CN"/>
              </w:rPr>
              <w:t>65</w:t>
            </w:r>
            <w:r>
              <w:rPr>
                <w:rFonts w:hint="eastAsia" w:ascii="宋体" w:hAnsi="宋体" w:eastAsia="宋体" w:cs="宋体"/>
                <w:b w:val="0"/>
                <w:bCs/>
                <w:snapToGrid w:val="0"/>
                <w:color w:val="auto"/>
                <w:sz w:val="21"/>
                <w:szCs w:val="21"/>
                <w:highlight w:val="none"/>
              </w:rPr>
              <w:t>+</w:t>
            </w:r>
            <w:r>
              <w:rPr>
                <w:rFonts w:hint="eastAsia" w:ascii="宋体" w:hAnsi="宋体" w:cs="宋体"/>
                <w:b w:val="0"/>
                <w:bCs/>
                <w:snapToGrid w:val="0"/>
                <w:color w:val="auto"/>
                <w:sz w:val="21"/>
                <w:szCs w:val="21"/>
                <w:highlight w:val="none"/>
                <w:lang w:val="en-US" w:eastAsia="zh-CN"/>
              </w:rPr>
              <w:t>6</w:t>
            </w:r>
            <w:r>
              <w:rPr>
                <w:rFonts w:hint="eastAsia" w:ascii="宋体" w:hAnsi="宋体" w:eastAsia="宋体" w:cs="宋体"/>
                <w:b w:val="0"/>
                <w:bCs/>
                <w:snapToGrid w:val="0"/>
                <w:color w:val="auto"/>
                <w:sz w:val="21"/>
                <w:szCs w:val="21"/>
                <w:highlight w:val="none"/>
              </w:rPr>
              <w:t>.</w:t>
            </w:r>
            <w:r>
              <w:rPr>
                <w:rFonts w:hint="eastAsia" w:ascii="宋体" w:hAnsi="宋体" w:cs="宋体"/>
                <w:b w:val="0"/>
                <w:bCs/>
                <w:snapToGrid w:val="0"/>
                <w:color w:val="auto"/>
                <w:sz w:val="21"/>
                <w:szCs w:val="21"/>
                <w:highlight w:val="none"/>
                <w:lang w:val="en-US" w:eastAsia="zh-CN"/>
              </w:rPr>
              <w:t>1</w:t>
            </w:r>
            <w:r>
              <w:rPr>
                <w:rFonts w:hint="eastAsia" w:ascii="宋体" w:hAnsi="宋体" w:eastAsia="宋体" w:cs="宋体"/>
                <w:b w:val="0"/>
                <w:bCs/>
                <w:snapToGrid w:val="0"/>
                <w:color w:val="auto"/>
                <w:sz w:val="21"/>
                <w:szCs w:val="21"/>
                <w:highlight w:val="none"/>
              </w:rPr>
              <w:t>=1</w:t>
            </w:r>
            <w:r>
              <w:rPr>
                <w:rFonts w:hint="eastAsia" w:ascii="宋体" w:hAnsi="宋体" w:cs="宋体"/>
                <w:b w:val="0"/>
                <w:bCs/>
                <w:snapToGrid w:val="0"/>
                <w:color w:val="auto"/>
                <w:sz w:val="21"/>
                <w:szCs w:val="21"/>
                <w:highlight w:val="none"/>
                <w:lang w:val="en-US" w:eastAsia="zh-CN"/>
              </w:rPr>
              <w:t>6</w:t>
            </w:r>
            <w:r>
              <w:rPr>
                <w:rFonts w:hint="eastAsia" w:ascii="宋体" w:hAnsi="宋体" w:eastAsia="宋体" w:cs="宋体"/>
                <w:b w:val="0"/>
                <w:bCs/>
                <w:snapToGrid w:val="0"/>
                <w:color w:val="auto"/>
                <w:sz w:val="21"/>
                <w:szCs w:val="21"/>
                <w:highlight w:val="none"/>
              </w:rPr>
              <w:t>.9</w:t>
            </w:r>
            <w:r>
              <w:rPr>
                <w:rFonts w:hint="eastAsia" w:ascii="宋体" w:hAnsi="宋体" w:cs="宋体"/>
                <w:b w:val="0"/>
                <w:bCs/>
                <w:snapToGrid w:val="0"/>
                <w:color w:val="auto"/>
                <w:sz w:val="21"/>
                <w:szCs w:val="21"/>
                <w:highlight w:val="none"/>
                <w:lang w:val="en-US" w:eastAsia="zh-CN"/>
              </w:rPr>
              <w:t>7</w:t>
            </w:r>
            <w:r>
              <w:rPr>
                <w:rFonts w:hint="eastAsia" w:ascii="宋体" w:hAnsi="宋体" w:eastAsia="宋体" w:cs="宋体"/>
                <w:b w:val="0"/>
                <w:bCs/>
                <w:snapToGrid w:val="0"/>
                <w:color w:val="auto"/>
                <w:sz w:val="21"/>
                <w:szCs w:val="21"/>
                <w:highlight w:val="none"/>
              </w:rPr>
              <w:t>(万元)</w:t>
            </w:r>
          </w:p>
        </w:tc>
      </w:tr>
      <w:tr w14:paraId="14B2C0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894" w:type="dxa"/>
            <w:noWrap w:val="0"/>
            <w:vAlign w:val="center"/>
          </w:tcPr>
          <w:p w14:paraId="2C1C629C">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14</w:t>
            </w:r>
          </w:p>
        </w:tc>
        <w:tc>
          <w:tcPr>
            <w:tcW w:w="1402" w:type="dxa"/>
            <w:noWrap w:val="0"/>
            <w:vAlign w:val="center"/>
          </w:tcPr>
          <w:p w14:paraId="28051F38">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投标有效期</w:t>
            </w:r>
          </w:p>
        </w:tc>
        <w:tc>
          <w:tcPr>
            <w:tcW w:w="7113" w:type="dxa"/>
            <w:noWrap w:val="0"/>
            <w:vAlign w:val="center"/>
          </w:tcPr>
          <w:p w14:paraId="2D142099">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投标有效期为</w:t>
            </w:r>
            <w:r>
              <w:rPr>
                <w:rFonts w:hint="eastAsia" w:asciiTheme="majorEastAsia" w:hAnsiTheme="majorEastAsia" w:eastAsiaTheme="majorEastAsia" w:cstheme="majorEastAsia"/>
                <w:color w:val="auto"/>
                <w:sz w:val="21"/>
                <w:szCs w:val="21"/>
                <w:highlight w:val="none"/>
                <w:u w:val="single" w:color="auto"/>
                <w:lang w:val="en-US" w:eastAsia="zh-CN"/>
              </w:rPr>
              <w:t xml:space="preserve"> 60 日历天</w:t>
            </w:r>
            <w:r>
              <w:rPr>
                <w:rFonts w:hint="eastAsia" w:asciiTheme="majorEastAsia" w:hAnsiTheme="majorEastAsia" w:eastAsiaTheme="majorEastAsia" w:cstheme="majorEastAsia"/>
                <w:color w:val="auto"/>
                <w:sz w:val="21"/>
                <w:szCs w:val="21"/>
                <w:highlight w:val="none"/>
                <w:lang w:val="en-US" w:eastAsia="zh-CN"/>
              </w:rPr>
              <w:t>（从投标截止之日算起）。在此期限内，凡符合本采购文件要求的投标文件均保持有效。</w:t>
            </w:r>
          </w:p>
        </w:tc>
      </w:tr>
      <w:tr w14:paraId="058B06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20" w:hRule="atLeast"/>
          <w:jc w:val="center"/>
        </w:trPr>
        <w:tc>
          <w:tcPr>
            <w:tcW w:w="894" w:type="dxa"/>
            <w:vMerge w:val="restart"/>
            <w:noWrap w:val="0"/>
            <w:vAlign w:val="center"/>
          </w:tcPr>
          <w:p w14:paraId="504602E5">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default"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15</w:t>
            </w:r>
          </w:p>
        </w:tc>
        <w:tc>
          <w:tcPr>
            <w:tcW w:w="1402" w:type="dxa"/>
            <w:vMerge w:val="restart"/>
            <w:noWrap w:val="0"/>
            <w:vAlign w:val="center"/>
          </w:tcPr>
          <w:p w14:paraId="5955BF89">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投标保证金</w:t>
            </w:r>
          </w:p>
        </w:tc>
        <w:tc>
          <w:tcPr>
            <w:tcW w:w="7113" w:type="dxa"/>
            <w:tcBorders>
              <w:bottom w:val="single" w:color="auto" w:sz="4" w:space="0"/>
            </w:tcBorders>
            <w:noWrap w:val="0"/>
            <w:vAlign w:val="center"/>
          </w:tcPr>
          <w:p w14:paraId="0C5ACBB0">
            <w:pPr>
              <w:snapToGrid w:val="0"/>
              <w:spacing w:line="360" w:lineRule="auto"/>
              <w:rPr>
                <w:rFonts w:hint="eastAsia" w:ascii="宋体" w:hAnsi="宋体" w:cs="宋体-18030"/>
                <w:b w:val="0"/>
                <w:bCs/>
                <w:szCs w:val="21"/>
              </w:rPr>
            </w:pPr>
            <w:r>
              <w:rPr>
                <w:rFonts w:hint="eastAsia" w:ascii="宋体" w:hAnsi="宋体" w:cs="宋体-18030"/>
                <w:b w:val="0"/>
                <w:bCs/>
                <w:szCs w:val="21"/>
              </w:rPr>
              <w:t>投标保证金交纳方式：投标保证金应当以支票、汇票、本票、网上银行支付或者金融机构、担保机构出具的保函等非现金形式交纳。</w:t>
            </w:r>
          </w:p>
          <w:p w14:paraId="629C1C58">
            <w:pPr>
              <w:keepNext w:val="0"/>
              <w:keepLines w:val="0"/>
              <w:pageBreakBefore w:val="0"/>
              <w:numPr>
                <w:ilvl w:val="0"/>
                <w:numId w:val="0"/>
              </w:numPr>
              <w:shd w:val="clear" w:color="auto" w:fill="auto"/>
              <w:kinsoku/>
              <w:wordWrap/>
              <w:overflowPunct w:val="0"/>
              <w:topLinePunct w:val="0"/>
              <w:autoSpaceDE w:val="0"/>
              <w:autoSpaceDN w:val="0"/>
              <w:bidi w:val="0"/>
              <w:spacing w:line="400" w:lineRule="exact"/>
              <w:jc w:val="left"/>
              <w:rPr>
                <w:rFonts w:hint="eastAsia" w:asciiTheme="majorEastAsia" w:hAnsiTheme="majorEastAsia" w:eastAsiaTheme="majorEastAsia" w:cstheme="majorEastAsia"/>
                <w:b/>
                <w:bCs/>
                <w:color w:val="auto"/>
                <w:sz w:val="21"/>
                <w:szCs w:val="21"/>
                <w:highlight w:val="none"/>
              </w:rPr>
            </w:pPr>
            <w:r>
              <w:rPr>
                <w:rFonts w:hint="eastAsia" w:ascii="宋体" w:hAnsi="宋体" w:cs="宋体-18030"/>
                <w:b/>
                <w:bCs w:val="0"/>
                <w:szCs w:val="21"/>
              </w:rPr>
              <w:t>投标保证金的金额：</w:t>
            </w:r>
            <w:r>
              <w:rPr>
                <w:rFonts w:hint="eastAsia" w:ascii="宋体" w:hAnsi="宋体" w:cs="宋体-18030"/>
                <w:b/>
                <w:bCs w:val="0"/>
                <w:szCs w:val="21"/>
                <w:lang w:val="en-US" w:eastAsia="zh-CN"/>
              </w:rPr>
              <w:t>小写</w:t>
            </w:r>
            <w:r>
              <w:rPr>
                <w:rFonts w:hint="eastAsia" w:ascii="宋体" w:hAnsi="宋体" w:cs="宋体-18030"/>
                <w:b/>
                <w:bCs w:val="0"/>
                <w:szCs w:val="21"/>
              </w:rPr>
              <w:t>：</w:t>
            </w:r>
            <w:r>
              <w:rPr>
                <w:rFonts w:hint="eastAsia" w:ascii="宋体" w:hAnsi="宋体" w:cs="宋体-18030"/>
                <w:b/>
                <w:bCs w:val="0"/>
                <w:szCs w:val="21"/>
                <w:lang w:val="en-US" w:eastAsia="zh-CN"/>
              </w:rPr>
              <w:t>10000.00元     大写：壹万元整</w:t>
            </w:r>
          </w:p>
        </w:tc>
      </w:tr>
      <w:tr w14:paraId="43EE560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894" w:type="dxa"/>
            <w:vMerge w:val="continue"/>
            <w:noWrap w:val="0"/>
            <w:vAlign w:val="center"/>
          </w:tcPr>
          <w:p w14:paraId="34743101">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p>
        </w:tc>
        <w:tc>
          <w:tcPr>
            <w:tcW w:w="1402" w:type="dxa"/>
            <w:vMerge w:val="continue"/>
            <w:noWrap w:val="0"/>
            <w:vAlign w:val="center"/>
          </w:tcPr>
          <w:p w14:paraId="11B016FE">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p>
        </w:tc>
        <w:tc>
          <w:tcPr>
            <w:tcW w:w="7113" w:type="dxa"/>
            <w:noWrap w:val="0"/>
            <w:vAlign w:val="top"/>
          </w:tcPr>
          <w:p w14:paraId="02EACC18">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投标保证金要求：</w:t>
            </w:r>
          </w:p>
          <w:p w14:paraId="1559B1E5">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投标保证金交纳方式：投标保证金应当以支票、汇票、本票、网上银行支付或者金融机构、担保机构出具的保函等非现金形式交纳。</w:t>
            </w:r>
          </w:p>
          <w:p w14:paraId="7E09ED13">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投标保证金的金额：</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0000元（大写：</w:t>
            </w:r>
            <w:r>
              <w:rPr>
                <w:rFonts w:hint="eastAsia" w:ascii="宋体" w:hAnsi="宋体" w:eastAsia="宋体" w:cs="宋体"/>
                <w:color w:val="auto"/>
                <w:szCs w:val="21"/>
                <w:highlight w:val="none"/>
                <w:lang w:val="en-US" w:eastAsia="zh-CN"/>
              </w:rPr>
              <w:t>壹万</w:t>
            </w:r>
            <w:r>
              <w:rPr>
                <w:rFonts w:hint="eastAsia" w:ascii="宋体" w:hAnsi="宋体" w:eastAsia="宋体" w:cs="宋体"/>
                <w:color w:val="auto"/>
                <w:szCs w:val="21"/>
                <w:highlight w:val="none"/>
                <w:lang w:eastAsia="zh-CN"/>
              </w:rPr>
              <w:t>元整）</w:t>
            </w:r>
          </w:p>
          <w:p w14:paraId="6A576F0C">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投标保证金以电汇、网银形式提交的，应在投标截止前以总公司的基本账户一次性汇入指定账户（以到账时间为准）， 不接受现金及任何个人汇款。汇款凭证作为该项目投标保证金的缴纳依据。</w:t>
            </w:r>
          </w:p>
          <w:p w14:paraId="50AEE579">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其他特殊情况处理：有效投标保证金成功交纳后，截止开标时间，投标企业无正当理由不参加该项目投标且不递交弃标函，投标保证金不予退还。</w:t>
            </w:r>
          </w:p>
          <w:p w14:paraId="1F074B7C">
            <w:pPr>
              <w:snapToGrid w:val="0"/>
              <w:spacing w:line="290" w:lineRule="exact"/>
              <w:rPr>
                <w:rFonts w:hint="eastAsia" w:ascii="宋体" w:hAnsi="宋体" w:eastAsia="宋体" w:cs="宋体"/>
                <w:color w:val="auto"/>
                <w:szCs w:val="21"/>
                <w:highlight w:val="none"/>
                <w:lang w:eastAsia="zh-CN"/>
              </w:rPr>
            </w:pPr>
          </w:p>
          <w:p w14:paraId="69799511">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户名：</w:t>
            </w:r>
            <w:r>
              <w:rPr>
                <w:rFonts w:hint="eastAsia" w:ascii="宋体" w:hAnsi="宋体" w:cs="宋体"/>
                <w:color w:val="auto"/>
                <w:szCs w:val="21"/>
                <w:highlight w:val="none"/>
                <w:lang w:eastAsia="zh-CN"/>
              </w:rPr>
              <w:t>克孜勒苏柯尔克孜自治州公共资源交易中心</w:t>
            </w:r>
          </w:p>
          <w:p w14:paraId="1DAC50B7">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账号：30456301040005069</w:t>
            </w:r>
          </w:p>
          <w:p w14:paraId="5AD529D5">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行名：中国农业银行阿图什市天山分理处</w:t>
            </w:r>
          </w:p>
          <w:p w14:paraId="5FB4C544">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行号：103893045636</w:t>
            </w:r>
          </w:p>
          <w:p w14:paraId="38CC41A6">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联系人：帕女士</w:t>
            </w:r>
          </w:p>
          <w:p w14:paraId="2FE5D5C0">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电话：0908-4220265    15809081090</w:t>
            </w:r>
          </w:p>
          <w:p w14:paraId="0C6F9795">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（备注：必须写清楚xx公司xx项目保证金）</w:t>
            </w:r>
          </w:p>
          <w:p w14:paraId="4B389EC3">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二、</w:t>
            </w:r>
            <w:r>
              <w:rPr>
                <w:rFonts w:hint="eastAsia" w:ascii="宋体" w:hAnsi="宋体" w:eastAsia="宋体" w:cs="宋体"/>
                <w:color w:val="auto"/>
                <w:szCs w:val="21"/>
                <w:highlight w:val="none"/>
                <w:lang w:eastAsia="zh-CN"/>
              </w:rPr>
              <w:t>申请退还投标保证金资料（招投标结束中标结果公示后）：</w:t>
            </w:r>
          </w:p>
          <w:p w14:paraId="4B90557D">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投标企业：待开标完成后，未中标企业 3 个工作日内政资 中心将收取的项目投标保证金按投标企业基本户退回。</w:t>
            </w:r>
          </w:p>
          <w:p w14:paraId="2C13A456">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中标企业：需提供已签订合同复印件一份，复印件每页需 加盖企业鲜章（并携带合同原件，由中心工作人员核对后退还）。</w:t>
            </w:r>
          </w:p>
          <w:p w14:paraId="034915BF">
            <w:pPr>
              <w:snapToGrid w:val="0"/>
              <w:spacing w:line="29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lang w:eastAsia="zh-CN"/>
              </w:rPr>
              <w:t>其他特殊情况处理：</w:t>
            </w:r>
          </w:p>
          <w:p w14:paraId="77214A40">
            <w:pPr>
              <w:snapToGrid w:val="0"/>
              <w:spacing w:line="360" w:lineRule="auto"/>
              <w:rPr>
                <w:rFonts w:hint="eastAsia" w:asciiTheme="majorEastAsia" w:hAnsiTheme="majorEastAsia" w:eastAsiaTheme="majorEastAsia" w:cstheme="majorEastAsia"/>
                <w:color w:val="auto"/>
                <w:sz w:val="21"/>
                <w:szCs w:val="21"/>
                <w:highlight w:val="none"/>
                <w:lang w:val="en-US" w:eastAsia="zh-CN"/>
              </w:rPr>
            </w:pPr>
            <w:r>
              <w:rPr>
                <w:rFonts w:hint="eastAsia" w:ascii="宋体" w:hAnsi="宋体" w:eastAsia="宋体" w:cs="宋体"/>
                <w:color w:val="auto"/>
                <w:szCs w:val="21"/>
                <w:highlight w:val="none"/>
                <w:lang w:eastAsia="zh-CN"/>
              </w:rPr>
              <w:t xml:space="preserve">1、按照招标文件要求规定：投标企业无正当理由不参加该项 目投标且在规定开标时间前不递交弃标函，投标保证金不予退还。 </w:t>
            </w:r>
            <w:r>
              <w:rPr>
                <w:rFonts w:hint="eastAsia" w:ascii="宋体" w:hAnsi="宋体" w:eastAsia="宋体" w:cs="宋体-18030"/>
                <w:b w:val="0"/>
                <w:bCs/>
                <w:szCs w:val="21"/>
                <w:lang w:val="en-US" w:eastAsia="zh-CN"/>
              </w:rPr>
              <w:t xml:space="preserve"> </w:t>
            </w:r>
          </w:p>
        </w:tc>
      </w:tr>
      <w:tr w14:paraId="1383B4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894" w:type="dxa"/>
            <w:noWrap w:val="0"/>
            <w:vAlign w:val="center"/>
          </w:tcPr>
          <w:p w14:paraId="347958E2">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16</w:t>
            </w:r>
          </w:p>
        </w:tc>
        <w:tc>
          <w:tcPr>
            <w:tcW w:w="1402" w:type="dxa"/>
            <w:noWrap w:val="0"/>
            <w:vAlign w:val="center"/>
          </w:tcPr>
          <w:p w14:paraId="61AC5118">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投标文件形式</w:t>
            </w:r>
          </w:p>
        </w:tc>
        <w:tc>
          <w:tcPr>
            <w:tcW w:w="7113" w:type="dxa"/>
            <w:noWrap w:val="0"/>
            <w:vAlign w:val="center"/>
          </w:tcPr>
          <w:p w14:paraId="2E217AFF">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电子投标文件包括“电子加密投标文件”和“备份投标文件”，在投标文件编制完成后同时生成。</w:t>
            </w:r>
          </w:p>
          <w:p w14:paraId="146DDFDF">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1、“电子加密投标文件”是指通过“政采云电子交易客户端”完成投标文件编制后生成并加密的数据电文形式的投标文件。</w:t>
            </w:r>
          </w:p>
          <w:p w14:paraId="27729142">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2、“备份投标文件”是指与“电子加密投标文件”同时生成的数据电文形式的电子文件（备份标书，用于供应商标书解密异常时应急使用），其他方式编制的备份投标文件视为无效备份投标文件。</w:t>
            </w:r>
          </w:p>
        </w:tc>
      </w:tr>
      <w:tr w14:paraId="0AEF7E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275" w:hRule="atLeast"/>
          <w:jc w:val="center"/>
        </w:trPr>
        <w:tc>
          <w:tcPr>
            <w:tcW w:w="894" w:type="dxa"/>
            <w:noWrap w:val="0"/>
            <w:vAlign w:val="center"/>
          </w:tcPr>
          <w:p w14:paraId="4B2535FC">
            <w:pPr>
              <w:keepNext w:val="0"/>
              <w:keepLines w:val="0"/>
              <w:pageBreakBefore w:val="0"/>
              <w:shd w:val="clear" w:color="auto" w:fill="auto"/>
              <w:kinsoku/>
              <w:wordWrap/>
              <w:overflowPunct/>
              <w:topLinePunct w:val="0"/>
              <w:autoSpaceDE/>
              <w:autoSpaceDN/>
              <w:bidi w:val="0"/>
              <w:adjustRightInd/>
              <w:snapToGrid w:val="0"/>
              <w:spacing w:line="360" w:lineRule="exact"/>
              <w:ind w:left="-78" w:leftChars="-37" w:right="-95" w:rightChars="-45"/>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17</w:t>
            </w:r>
          </w:p>
        </w:tc>
        <w:tc>
          <w:tcPr>
            <w:tcW w:w="1402" w:type="dxa"/>
            <w:noWrap w:val="0"/>
            <w:vAlign w:val="center"/>
          </w:tcPr>
          <w:p w14:paraId="769A9F66">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b w:val="0"/>
                <w:bCs w:val="0"/>
                <w:color w:val="auto"/>
                <w:sz w:val="21"/>
                <w:szCs w:val="21"/>
                <w:highlight w:val="none"/>
                <w:lang w:val="en-US" w:eastAsia="zh-CN"/>
              </w:rPr>
            </w:pPr>
            <w:r>
              <w:rPr>
                <w:rFonts w:hint="eastAsia" w:asciiTheme="majorEastAsia" w:hAnsiTheme="majorEastAsia" w:eastAsiaTheme="majorEastAsia" w:cstheme="majorEastAsia"/>
                <w:b w:val="0"/>
                <w:bCs w:val="0"/>
                <w:color w:val="auto"/>
                <w:sz w:val="21"/>
                <w:szCs w:val="21"/>
                <w:highlight w:val="none"/>
                <w:lang w:val="en-US" w:eastAsia="zh-CN"/>
              </w:rPr>
              <w:t>投标文件份数及要求</w:t>
            </w:r>
          </w:p>
        </w:tc>
        <w:tc>
          <w:tcPr>
            <w:tcW w:w="7113" w:type="dxa"/>
            <w:noWrap w:val="0"/>
            <w:vAlign w:val="center"/>
          </w:tcPr>
          <w:p w14:paraId="522C780E">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b w:val="0"/>
                <w:bCs w:val="0"/>
                <w:color w:val="auto"/>
                <w:sz w:val="21"/>
                <w:szCs w:val="21"/>
                <w:highlight w:val="none"/>
                <w:lang w:val="en-US" w:eastAsia="zh-CN"/>
              </w:rPr>
            </w:pPr>
            <w:r>
              <w:rPr>
                <w:rFonts w:hint="eastAsia" w:asciiTheme="majorEastAsia" w:hAnsiTheme="majorEastAsia" w:eastAsiaTheme="majorEastAsia" w:cstheme="majorEastAsia"/>
                <w:b w:val="0"/>
                <w:bCs w:val="0"/>
                <w:color w:val="auto"/>
                <w:sz w:val="21"/>
                <w:szCs w:val="21"/>
                <w:highlight w:val="none"/>
                <w:lang w:val="en-US" w:eastAsia="zh-CN"/>
              </w:rPr>
              <w:t>1、一份电子加密标书（“.jmbs”格式），一份备份标书文件（“.bfbs”格式）。</w:t>
            </w:r>
          </w:p>
          <w:p w14:paraId="618956D4">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b w:val="0"/>
                <w:bCs w:val="0"/>
                <w:color w:val="auto"/>
                <w:sz w:val="21"/>
                <w:szCs w:val="21"/>
                <w:highlight w:val="none"/>
                <w:lang w:val="en-US" w:eastAsia="zh-CN"/>
              </w:rPr>
            </w:pPr>
            <w:r>
              <w:rPr>
                <w:rFonts w:hint="eastAsia" w:asciiTheme="majorEastAsia" w:hAnsiTheme="majorEastAsia" w:eastAsiaTheme="majorEastAsia" w:cstheme="majorEastAsia"/>
                <w:b w:val="0"/>
                <w:bCs w:val="0"/>
                <w:color w:val="auto"/>
                <w:sz w:val="21"/>
                <w:szCs w:val="21"/>
                <w:highlight w:val="none"/>
                <w:lang w:val="en-US" w:eastAsia="zh-CN"/>
              </w:rPr>
              <w:t>2、每份电子投标文件应包括</w:t>
            </w:r>
            <w:r>
              <w:rPr>
                <w:rFonts w:hint="eastAsia" w:asciiTheme="majorEastAsia" w:hAnsiTheme="majorEastAsia" w:eastAsiaTheme="majorEastAsia" w:cstheme="majorEastAsia"/>
                <w:b w:val="0"/>
                <w:bCs w:val="0"/>
                <w:color w:val="auto"/>
                <w:szCs w:val="21"/>
                <w:highlight w:val="none"/>
              </w:rPr>
              <w:t>资格证明文件和商务</w:t>
            </w:r>
            <w:r>
              <w:rPr>
                <w:rFonts w:hint="eastAsia" w:asciiTheme="majorEastAsia" w:hAnsiTheme="majorEastAsia" w:eastAsiaTheme="majorEastAsia" w:cstheme="majorEastAsia"/>
                <w:b w:val="0"/>
                <w:bCs w:val="0"/>
                <w:color w:val="auto"/>
                <w:szCs w:val="21"/>
                <w:highlight w:val="none"/>
                <w:lang w:eastAsia="zh-CN"/>
              </w:rPr>
              <w:t>、</w:t>
            </w:r>
            <w:r>
              <w:rPr>
                <w:rFonts w:hint="eastAsia" w:asciiTheme="majorEastAsia" w:hAnsiTheme="majorEastAsia" w:eastAsiaTheme="majorEastAsia" w:cstheme="majorEastAsia"/>
                <w:b w:val="0"/>
                <w:bCs w:val="0"/>
                <w:color w:val="auto"/>
                <w:szCs w:val="21"/>
                <w:highlight w:val="none"/>
              </w:rPr>
              <w:t>技术文件两部分</w:t>
            </w:r>
            <w:r>
              <w:rPr>
                <w:rFonts w:hint="eastAsia" w:asciiTheme="majorEastAsia" w:hAnsiTheme="majorEastAsia" w:eastAsiaTheme="majorEastAsia" w:cstheme="majorEastAsia"/>
                <w:b w:val="0"/>
                <w:bCs w:val="0"/>
                <w:color w:val="auto"/>
                <w:szCs w:val="21"/>
                <w:highlight w:val="none"/>
                <w:lang w:eastAsia="zh-CN"/>
              </w:rPr>
              <w:t>。</w:t>
            </w:r>
          </w:p>
        </w:tc>
      </w:tr>
      <w:tr w14:paraId="217C89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894" w:type="dxa"/>
            <w:vMerge w:val="restart"/>
            <w:noWrap w:val="0"/>
            <w:vAlign w:val="center"/>
          </w:tcPr>
          <w:p w14:paraId="4CA26248">
            <w:pPr>
              <w:keepNext w:val="0"/>
              <w:keepLines w:val="0"/>
              <w:pageBreakBefore w:val="0"/>
              <w:shd w:val="clear" w:color="auto" w:fill="auto"/>
              <w:kinsoku/>
              <w:wordWrap/>
              <w:overflowPunct/>
              <w:topLinePunct w:val="0"/>
              <w:autoSpaceDE/>
              <w:autoSpaceDN/>
              <w:bidi w:val="0"/>
              <w:adjustRightInd/>
              <w:snapToGrid w:val="0"/>
              <w:spacing w:line="360" w:lineRule="exact"/>
              <w:ind w:left="-78" w:leftChars="-37" w:right="-95" w:rightChars="-45"/>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18</w:t>
            </w:r>
          </w:p>
        </w:tc>
        <w:tc>
          <w:tcPr>
            <w:tcW w:w="1402" w:type="dxa"/>
            <w:vMerge w:val="restart"/>
            <w:noWrap w:val="0"/>
            <w:vAlign w:val="center"/>
          </w:tcPr>
          <w:p w14:paraId="7B66FAE3">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bCs/>
                <w:color w:val="auto"/>
                <w:sz w:val="21"/>
                <w:szCs w:val="21"/>
                <w:highlight w:val="none"/>
              </w:rPr>
            </w:pPr>
            <w:r>
              <w:rPr>
                <w:rFonts w:hint="eastAsia" w:asciiTheme="majorEastAsia" w:hAnsiTheme="majorEastAsia" w:eastAsiaTheme="majorEastAsia" w:cstheme="majorEastAsia"/>
                <w:b/>
                <w:bCs/>
                <w:color w:val="auto"/>
                <w:sz w:val="21"/>
                <w:szCs w:val="21"/>
                <w:highlight w:val="none"/>
                <w:lang w:bidi="zh-CN"/>
              </w:rPr>
              <w:t>投标文件的上传和递交</w:t>
            </w:r>
          </w:p>
        </w:tc>
        <w:tc>
          <w:tcPr>
            <w:tcW w:w="7113" w:type="dxa"/>
            <w:noWrap w:val="0"/>
            <w:vAlign w:val="center"/>
          </w:tcPr>
          <w:p w14:paraId="0B98F67B">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u w:val="single" w:color="auto"/>
                <w:lang w:val="en-US" w:eastAsia="zh-CN"/>
              </w:rPr>
            </w:pPr>
            <w:r>
              <w:rPr>
                <w:rFonts w:hint="eastAsia" w:asciiTheme="majorEastAsia" w:hAnsiTheme="majorEastAsia" w:eastAsiaTheme="majorEastAsia" w:cstheme="majorEastAsia"/>
                <w:color w:val="auto"/>
                <w:sz w:val="21"/>
                <w:szCs w:val="21"/>
                <w:highlight w:val="none"/>
                <w:lang w:val="en-US" w:eastAsia="zh-CN"/>
              </w:rPr>
              <w:t>1.电子加密投标文件：投标文件制作完成并生成加密标书，在投标截止时间前，供应商需将加密的投标文件上传至政采云平台，</w:t>
            </w:r>
            <w:r>
              <w:rPr>
                <w:rFonts w:hint="eastAsia" w:asciiTheme="majorEastAsia" w:hAnsiTheme="majorEastAsia" w:eastAsiaTheme="majorEastAsia" w:cstheme="majorEastAsia"/>
                <w:b/>
                <w:bCs/>
                <w:color w:val="auto"/>
                <w:sz w:val="21"/>
                <w:szCs w:val="21"/>
                <w:highlight w:val="none"/>
                <w:u w:val="single" w:color="auto"/>
                <w:lang w:val="en-US" w:eastAsia="zh-CN"/>
              </w:rPr>
              <w:t>在开标时间开始后，待采购组织机构发出解密通知后30分钟内解密投标文件。</w:t>
            </w:r>
          </w:p>
          <w:p w14:paraId="7E220BEA">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a.供应商未能在投标截止时间前成功上传电子加密投标文件的投标无效。</w:t>
            </w:r>
          </w:p>
          <w:p w14:paraId="490641C8">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b.供应商成功上传电子加密投标文件后，可自行打印投标文件接收回执。</w:t>
            </w:r>
          </w:p>
        </w:tc>
      </w:tr>
      <w:tr w14:paraId="0706FD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98" w:hRule="atLeast"/>
          <w:jc w:val="center"/>
        </w:trPr>
        <w:tc>
          <w:tcPr>
            <w:tcW w:w="894" w:type="dxa"/>
            <w:vMerge w:val="continue"/>
            <w:noWrap w:val="0"/>
            <w:vAlign w:val="center"/>
          </w:tcPr>
          <w:p w14:paraId="78F8FBC9">
            <w:pPr>
              <w:keepNext w:val="0"/>
              <w:keepLines w:val="0"/>
              <w:pageBreakBefore w:val="0"/>
              <w:shd w:val="clear" w:color="auto" w:fill="auto"/>
              <w:kinsoku/>
              <w:wordWrap/>
              <w:overflowPunct/>
              <w:topLinePunct w:val="0"/>
              <w:autoSpaceDE/>
              <w:autoSpaceDN/>
              <w:bidi w:val="0"/>
              <w:adjustRightInd/>
              <w:snapToGrid w:val="0"/>
              <w:spacing w:line="360" w:lineRule="exact"/>
              <w:ind w:left="-78" w:leftChars="-37" w:right="-95" w:rightChars="-45"/>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p>
        </w:tc>
        <w:tc>
          <w:tcPr>
            <w:tcW w:w="1402" w:type="dxa"/>
            <w:vMerge w:val="continue"/>
            <w:noWrap w:val="0"/>
            <w:vAlign w:val="center"/>
          </w:tcPr>
          <w:p w14:paraId="39C89E90">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b/>
                <w:bCs/>
                <w:color w:val="auto"/>
                <w:sz w:val="21"/>
                <w:szCs w:val="21"/>
                <w:highlight w:val="none"/>
                <w:lang w:bidi="zh-CN"/>
              </w:rPr>
            </w:pPr>
          </w:p>
        </w:tc>
        <w:tc>
          <w:tcPr>
            <w:tcW w:w="7113" w:type="dxa"/>
            <w:noWrap w:val="0"/>
            <w:vAlign w:val="center"/>
          </w:tcPr>
          <w:p w14:paraId="626D7110">
            <w:pPr>
              <w:pStyle w:val="15"/>
              <w:keepNext w:val="0"/>
              <w:keepLines w:val="0"/>
              <w:pageBreakBefore w:val="0"/>
              <w:kinsoku/>
              <w:wordWrap/>
              <w:overflowPunct/>
              <w:topLinePunct w:val="0"/>
              <w:autoSpaceDE/>
              <w:autoSpaceDN/>
              <w:bidi w:val="0"/>
              <w:adjustRightInd/>
              <w:snapToGrid w:val="0"/>
              <w:spacing w:line="360" w:lineRule="exact"/>
              <w:textAlignment w:val="auto"/>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2.备份投标文件：供应商在投标截止时间前将加密的投标文件上传至政府采购云平台，还可以在投标截止时间前以电子邮件方式提供备份投标文件1份（接收人邮箱：</w:t>
            </w:r>
            <w:r>
              <w:rPr>
                <w:rFonts w:hint="eastAsia" w:asciiTheme="majorEastAsia" w:hAnsiTheme="majorEastAsia" w:eastAsiaTheme="majorEastAsia" w:cstheme="majorEastAsia"/>
                <w:color w:val="auto"/>
                <w:szCs w:val="21"/>
                <w:highlight w:val="none"/>
                <w:lang w:val="en-US" w:eastAsia="zh-CN"/>
              </w:rPr>
              <w:t>756299071@qq.com</w:t>
            </w:r>
            <w:r>
              <w:rPr>
                <w:rFonts w:hint="eastAsia" w:asciiTheme="majorEastAsia" w:hAnsiTheme="majorEastAsia" w:eastAsiaTheme="majorEastAsia" w:cstheme="majorEastAsia"/>
                <w:color w:val="auto"/>
                <w:szCs w:val="21"/>
                <w:highlight w:val="none"/>
              </w:rPr>
              <w:t>，接收人：</w:t>
            </w:r>
            <w:r>
              <w:rPr>
                <w:rFonts w:hint="eastAsia" w:asciiTheme="majorEastAsia" w:hAnsiTheme="majorEastAsia" w:eastAsiaTheme="majorEastAsia" w:cstheme="majorEastAsia"/>
                <w:color w:val="auto"/>
                <w:szCs w:val="21"/>
                <w:highlight w:val="none"/>
                <w:lang w:val="en-US" w:eastAsia="zh-CN"/>
              </w:rPr>
              <w:t>王先生联系电话：18809085988</w:t>
            </w:r>
            <w:r>
              <w:rPr>
                <w:rFonts w:hint="eastAsia" w:asciiTheme="majorEastAsia" w:hAnsiTheme="majorEastAsia" w:eastAsiaTheme="majorEastAsia" w:cstheme="majorEastAsia"/>
                <w:color w:val="auto"/>
                <w:szCs w:val="21"/>
                <w:highlight w:val="none"/>
              </w:rPr>
              <w:t>“备份投标文件”由供应商自愿提供，采购文件不作强制性要求；如不提供或未按要求提供的，当电子投标文件无法解密时，将导致无备份投标文件而失去投标资格。</w:t>
            </w:r>
          </w:p>
          <w:p w14:paraId="21366159">
            <w:pPr>
              <w:pStyle w:val="15"/>
              <w:keepNext w:val="0"/>
              <w:keepLines w:val="0"/>
              <w:pageBreakBefore w:val="0"/>
              <w:kinsoku/>
              <w:wordWrap/>
              <w:overflowPunct/>
              <w:topLinePunct w:val="0"/>
              <w:autoSpaceDE/>
              <w:autoSpaceDN/>
              <w:bidi w:val="0"/>
              <w:adjustRightInd/>
              <w:snapToGrid w:val="0"/>
              <w:spacing w:line="360" w:lineRule="exact"/>
              <w:textAlignment w:val="auto"/>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a.备份投标文件提供要求：供应商可以将备份投标文件打包压缩并加密，压缩包命名为“XX单位备份投标文件”，加密密码由供应商自行保管；送达时间以采购代理机构实际接收时间为准。“备份投标文件”逾期或未按要求提供的视为未提供，建议供应商提前1日办理邮件提供事宜。</w:t>
            </w:r>
          </w:p>
          <w:p w14:paraId="58C25ACF">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Cs w:val="21"/>
                <w:highlight w:val="none"/>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tc>
      </w:tr>
      <w:tr w14:paraId="48F1D7E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17" w:hRule="atLeast"/>
          <w:jc w:val="center"/>
        </w:trPr>
        <w:tc>
          <w:tcPr>
            <w:tcW w:w="894" w:type="dxa"/>
            <w:noWrap w:val="0"/>
            <w:vAlign w:val="center"/>
          </w:tcPr>
          <w:p w14:paraId="1180A2D3">
            <w:pPr>
              <w:keepNext w:val="0"/>
              <w:keepLines w:val="0"/>
              <w:pageBreakBefore w:val="0"/>
              <w:shd w:val="clear" w:color="auto" w:fill="auto"/>
              <w:kinsoku/>
              <w:wordWrap/>
              <w:overflowPunct/>
              <w:topLinePunct w:val="0"/>
              <w:autoSpaceDE/>
              <w:autoSpaceDN/>
              <w:bidi w:val="0"/>
              <w:adjustRightInd/>
              <w:snapToGrid w:val="0"/>
              <w:spacing w:line="360" w:lineRule="exact"/>
              <w:ind w:left="-78" w:leftChars="-37" w:right="-95" w:rightChars="-45"/>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19</w:t>
            </w:r>
          </w:p>
        </w:tc>
        <w:tc>
          <w:tcPr>
            <w:tcW w:w="1402" w:type="dxa"/>
            <w:noWrap w:val="0"/>
            <w:vAlign w:val="center"/>
          </w:tcPr>
          <w:p w14:paraId="7085BF48">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lang w:eastAsia="zh-CN"/>
              </w:rPr>
              <w:t>投标截止</w:t>
            </w:r>
            <w:r>
              <w:rPr>
                <w:rFonts w:hint="eastAsia" w:asciiTheme="majorEastAsia" w:hAnsiTheme="majorEastAsia" w:eastAsiaTheme="majorEastAsia" w:cstheme="majorEastAsia"/>
                <w:color w:val="auto"/>
                <w:sz w:val="21"/>
                <w:szCs w:val="21"/>
                <w:highlight w:val="none"/>
              </w:rPr>
              <w:t>时间及地点</w:t>
            </w:r>
          </w:p>
        </w:tc>
        <w:tc>
          <w:tcPr>
            <w:tcW w:w="7113" w:type="dxa"/>
            <w:noWrap w:val="0"/>
            <w:vAlign w:val="center"/>
          </w:tcPr>
          <w:p w14:paraId="7562F4FA">
            <w:pPr>
              <w:keepNext w:val="0"/>
              <w:keepLines w:val="0"/>
              <w:pageBreakBefore w:val="0"/>
              <w:shd w:val="clear" w:color="auto" w:fill="auto"/>
              <w:kinsoku/>
              <w:wordWrap/>
              <w:overflowPunct/>
              <w:topLinePunct w:val="0"/>
              <w:autoSpaceDE/>
              <w:autoSpaceDN/>
              <w:bidi w:val="0"/>
              <w:adjustRightInd/>
              <w:snapToGrid w:val="0"/>
              <w:spacing w:line="360" w:lineRule="exact"/>
              <w:ind w:firstLine="18" w:firstLineChars="9"/>
              <w:textAlignment w:val="auto"/>
              <w:outlineLvl w:val="9"/>
              <w:rPr>
                <w:rFonts w:hint="eastAsia" w:asciiTheme="majorEastAsia" w:hAnsiTheme="majorEastAsia" w:eastAsiaTheme="majorEastAsia" w:cstheme="majorEastAsia"/>
                <w:b/>
                <w:bCs/>
                <w:color w:val="auto"/>
                <w:sz w:val="21"/>
                <w:szCs w:val="21"/>
                <w:highlight w:val="none"/>
              </w:rPr>
            </w:pPr>
            <w:r>
              <w:rPr>
                <w:rFonts w:hint="eastAsia" w:asciiTheme="majorEastAsia" w:hAnsiTheme="majorEastAsia" w:eastAsiaTheme="majorEastAsia" w:cstheme="majorEastAsia"/>
                <w:b/>
                <w:bCs/>
                <w:color w:val="auto"/>
                <w:sz w:val="21"/>
                <w:szCs w:val="21"/>
                <w:highlight w:val="none"/>
                <w:lang w:eastAsia="zh-CN"/>
              </w:rPr>
              <w:t>投标截止</w:t>
            </w:r>
            <w:r>
              <w:rPr>
                <w:rFonts w:hint="eastAsia" w:asciiTheme="majorEastAsia" w:hAnsiTheme="majorEastAsia" w:eastAsiaTheme="majorEastAsia" w:cstheme="majorEastAsia"/>
                <w:b/>
                <w:bCs/>
                <w:color w:val="auto"/>
                <w:sz w:val="21"/>
                <w:szCs w:val="21"/>
                <w:highlight w:val="none"/>
              </w:rPr>
              <w:t>时间：</w:t>
            </w:r>
            <w:r>
              <w:rPr>
                <w:rFonts w:hint="eastAsia" w:asciiTheme="majorEastAsia" w:hAnsiTheme="majorEastAsia" w:eastAsiaTheme="majorEastAsia" w:cstheme="majorEastAsia"/>
                <w:b/>
                <w:bCs/>
                <w:color w:val="0000FF"/>
                <w:sz w:val="21"/>
                <w:szCs w:val="21"/>
                <w:highlight w:val="none"/>
                <w:lang w:val="en-US" w:eastAsia="zh-CN"/>
              </w:rPr>
              <w:t>2025</w:t>
            </w:r>
            <w:r>
              <w:rPr>
                <w:rFonts w:hint="eastAsia" w:asciiTheme="majorEastAsia" w:hAnsiTheme="majorEastAsia" w:eastAsiaTheme="majorEastAsia" w:cstheme="majorEastAsia"/>
                <w:b/>
                <w:bCs/>
                <w:color w:val="0000FF"/>
                <w:sz w:val="21"/>
                <w:szCs w:val="21"/>
                <w:highlight w:val="none"/>
              </w:rPr>
              <w:t>年</w:t>
            </w:r>
            <w:r>
              <w:rPr>
                <w:rFonts w:hint="eastAsia" w:asciiTheme="majorEastAsia" w:hAnsiTheme="majorEastAsia" w:eastAsiaTheme="majorEastAsia" w:cstheme="majorEastAsia"/>
                <w:b/>
                <w:bCs/>
                <w:color w:val="0000FF"/>
                <w:sz w:val="21"/>
                <w:szCs w:val="21"/>
                <w:highlight w:val="none"/>
                <w:lang w:val="en-US" w:eastAsia="zh-CN"/>
              </w:rPr>
              <w:t>08月08 日10</w:t>
            </w:r>
            <w:r>
              <w:rPr>
                <w:rFonts w:hint="eastAsia" w:asciiTheme="majorEastAsia" w:hAnsiTheme="majorEastAsia" w:eastAsiaTheme="majorEastAsia" w:cstheme="majorEastAsia"/>
                <w:b/>
                <w:bCs/>
                <w:color w:val="0000FF"/>
                <w:sz w:val="21"/>
                <w:szCs w:val="21"/>
                <w:highlight w:val="none"/>
              </w:rPr>
              <w:t>时</w:t>
            </w:r>
            <w:r>
              <w:rPr>
                <w:rFonts w:hint="eastAsia" w:asciiTheme="majorEastAsia" w:hAnsiTheme="majorEastAsia" w:eastAsiaTheme="majorEastAsia" w:cstheme="majorEastAsia"/>
                <w:b/>
                <w:bCs/>
                <w:color w:val="0000FF"/>
                <w:sz w:val="21"/>
                <w:szCs w:val="21"/>
                <w:highlight w:val="none"/>
                <w:lang w:val="en-US" w:eastAsia="zh-CN"/>
              </w:rPr>
              <w:t>30</w:t>
            </w:r>
            <w:r>
              <w:rPr>
                <w:rFonts w:hint="eastAsia" w:asciiTheme="majorEastAsia" w:hAnsiTheme="majorEastAsia" w:eastAsiaTheme="majorEastAsia" w:cstheme="majorEastAsia"/>
                <w:b/>
                <w:bCs/>
                <w:color w:val="0000FF"/>
                <w:sz w:val="21"/>
                <w:szCs w:val="21"/>
                <w:highlight w:val="none"/>
              </w:rPr>
              <w:t>分（</w:t>
            </w:r>
            <w:r>
              <w:rPr>
                <w:rFonts w:hint="eastAsia" w:asciiTheme="majorEastAsia" w:hAnsiTheme="majorEastAsia" w:eastAsiaTheme="majorEastAsia" w:cstheme="majorEastAsia"/>
                <w:b/>
                <w:bCs/>
                <w:color w:val="auto"/>
                <w:sz w:val="21"/>
                <w:szCs w:val="21"/>
                <w:highlight w:val="none"/>
              </w:rPr>
              <w:t>北京时间）</w:t>
            </w:r>
          </w:p>
          <w:p w14:paraId="0A6493CE">
            <w:pPr>
              <w:keepNext w:val="0"/>
              <w:keepLines w:val="0"/>
              <w:pageBreakBefore w:val="0"/>
              <w:shd w:val="clear" w:color="auto" w:fill="auto"/>
              <w:kinsoku/>
              <w:wordWrap/>
              <w:overflowPunct/>
              <w:topLinePunct w:val="0"/>
              <w:autoSpaceDE/>
              <w:autoSpaceDN/>
              <w:bidi w:val="0"/>
              <w:adjustRightInd/>
              <w:snapToGrid w:val="0"/>
              <w:spacing w:line="360" w:lineRule="exact"/>
              <w:ind w:firstLine="18" w:firstLineChars="9"/>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bCs/>
                <w:color w:val="auto"/>
                <w:sz w:val="21"/>
                <w:szCs w:val="21"/>
                <w:highlight w:val="none"/>
                <w:lang w:eastAsia="zh-CN"/>
              </w:rPr>
              <w:t>投标</w:t>
            </w:r>
            <w:r>
              <w:rPr>
                <w:rFonts w:hint="eastAsia" w:asciiTheme="majorEastAsia" w:hAnsiTheme="majorEastAsia" w:eastAsiaTheme="majorEastAsia" w:cstheme="majorEastAsia"/>
                <w:b/>
                <w:bCs/>
                <w:color w:val="auto"/>
                <w:sz w:val="21"/>
                <w:szCs w:val="21"/>
                <w:highlight w:val="none"/>
              </w:rPr>
              <w:t>地点：</w:t>
            </w:r>
            <w:r>
              <w:rPr>
                <w:rFonts w:hint="eastAsia" w:asciiTheme="majorEastAsia" w:hAnsiTheme="majorEastAsia" w:eastAsiaTheme="majorEastAsia" w:cstheme="majorEastAsia"/>
                <w:b/>
                <w:bCs/>
                <w:color w:val="auto"/>
                <w:sz w:val="21"/>
                <w:szCs w:val="21"/>
                <w:highlight w:val="none"/>
                <w:lang w:eastAsia="zh-CN"/>
              </w:rPr>
              <w:t>新疆</w:t>
            </w:r>
            <w:r>
              <w:rPr>
                <w:rFonts w:hint="eastAsia" w:asciiTheme="majorEastAsia" w:hAnsiTheme="majorEastAsia" w:eastAsiaTheme="majorEastAsia" w:cstheme="majorEastAsia"/>
                <w:b/>
                <w:bCs/>
                <w:color w:val="auto"/>
                <w:sz w:val="21"/>
                <w:szCs w:val="21"/>
                <w:highlight w:val="none"/>
              </w:rPr>
              <w:t>政府采购云平台（www.zcygov.cn）</w:t>
            </w:r>
          </w:p>
        </w:tc>
      </w:tr>
      <w:tr w14:paraId="2FEA20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57" w:hRule="atLeast"/>
          <w:jc w:val="center"/>
        </w:trPr>
        <w:tc>
          <w:tcPr>
            <w:tcW w:w="894" w:type="dxa"/>
            <w:noWrap w:val="0"/>
            <w:vAlign w:val="center"/>
          </w:tcPr>
          <w:p w14:paraId="69F98AD0">
            <w:pPr>
              <w:pStyle w:val="15"/>
              <w:keepNext w:val="0"/>
              <w:keepLines w:val="0"/>
              <w:pageBreakBefore w:val="0"/>
              <w:shd w:val="clear" w:color="auto" w:fill="auto"/>
              <w:kinsoku/>
              <w:wordWrap/>
              <w:overflowPunct/>
              <w:topLinePunct w:val="0"/>
              <w:autoSpaceDE/>
              <w:autoSpaceDN/>
              <w:bidi w:val="0"/>
              <w:adjustRightInd/>
              <w:snapToGrid w:val="0"/>
              <w:spacing w:line="360" w:lineRule="exact"/>
              <w:ind w:left="-78" w:leftChars="-37" w:right="-95" w:rightChars="-45"/>
              <w:jc w:val="center"/>
              <w:textAlignment w:val="auto"/>
              <w:outlineLvl w:val="9"/>
              <w:rPr>
                <w:rFonts w:hint="default"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20</w:t>
            </w:r>
          </w:p>
        </w:tc>
        <w:tc>
          <w:tcPr>
            <w:tcW w:w="1402" w:type="dxa"/>
            <w:noWrap w:val="0"/>
            <w:vAlign w:val="center"/>
          </w:tcPr>
          <w:p w14:paraId="1331704D">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开标时间及地点</w:t>
            </w:r>
          </w:p>
        </w:tc>
        <w:tc>
          <w:tcPr>
            <w:tcW w:w="7113" w:type="dxa"/>
            <w:noWrap w:val="0"/>
            <w:vAlign w:val="center"/>
          </w:tcPr>
          <w:p w14:paraId="3C2B73C9">
            <w:pPr>
              <w:keepNext w:val="0"/>
              <w:keepLines w:val="0"/>
              <w:pageBreakBefore w:val="0"/>
              <w:shd w:val="clear" w:color="auto" w:fill="auto"/>
              <w:kinsoku/>
              <w:wordWrap/>
              <w:overflowPunct/>
              <w:topLinePunct w:val="0"/>
              <w:autoSpaceDE/>
              <w:autoSpaceDN/>
              <w:bidi w:val="0"/>
              <w:adjustRightInd/>
              <w:snapToGrid w:val="0"/>
              <w:spacing w:line="360" w:lineRule="exact"/>
              <w:ind w:firstLine="18" w:firstLineChars="9"/>
              <w:textAlignment w:val="auto"/>
              <w:outlineLvl w:val="9"/>
              <w:rPr>
                <w:rFonts w:hint="default" w:asciiTheme="majorEastAsia" w:hAnsiTheme="majorEastAsia" w:eastAsiaTheme="majorEastAsia" w:cstheme="majorEastAsia"/>
                <w:b/>
                <w:bCs/>
                <w:color w:val="auto"/>
                <w:sz w:val="21"/>
                <w:szCs w:val="21"/>
                <w:highlight w:val="none"/>
                <w:lang w:val="en-US" w:eastAsia="zh-CN"/>
              </w:rPr>
            </w:pPr>
            <w:r>
              <w:rPr>
                <w:rFonts w:hint="eastAsia" w:asciiTheme="majorEastAsia" w:hAnsiTheme="majorEastAsia" w:eastAsiaTheme="majorEastAsia" w:cstheme="majorEastAsia"/>
                <w:b/>
                <w:bCs/>
                <w:color w:val="auto"/>
                <w:sz w:val="21"/>
                <w:szCs w:val="21"/>
                <w:highlight w:val="none"/>
                <w:lang w:eastAsia="zh-CN"/>
              </w:rPr>
              <w:t>开标时间：</w:t>
            </w:r>
            <w:r>
              <w:rPr>
                <w:rFonts w:hint="eastAsia" w:asciiTheme="majorEastAsia" w:hAnsiTheme="majorEastAsia" w:eastAsiaTheme="majorEastAsia" w:cstheme="majorEastAsia"/>
                <w:b/>
                <w:bCs/>
                <w:color w:val="auto"/>
                <w:sz w:val="21"/>
                <w:szCs w:val="21"/>
                <w:highlight w:val="none"/>
                <w:lang w:val="en-US" w:eastAsia="zh-CN"/>
              </w:rPr>
              <w:t>同投标截止时间</w:t>
            </w:r>
          </w:p>
          <w:p w14:paraId="1DA40751">
            <w:pPr>
              <w:keepNext w:val="0"/>
              <w:keepLines w:val="0"/>
              <w:pageBreakBefore w:val="0"/>
              <w:shd w:val="clear" w:color="auto" w:fill="auto"/>
              <w:kinsoku/>
              <w:wordWrap/>
              <w:overflowPunct/>
              <w:topLinePunct w:val="0"/>
              <w:autoSpaceDE/>
              <w:autoSpaceDN/>
              <w:bidi w:val="0"/>
              <w:adjustRightInd/>
              <w:snapToGrid w:val="0"/>
              <w:spacing w:line="360" w:lineRule="exact"/>
              <w:ind w:firstLine="18" w:firstLineChars="9"/>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bCs/>
                <w:color w:val="auto"/>
                <w:sz w:val="21"/>
                <w:szCs w:val="21"/>
                <w:highlight w:val="none"/>
                <w:lang w:eastAsia="zh-CN"/>
              </w:rPr>
              <w:t>开标地点：在新疆政府采购云平台（www.zcygov.cn）上开启投标文件</w:t>
            </w:r>
          </w:p>
        </w:tc>
      </w:tr>
      <w:tr w14:paraId="679F47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02" w:hRule="atLeast"/>
          <w:jc w:val="center"/>
        </w:trPr>
        <w:tc>
          <w:tcPr>
            <w:tcW w:w="894" w:type="dxa"/>
            <w:noWrap w:val="0"/>
            <w:vAlign w:val="center"/>
          </w:tcPr>
          <w:p w14:paraId="117734DB">
            <w:pPr>
              <w:pStyle w:val="15"/>
              <w:keepNext w:val="0"/>
              <w:keepLines w:val="0"/>
              <w:pageBreakBefore w:val="0"/>
              <w:shd w:val="clear" w:color="auto" w:fill="auto"/>
              <w:kinsoku/>
              <w:wordWrap/>
              <w:overflowPunct/>
              <w:topLinePunct w:val="0"/>
              <w:autoSpaceDE/>
              <w:autoSpaceDN/>
              <w:bidi w:val="0"/>
              <w:adjustRightInd/>
              <w:snapToGrid w:val="0"/>
              <w:spacing w:line="360" w:lineRule="exact"/>
              <w:ind w:left="-78" w:leftChars="-37" w:right="-95" w:rightChars="-45"/>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21</w:t>
            </w:r>
          </w:p>
        </w:tc>
        <w:tc>
          <w:tcPr>
            <w:tcW w:w="1402" w:type="dxa"/>
            <w:noWrap w:val="0"/>
            <w:vAlign w:val="center"/>
          </w:tcPr>
          <w:p w14:paraId="2A0DFBA7">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谈判小组的</w:t>
            </w:r>
          </w:p>
          <w:p w14:paraId="38CB4C74">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组建</w:t>
            </w:r>
          </w:p>
        </w:tc>
        <w:tc>
          <w:tcPr>
            <w:tcW w:w="7113" w:type="dxa"/>
            <w:noWrap w:val="0"/>
            <w:vAlign w:val="top"/>
          </w:tcPr>
          <w:p w14:paraId="03D64971">
            <w:pPr>
              <w:pStyle w:val="15"/>
              <w:keepNext w:val="0"/>
              <w:keepLines w:val="0"/>
              <w:pageBreakBefore w:val="0"/>
              <w:shd w:val="clear" w:color="auto" w:fill="auto"/>
              <w:kinsoku/>
              <w:wordWrap/>
              <w:overflowPunct/>
              <w:topLinePunct w:val="0"/>
              <w:autoSpaceDE/>
              <w:autoSpaceDN/>
              <w:bidi w:val="0"/>
              <w:adjustRightInd/>
              <w:snapToGrid w:val="0"/>
              <w:spacing w:line="360" w:lineRule="auto"/>
              <w:textAlignment w:val="auto"/>
              <w:outlineLvl w:val="9"/>
              <w:rPr>
                <w:rFonts w:hint="eastAsia"/>
                <w:b w:val="0"/>
                <w:bCs/>
                <w:color w:val="auto"/>
                <w:sz w:val="21"/>
                <w:szCs w:val="21"/>
                <w:highlight w:val="none"/>
                <w:lang w:val="en-US" w:eastAsia="zh-CN"/>
              </w:rPr>
            </w:pPr>
            <w:r>
              <w:rPr>
                <w:rFonts w:hint="eastAsia"/>
                <w:b w:val="0"/>
                <w:bCs/>
                <w:color w:val="auto"/>
                <w:sz w:val="21"/>
                <w:szCs w:val="21"/>
                <w:highlight w:val="none"/>
                <w:lang w:val="en-US" w:eastAsia="zh-CN"/>
              </w:rPr>
              <w:t>评标委员会由采购人依法组建；</w:t>
            </w:r>
          </w:p>
          <w:p w14:paraId="0B52370B">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b w:val="0"/>
                <w:bCs/>
                <w:color w:val="auto"/>
                <w:sz w:val="21"/>
                <w:szCs w:val="21"/>
                <w:highlight w:val="none"/>
                <w:lang w:val="en-US" w:eastAsia="zh-CN"/>
              </w:rPr>
              <w:t>评标专家确定方式：专家评委由采购人（采购代理机构）在开标前48小时内从政采云专家库中随机抽取。</w:t>
            </w:r>
          </w:p>
        </w:tc>
      </w:tr>
      <w:tr w14:paraId="7C03FC8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894" w:type="dxa"/>
            <w:noWrap w:val="0"/>
            <w:vAlign w:val="center"/>
          </w:tcPr>
          <w:p w14:paraId="0718965A">
            <w:pPr>
              <w:pStyle w:val="15"/>
              <w:keepNext w:val="0"/>
              <w:keepLines w:val="0"/>
              <w:pageBreakBefore w:val="0"/>
              <w:shd w:val="clear" w:color="auto" w:fill="auto"/>
              <w:kinsoku/>
              <w:wordWrap/>
              <w:overflowPunct/>
              <w:topLinePunct w:val="0"/>
              <w:autoSpaceDE/>
              <w:autoSpaceDN/>
              <w:bidi w:val="0"/>
              <w:adjustRightInd/>
              <w:snapToGrid w:val="0"/>
              <w:spacing w:line="360" w:lineRule="exact"/>
              <w:ind w:left="-78" w:leftChars="-37" w:right="-95" w:rightChars="-45"/>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22</w:t>
            </w:r>
          </w:p>
        </w:tc>
        <w:tc>
          <w:tcPr>
            <w:tcW w:w="1402" w:type="dxa"/>
            <w:noWrap w:val="0"/>
            <w:vAlign w:val="center"/>
          </w:tcPr>
          <w:p w14:paraId="260DA9A4">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是否授权谈判小组确定</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 w:val="21"/>
                <w:szCs w:val="21"/>
                <w:highlight w:val="none"/>
                <w:lang w:val="en-US" w:eastAsia="zh-CN"/>
              </w:rPr>
              <w:t>候选人</w:t>
            </w:r>
          </w:p>
        </w:tc>
        <w:tc>
          <w:tcPr>
            <w:tcW w:w="7113" w:type="dxa"/>
            <w:noWrap w:val="0"/>
            <w:vAlign w:val="center"/>
          </w:tcPr>
          <w:p w14:paraId="456E9065">
            <w:pPr>
              <w:pStyle w:val="15"/>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是.</w:t>
            </w:r>
          </w:p>
        </w:tc>
      </w:tr>
      <w:tr w14:paraId="556598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894" w:type="dxa"/>
            <w:noWrap w:val="0"/>
            <w:vAlign w:val="center"/>
          </w:tcPr>
          <w:p w14:paraId="3DAB132B">
            <w:pPr>
              <w:keepNext w:val="0"/>
              <w:keepLines w:val="0"/>
              <w:pageBreakBefore w:val="0"/>
              <w:shd w:val="clear" w:color="auto" w:fill="auto"/>
              <w:kinsoku/>
              <w:wordWrap/>
              <w:overflowPunct/>
              <w:topLinePunct w:val="0"/>
              <w:autoSpaceDE/>
              <w:autoSpaceDN/>
              <w:bidi w:val="0"/>
              <w:adjustRightInd/>
              <w:snapToGrid w:val="0"/>
              <w:spacing w:line="360" w:lineRule="exact"/>
              <w:ind w:left="-78" w:leftChars="-37" w:right="-95" w:rightChars="-45"/>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23</w:t>
            </w:r>
          </w:p>
        </w:tc>
        <w:tc>
          <w:tcPr>
            <w:tcW w:w="1402" w:type="dxa"/>
            <w:noWrap w:val="0"/>
            <w:vAlign w:val="center"/>
          </w:tcPr>
          <w:p w14:paraId="4BC716B4">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 w:val="21"/>
                <w:szCs w:val="21"/>
                <w:highlight w:val="none"/>
                <w:lang w:val="en-US" w:eastAsia="zh-CN"/>
              </w:rPr>
              <w:t>候选人公示媒介</w:t>
            </w:r>
          </w:p>
        </w:tc>
        <w:tc>
          <w:tcPr>
            <w:tcW w:w="7113" w:type="dxa"/>
            <w:noWrap w:val="0"/>
            <w:vAlign w:val="center"/>
          </w:tcPr>
          <w:p w14:paraId="56B1BC10">
            <w:pPr>
              <w:pStyle w:val="15"/>
              <w:keepNext w:val="0"/>
              <w:keepLines w:val="0"/>
              <w:pageBreakBefore w:val="0"/>
              <w:shd w:val="clear" w:color="auto" w:fill="auto"/>
              <w:kinsoku/>
              <w:wordWrap/>
              <w:overflowPunct/>
              <w:topLinePunct w:val="0"/>
              <w:autoSpaceDE/>
              <w:autoSpaceDN/>
              <w:bidi w:val="0"/>
              <w:adjustRightInd/>
              <w:snapToGrid w:val="0"/>
              <w:spacing w:line="360" w:lineRule="exact"/>
              <w:jc w:val="both"/>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kern w:val="2"/>
                <w:sz w:val="21"/>
                <w:szCs w:val="21"/>
                <w:highlight w:val="none"/>
                <w:u w:val="none"/>
                <w:lang w:val="en-US" w:eastAsia="zh-CN" w:bidi="ar-SA"/>
              </w:rPr>
              <w:t>新疆政府采购网、克州公共资源交易网，公示期为一个工作日。</w:t>
            </w:r>
          </w:p>
        </w:tc>
      </w:tr>
      <w:tr w14:paraId="2A51885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6" w:hRule="atLeast"/>
          <w:jc w:val="center"/>
        </w:trPr>
        <w:tc>
          <w:tcPr>
            <w:tcW w:w="894" w:type="dxa"/>
            <w:noWrap w:val="0"/>
            <w:vAlign w:val="center"/>
          </w:tcPr>
          <w:p w14:paraId="053FC3EF">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24</w:t>
            </w:r>
          </w:p>
        </w:tc>
        <w:tc>
          <w:tcPr>
            <w:tcW w:w="1402" w:type="dxa"/>
            <w:noWrap w:val="0"/>
            <w:vAlign w:val="center"/>
          </w:tcPr>
          <w:p w14:paraId="0BFF1232">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kern w:val="2"/>
                <w:sz w:val="21"/>
                <w:szCs w:val="24"/>
                <w:highlight w:val="none"/>
                <w:lang w:val="en-US" w:eastAsia="zh-CN" w:bidi="ar-SA"/>
              </w:rPr>
              <w:t>履约担保</w:t>
            </w:r>
          </w:p>
        </w:tc>
        <w:tc>
          <w:tcPr>
            <w:tcW w:w="7113" w:type="dxa"/>
            <w:noWrap w:val="0"/>
            <w:vAlign w:val="top"/>
          </w:tcPr>
          <w:p w14:paraId="6CE643E0">
            <w:pPr>
              <w:keepNext w:val="0"/>
              <w:keepLines w:val="0"/>
              <w:pageBreakBefore w:val="0"/>
              <w:numPr>
                <w:ilvl w:val="0"/>
                <w:numId w:val="4"/>
              </w:numPr>
              <w:shd w:val="clear" w:color="auto" w:fill="auto"/>
              <w:kinsoku/>
              <w:wordWrap/>
              <w:overflowPunct/>
              <w:topLinePunct w:val="0"/>
              <w:autoSpaceDE/>
              <w:autoSpaceDN/>
              <w:bidi w:val="0"/>
              <w:adjustRightInd/>
              <w:snapToGrid w:val="0"/>
              <w:spacing w:line="360" w:lineRule="auto"/>
              <w:textAlignment w:val="auto"/>
              <w:outlineLvl w:val="9"/>
              <w:rPr>
                <w:rFonts w:hint="eastAsia"/>
                <w:b w:val="0"/>
                <w:bCs/>
                <w:lang w:val="en-US" w:eastAsia="zh-CN"/>
              </w:rPr>
            </w:pPr>
            <w:r>
              <w:rPr>
                <w:rFonts w:hint="eastAsia"/>
                <w:b w:val="0"/>
                <w:bCs/>
                <w:lang w:val="en-US" w:eastAsia="zh-CN"/>
              </w:rPr>
              <w:t>成交供应商在收到成交通知书5日内向采购人交纳成交价10%的履约保证金（若以电汇、银行转账方式提交的，必须转到采购人的指定账户），如果成交供应商在供货期内没有涉及采购人的应付而未付金额或违约行为，采购人在项目验收合格后或提前终止合同后全额无息退还履约保证金。</w:t>
            </w:r>
          </w:p>
          <w:p w14:paraId="53EA6E72">
            <w:pPr>
              <w:shd w:val="clear" w:color="auto" w:fill="auto"/>
              <w:spacing w:line="360" w:lineRule="auto"/>
              <w:jc w:val="left"/>
              <w:rPr>
                <w:rFonts w:hint="eastAsia" w:ascii="宋体"/>
                <w:b w:val="0"/>
                <w:bCs/>
                <w:color w:val="auto"/>
                <w:szCs w:val="21"/>
                <w:highlight w:val="none"/>
                <w:lang w:val="en-US" w:eastAsia="zh-CN"/>
              </w:rPr>
            </w:pPr>
            <w:r>
              <w:rPr>
                <w:rFonts w:hint="eastAsia" w:ascii="宋体" w:hAnsi="Times New Roman" w:eastAsia="宋体" w:cs="宋体"/>
                <w:b w:val="0"/>
                <w:bCs/>
                <w:color w:val="auto"/>
                <w:kern w:val="0"/>
                <w:sz w:val="21"/>
                <w:szCs w:val="21"/>
                <w:highlight w:val="none"/>
                <w:u w:val="none" w:color="000000"/>
                <w:lang w:val="en-US" w:eastAsia="zh-CN" w:bidi="ar-SA"/>
              </w:rPr>
              <w:t>2、</w:t>
            </w:r>
            <w:r>
              <w:rPr>
                <w:rFonts w:hint="eastAsia" w:ascii="宋体"/>
                <w:b w:val="0"/>
                <w:bCs/>
                <w:color w:val="auto"/>
                <w:szCs w:val="21"/>
                <w:highlight w:val="none"/>
                <w:lang w:val="en-US" w:eastAsia="zh-CN"/>
              </w:rPr>
              <w:t>签订合同后，如成交供应商不按合同约定履约的，履约保证金不予退还，履约保证金不足以赔偿损失的，按实际损失赔偿。</w:t>
            </w:r>
          </w:p>
          <w:p w14:paraId="584B7FD3">
            <w:pPr>
              <w:shd w:val="clear" w:color="auto" w:fill="auto"/>
              <w:spacing w:line="360" w:lineRule="auto"/>
              <w:jc w:val="left"/>
              <w:rPr>
                <w:rFonts w:hint="eastAsia" w:ascii="宋体"/>
                <w:b w:val="0"/>
                <w:bCs/>
                <w:color w:val="auto"/>
                <w:szCs w:val="21"/>
                <w:highlight w:val="none"/>
                <w:lang w:val="en-US" w:eastAsia="zh-CN"/>
              </w:rPr>
            </w:pPr>
            <w:r>
              <w:rPr>
                <w:rFonts w:hint="eastAsia" w:ascii="宋体"/>
                <w:b w:val="0"/>
                <w:bCs/>
                <w:color w:val="auto"/>
                <w:szCs w:val="21"/>
                <w:highlight w:val="none"/>
                <w:lang w:val="en-US" w:eastAsia="zh-CN"/>
              </w:rPr>
              <w:t>3、如果成交供应商在供货期内没有涉及采购人的应付而未付金额或违约行为，采购人在项目验收合格后或提前终止合同后全额无息退还履约保证金。</w:t>
            </w:r>
          </w:p>
          <w:p w14:paraId="335E01E3">
            <w:pPr>
              <w:jc w:val="both"/>
              <w:rPr>
                <w:rFonts w:hint="eastAsia" w:asciiTheme="majorEastAsia" w:hAnsiTheme="majorEastAsia" w:eastAsiaTheme="majorEastAsia" w:cstheme="majorEastAsia"/>
                <w:highlight w:val="none"/>
                <w:lang w:val="en-US" w:eastAsia="zh-CN"/>
              </w:rPr>
            </w:pPr>
            <w:r>
              <w:rPr>
                <w:rFonts w:hint="eastAsia" w:ascii="宋体"/>
                <w:b w:val="0"/>
                <w:bCs/>
                <w:color w:val="auto"/>
                <w:szCs w:val="21"/>
                <w:highlight w:val="none"/>
                <w:lang w:val="en-US" w:eastAsia="zh-CN"/>
              </w:rPr>
              <w:t>4、履约保证金以保函形式提交的，保函格式须严格按照采购人要求填写。</w:t>
            </w:r>
          </w:p>
        </w:tc>
      </w:tr>
      <w:tr w14:paraId="14E7335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34" w:hRule="atLeast"/>
          <w:jc w:val="center"/>
        </w:trPr>
        <w:tc>
          <w:tcPr>
            <w:tcW w:w="894" w:type="dxa"/>
            <w:noWrap w:val="0"/>
            <w:vAlign w:val="center"/>
          </w:tcPr>
          <w:p w14:paraId="4E2D71C3">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25</w:t>
            </w:r>
          </w:p>
        </w:tc>
        <w:tc>
          <w:tcPr>
            <w:tcW w:w="1402" w:type="dxa"/>
            <w:noWrap w:val="0"/>
            <w:vAlign w:val="center"/>
          </w:tcPr>
          <w:p w14:paraId="19AE28BB">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lang w:eastAsia="zh-CN"/>
              </w:rPr>
              <w:t>谈判文件</w:t>
            </w:r>
            <w:r>
              <w:rPr>
                <w:rFonts w:hint="eastAsia" w:asciiTheme="majorEastAsia" w:hAnsiTheme="majorEastAsia" w:eastAsiaTheme="majorEastAsia" w:cstheme="majorEastAsia"/>
                <w:color w:val="auto"/>
                <w:sz w:val="21"/>
                <w:szCs w:val="21"/>
                <w:highlight w:val="none"/>
              </w:rPr>
              <w:t>领取</w:t>
            </w:r>
          </w:p>
        </w:tc>
        <w:tc>
          <w:tcPr>
            <w:tcW w:w="7113" w:type="dxa"/>
            <w:noWrap w:val="0"/>
            <w:vAlign w:val="top"/>
          </w:tcPr>
          <w:p w14:paraId="671254FC">
            <w:pPr>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000000"/>
                <w:sz w:val="21"/>
                <w:szCs w:val="21"/>
                <w:highlight w:val="none"/>
              </w:rPr>
            </w:pPr>
            <w:r>
              <w:rPr>
                <w:rFonts w:hint="eastAsia" w:asciiTheme="majorEastAsia" w:hAnsiTheme="majorEastAsia" w:eastAsiaTheme="majorEastAsia" w:cstheme="majorEastAsia"/>
                <w:color w:val="000000"/>
                <w:sz w:val="21"/>
                <w:szCs w:val="21"/>
                <w:highlight w:val="none"/>
              </w:rPr>
              <w:t>时间：</w:t>
            </w:r>
            <w:r>
              <w:rPr>
                <w:rFonts w:hint="eastAsia" w:asciiTheme="majorEastAsia" w:hAnsiTheme="majorEastAsia" w:eastAsiaTheme="majorEastAsia" w:cstheme="majorEastAsia"/>
                <w:b/>
                <w:bCs/>
                <w:color w:val="0000FF"/>
                <w:szCs w:val="21"/>
                <w:highlight w:val="none"/>
                <w:lang w:val="en-US" w:eastAsia="zh-CN"/>
              </w:rPr>
              <w:t>2025年08月05日至2025年08月 07日</w:t>
            </w:r>
            <w:r>
              <w:rPr>
                <w:rFonts w:hint="eastAsia" w:asciiTheme="majorEastAsia" w:hAnsiTheme="majorEastAsia" w:eastAsiaTheme="majorEastAsia" w:cstheme="majorEastAsia"/>
                <w:color w:val="000000"/>
                <w:sz w:val="21"/>
                <w:szCs w:val="21"/>
                <w:highlight w:val="none"/>
              </w:rPr>
              <w:t>，每天上午10:00至1</w:t>
            </w:r>
            <w:r>
              <w:rPr>
                <w:rFonts w:hint="eastAsia" w:asciiTheme="majorEastAsia" w:hAnsiTheme="majorEastAsia" w:eastAsiaTheme="majorEastAsia" w:cstheme="majorEastAsia"/>
                <w:color w:val="000000"/>
                <w:sz w:val="21"/>
                <w:szCs w:val="21"/>
                <w:highlight w:val="none"/>
                <w:lang w:val="en-US" w:eastAsia="zh-CN"/>
              </w:rPr>
              <w:t>4</w:t>
            </w:r>
            <w:r>
              <w:rPr>
                <w:rFonts w:hint="eastAsia" w:asciiTheme="majorEastAsia" w:hAnsiTheme="majorEastAsia" w:eastAsiaTheme="majorEastAsia" w:cstheme="majorEastAsia"/>
                <w:color w:val="000000"/>
                <w:sz w:val="21"/>
                <w:szCs w:val="21"/>
                <w:highlight w:val="none"/>
              </w:rPr>
              <w:t>:</w:t>
            </w:r>
            <w:r>
              <w:rPr>
                <w:rFonts w:hint="eastAsia" w:asciiTheme="majorEastAsia" w:hAnsiTheme="majorEastAsia" w:eastAsiaTheme="majorEastAsia" w:cstheme="majorEastAsia"/>
                <w:color w:val="000000"/>
                <w:sz w:val="21"/>
                <w:szCs w:val="21"/>
                <w:highlight w:val="none"/>
                <w:lang w:val="en-US" w:eastAsia="zh-CN"/>
              </w:rPr>
              <w:t>0</w:t>
            </w:r>
            <w:r>
              <w:rPr>
                <w:rFonts w:hint="eastAsia" w:asciiTheme="majorEastAsia" w:hAnsiTheme="majorEastAsia" w:eastAsiaTheme="majorEastAsia" w:cstheme="majorEastAsia"/>
                <w:color w:val="000000"/>
                <w:sz w:val="21"/>
                <w:szCs w:val="21"/>
                <w:highlight w:val="none"/>
              </w:rPr>
              <w:t>0，下午16:</w:t>
            </w:r>
            <w:r>
              <w:rPr>
                <w:rFonts w:hint="eastAsia" w:asciiTheme="majorEastAsia" w:hAnsiTheme="majorEastAsia" w:eastAsiaTheme="majorEastAsia" w:cstheme="majorEastAsia"/>
                <w:color w:val="000000"/>
                <w:sz w:val="21"/>
                <w:szCs w:val="21"/>
                <w:highlight w:val="none"/>
                <w:lang w:val="en-US" w:eastAsia="zh-CN"/>
              </w:rPr>
              <w:t>0</w:t>
            </w:r>
            <w:r>
              <w:rPr>
                <w:rFonts w:hint="eastAsia" w:asciiTheme="majorEastAsia" w:hAnsiTheme="majorEastAsia" w:eastAsiaTheme="majorEastAsia" w:cstheme="majorEastAsia"/>
                <w:color w:val="000000"/>
                <w:sz w:val="21"/>
                <w:szCs w:val="21"/>
                <w:highlight w:val="none"/>
              </w:rPr>
              <w:t>0至</w:t>
            </w:r>
            <w:r>
              <w:rPr>
                <w:rFonts w:hint="eastAsia" w:asciiTheme="majorEastAsia" w:hAnsiTheme="majorEastAsia" w:eastAsiaTheme="majorEastAsia" w:cstheme="majorEastAsia"/>
                <w:color w:val="000000"/>
                <w:sz w:val="21"/>
                <w:szCs w:val="21"/>
                <w:highlight w:val="none"/>
                <w:lang w:val="en-US" w:eastAsia="zh-CN"/>
              </w:rPr>
              <w:t>20</w:t>
            </w:r>
            <w:r>
              <w:rPr>
                <w:rFonts w:hint="eastAsia" w:asciiTheme="majorEastAsia" w:hAnsiTheme="majorEastAsia" w:eastAsiaTheme="majorEastAsia" w:cstheme="majorEastAsia"/>
                <w:color w:val="000000"/>
                <w:sz w:val="21"/>
                <w:szCs w:val="21"/>
                <w:highlight w:val="none"/>
              </w:rPr>
              <w:t>:</w:t>
            </w:r>
            <w:r>
              <w:rPr>
                <w:rFonts w:hint="eastAsia" w:asciiTheme="majorEastAsia" w:hAnsiTheme="majorEastAsia" w:eastAsiaTheme="majorEastAsia" w:cstheme="majorEastAsia"/>
                <w:color w:val="000000"/>
                <w:sz w:val="21"/>
                <w:szCs w:val="21"/>
                <w:highlight w:val="none"/>
                <w:lang w:val="en-US" w:eastAsia="zh-CN"/>
              </w:rPr>
              <w:t>00</w:t>
            </w:r>
            <w:r>
              <w:rPr>
                <w:rFonts w:hint="eastAsia" w:asciiTheme="majorEastAsia" w:hAnsiTheme="majorEastAsia" w:eastAsiaTheme="majorEastAsia" w:cstheme="majorEastAsia"/>
                <w:color w:val="000000"/>
                <w:sz w:val="21"/>
                <w:szCs w:val="21"/>
                <w:highlight w:val="none"/>
              </w:rPr>
              <w:t>（北京时间，法定节假日除外）</w:t>
            </w:r>
          </w:p>
          <w:p w14:paraId="017DF242">
            <w:pPr>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地点：供应商</w:t>
            </w:r>
            <w:r>
              <w:rPr>
                <w:rFonts w:hint="eastAsia" w:asciiTheme="majorEastAsia" w:hAnsiTheme="majorEastAsia" w:eastAsiaTheme="majorEastAsia" w:cstheme="majorEastAsia"/>
                <w:color w:val="auto"/>
                <w:sz w:val="21"/>
                <w:szCs w:val="21"/>
                <w:highlight w:val="none"/>
                <w:lang w:val="en-US" w:eastAsia="zh-CN"/>
              </w:rPr>
              <w:t>登录</w:t>
            </w:r>
            <w:r>
              <w:rPr>
                <w:rFonts w:hint="eastAsia" w:asciiTheme="majorEastAsia" w:hAnsiTheme="majorEastAsia" w:eastAsiaTheme="majorEastAsia" w:cstheme="majorEastAsia"/>
                <w:color w:val="auto"/>
                <w:sz w:val="21"/>
                <w:szCs w:val="21"/>
                <w:highlight w:val="none"/>
              </w:rPr>
              <w:t>政采云平台http://www.zcygov.cn/，在线申请获取</w:t>
            </w:r>
            <w:r>
              <w:rPr>
                <w:rFonts w:hint="eastAsia" w:asciiTheme="majorEastAsia" w:hAnsiTheme="majorEastAsia" w:eastAsiaTheme="majorEastAsia" w:cstheme="majorEastAsia"/>
                <w:color w:val="auto"/>
                <w:sz w:val="21"/>
                <w:szCs w:val="21"/>
                <w:highlight w:val="none"/>
                <w:lang w:eastAsia="zh-CN"/>
              </w:rPr>
              <w:t>谈判文件</w:t>
            </w:r>
            <w:r>
              <w:rPr>
                <w:rFonts w:hint="eastAsia" w:asciiTheme="majorEastAsia" w:hAnsiTheme="majorEastAsia" w:eastAsiaTheme="majorEastAsia" w:cstheme="majorEastAsia"/>
                <w:color w:val="auto"/>
                <w:sz w:val="21"/>
                <w:szCs w:val="21"/>
                <w:highlight w:val="none"/>
              </w:rPr>
              <w:t>（登录政府采购云平台 → 项目采购 → 获取</w:t>
            </w:r>
            <w:r>
              <w:rPr>
                <w:rFonts w:hint="eastAsia" w:asciiTheme="majorEastAsia" w:hAnsiTheme="majorEastAsia" w:eastAsiaTheme="majorEastAsia" w:cstheme="majorEastAsia"/>
                <w:color w:val="auto"/>
                <w:sz w:val="21"/>
                <w:szCs w:val="21"/>
                <w:highlight w:val="none"/>
                <w:lang w:eastAsia="zh-CN"/>
              </w:rPr>
              <w:t>谈判文件</w:t>
            </w:r>
            <w:r>
              <w:rPr>
                <w:rFonts w:hint="eastAsia" w:asciiTheme="majorEastAsia" w:hAnsiTheme="majorEastAsia" w:eastAsiaTheme="majorEastAsia" w:cstheme="majorEastAsia"/>
                <w:color w:val="auto"/>
                <w:sz w:val="21"/>
                <w:szCs w:val="21"/>
                <w:highlight w:val="none"/>
              </w:rPr>
              <w:t>→申请，审核通过后可下载</w:t>
            </w:r>
            <w:r>
              <w:rPr>
                <w:rFonts w:hint="eastAsia" w:asciiTheme="majorEastAsia" w:hAnsiTheme="majorEastAsia" w:eastAsiaTheme="majorEastAsia" w:cstheme="majorEastAsia"/>
                <w:color w:val="auto"/>
                <w:sz w:val="21"/>
                <w:szCs w:val="21"/>
                <w:highlight w:val="none"/>
                <w:lang w:eastAsia="zh-CN"/>
              </w:rPr>
              <w:t>谈判文件</w:t>
            </w:r>
            <w:r>
              <w:rPr>
                <w:rFonts w:hint="eastAsia" w:asciiTheme="majorEastAsia" w:hAnsiTheme="majorEastAsia" w:eastAsiaTheme="majorEastAsia" w:cstheme="majorEastAsia"/>
                <w:color w:val="auto"/>
                <w:sz w:val="21"/>
                <w:szCs w:val="21"/>
                <w:highlight w:val="none"/>
              </w:rPr>
              <w:t>，如有操作性问题，可与政采云在线客服进行咨询，咨询电话：</w:t>
            </w:r>
            <w:r>
              <w:rPr>
                <w:rFonts w:hint="eastAsia" w:asciiTheme="majorEastAsia" w:hAnsiTheme="majorEastAsia" w:eastAsiaTheme="majorEastAsia" w:cstheme="majorEastAsia"/>
                <w:color w:val="auto"/>
                <w:sz w:val="21"/>
                <w:szCs w:val="21"/>
                <w:highlight w:val="none"/>
                <w:lang w:eastAsia="zh-CN"/>
              </w:rPr>
              <w:t>95763</w:t>
            </w:r>
            <w:r>
              <w:rPr>
                <w:rFonts w:hint="eastAsia" w:asciiTheme="majorEastAsia" w:hAnsiTheme="majorEastAsia" w:eastAsiaTheme="majorEastAsia" w:cstheme="majorEastAsia"/>
                <w:color w:val="auto"/>
                <w:sz w:val="21"/>
                <w:szCs w:val="21"/>
                <w:highlight w:val="none"/>
              </w:rPr>
              <w:t>）。</w:t>
            </w:r>
          </w:p>
          <w:p w14:paraId="4CA11D83">
            <w:pPr>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方式：（1）线上获取（登录政府采购云平台 → 项目采购 → 获取</w:t>
            </w:r>
            <w:r>
              <w:rPr>
                <w:rFonts w:hint="eastAsia" w:asciiTheme="majorEastAsia" w:hAnsiTheme="majorEastAsia" w:eastAsiaTheme="majorEastAsia" w:cstheme="majorEastAsia"/>
                <w:color w:val="auto"/>
                <w:sz w:val="21"/>
                <w:szCs w:val="21"/>
                <w:highlight w:val="none"/>
                <w:lang w:eastAsia="zh-CN"/>
              </w:rPr>
              <w:t>谈判文件</w:t>
            </w:r>
            <w:r>
              <w:rPr>
                <w:rFonts w:hint="eastAsia" w:asciiTheme="majorEastAsia" w:hAnsiTheme="majorEastAsia" w:eastAsiaTheme="majorEastAsia" w:cstheme="majorEastAsia"/>
                <w:color w:val="auto"/>
                <w:sz w:val="21"/>
                <w:szCs w:val="21"/>
                <w:highlight w:val="none"/>
              </w:rPr>
              <w:t>→ 申请，审核通过后可下载</w:t>
            </w:r>
            <w:r>
              <w:rPr>
                <w:rFonts w:hint="eastAsia" w:asciiTheme="majorEastAsia" w:hAnsiTheme="majorEastAsia" w:eastAsiaTheme="majorEastAsia" w:cstheme="majorEastAsia"/>
                <w:color w:val="auto"/>
                <w:sz w:val="21"/>
                <w:szCs w:val="21"/>
                <w:highlight w:val="none"/>
                <w:lang w:eastAsia="zh-CN"/>
              </w:rPr>
              <w:t>谈判文件</w:t>
            </w:r>
            <w:r>
              <w:rPr>
                <w:rFonts w:hint="eastAsia" w:asciiTheme="majorEastAsia" w:hAnsiTheme="majorEastAsia" w:eastAsiaTheme="majorEastAsia" w:cstheme="majorEastAsia"/>
                <w:color w:val="auto"/>
                <w:sz w:val="21"/>
                <w:szCs w:val="21"/>
                <w:highlight w:val="none"/>
              </w:rPr>
              <w:t>）。本次招标不提供纸质版</w:t>
            </w:r>
            <w:r>
              <w:rPr>
                <w:rFonts w:hint="eastAsia" w:asciiTheme="majorEastAsia" w:hAnsiTheme="majorEastAsia" w:eastAsiaTheme="majorEastAsia" w:cstheme="majorEastAsia"/>
                <w:color w:val="auto"/>
                <w:sz w:val="21"/>
                <w:szCs w:val="21"/>
                <w:highlight w:val="none"/>
                <w:lang w:eastAsia="zh-CN"/>
              </w:rPr>
              <w:t>谈判文件</w:t>
            </w:r>
            <w:r>
              <w:rPr>
                <w:rFonts w:hint="eastAsia" w:asciiTheme="majorEastAsia" w:hAnsiTheme="majorEastAsia" w:eastAsiaTheme="majorEastAsia" w:cstheme="majorEastAsia"/>
                <w:color w:val="auto"/>
                <w:sz w:val="21"/>
                <w:szCs w:val="21"/>
                <w:highlight w:val="none"/>
              </w:rPr>
              <w:t>。</w:t>
            </w:r>
          </w:p>
          <w:p w14:paraId="2B0115DE">
            <w:pPr>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（2）供应商获取</w:t>
            </w:r>
            <w:r>
              <w:rPr>
                <w:rFonts w:hint="eastAsia" w:asciiTheme="majorEastAsia" w:hAnsiTheme="majorEastAsia" w:eastAsiaTheme="majorEastAsia" w:cstheme="majorEastAsia"/>
                <w:color w:val="auto"/>
                <w:sz w:val="21"/>
                <w:szCs w:val="21"/>
                <w:highlight w:val="none"/>
                <w:lang w:eastAsia="zh-CN"/>
              </w:rPr>
              <w:t>谈判文件</w:t>
            </w:r>
            <w:r>
              <w:rPr>
                <w:rFonts w:hint="eastAsia" w:asciiTheme="majorEastAsia" w:hAnsiTheme="majorEastAsia" w:eastAsiaTheme="majorEastAsia" w:cstheme="majorEastAsia"/>
                <w:color w:val="auto"/>
                <w:sz w:val="21"/>
                <w:szCs w:val="21"/>
                <w:highlight w:val="none"/>
              </w:rPr>
              <w:t>前应注册成为政府采购云平台正式供应商。</w:t>
            </w:r>
          </w:p>
        </w:tc>
      </w:tr>
      <w:tr w14:paraId="013497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98" w:hRule="atLeast"/>
          <w:jc w:val="center"/>
        </w:trPr>
        <w:tc>
          <w:tcPr>
            <w:tcW w:w="894" w:type="dxa"/>
            <w:noWrap w:val="0"/>
            <w:vAlign w:val="center"/>
          </w:tcPr>
          <w:p w14:paraId="36DD6D2F">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default"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26</w:t>
            </w:r>
          </w:p>
        </w:tc>
        <w:tc>
          <w:tcPr>
            <w:tcW w:w="1402" w:type="dxa"/>
            <w:noWrap w:val="0"/>
            <w:vAlign w:val="center"/>
          </w:tcPr>
          <w:p w14:paraId="6A07A282">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b/>
                <w:color w:val="auto"/>
                <w:sz w:val="21"/>
                <w:szCs w:val="21"/>
                <w:highlight w:val="none"/>
                <w:lang w:eastAsia="zh-CN"/>
              </w:rPr>
            </w:pPr>
            <w:r>
              <w:rPr>
                <w:rFonts w:hint="eastAsia" w:asciiTheme="majorEastAsia" w:hAnsiTheme="majorEastAsia" w:eastAsiaTheme="majorEastAsia" w:cstheme="majorEastAsia"/>
                <w:b/>
                <w:color w:val="auto"/>
                <w:sz w:val="21"/>
                <w:szCs w:val="21"/>
                <w:highlight w:val="none"/>
                <w:lang w:eastAsia="zh-CN"/>
              </w:rPr>
              <w:t>重要说明</w:t>
            </w:r>
          </w:p>
        </w:tc>
        <w:tc>
          <w:tcPr>
            <w:tcW w:w="7113" w:type="dxa"/>
            <w:noWrap w:val="0"/>
            <w:vAlign w:val="top"/>
          </w:tcPr>
          <w:p w14:paraId="790B1879">
            <w:pPr>
              <w:keepNext w:val="0"/>
              <w:keepLines w:val="0"/>
              <w:pageBreakBefore w:val="0"/>
              <w:shd w:val="clear" w:color="auto" w:fill="auto"/>
              <w:kinsoku/>
              <w:wordWrap/>
              <w:overflowPunct/>
              <w:topLinePunct w:val="0"/>
              <w:autoSpaceDE/>
              <w:autoSpaceDN/>
              <w:bidi w:val="0"/>
              <w:adjustRightInd/>
              <w:snapToGrid w:val="0"/>
              <w:spacing w:line="360" w:lineRule="auto"/>
              <w:jc w:val="left"/>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1.本项目采用全流程不见面电子开评标，投标供应商需要使用CA加密设备，供应商可通过新疆数字证书认证中心官网（https://www.xjca.com.cn/）或下载“新疆政务通”APP自行进行申领。</w:t>
            </w:r>
          </w:p>
          <w:p w14:paraId="48168A9A">
            <w:pPr>
              <w:keepNext w:val="0"/>
              <w:keepLines w:val="0"/>
              <w:pageBreakBefore w:val="0"/>
              <w:shd w:val="clear" w:color="auto" w:fill="auto"/>
              <w:kinsoku/>
              <w:wordWrap/>
              <w:overflowPunct/>
              <w:topLinePunct w:val="0"/>
              <w:autoSpaceDE/>
              <w:autoSpaceDN/>
              <w:bidi w:val="0"/>
              <w:adjustRightInd/>
              <w:snapToGrid w:val="0"/>
              <w:spacing w:line="360" w:lineRule="auto"/>
              <w:jc w:val="left"/>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2.本项目实行网上投标，采用加密电子投标文件(供应商须使用CA加密设备通过政采云电子投标客户端制作投标文件)。若供应商参与投标，自行承担投标一切费用。</w:t>
            </w:r>
          </w:p>
          <w:p w14:paraId="513233EF">
            <w:pPr>
              <w:keepNext w:val="0"/>
              <w:keepLines w:val="0"/>
              <w:pageBreakBefore w:val="0"/>
              <w:shd w:val="clear" w:color="auto" w:fill="auto"/>
              <w:kinsoku/>
              <w:wordWrap/>
              <w:overflowPunct/>
              <w:topLinePunct w:val="0"/>
              <w:autoSpaceDE/>
              <w:autoSpaceDN/>
              <w:bidi w:val="0"/>
              <w:adjustRightInd/>
              <w:snapToGrid w:val="0"/>
              <w:spacing w:line="360" w:lineRule="auto"/>
              <w:jc w:val="left"/>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3.各供应商在开标前应确保成为新疆维吾尔自治区政府采购网正式注册入库供应商（已在政采云平台其他省份入驻的供应商无须重复注册），并完成CA数字证书申领。因未注册入库、未办理CA数字证书等原因造成无法投标或投标失败等后果由供应商自行承担。</w:t>
            </w:r>
          </w:p>
          <w:p w14:paraId="5B16C7D7">
            <w:pPr>
              <w:keepNext w:val="0"/>
              <w:keepLines w:val="0"/>
              <w:pageBreakBefore w:val="0"/>
              <w:shd w:val="clear" w:color="auto" w:fill="auto"/>
              <w:kinsoku/>
              <w:wordWrap/>
              <w:overflowPunct/>
              <w:topLinePunct w:val="0"/>
              <w:autoSpaceDE/>
              <w:autoSpaceDN/>
              <w:bidi w:val="0"/>
              <w:adjustRightInd/>
              <w:snapToGrid w:val="0"/>
              <w:spacing w:line="360" w:lineRule="auto"/>
              <w:jc w:val="left"/>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lang w:val="en-US" w:eastAsia="zh-CN"/>
              </w:rPr>
              <w:t>4、</w:t>
            </w:r>
            <w:r>
              <w:rPr>
                <w:rFonts w:hint="eastAsia" w:asciiTheme="majorEastAsia" w:hAnsiTheme="majorEastAsia" w:eastAsiaTheme="majorEastAsia" w:cstheme="majorEastAsia"/>
                <w:color w:val="auto"/>
                <w:sz w:val="21"/>
                <w:szCs w:val="21"/>
                <w:highlight w:val="none"/>
              </w:rPr>
              <w:t>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如有问题可拨打政采云客户服务热线</w:t>
            </w:r>
            <w:r>
              <w:rPr>
                <w:rFonts w:hint="eastAsia" w:asciiTheme="majorEastAsia" w:hAnsiTheme="majorEastAsia" w:eastAsiaTheme="majorEastAsia" w:cstheme="majorEastAsia"/>
                <w:color w:val="auto"/>
                <w:sz w:val="21"/>
                <w:szCs w:val="21"/>
                <w:highlight w:val="none"/>
                <w:lang w:eastAsia="zh-CN"/>
              </w:rPr>
              <w:t>95763</w:t>
            </w:r>
            <w:r>
              <w:rPr>
                <w:rFonts w:hint="eastAsia" w:asciiTheme="majorEastAsia" w:hAnsiTheme="majorEastAsia" w:eastAsiaTheme="majorEastAsia" w:cstheme="majorEastAsia"/>
                <w:color w:val="auto"/>
                <w:sz w:val="21"/>
                <w:szCs w:val="21"/>
                <w:highlight w:val="none"/>
              </w:rPr>
              <w:t>进行咨询。</w:t>
            </w:r>
          </w:p>
          <w:p w14:paraId="25A22AF7">
            <w:pPr>
              <w:keepNext w:val="0"/>
              <w:keepLines w:val="0"/>
              <w:pageBreakBefore w:val="0"/>
              <w:shd w:val="clear" w:color="auto" w:fill="auto"/>
              <w:kinsoku/>
              <w:wordWrap/>
              <w:overflowPunct/>
              <w:topLinePunct w:val="0"/>
              <w:autoSpaceDE/>
              <w:autoSpaceDN/>
              <w:bidi w:val="0"/>
              <w:adjustRightInd/>
              <w:snapToGrid w:val="0"/>
              <w:spacing w:line="360" w:lineRule="auto"/>
              <w:jc w:val="left"/>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lang w:val="en-US" w:eastAsia="zh-CN"/>
              </w:rPr>
              <w:t>5</w:t>
            </w:r>
            <w:r>
              <w:rPr>
                <w:rFonts w:hint="eastAsia" w:asciiTheme="majorEastAsia" w:hAnsiTheme="majorEastAsia" w:eastAsiaTheme="majorEastAsia" w:cstheme="majorEastAsia"/>
                <w:color w:val="auto"/>
                <w:sz w:val="21"/>
                <w:szCs w:val="21"/>
                <w:highlight w:val="none"/>
              </w:rPr>
              <w:t>、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w:t>
            </w:r>
            <w:r>
              <w:rPr>
                <w:rFonts w:hint="eastAsia" w:asciiTheme="majorEastAsia" w:hAnsiTheme="majorEastAsia" w:eastAsiaTheme="majorEastAsia" w:cstheme="majorEastAsia"/>
                <w:color w:val="auto"/>
                <w:sz w:val="21"/>
                <w:szCs w:val="21"/>
                <w:highlight w:val="none"/>
                <w:lang w:eastAsia="zh-CN"/>
              </w:rPr>
              <w:t>中国</w:t>
            </w:r>
            <w:r>
              <w:rPr>
                <w:rFonts w:hint="eastAsia" w:asciiTheme="majorEastAsia" w:hAnsiTheme="majorEastAsia" w:eastAsiaTheme="majorEastAsia" w:cstheme="majorEastAsia"/>
                <w:color w:val="auto"/>
                <w:sz w:val="21"/>
                <w:szCs w:val="21"/>
                <w:highlight w:val="none"/>
              </w:rPr>
              <w:t>政府采购网下载专区下载。未按规定获取采购文件或逾期提出的不予受理、答复。</w:t>
            </w:r>
          </w:p>
        </w:tc>
      </w:tr>
      <w:tr w14:paraId="4E31BE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06" w:hRule="atLeast"/>
          <w:jc w:val="center"/>
        </w:trPr>
        <w:tc>
          <w:tcPr>
            <w:tcW w:w="894" w:type="dxa"/>
            <w:vMerge w:val="restart"/>
            <w:noWrap w:val="0"/>
            <w:vAlign w:val="center"/>
          </w:tcPr>
          <w:p w14:paraId="52C2D600">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default" w:asciiTheme="majorEastAsia" w:hAnsiTheme="majorEastAsia" w:eastAsiaTheme="majorEastAsia" w:cstheme="majorEastAsia"/>
                <w:b/>
                <w:color w:val="auto"/>
                <w:sz w:val="21"/>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27</w:t>
            </w:r>
          </w:p>
        </w:tc>
        <w:tc>
          <w:tcPr>
            <w:tcW w:w="1402" w:type="dxa"/>
            <w:vMerge w:val="restart"/>
            <w:noWrap w:val="0"/>
            <w:vAlign w:val="center"/>
          </w:tcPr>
          <w:p w14:paraId="2D726FC2">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b/>
                <w:color w:val="auto"/>
                <w:sz w:val="21"/>
                <w:szCs w:val="21"/>
                <w:highlight w:val="none"/>
                <w:lang w:eastAsia="zh-CN"/>
              </w:rPr>
            </w:pPr>
            <w:r>
              <w:rPr>
                <w:rFonts w:hint="eastAsia" w:asciiTheme="majorEastAsia" w:hAnsiTheme="majorEastAsia" w:eastAsiaTheme="majorEastAsia" w:cstheme="majorEastAsia"/>
                <w:color w:val="000000"/>
                <w:szCs w:val="21"/>
                <w:highlight w:val="none"/>
              </w:rPr>
              <w:t>中小微企业政策文件</w:t>
            </w:r>
          </w:p>
        </w:tc>
        <w:tc>
          <w:tcPr>
            <w:tcW w:w="7113" w:type="dxa"/>
            <w:noWrap w:val="0"/>
            <w:vAlign w:val="top"/>
          </w:tcPr>
          <w:p w14:paraId="4E55648E">
            <w:pPr>
              <w:keepNext w:val="0"/>
              <w:keepLines w:val="0"/>
              <w:pageBreakBefore w:val="0"/>
              <w:shd w:val="clear" w:color="auto" w:fill="auto"/>
              <w:kinsoku/>
              <w:wordWrap/>
              <w:overflowPunct/>
              <w:topLinePunct w:val="0"/>
              <w:autoSpaceDE/>
              <w:autoSpaceDN/>
              <w:bidi w:val="0"/>
              <w:adjustRightInd/>
              <w:snapToGrid w:val="0"/>
              <w:spacing w:line="360" w:lineRule="exact"/>
              <w:jc w:val="left"/>
              <w:textAlignment w:val="auto"/>
              <w:outlineLvl w:val="9"/>
              <w:rPr>
                <w:rFonts w:hint="eastAsia" w:asciiTheme="majorEastAsia" w:hAnsiTheme="majorEastAsia" w:eastAsiaTheme="majorEastAsia" w:cstheme="majorEastAsia"/>
                <w:bCs/>
                <w:color w:val="auto"/>
                <w:sz w:val="21"/>
                <w:szCs w:val="21"/>
                <w:highlight w:val="none"/>
              </w:rPr>
            </w:pPr>
            <w:r>
              <w:rPr>
                <w:rFonts w:hint="eastAsia" w:asciiTheme="majorEastAsia" w:hAnsiTheme="majorEastAsia" w:eastAsiaTheme="majorEastAsia" w:cstheme="majorEastAsia"/>
                <w:b w:val="0"/>
                <w:bCs/>
                <w:color w:val="000000"/>
                <w:szCs w:val="21"/>
                <w:highlight w:val="none"/>
                <w:lang w:val="en-US" w:eastAsia="zh-CN"/>
              </w:rPr>
              <w:t>（1）根据财政部、工业和信息化部关于印发《政府采购促进中小企业发展管理办法》的通知（财库[2020]46号）及（财库[2022]19号），投标人及其所投产品的制造商均属于《工业和信息化部、国家统计局、国家发展和改革委员会、财政部关于印发中小企业划型标准规定的通知》（工信部联企业[2011]300号）中规定的中型、小型、微型企业标准的，按采购文件格式提供《中小企业声明函》。</w:t>
            </w:r>
          </w:p>
        </w:tc>
      </w:tr>
      <w:tr w14:paraId="6F0EB8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6" w:hRule="atLeast"/>
          <w:jc w:val="center"/>
        </w:trPr>
        <w:tc>
          <w:tcPr>
            <w:tcW w:w="894" w:type="dxa"/>
            <w:vMerge w:val="continue"/>
            <w:noWrap w:val="0"/>
            <w:vAlign w:val="center"/>
          </w:tcPr>
          <w:p w14:paraId="1D3214B1">
            <w:pPr>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b/>
                <w:color w:val="auto"/>
                <w:sz w:val="21"/>
                <w:szCs w:val="21"/>
                <w:highlight w:val="none"/>
                <w:lang w:eastAsia="zh-CN"/>
              </w:rPr>
            </w:pPr>
          </w:p>
        </w:tc>
        <w:tc>
          <w:tcPr>
            <w:tcW w:w="1402" w:type="dxa"/>
            <w:vMerge w:val="continue"/>
            <w:noWrap w:val="0"/>
            <w:vAlign w:val="center"/>
          </w:tcPr>
          <w:p w14:paraId="41CB45C6">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b/>
                <w:color w:val="auto"/>
                <w:sz w:val="21"/>
                <w:szCs w:val="21"/>
                <w:highlight w:val="none"/>
                <w:lang w:eastAsia="zh-CN"/>
              </w:rPr>
            </w:pPr>
          </w:p>
        </w:tc>
        <w:tc>
          <w:tcPr>
            <w:tcW w:w="7113" w:type="dxa"/>
            <w:noWrap w:val="0"/>
            <w:vAlign w:val="top"/>
          </w:tcPr>
          <w:p w14:paraId="0E34388B">
            <w:pPr>
              <w:keepNext w:val="0"/>
              <w:keepLines w:val="0"/>
              <w:pageBreakBefore w:val="0"/>
              <w:shd w:val="clear" w:color="auto" w:fill="auto"/>
              <w:kinsoku/>
              <w:wordWrap/>
              <w:overflowPunct/>
              <w:topLinePunct w:val="0"/>
              <w:autoSpaceDE/>
              <w:autoSpaceDN/>
              <w:bidi w:val="0"/>
              <w:adjustRightInd/>
              <w:snapToGrid w:val="0"/>
              <w:spacing w:line="360" w:lineRule="exact"/>
              <w:jc w:val="left"/>
              <w:textAlignment w:val="auto"/>
              <w:outlineLvl w:val="9"/>
              <w:rPr>
                <w:rFonts w:hint="eastAsia" w:asciiTheme="majorEastAsia" w:hAnsiTheme="majorEastAsia" w:eastAsiaTheme="majorEastAsia" w:cstheme="majorEastAsia"/>
                <w:bCs/>
                <w:color w:val="auto"/>
                <w:sz w:val="21"/>
                <w:szCs w:val="21"/>
                <w:highlight w:val="none"/>
              </w:rPr>
            </w:pPr>
          </w:p>
        </w:tc>
      </w:tr>
      <w:tr w14:paraId="59AC97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236" w:hRule="atLeast"/>
          <w:jc w:val="center"/>
        </w:trPr>
        <w:tc>
          <w:tcPr>
            <w:tcW w:w="894" w:type="dxa"/>
            <w:vMerge w:val="continue"/>
            <w:noWrap w:val="0"/>
            <w:vAlign w:val="center"/>
          </w:tcPr>
          <w:p w14:paraId="373C456E">
            <w:pPr>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b/>
                <w:color w:val="auto"/>
                <w:sz w:val="21"/>
                <w:szCs w:val="21"/>
                <w:highlight w:val="none"/>
                <w:lang w:eastAsia="zh-CN"/>
              </w:rPr>
            </w:pPr>
          </w:p>
        </w:tc>
        <w:tc>
          <w:tcPr>
            <w:tcW w:w="1402" w:type="dxa"/>
            <w:vMerge w:val="continue"/>
            <w:noWrap w:val="0"/>
            <w:vAlign w:val="center"/>
          </w:tcPr>
          <w:p w14:paraId="1991AFD6">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b/>
                <w:color w:val="auto"/>
                <w:sz w:val="21"/>
                <w:szCs w:val="21"/>
                <w:highlight w:val="none"/>
                <w:lang w:eastAsia="zh-CN"/>
              </w:rPr>
            </w:pPr>
          </w:p>
        </w:tc>
        <w:tc>
          <w:tcPr>
            <w:tcW w:w="7113" w:type="dxa"/>
            <w:noWrap w:val="0"/>
            <w:vAlign w:val="top"/>
          </w:tcPr>
          <w:p w14:paraId="24300E0D">
            <w:pPr>
              <w:keepNext w:val="0"/>
              <w:keepLines w:val="0"/>
              <w:pageBreakBefore w:val="0"/>
              <w:shd w:val="clear" w:color="auto" w:fill="auto"/>
              <w:kinsoku/>
              <w:wordWrap/>
              <w:overflowPunct/>
              <w:topLinePunct w:val="0"/>
              <w:autoSpaceDE/>
              <w:autoSpaceDN/>
              <w:bidi w:val="0"/>
              <w:adjustRightInd/>
              <w:snapToGrid w:val="0"/>
              <w:spacing w:line="360" w:lineRule="exact"/>
              <w:jc w:val="left"/>
              <w:textAlignment w:val="auto"/>
              <w:outlineLvl w:val="9"/>
              <w:rPr>
                <w:rFonts w:hint="eastAsia" w:asciiTheme="majorEastAsia" w:hAnsiTheme="majorEastAsia" w:eastAsiaTheme="majorEastAsia" w:cstheme="majorEastAsia"/>
                <w:bCs/>
                <w:color w:val="auto"/>
                <w:sz w:val="21"/>
                <w:szCs w:val="21"/>
                <w:highlight w:val="none"/>
              </w:rPr>
            </w:pPr>
            <w:r>
              <w:rPr>
                <w:rFonts w:hint="eastAsia" w:asciiTheme="majorEastAsia" w:hAnsiTheme="majorEastAsia" w:eastAsiaTheme="majorEastAsia" w:cstheme="majorEastAsia"/>
                <w:b w:val="0"/>
                <w:bCs/>
                <w:color w:val="000000"/>
                <w:szCs w:val="21"/>
                <w:highlight w:val="none"/>
                <w:lang w:val="en-US" w:eastAsia="zh-CN"/>
              </w:rPr>
              <w:t>（3）根据财政部、民政部、中国残疾人联合会《关于促进残疾人就业政府采购政策的通知》（财库[2017]141号），在政府采购活动中，残疾人福利性单位视同小型、微型企业。投标人属于残疾人福利性单位的，按照采购文件格式提供残疾人福利性单位声明函（如有请提供）。</w:t>
            </w:r>
          </w:p>
        </w:tc>
      </w:tr>
      <w:tr w14:paraId="1D0C74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894" w:type="dxa"/>
            <w:vMerge w:val="continue"/>
            <w:noWrap w:val="0"/>
            <w:vAlign w:val="center"/>
          </w:tcPr>
          <w:p w14:paraId="7BA38F08">
            <w:pPr>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Theme="majorEastAsia" w:hAnsiTheme="majorEastAsia" w:eastAsiaTheme="majorEastAsia" w:cstheme="majorEastAsia"/>
                <w:b/>
                <w:color w:val="auto"/>
                <w:sz w:val="21"/>
                <w:szCs w:val="21"/>
                <w:highlight w:val="none"/>
                <w:lang w:eastAsia="zh-CN"/>
              </w:rPr>
            </w:pPr>
          </w:p>
        </w:tc>
        <w:tc>
          <w:tcPr>
            <w:tcW w:w="1402" w:type="dxa"/>
            <w:vMerge w:val="continue"/>
            <w:noWrap w:val="0"/>
            <w:vAlign w:val="center"/>
          </w:tcPr>
          <w:p w14:paraId="18B27DFB">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b/>
                <w:color w:val="auto"/>
                <w:sz w:val="21"/>
                <w:szCs w:val="21"/>
                <w:highlight w:val="none"/>
                <w:lang w:eastAsia="zh-CN"/>
              </w:rPr>
            </w:pPr>
          </w:p>
        </w:tc>
        <w:tc>
          <w:tcPr>
            <w:tcW w:w="7113" w:type="dxa"/>
            <w:noWrap w:val="0"/>
            <w:vAlign w:val="top"/>
          </w:tcPr>
          <w:p w14:paraId="70A72568">
            <w:pPr>
              <w:keepNext w:val="0"/>
              <w:keepLines w:val="0"/>
              <w:pageBreakBefore w:val="0"/>
              <w:numPr>
                <w:ilvl w:val="0"/>
                <w:numId w:val="0"/>
              </w:numPr>
              <w:shd w:val="clear" w:color="auto" w:fill="auto"/>
              <w:kinsoku/>
              <w:wordWrap/>
              <w:overflowPunct/>
              <w:topLinePunct w:val="0"/>
              <w:autoSpaceDE/>
              <w:autoSpaceDN/>
              <w:bidi w:val="0"/>
              <w:adjustRightInd/>
              <w:snapToGrid w:val="0"/>
              <w:spacing w:line="360" w:lineRule="auto"/>
              <w:jc w:val="left"/>
              <w:textAlignment w:val="auto"/>
              <w:outlineLvl w:val="9"/>
              <w:rPr>
                <w:rFonts w:hint="eastAsia" w:ascii="宋体" w:hAnsi="宋体" w:eastAsia="宋体" w:cs="宋体"/>
                <w:b/>
                <w:bCs w:val="0"/>
                <w:color w:val="0000FF"/>
                <w:szCs w:val="21"/>
                <w:lang w:val="en-US" w:eastAsia="zh-CN"/>
              </w:rPr>
            </w:pPr>
            <w:r>
              <w:rPr>
                <w:rFonts w:hint="eastAsia" w:ascii="宋体" w:hAnsi="宋体" w:cs="宋体"/>
                <w:b/>
                <w:bCs w:val="0"/>
                <w:color w:val="0000FF"/>
                <w:szCs w:val="21"/>
                <w:lang w:val="en-US" w:eastAsia="zh-CN"/>
              </w:rPr>
              <w:t>（1</w:t>
            </w:r>
            <w:r>
              <w:rPr>
                <w:rFonts w:hint="eastAsia" w:ascii="宋体" w:hAnsi="宋体" w:eastAsia="宋体" w:cs="宋体"/>
                <w:b/>
                <w:bCs w:val="0"/>
                <w:color w:val="0000FF"/>
                <w:szCs w:val="21"/>
                <w:lang w:val="en-US" w:eastAsia="zh-CN"/>
              </w:rPr>
              <w:t>）本项目</w:t>
            </w:r>
            <w:r>
              <w:rPr>
                <w:rFonts w:hint="eastAsia" w:ascii="宋体" w:hAnsi="宋体" w:cs="宋体"/>
                <w:b/>
                <w:bCs w:val="0"/>
                <w:color w:val="0000FF"/>
                <w:szCs w:val="21"/>
                <w:lang w:val="en-US" w:eastAsia="zh-CN"/>
              </w:rPr>
              <w:t>采购物品</w:t>
            </w:r>
            <w:r>
              <w:rPr>
                <w:rFonts w:hint="eastAsia" w:ascii="宋体" w:hAnsi="宋体" w:eastAsia="宋体" w:cs="宋体"/>
                <w:b/>
                <w:bCs w:val="0"/>
                <w:color w:val="0000FF"/>
                <w:szCs w:val="21"/>
                <w:lang w:val="en-US" w:eastAsia="zh-CN"/>
              </w:rPr>
              <w:t>所属行业：其他未列明行业；</w:t>
            </w:r>
          </w:p>
          <w:p w14:paraId="22172423">
            <w:pPr>
              <w:keepNext w:val="0"/>
              <w:keepLines w:val="0"/>
              <w:pageBreakBefore w:val="0"/>
              <w:numPr>
                <w:ilvl w:val="0"/>
                <w:numId w:val="0"/>
              </w:numPr>
              <w:shd w:val="clear" w:color="auto" w:fill="auto"/>
              <w:kinsoku/>
              <w:wordWrap/>
              <w:overflowPunct/>
              <w:topLinePunct w:val="0"/>
              <w:autoSpaceDE/>
              <w:autoSpaceDN/>
              <w:bidi w:val="0"/>
              <w:adjustRightInd/>
              <w:snapToGrid w:val="0"/>
              <w:spacing w:line="360" w:lineRule="auto"/>
              <w:jc w:val="left"/>
              <w:textAlignment w:val="auto"/>
              <w:outlineLvl w:val="9"/>
              <w:rPr>
                <w:rFonts w:hint="eastAsia" w:asciiTheme="majorEastAsia" w:hAnsiTheme="majorEastAsia" w:eastAsiaTheme="majorEastAsia" w:cstheme="majorEastAsia"/>
                <w:highlight w:val="none"/>
                <w:lang w:val="en-US" w:eastAsia="zh-CN"/>
              </w:rPr>
            </w:pPr>
            <w:r>
              <w:rPr>
                <w:rFonts w:hint="eastAsia" w:ascii="宋体" w:hAnsi="宋体" w:eastAsia="宋体" w:cs="宋体"/>
                <w:b/>
                <w:bCs w:val="0"/>
                <w:color w:val="0000FF"/>
                <w:szCs w:val="21"/>
                <w:lang w:val="en-US" w:eastAsia="zh-CN"/>
              </w:rPr>
              <w:t>（2）</w:t>
            </w:r>
            <w:r>
              <w:rPr>
                <w:rFonts w:hint="eastAsia" w:ascii="宋体" w:hAnsi="宋体" w:eastAsia="宋体" w:cs="宋体"/>
                <w:b/>
                <w:bCs/>
                <w:color w:val="0000FF"/>
                <w:lang w:val="en-US" w:eastAsia="zh-CN"/>
              </w:rPr>
              <w:t>本项目为专门面向</w:t>
            </w:r>
            <w:r>
              <w:rPr>
                <w:rFonts w:hint="eastAsia" w:ascii="宋体" w:hAnsi="宋体" w:cs="宋体"/>
                <w:b/>
                <w:bCs/>
                <w:color w:val="0000FF"/>
                <w:lang w:val="en-US" w:eastAsia="zh-CN"/>
              </w:rPr>
              <w:t>中小</w:t>
            </w:r>
            <w:r>
              <w:rPr>
                <w:rFonts w:hint="eastAsia" w:ascii="宋体" w:hAnsi="宋体" w:eastAsia="宋体" w:cs="宋体"/>
                <w:b/>
                <w:bCs/>
                <w:color w:val="0000FF"/>
                <w:lang w:val="en-US" w:eastAsia="zh-CN"/>
              </w:rPr>
              <w:t>企业采购，不</w:t>
            </w:r>
            <w:r>
              <w:rPr>
                <w:rFonts w:hint="eastAsia" w:ascii="宋体" w:hAnsi="宋体" w:cs="宋体"/>
                <w:b/>
                <w:bCs/>
                <w:color w:val="0000FF"/>
                <w:lang w:val="en-US" w:eastAsia="zh-CN"/>
              </w:rPr>
              <w:t>再</w:t>
            </w:r>
            <w:r>
              <w:rPr>
                <w:rFonts w:hint="eastAsia" w:ascii="宋体" w:hAnsi="宋体" w:eastAsia="宋体" w:cs="宋体"/>
                <w:b/>
                <w:bCs/>
                <w:color w:val="0000FF"/>
                <w:lang w:val="en-US" w:eastAsia="zh-CN"/>
              </w:rPr>
              <w:t>对</w:t>
            </w:r>
            <w:r>
              <w:rPr>
                <w:rFonts w:hint="eastAsia" w:ascii="宋体" w:hAnsi="宋体" w:cs="宋体"/>
                <w:b/>
                <w:bCs/>
                <w:color w:val="0000FF"/>
                <w:lang w:val="en-US" w:eastAsia="zh-CN"/>
              </w:rPr>
              <w:t>小微</w:t>
            </w:r>
            <w:r>
              <w:rPr>
                <w:rFonts w:hint="eastAsia" w:ascii="宋体" w:hAnsi="宋体" w:eastAsia="宋体" w:cs="宋体"/>
                <w:b/>
                <w:bCs/>
                <w:color w:val="0000FF"/>
                <w:lang w:val="en-US" w:eastAsia="zh-CN"/>
              </w:rPr>
              <w:t>企业的价格进行扣除评审。</w:t>
            </w:r>
          </w:p>
        </w:tc>
      </w:tr>
      <w:tr w14:paraId="71BB13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894" w:type="dxa"/>
            <w:noWrap w:val="0"/>
            <w:vAlign w:val="center"/>
          </w:tcPr>
          <w:p w14:paraId="1685A735">
            <w:pPr>
              <w:keepNext w:val="0"/>
              <w:keepLines w:val="0"/>
              <w:pageBreakBefore w:val="0"/>
              <w:shd w:val="clear" w:color="auto" w:fill="auto"/>
              <w:kinsoku/>
              <w:wordWrap/>
              <w:overflowPunct/>
              <w:topLinePunct w:val="0"/>
              <w:autoSpaceDE/>
              <w:autoSpaceDN/>
              <w:bidi w:val="0"/>
              <w:adjustRightInd/>
              <w:snapToGrid w:val="0"/>
              <w:spacing w:line="360" w:lineRule="exact"/>
              <w:jc w:val="left"/>
              <w:textAlignment w:val="auto"/>
              <w:outlineLvl w:val="9"/>
              <w:rPr>
                <w:rFonts w:hint="eastAsia" w:asciiTheme="majorEastAsia" w:hAnsiTheme="majorEastAsia" w:eastAsiaTheme="majorEastAsia" w:cstheme="majorEastAsia"/>
                <w:b/>
                <w:bCs w:val="0"/>
                <w:color w:val="auto"/>
                <w:sz w:val="21"/>
                <w:szCs w:val="21"/>
                <w:highlight w:val="none"/>
                <w:lang w:val="en-US" w:eastAsia="zh-CN"/>
              </w:rPr>
            </w:pPr>
            <w:r>
              <w:rPr>
                <w:rFonts w:hint="eastAsia" w:asciiTheme="majorEastAsia" w:hAnsiTheme="majorEastAsia" w:eastAsiaTheme="majorEastAsia" w:cstheme="majorEastAsia"/>
                <w:b/>
                <w:bCs w:val="0"/>
                <w:color w:val="auto"/>
                <w:sz w:val="21"/>
                <w:szCs w:val="21"/>
                <w:highlight w:val="none"/>
                <w:lang w:val="en-US" w:eastAsia="zh-CN"/>
              </w:rPr>
              <w:t>备注</w:t>
            </w:r>
          </w:p>
        </w:tc>
        <w:tc>
          <w:tcPr>
            <w:tcW w:w="8515" w:type="dxa"/>
            <w:gridSpan w:val="2"/>
            <w:noWrap w:val="0"/>
            <w:vAlign w:val="center"/>
          </w:tcPr>
          <w:p w14:paraId="1E440343">
            <w:pPr>
              <w:numPr>
                <w:ilvl w:val="0"/>
                <w:numId w:val="0"/>
              </w:numPr>
              <w:spacing w:line="360" w:lineRule="auto"/>
              <w:jc w:val="left"/>
              <w:rPr>
                <w:rFonts w:hint="eastAsia" w:ascii="Times New Roman" w:hAnsi="Times New Roman" w:eastAsia="宋体" w:cs="Times New Roman"/>
                <w:b/>
                <w:bCs w:val="0"/>
                <w:color w:val="auto"/>
                <w:kern w:val="2"/>
                <w:sz w:val="21"/>
                <w:szCs w:val="21"/>
                <w:highlight w:val="none"/>
                <w:lang w:val="en-US" w:eastAsia="zh-CN" w:bidi="ar-SA"/>
              </w:rPr>
            </w:pPr>
            <w:r>
              <w:rPr>
                <w:rFonts w:hint="eastAsia" w:ascii="Times New Roman" w:hAnsi="Times New Roman" w:cs="Times New Roman"/>
                <w:b/>
                <w:bCs w:val="0"/>
                <w:color w:val="auto"/>
                <w:kern w:val="2"/>
                <w:sz w:val="21"/>
                <w:szCs w:val="21"/>
                <w:highlight w:val="none"/>
                <w:lang w:val="en-US" w:eastAsia="zh-CN" w:bidi="ar-SA"/>
              </w:rPr>
              <w:t>1、</w:t>
            </w:r>
            <w:r>
              <w:rPr>
                <w:rFonts w:hint="eastAsia" w:ascii="Times New Roman" w:hAnsi="Times New Roman" w:eastAsia="宋体" w:cs="Times New Roman"/>
                <w:b/>
                <w:bCs w:val="0"/>
                <w:color w:val="auto"/>
                <w:kern w:val="2"/>
                <w:sz w:val="21"/>
                <w:szCs w:val="21"/>
                <w:highlight w:val="none"/>
                <w:lang w:val="en-US" w:eastAsia="zh-CN" w:bidi="ar-SA"/>
              </w:rPr>
              <w:t>着重提醒各投标人注意，并认真查看</w:t>
            </w:r>
            <w:r>
              <w:rPr>
                <w:rFonts w:hint="eastAsia" w:eastAsia="宋体" w:cs="Times New Roman"/>
                <w:b/>
                <w:bCs w:val="0"/>
                <w:color w:val="auto"/>
                <w:kern w:val="2"/>
                <w:sz w:val="21"/>
                <w:szCs w:val="21"/>
                <w:highlight w:val="none"/>
                <w:lang w:val="en-US" w:eastAsia="zh-CN" w:bidi="ar-SA"/>
              </w:rPr>
              <w:t>采购文件</w:t>
            </w:r>
            <w:r>
              <w:rPr>
                <w:rFonts w:hint="eastAsia" w:ascii="Times New Roman" w:hAnsi="Times New Roman" w:eastAsia="宋体" w:cs="Times New Roman"/>
                <w:b/>
                <w:bCs w:val="0"/>
                <w:color w:val="auto"/>
                <w:kern w:val="2"/>
                <w:sz w:val="21"/>
                <w:szCs w:val="21"/>
                <w:highlight w:val="none"/>
                <w:lang w:val="en-US" w:eastAsia="zh-CN" w:bidi="ar-SA"/>
              </w:rPr>
              <w:t>中的每一个条款及要求，因误读</w:t>
            </w:r>
            <w:r>
              <w:rPr>
                <w:rFonts w:hint="eastAsia" w:eastAsia="宋体" w:cs="Times New Roman"/>
                <w:b/>
                <w:bCs w:val="0"/>
                <w:color w:val="auto"/>
                <w:kern w:val="2"/>
                <w:sz w:val="21"/>
                <w:szCs w:val="21"/>
                <w:highlight w:val="none"/>
                <w:lang w:val="en-US" w:eastAsia="zh-CN" w:bidi="ar-SA"/>
              </w:rPr>
              <w:t>采购</w:t>
            </w:r>
            <w:r>
              <w:rPr>
                <w:rFonts w:hint="eastAsia" w:ascii="Times New Roman" w:hAnsi="Times New Roman" w:eastAsia="宋体" w:cs="Times New Roman"/>
                <w:b/>
                <w:bCs w:val="0"/>
                <w:color w:val="auto"/>
                <w:kern w:val="2"/>
                <w:sz w:val="21"/>
                <w:szCs w:val="21"/>
                <w:highlight w:val="none"/>
                <w:lang w:val="en-US" w:eastAsia="zh-CN" w:bidi="ar-SA"/>
              </w:rPr>
              <w:t>文件而造成的后果，招标人概不负责。</w:t>
            </w:r>
          </w:p>
          <w:p w14:paraId="5F14AD2B">
            <w:pPr>
              <w:numPr>
                <w:ilvl w:val="0"/>
                <w:numId w:val="0"/>
              </w:numPr>
              <w:spacing w:line="360" w:lineRule="auto"/>
              <w:jc w:val="left"/>
              <w:rPr>
                <w:rFonts w:hint="eastAsia" w:ascii="Times New Roman" w:hAnsi="Times New Roman" w:eastAsia="宋体" w:cs="Times New Roman"/>
                <w:b/>
                <w:bCs w:val="0"/>
                <w:color w:val="auto"/>
                <w:kern w:val="2"/>
                <w:sz w:val="21"/>
                <w:szCs w:val="21"/>
                <w:highlight w:val="none"/>
                <w:lang w:val="en-US" w:eastAsia="zh-CN" w:bidi="ar-SA"/>
              </w:rPr>
            </w:pPr>
            <w:r>
              <w:rPr>
                <w:rFonts w:hint="eastAsia" w:ascii="Times New Roman" w:hAnsi="Times New Roman" w:cs="Times New Roman"/>
                <w:b/>
                <w:bCs w:val="0"/>
                <w:color w:val="auto"/>
                <w:kern w:val="2"/>
                <w:sz w:val="21"/>
                <w:szCs w:val="21"/>
                <w:highlight w:val="none"/>
                <w:lang w:val="en-US" w:eastAsia="zh-CN" w:bidi="ar-SA"/>
              </w:rPr>
              <w:t>2、</w:t>
            </w:r>
            <w:r>
              <w:rPr>
                <w:rFonts w:hint="eastAsia" w:ascii="Times New Roman" w:hAnsi="Times New Roman" w:eastAsia="宋体" w:cs="Times New Roman"/>
                <w:b/>
                <w:bCs w:val="0"/>
                <w:color w:val="auto"/>
                <w:kern w:val="2"/>
                <w:sz w:val="21"/>
                <w:szCs w:val="21"/>
                <w:highlight w:val="none"/>
                <w:lang w:val="en-US" w:eastAsia="zh-CN" w:bidi="ar-SA"/>
              </w:rPr>
              <w:t>除法律、法规和规章规定外，</w:t>
            </w:r>
            <w:r>
              <w:rPr>
                <w:rFonts w:hint="eastAsia" w:eastAsia="宋体" w:cs="Times New Roman"/>
                <w:b/>
                <w:bCs w:val="0"/>
                <w:color w:val="auto"/>
                <w:kern w:val="2"/>
                <w:sz w:val="21"/>
                <w:szCs w:val="21"/>
                <w:highlight w:val="none"/>
                <w:lang w:val="en-US" w:eastAsia="zh-CN" w:bidi="ar-SA"/>
              </w:rPr>
              <w:t>采购文件</w:t>
            </w:r>
            <w:r>
              <w:rPr>
                <w:rFonts w:hint="eastAsia" w:ascii="Times New Roman" w:hAnsi="Times New Roman" w:eastAsia="宋体" w:cs="Times New Roman"/>
                <w:b/>
                <w:bCs w:val="0"/>
                <w:color w:val="auto"/>
                <w:kern w:val="2"/>
                <w:sz w:val="21"/>
                <w:szCs w:val="21"/>
                <w:highlight w:val="none"/>
                <w:lang w:val="en-US" w:eastAsia="zh-CN" w:bidi="ar-SA"/>
              </w:rPr>
              <w:t>中用“拒绝”、“不接受”、“无效”、“不得”等文字规定，对其中任何一条的偏离，在评审时将其视为无效文件。未用上述文字规定或符号标注的条款为非实质性要求条款(即一般条款)。</w:t>
            </w:r>
          </w:p>
          <w:p w14:paraId="7E1F2F2A">
            <w:pPr>
              <w:numPr>
                <w:ilvl w:val="0"/>
                <w:numId w:val="0"/>
              </w:numPr>
              <w:spacing w:line="360" w:lineRule="auto"/>
              <w:ind w:leftChars="0"/>
              <w:jc w:val="left"/>
              <w:rPr>
                <w:rFonts w:hint="eastAsia" w:ascii="Times New Roman" w:hAnsi="Times New Roman" w:eastAsia="宋体" w:cs="Times New Roman"/>
                <w:b/>
                <w:bCs w:val="0"/>
                <w:color w:val="auto"/>
                <w:kern w:val="2"/>
                <w:sz w:val="21"/>
                <w:szCs w:val="21"/>
                <w:highlight w:val="none"/>
                <w:lang w:val="en-US" w:eastAsia="zh-CN" w:bidi="ar-SA"/>
              </w:rPr>
            </w:pPr>
            <w:r>
              <w:rPr>
                <w:rFonts w:hint="eastAsia" w:cs="Times New Roman"/>
                <w:b/>
                <w:bCs w:val="0"/>
                <w:color w:val="auto"/>
                <w:kern w:val="2"/>
                <w:sz w:val="21"/>
                <w:szCs w:val="21"/>
                <w:highlight w:val="none"/>
                <w:lang w:val="en-US" w:eastAsia="zh-CN" w:bidi="ar-SA"/>
              </w:rPr>
              <w:t>3</w:t>
            </w:r>
            <w:r>
              <w:rPr>
                <w:rFonts w:hint="eastAsia" w:ascii="Times New Roman" w:hAnsi="Times New Roman" w:eastAsia="宋体" w:cs="Times New Roman"/>
                <w:b/>
                <w:bCs w:val="0"/>
                <w:color w:val="auto"/>
                <w:kern w:val="2"/>
                <w:sz w:val="21"/>
                <w:szCs w:val="21"/>
                <w:highlight w:val="none"/>
                <w:lang w:val="en-US" w:eastAsia="zh-CN" w:bidi="ar-SA"/>
              </w:rPr>
              <w:t>、采购人若发现</w:t>
            </w:r>
            <w:r>
              <w:rPr>
                <w:rFonts w:hint="eastAsia" w:cs="Times New Roman"/>
                <w:b/>
                <w:bCs w:val="0"/>
                <w:color w:val="auto"/>
                <w:kern w:val="2"/>
                <w:sz w:val="21"/>
                <w:szCs w:val="21"/>
                <w:highlight w:val="none"/>
                <w:lang w:val="en-US" w:eastAsia="zh-CN" w:bidi="ar-SA"/>
              </w:rPr>
              <w:t>成交</w:t>
            </w:r>
            <w:r>
              <w:rPr>
                <w:rFonts w:hint="eastAsia" w:ascii="Times New Roman" w:hAnsi="Times New Roman" w:eastAsia="宋体" w:cs="Times New Roman"/>
                <w:b/>
                <w:bCs w:val="0"/>
                <w:color w:val="auto"/>
                <w:kern w:val="2"/>
                <w:sz w:val="21"/>
                <w:szCs w:val="21"/>
                <w:highlight w:val="none"/>
                <w:lang w:val="en-US" w:eastAsia="zh-CN" w:bidi="ar-SA"/>
              </w:rPr>
              <w:t>候选供应商在投标过程中提供虚假证明文件，故意隐瞒公司不良信誉和财务状况，以及其他可能对合同圆满履行造成风险的因素等，则按规定取消其成交资格，监管部门依法进行处理。</w:t>
            </w:r>
          </w:p>
          <w:p w14:paraId="7208DA97">
            <w:pPr>
              <w:numPr>
                <w:ilvl w:val="0"/>
                <w:numId w:val="0"/>
              </w:numPr>
              <w:spacing w:line="360" w:lineRule="auto"/>
              <w:ind w:leftChars="0"/>
              <w:jc w:val="left"/>
              <w:rPr>
                <w:rFonts w:hint="eastAsia" w:ascii="Times New Roman" w:hAnsi="Times New Roman" w:eastAsia="宋体" w:cs="Times New Roman"/>
                <w:b/>
                <w:bCs w:val="0"/>
                <w:color w:val="auto"/>
                <w:kern w:val="2"/>
                <w:sz w:val="21"/>
                <w:szCs w:val="21"/>
                <w:highlight w:val="none"/>
                <w:lang w:val="en-US" w:eastAsia="zh-CN" w:bidi="ar-SA"/>
              </w:rPr>
            </w:pPr>
            <w:r>
              <w:rPr>
                <w:rFonts w:hint="eastAsia" w:cs="Times New Roman"/>
                <w:b/>
                <w:bCs w:val="0"/>
                <w:color w:val="auto"/>
                <w:kern w:val="2"/>
                <w:sz w:val="21"/>
                <w:szCs w:val="21"/>
                <w:highlight w:val="none"/>
                <w:lang w:val="en-US" w:eastAsia="zh-CN" w:bidi="ar-SA"/>
              </w:rPr>
              <w:t>4</w:t>
            </w:r>
            <w:r>
              <w:rPr>
                <w:rFonts w:hint="eastAsia" w:ascii="Times New Roman" w:hAnsi="Times New Roman" w:eastAsia="宋体" w:cs="Times New Roman"/>
                <w:b/>
                <w:bCs w:val="0"/>
                <w:color w:val="auto"/>
                <w:kern w:val="2"/>
                <w:sz w:val="21"/>
                <w:szCs w:val="21"/>
                <w:highlight w:val="none"/>
                <w:lang w:val="en-US" w:eastAsia="zh-CN" w:bidi="ar-SA"/>
              </w:rPr>
              <w:t>、投标人使用相同IP地址的，一经发现，相关部门将进一步核实，查实后按串通投标处理。</w:t>
            </w:r>
          </w:p>
          <w:p w14:paraId="3AA6119F">
            <w:pPr>
              <w:numPr>
                <w:ilvl w:val="0"/>
                <w:numId w:val="0"/>
              </w:numPr>
              <w:spacing w:line="360" w:lineRule="auto"/>
              <w:ind w:leftChars="0"/>
              <w:jc w:val="left"/>
              <w:rPr>
                <w:rFonts w:hint="default" w:ascii="Times New Roman" w:hAnsi="Times New Roman" w:eastAsia="宋体" w:cs="Times New Roman"/>
                <w:b/>
                <w:bCs w:val="0"/>
                <w:color w:val="auto"/>
                <w:kern w:val="2"/>
                <w:sz w:val="21"/>
                <w:szCs w:val="21"/>
                <w:highlight w:val="yellow"/>
                <w:lang w:val="en-US" w:eastAsia="zh-CN" w:bidi="ar-SA"/>
              </w:rPr>
            </w:pPr>
            <w:r>
              <w:rPr>
                <w:rFonts w:hint="eastAsia" w:cs="Times New Roman"/>
                <w:b/>
                <w:bCs w:val="0"/>
                <w:color w:val="auto"/>
                <w:kern w:val="2"/>
                <w:sz w:val="21"/>
                <w:szCs w:val="21"/>
                <w:highlight w:val="none"/>
                <w:lang w:val="en-US" w:eastAsia="zh-CN" w:bidi="ar-SA"/>
              </w:rPr>
              <w:t>5</w:t>
            </w:r>
            <w:r>
              <w:rPr>
                <w:rFonts w:hint="eastAsia" w:ascii="Times New Roman" w:hAnsi="Times New Roman" w:eastAsia="宋体" w:cs="Times New Roman"/>
                <w:b/>
                <w:bCs w:val="0"/>
                <w:color w:val="auto"/>
                <w:kern w:val="2"/>
                <w:sz w:val="21"/>
                <w:szCs w:val="21"/>
                <w:highlight w:val="none"/>
                <w:lang w:val="en-US" w:eastAsia="zh-CN" w:bidi="ar-SA"/>
              </w:rPr>
              <w:t>、评标委员会发现投标人的报价明显低于其他投标报价或者在设有标底时明显低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p>
          <w:p w14:paraId="1765F515">
            <w:pPr>
              <w:pStyle w:val="11"/>
              <w:rPr>
                <w:rFonts w:hint="eastAsia" w:ascii="Times New Roman" w:hAnsi="Times New Roman" w:eastAsia="宋体" w:cs="Times New Roman"/>
                <w:b/>
                <w:bCs w:val="0"/>
                <w:color w:val="auto"/>
                <w:kern w:val="2"/>
                <w:sz w:val="21"/>
                <w:szCs w:val="21"/>
                <w:highlight w:val="none"/>
                <w:lang w:val="en-US" w:eastAsia="zh-CN" w:bidi="ar-SA"/>
              </w:rPr>
            </w:pPr>
            <w:r>
              <w:rPr>
                <w:rFonts w:hint="eastAsia" w:cs="Times New Roman"/>
                <w:b/>
                <w:bCs w:val="0"/>
                <w:color w:val="auto"/>
                <w:kern w:val="2"/>
                <w:sz w:val="21"/>
                <w:szCs w:val="21"/>
                <w:highlight w:val="none"/>
                <w:lang w:val="en-US" w:eastAsia="zh-CN" w:bidi="ar-SA"/>
              </w:rPr>
              <w:t>6</w:t>
            </w:r>
            <w:r>
              <w:rPr>
                <w:rFonts w:hint="eastAsia" w:ascii="Times New Roman" w:hAnsi="Times New Roman" w:eastAsia="宋体" w:cs="Times New Roman"/>
                <w:b/>
                <w:bCs w:val="0"/>
                <w:color w:val="auto"/>
                <w:kern w:val="2"/>
                <w:sz w:val="21"/>
                <w:szCs w:val="21"/>
                <w:highlight w:val="none"/>
                <w:lang w:val="en-US" w:eastAsia="zh-CN" w:bidi="ar-SA"/>
              </w:rPr>
              <w:t>、其他：</w:t>
            </w:r>
          </w:p>
          <w:p w14:paraId="04EF379C">
            <w:pPr>
              <w:numPr>
                <w:ilvl w:val="0"/>
                <w:numId w:val="0"/>
              </w:numPr>
              <w:spacing w:line="360" w:lineRule="auto"/>
              <w:ind w:leftChars="0"/>
              <w:jc w:val="left"/>
              <w:rPr>
                <w:rFonts w:hint="eastAsia" w:ascii="Times New Roman" w:hAnsi="Times New Roman" w:eastAsia="宋体" w:cs="Times New Roman"/>
                <w:b/>
                <w:bCs w:val="0"/>
                <w:color w:val="auto"/>
                <w:kern w:val="2"/>
                <w:sz w:val="21"/>
                <w:szCs w:val="21"/>
                <w:highlight w:val="none"/>
                <w:lang w:val="en-US" w:eastAsia="zh-CN" w:bidi="ar-SA"/>
              </w:rPr>
            </w:pPr>
            <w:r>
              <w:rPr>
                <w:rFonts w:hint="eastAsia" w:ascii="Times New Roman" w:hAnsi="Times New Roman" w:eastAsia="宋体" w:cs="Times New Roman"/>
                <w:b/>
                <w:bCs w:val="0"/>
                <w:color w:val="auto"/>
                <w:kern w:val="2"/>
                <w:sz w:val="21"/>
                <w:szCs w:val="21"/>
                <w:highlight w:val="none"/>
                <w:lang w:val="en-US" w:eastAsia="zh-CN" w:bidi="ar-SA"/>
              </w:rPr>
              <w:t>（1）投标企业严格遵守国家的法律法规及招标纪律，无违法违纪及商业贿赂行为。</w:t>
            </w:r>
          </w:p>
          <w:p w14:paraId="52D4D4E4">
            <w:pPr>
              <w:numPr>
                <w:ilvl w:val="0"/>
                <w:numId w:val="0"/>
              </w:numPr>
              <w:spacing w:line="360" w:lineRule="auto"/>
              <w:ind w:leftChars="0"/>
              <w:jc w:val="left"/>
              <w:rPr>
                <w:rFonts w:hint="eastAsia" w:ascii="Times New Roman" w:hAnsi="Times New Roman" w:eastAsia="宋体" w:cs="Times New Roman"/>
                <w:b/>
                <w:bCs w:val="0"/>
                <w:color w:val="auto"/>
                <w:kern w:val="2"/>
                <w:sz w:val="21"/>
                <w:szCs w:val="21"/>
                <w:highlight w:val="none"/>
                <w:lang w:val="en-US" w:eastAsia="zh-CN" w:bidi="ar-SA"/>
              </w:rPr>
            </w:pPr>
            <w:r>
              <w:rPr>
                <w:rFonts w:hint="eastAsia" w:ascii="Times New Roman" w:hAnsi="Times New Roman" w:eastAsia="宋体" w:cs="Times New Roman"/>
                <w:b/>
                <w:bCs w:val="0"/>
                <w:color w:val="auto"/>
                <w:kern w:val="2"/>
                <w:sz w:val="21"/>
                <w:szCs w:val="21"/>
                <w:highlight w:val="none"/>
                <w:lang w:val="en-US" w:eastAsia="zh-CN" w:bidi="ar-SA"/>
              </w:rPr>
              <w:t>（2）不管投标结果如何，供应商均应自行承担投标所需一切费用。</w:t>
            </w:r>
          </w:p>
          <w:p w14:paraId="4DB67E82">
            <w:pPr>
              <w:numPr>
                <w:ilvl w:val="0"/>
                <w:numId w:val="0"/>
              </w:numPr>
              <w:spacing w:line="360" w:lineRule="auto"/>
              <w:ind w:leftChars="0"/>
              <w:jc w:val="left"/>
              <w:rPr>
                <w:rFonts w:hint="eastAsia" w:ascii="Times New Roman" w:hAnsi="Times New Roman" w:eastAsia="宋体" w:cs="Times New Roman"/>
                <w:b/>
                <w:bCs w:val="0"/>
                <w:color w:val="auto"/>
                <w:kern w:val="2"/>
                <w:sz w:val="21"/>
                <w:szCs w:val="21"/>
                <w:highlight w:val="none"/>
                <w:lang w:val="en-US" w:eastAsia="zh-CN" w:bidi="ar-SA"/>
              </w:rPr>
            </w:pPr>
            <w:r>
              <w:rPr>
                <w:rFonts w:hint="eastAsia" w:ascii="Times New Roman" w:hAnsi="Times New Roman" w:eastAsia="宋体" w:cs="Times New Roman"/>
                <w:b/>
                <w:bCs w:val="0"/>
                <w:color w:val="auto"/>
                <w:kern w:val="2"/>
                <w:sz w:val="21"/>
                <w:szCs w:val="21"/>
                <w:highlight w:val="none"/>
                <w:lang w:val="en-US" w:eastAsia="zh-CN" w:bidi="ar-SA"/>
              </w:rPr>
              <w:t>（3）供应商应以书面形式保证成交后由本公司组织实施，不得以任何理由将项目转包给其他机构。</w:t>
            </w:r>
          </w:p>
          <w:p w14:paraId="6D7FF43E">
            <w:pPr>
              <w:keepNext w:val="0"/>
              <w:keepLines w:val="0"/>
              <w:pageBreakBefore w:val="0"/>
              <w:kinsoku/>
              <w:wordWrap/>
              <w:overflowPunct/>
              <w:topLinePunct w:val="0"/>
              <w:autoSpaceDE/>
              <w:autoSpaceDN/>
              <w:bidi w:val="0"/>
              <w:adjustRightInd/>
              <w:spacing w:line="360" w:lineRule="exact"/>
              <w:jc w:val="left"/>
              <w:textAlignment w:val="auto"/>
              <w:rPr>
                <w:rFonts w:hint="eastAsia" w:asciiTheme="majorEastAsia" w:hAnsiTheme="majorEastAsia" w:eastAsiaTheme="majorEastAsia" w:cstheme="majorEastAsia"/>
                <w:b/>
                <w:bCs w:val="0"/>
                <w:color w:val="auto"/>
                <w:sz w:val="21"/>
                <w:szCs w:val="21"/>
                <w:highlight w:val="none"/>
              </w:rPr>
            </w:pPr>
            <w:r>
              <w:rPr>
                <w:rFonts w:hint="eastAsia" w:ascii="Times New Roman" w:hAnsi="Times New Roman" w:eastAsia="宋体" w:cs="Times New Roman"/>
                <w:b/>
                <w:bCs w:val="0"/>
                <w:color w:val="auto"/>
                <w:kern w:val="2"/>
                <w:sz w:val="21"/>
                <w:szCs w:val="21"/>
                <w:highlight w:val="none"/>
                <w:lang w:val="en-US" w:eastAsia="zh-CN" w:bidi="ar-SA"/>
              </w:rPr>
              <w:t>（4）</w:t>
            </w:r>
            <w:r>
              <w:rPr>
                <w:rFonts w:hint="eastAsia" w:cs="Times New Roman"/>
                <w:b/>
                <w:bCs w:val="0"/>
                <w:color w:val="auto"/>
                <w:kern w:val="2"/>
                <w:sz w:val="21"/>
                <w:szCs w:val="21"/>
                <w:highlight w:val="none"/>
                <w:lang w:val="en-US" w:eastAsia="zh-CN" w:bidi="ar-SA"/>
              </w:rPr>
              <w:t>采购</w:t>
            </w:r>
            <w:r>
              <w:rPr>
                <w:rFonts w:hint="eastAsia" w:ascii="Times New Roman" w:hAnsi="Times New Roman" w:eastAsia="宋体" w:cs="Times New Roman"/>
                <w:b/>
                <w:bCs w:val="0"/>
                <w:color w:val="auto"/>
                <w:kern w:val="2"/>
                <w:sz w:val="21"/>
                <w:szCs w:val="21"/>
                <w:highlight w:val="none"/>
                <w:lang w:val="en-US" w:eastAsia="zh-CN" w:bidi="ar-SA"/>
              </w:rPr>
              <w:t>文件中如出现前后不一致情况，均以前附表内容为准。</w:t>
            </w:r>
          </w:p>
        </w:tc>
      </w:tr>
      <w:tr w14:paraId="1FEE233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9409" w:type="dxa"/>
            <w:gridSpan w:val="3"/>
            <w:noWrap w:val="0"/>
            <w:vAlign w:val="center"/>
          </w:tcPr>
          <w:p w14:paraId="18493114">
            <w:pPr>
              <w:keepNext w:val="0"/>
              <w:keepLines w:val="0"/>
              <w:pageBreakBefore w:val="0"/>
              <w:shd w:val="clear" w:color="auto" w:fill="auto"/>
              <w:kinsoku/>
              <w:wordWrap/>
              <w:overflowPunct/>
              <w:topLinePunct w:val="0"/>
              <w:autoSpaceDE/>
              <w:autoSpaceDN/>
              <w:bidi w:val="0"/>
              <w:adjustRightInd/>
              <w:snapToGrid w:val="0"/>
              <w:spacing w:line="360" w:lineRule="exact"/>
              <w:jc w:val="center"/>
              <w:textAlignment w:val="auto"/>
              <w:outlineLvl w:val="9"/>
              <w:rPr>
                <w:rFonts w:hint="eastAsia" w:asciiTheme="majorEastAsia" w:hAnsiTheme="majorEastAsia" w:eastAsiaTheme="majorEastAsia" w:cstheme="majorEastAsia"/>
                <w:b/>
                <w:bCs w:val="0"/>
                <w:color w:val="auto"/>
                <w:sz w:val="21"/>
                <w:szCs w:val="21"/>
                <w:highlight w:val="none"/>
              </w:rPr>
            </w:pPr>
            <w:r>
              <w:rPr>
                <w:rFonts w:hint="eastAsia" w:asciiTheme="majorEastAsia" w:hAnsiTheme="majorEastAsia" w:eastAsiaTheme="majorEastAsia" w:cstheme="majorEastAsia"/>
                <w:b/>
                <w:bCs w:val="0"/>
                <w:color w:val="auto"/>
                <w:sz w:val="21"/>
                <w:szCs w:val="21"/>
                <w:highlight w:val="none"/>
              </w:rPr>
              <w:t>备注</w:t>
            </w:r>
            <w:r>
              <w:rPr>
                <w:rFonts w:hint="eastAsia" w:asciiTheme="majorEastAsia" w:hAnsiTheme="majorEastAsia" w:eastAsiaTheme="majorEastAsia" w:cstheme="majorEastAsia"/>
                <w:b/>
                <w:bCs w:val="0"/>
                <w:color w:val="auto"/>
                <w:sz w:val="21"/>
                <w:szCs w:val="21"/>
                <w:highlight w:val="none"/>
                <w:lang w:eastAsia="zh-CN"/>
              </w:rPr>
              <w:t>：</w:t>
            </w:r>
            <w:r>
              <w:rPr>
                <w:rFonts w:hint="eastAsia" w:asciiTheme="majorEastAsia" w:hAnsiTheme="majorEastAsia" w:eastAsiaTheme="majorEastAsia" w:cstheme="majorEastAsia"/>
                <w:b/>
                <w:bCs w:val="0"/>
                <w:color w:val="auto"/>
                <w:sz w:val="21"/>
                <w:szCs w:val="21"/>
                <w:highlight w:val="none"/>
              </w:rPr>
              <w:t>投标人使用相同IP地址的，一经发现，</w:t>
            </w:r>
            <w:r>
              <w:rPr>
                <w:rFonts w:hint="eastAsia" w:asciiTheme="majorEastAsia" w:hAnsiTheme="majorEastAsia" w:eastAsiaTheme="majorEastAsia" w:cstheme="majorEastAsia"/>
                <w:b/>
                <w:bCs w:val="0"/>
                <w:color w:val="auto"/>
                <w:sz w:val="21"/>
                <w:szCs w:val="21"/>
                <w:highlight w:val="none"/>
                <w:lang w:eastAsia="zh-CN"/>
              </w:rPr>
              <w:t>相关</w:t>
            </w:r>
            <w:r>
              <w:rPr>
                <w:rFonts w:hint="eastAsia" w:asciiTheme="majorEastAsia" w:hAnsiTheme="majorEastAsia" w:eastAsiaTheme="majorEastAsia" w:cstheme="majorEastAsia"/>
                <w:b/>
                <w:bCs w:val="0"/>
                <w:color w:val="auto"/>
                <w:sz w:val="21"/>
                <w:szCs w:val="21"/>
                <w:highlight w:val="none"/>
              </w:rPr>
              <w:t>部门将进一步核实，查实后按串通投标处理</w:t>
            </w:r>
            <w:r>
              <w:rPr>
                <w:rFonts w:hint="eastAsia" w:asciiTheme="majorEastAsia" w:hAnsiTheme="majorEastAsia" w:eastAsiaTheme="majorEastAsia" w:cstheme="majorEastAsia"/>
                <w:b/>
                <w:bCs w:val="0"/>
                <w:color w:val="auto"/>
                <w:sz w:val="21"/>
                <w:szCs w:val="21"/>
                <w:highlight w:val="none"/>
                <w:lang w:eastAsia="zh-CN"/>
              </w:rPr>
              <w:t>。</w:t>
            </w:r>
          </w:p>
        </w:tc>
      </w:tr>
    </w:tbl>
    <w:p w14:paraId="27DB521E">
      <w:pPr>
        <w:pageBreakBefore/>
        <w:shd w:val="clear" w:color="auto" w:fill="auto"/>
        <w:spacing w:before="312" w:beforeLines="100" w:after="312" w:afterLines="100" w:line="440" w:lineRule="exact"/>
        <w:jc w:val="center"/>
        <w:outlineLvl w:val="1"/>
        <w:rPr>
          <w:rFonts w:hint="eastAsia" w:asciiTheme="majorEastAsia" w:hAnsiTheme="majorEastAsia" w:eastAsiaTheme="majorEastAsia" w:cstheme="majorEastAsia"/>
          <w:b/>
          <w:color w:val="auto"/>
          <w:sz w:val="28"/>
          <w:szCs w:val="32"/>
          <w:highlight w:val="none"/>
        </w:rPr>
      </w:pPr>
      <w:r>
        <w:rPr>
          <w:rFonts w:hint="eastAsia" w:asciiTheme="majorEastAsia" w:hAnsiTheme="majorEastAsia" w:eastAsiaTheme="majorEastAsia" w:cstheme="majorEastAsia"/>
          <w:b/>
          <w:color w:val="auto"/>
          <w:sz w:val="28"/>
          <w:szCs w:val="28"/>
          <w:highlight w:val="none"/>
        </w:rPr>
        <w:t>二、投标人须知</w:t>
      </w:r>
    </w:p>
    <w:p w14:paraId="3256AE4A">
      <w:pPr>
        <w:shd w:val="clear" w:color="auto" w:fill="auto"/>
        <w:spacing w:line="440" w:lineRule="exact"/>
        <w:jc w:val="center"/>
        <w:outlineLvl w:val="2"/>
        <w:rPr>
          <w:rFonts w:hint="eastAsia" w:asciiTheme="majorEastAsia" w:hAnsiTheme="majorEastAsia" w:eastAsiaTheme="majorEastAsia" w:cstheme="majorEastAsia"/>
          <w:color w:val="auto"/>
          <w:sz w:val="28"/>
          <w:szCs w:val="28"/>
          <w:highlight w:val="none"/>
        </w:rPr>
      </w:pPr>
      <w:bookmarkStart w:id="3" w:name="_Toc469495724"/>
      <w:r>
        <w:rPr>
          <w:rFonts w:hint="eastAsia" w:asciiTheme="majorEastAsia" w:hAnsiTheme="majorEastAsia" w:eastAsiaTheme="majorEastAsia" w:cstheme="majorEastAsia"/>
          <w:b/>
          <w:color w:val="auto"/>
          <w:sz w:val="28"/>
          <w:szCs w:val="28"/>
          <w:highlight w:val="none"/>
        </w:rPr>
        <w:t>（一）</w:t>
      </w:r>
      <w:r>
        <w:rPr>
          <w:rFonts w:hint="eastAsia" w:asciiTheme="majorEastAsia" w:hAnsiTheme="majorEastAsia" w:eastAsiaTheme="majorEastAsia" w:cstheme="majorEastAsia"/>
          <w:b/>
          <w:color w:val="auto"/>
          <w:sz w:val="28"/>
          <w:szCs w:val="32"/>
          <w:highlight w:val="none"/>
        </w:rPr>
        <w:t>总  则</w:t>
      </w:r>
      <w:bookmarkEnd w:id="3"/>
    </w:p>
    <w:p w14:paraId="6C49092F">
      <w:pPr>
        <w:shd w:val="clear" w:color="auto" w:fill="auto"/>
        <w:snapToGrid w:val="0"/>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1.项目概况</w:t>
      </w:r>
    </w:p>
    <w:p w14:paraId="54333C9C">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u w:val="single"/>
        </w:rPr>
      </w:pPr>
      <w:r>
        <w:rPr>
          <w:rFonts w:hint="eastAsia" w:asciiTheme="majorEastAsia" w:hAnsiTheme="majorEastAsia" w:eastAsiaTheme="majorEastAsia" w:cstheme="majorEastAsia"/>
          <w:color w:val="auto"/>
          <w:szCs w:val="21"/>
          <w:highlight w:val="none"/>
        </w:rPr>
        <w:t>1.1本次招标采购项目名称：见投标人须知前附表。</w:t>
      </w:r>
    </w:p>
    <w:p w14:paraId="5EC52EE0">
      <w:pPr>
        <w:shd w:val="clear" w:color="auto" w:fill="auto"/>
        <w:snapToGrid w:val="0"/>
        <w:spacing w:line="440" w:lineRule="exact"/>
        <w:ind w:firstLine="852" w:firstLineChars="400"/>
        <w:rPr>
          <w:rFonts w:hint="eastAsia" w:asciiTheme="majorEastAsia" w:hAnsiTheme="majorEastAsia" w:eastAsiaTheme="majorEastAsia" w:cstheme="majorEastAsia"/>
          <w:color w:val="auto"/>
          <w:szCs w:val="21"/>
          <w:highlight w:val="none"/>
          <w:u w:val="single"/>
        </w:rPr>
      </w:pPr>
      <w:r>
        <w:rPr>
          <w:rFonts w:hint="eastAsia" w:asciiTheme="majorEastAsia" w:hAnsiTheme="majorEastAsia" w:eastAsiaTheme="majorEastAsia" w:cstheme="majorEastAsia"/>
          <w:color w:val="auto"/>
          <w:szCs w:val="21"/>
          <w:highlight w:val="none"/>
        </w:rPr>
        <w:t>项目编号：见投标人须知前附表。</w:t>
      </w:r>
    </w:p>
    <w:p w14:paraId="072069A1">
      <w:pPr>
        <w:shd w:val="clear" w:color="auto" w:fill="auto"/>
        <w:snapToGrid w:val="0"/>
        <w:spacing w:line="440" w:lineRule="exact"/>
        <w:ind w:firstLine="852" w:firstLineChars="400"/>
        <w:rPr>
          <w:rFonts w:hint="eastAsia" w:asciiTheme="majorEastAsia" w:hAnsiTheme="majorEastAsia" w:eastAsiaTheme="majorEastAsia" w:cstheme="majorEastAsia"/>
          <w:color w:val="auto"/>
          <w:szCs w:val="21"/>
          <w:highlight w:val="none"/>
          <w:u w:val="single"/>
        </w:rPr>
      </w:pPr>
      <w:r>
        <w:rPr>
          <w:rFonts w:hint="eastAsia" w:asciiTheme="majorEastAsia" w:hAnsiTheme="majorEastAsia" w:eastAsiaTheme="majorEastAsia" w:cstheme="majorEastAsia"/>
          <w:color w:val="auto"/>
          <w:szCs w:val="21"/>
          <w:highlight w:val="none"/>
        </w:rPr>
        <w:t>招标人：见投标人须知前附表。</w:t>
      </w:r>
    </w:p>
    <w:p w14:paraId="0FC0DA4B">
      <w:pPr>
        <w:ind w:firstLine="852" w:firstLineChars="400"/>
        <w:jc w:val="both"/>
        <w:rPr>
          <w:rFonts w:hint="eastAsia" w:asciiTheme="majorEastAsia" w:hAnsiTheme="majorEastAsia" w:eastAsiaTheme="majorEastAsia" w:cstheme="majorEastAsia"/>
          <w:color w:val="auto"/>
          <w:szCs w:val="21"/>
          <w:highlight w:val="none"/>
          <w:u w:val="single"/>
        </w:rPr>
      </w:pPr>
      <w:r>
        <w:rPr>
          <w:rFonts w:hint="eastAsia" w:asciiTheme="majorEastAsia" w:hAnsiTheme="majorEastAsia" w:eastAsiaTheme="majorEastAsia" w:cstheme="majorEastAsia"/>
          <w:color w:val="auto"/>
          <w:szCs w:val="21"/>
          <w:highlight w:val="none"/>
        </w:rPr>
        <w:t>供货期（服务周期）：详见</w:t>
      </w:r>
      <w:r>
        <w:rPr>
          <w:rFonts w:hint="eastAsia" w:asciiTheme="majorEastAsia" w:hAnsiTheme="majorEastAsia" w:eastAsiaTheme="majorEastAsia" w:cstheme="majorEastAsia"/>
          <w:color w:val="auto"/>
          <w:szCs w:val="21"/>
          <w:highlight w:val="none"/>
          <w:lang w:val="en-US" w:eastAsia="zh-CN"/>
        </w:rPr>
        <w:t>谈判</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第四章</w:t>
      </w:r>
      <w:r>
        <w:rPr>
          <w:rFonts w:hint="eastAsia" w:asciiTheme="majorEastAsia" w:hAnsiTheme="majorEastAsia" w:eastAsiaTheme="majorEastAsia" w:cstheme="majorEastAsia"/>
          <w:color w:val="auto"/>
          <w:szCs w:val="21"/>
          <w:highlight w:val="none"/>
          <w:lang w:val="en-US" w:eastAsia="zh-CN"/>
        </w:rPr>
        <w:t>采购内容（技术）及商务要求</w:t>
      </w:r>
    </w:p>
    <w:p w14:paraId="364A6212">
      <w:pPr>
        <w:shd w:val="clear" w:color="auto" w:fill="auto"/>
        <w:snapToGrid w:val="0"/>
        <w:spacing w:line="440" w:lineRule="exact"/>
        <w:ind w:firstLine="852" w:firstLineChars="400"/>
        <w:rPr>
          <w:rFonts w:hint="eastAsia" w:asciiTheme="majorEastAsia" w:hAnsiTheme="majorEastAsia" w:eastAsiaTheme="majorEastAsia" w:cstheme="majorEastAsia"/>
          <w:color w:val="auto"/>
          <w:szCs w:val="21"/>
          <w:highlight w:val="none"/>
          <w:u w:val="single"/>
        </w:rPr>
      </w:pPr>
      <w:r>
        <w:rPr>
          <w:rFonts w:hint="eastAsia" w:asciiTheme="majorEastAsia" w:hAnsiTheme="majorEastAsia" w:eastAsiaTheme="majorEastAsia" w:cstheme="majorEastAsia"/>
          <w:color w:val="auto"/>
          <w:szCs w:val="21"/>
          <w:highlight w:val="none"/>
        </w:rPr>
        <w:t>供货地点：详见</w:t>
      </w:r>
      <w:r>
        <w:rPr>
          <w:rFonts w:hint="eastAsia" w:asciiTheme="majorEastAsia" w:hAnsiTheme="majorEastAsia" w:eastAsiaTheme="majorEastAsia" w:cstheme="majorEastAsia"/>
          <w:color w:val="auto"/>
          <w:szCs w:val="21"/>
          <w:highlight w:val="none"/>
          <w:lang w:val="en-US" w:eastAsia="zh-CN"/>
        </w:rPr>
        <w:t>谈判</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第四章</w:t>
      </w:r>
      <w:r>
        <w:rPr>
          <w:rFonts w:hint="eastAsia" w:asciiTheme="majorEastAsia" w:hAnsiTheme="majorEastAsia" w:eastAsiaTheme="majorEastAsia" w:cstheme="majorEastAsia"/>
          <w:color w:val="auto"/>
          <w:szCs w:val="21"/>
          <w:highlight w:val="none"/>
          <w:lang w:val="en-US" w:eastAsia="zh-CN"/>
        </w:rPr>
        <w:t>采购内容（技术）及商务要求</w:t>
      </w:r>
    </w:p>
    <w:p w14:paraId="3FAEC7DA">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u w:val="single"/>
        </w:rPr>
      </w:pPr>
      <w:r>
        <w:rPr>
          <w:rFonts w:hint="eastAsia" w:asciiTheme="majorEastAsia" w:hAnsiTheme="majorEastAsia" w:eastAsiaTheme="majorEastAsia" w:cstheme="majorEastAsia"/>
          <w:color w:val="auto"/>
          <w:szCs w:val="21"/>
          <w:highlight w:val="none"/>
        </w:rPr>
        <w:t>1.2招标人及联系人:见投标人须知前附表。</w:t>
      </w:r>
    </w:p>
    <w:p w14:paraId="0AE5B9E1">
      <w:pPr>
        <w:shd w:val="clear" w:color="auto" w:fill="auto"/>
        <w:snapToGrid w:val="0"/>
        <w:spacing w:line="440" w:lineRule="exact"/>
        <w:ind w:firstLine="745" w:firstLineChars="350"/>
        <w:rPr>
          <w:rFonts w:hint="eastAsia" w:asciiTheme="majorEastAsia" w:hAnsiTheme="majorEastAsia" w:eastAsiaTheme="majorEastAsia" w:cstheme="majorEastAsia"/>
          <w:color w:val="auto"/>
          <w:szCs w:val="21"/>
          <w:highlight w:val="none"/>
          <w:u w:val="single"/>
        </w:rPr>
      </w:pPr>
      <w:r>
        <w:rPr>
          <w:rFonts w:hint="eastAsia" w:asciiTheme="majorEastAsia" w:hAnsiTheme="majorEastAsia" w:eastAsiaTheme="majorEastAsia" w:cstheme="majorEastAsia"/>
          <w:color w:val="auto"/>
          <w:szCs w:val="21"/>
          <w:highlight w:val="none"/>
        </w:rPr>
        <w:t xml:space="preserve"> 代理机构及联系人:见投标人须知前附表。</w:t>
      </w:r>
    </w:p>
    <w:p w14:paraId="7E4150AD">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1.3资金来源：见投标人须知前附表。</w:t>
      </w:r>
    </w:p>
    <w:p w14:paraId="59EB1667">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1.4本项目预算：见投标人须知前附表。</w:t>
      </w:r>
    </w:p>
    <w:p w14:paraId="123B91A8">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1.5本项目</w:t>
      </w:r>
      <w:r>
        <w:rPr>
          <w:rFonts w:hint="eastAsia" w:asciiTheme="majorEastAsia" w:hAnsiTheme="majorEastAsia" w:eastAsiaTheme="majorEastAsia" w:cstheme="majorEastAsia"/>
          <w:color w:val="auto"/>
          <w:szCs w:val="21"/>
          <w:highlight w:val="none"/>
          <w:lang w:val="en-US" w:eastAsia="zh-CN"/>
        </w:rPr>
        <w:t>最高限价</w:t>
      </w:r>
      <w:r>
        <w:rPr>
          <w:rFonts w:hint="eastAsia" w:asciiTheme="majorEastAsia" w:hAnsiTheme="majorEastAsia" w:eastAsiaTheme="majorEastAsia" w:cstheme="majorEastAsia"/>
          <w:color w:val="auto"/>
          <w:szCs w:val="21"/>
          <w:highlight w:val="none"/>
        </w:rPr>
        <w:t>：见投标人须知前附表</w:t>
      </w:r>
    </w:p>
    <w:p w14:paraId="4BFBAD06">
      <w:pPr>
        <w:shd w:val="clear" w:color="auto" w:fill="auto"/>
        <w:snapToGrid w:val="0"/>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2.招标范围：</w:t>
      </w:r>
    </w:p>
    <w:p w14:paraId="181527FB">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u w:val="single"/>
        </w:rPr>
      </w:pPr>
      <w:r>
        <w:rPr>
          <w:rFonts w:hint="eastAsia" w:asciiTheme="majorEastAsia" w:hAnsiTheme="majorEastAsia" w:eastAsiaTheme="majorEastAsia" w:cstheme="majorEastAsia"/>
          <w:color w:val="auto"/>
          <w:szCs w:val="21"/>
          <w:highlight w:val="none"/>
        </w:rPr>
        <w:t>2.1 采购内容：详见</w:t>
      </w:r>
      <w:r>
        <w:rPr>
          <w:rFonts w:hint="eastAsia" w:asciiTheme="majorEastAsia" w:hAnsiTheme="majorEastAsia" w:eastAsiaTheme="majorEastAsia" w:cstheme="majorEastAsia"/>
          <w:color w:val="auto"/>
          <w:szCs w:val="21"/>
          <w:highlight w:val="none"/>
          <w:lang w:val="en-US" w:eastAsia="zh-CN"/>
        </w:rPr>
        <w:t>谈判</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第四章</w:t>
      </w:r>
      <w:r>
        <w:rPr>
          <w:rFonts w:hint="eastAsia" w:asciiTheme="majorEastAsia" w:hAnsiTheme="majorEastAsia" w:eastAsiaTheme="majorEastAsia" w:cstheme="majorEastAsia"/>
          <w:color w:val="auto"/>
          <w:szCs w:val="21"/>
          <w:highlight w:val="none"/>
          <w:lang w:val="en-US" w:eastAsia="zh-CN"/>
        </w:rPr>
        <w:t>采购内容（技术）及商务要求</w:t>
      </w:r>
    </w:p>
    <w:p w14:paraId="631DA256">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2.2 技术要求：详见</w:t>
      </w:r>
      <w:r>
        <w:rPr>
          <w:rFonts w:hint="eastAsia" w:asciiTheme="majorEastAsia" w:hAnsiTheme="majorEastAsia" w:eastAsiaTheme="majorEastAsia" w:cstheme="majorEastAsia"/>
          <w:color w:val="auto"/>
          <w:szCs w:val="21"/>
          <w:highlight w:val="none"/>
          <w:lang w:val="en-US" w:eastAsia="zh-CN"/>
        </w:rPr>
        <w:t>谈判</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第四章</w:t>
      </w:r>
      <w:r>
        <w:rPr>
          <w:rFonts w:hint="eastAsia" w:asciiTheme="majorEastAsia" w:hAnsiTheme="majorEastAsia" w:eastAsiaTheme="majorEastAsia" w:cstheme="majorEastAsia"/>
          <w:color w:val="auto"/>
          <w:szCs w:val="21"/>
          <w:highlight w:val="none"/>
          <w:lang w:val="en-US" w:eastAsia="zh-CN"/>
        </w:rPr>
        <w:t>采购内容（技术）及商务要求</w:t>
      </w:r>
      <w:r>
        <w:rPr>
          <w:rFonts w:hint="eastAsia" w:asciiTheme="majorEastAsia" w:hAnsiTheme="majorEastAsia" w:eastAsiaTheme="majorEastAsia" w:cstheme="majorEastAsia"/>
          <w:color w:val="auto"/>
          <w:szCs w:val="21"/>
          <w:highlight w:val="none"/>
        </w:rPr>
        <w:t>。</w:t>
      </w:r>
    </w:p>
    <w:p w14:paraId="3FAA1031">
      <w:pPr>
        <w:shd w:val="clear" w:color="auto" w:fill="auto"/>
        <w:snapToGrid w:val="0"/>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3.标包划分：</w:t>
      </w:r>
    </w:p>
    <w:p w14:paraId="3777B7EE">
      <w:pPr>
        <w:shd w:val="clear" w:color="auto" w:fill="auto"/>
        <w:snapToGrid w:val="0"/>
        <w:spacing w:line="440" w:lineRule="exact"/>
        <w:ind w:firstLine="426" w:firstLineChars="200"/>
        <w:jc w:val="left"/>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3.1本项目划分：</w:t>
      </w:r>
      <w:r>
        <w:rPr>
          <w:rFonts w:hint="eastAsia" w:asciiTheme="majorEastAsia" w:hAnsiTheme="majorEastAsia" w:eastAsiaTheme="majorEastAsia" w:cstheme="majorEastAsia"/>
          <w:color w:val="auto"/>
          <w:szCs w:val="21"/>
          <w:highlight w:val="none"/>
          <w:u w:val="single"/>
        </w:rPr>
        <w:t xml:space="preserve"> </w:t>
      </w:r>
      <w:r>
        <w:rPr>
          <w:rFonts w:hint="eastAsia" w:asciiTheme="majorEastAsia" w:hAnsiTheme="majorEastAsia" w:eastAsiaTheme="majorEastAsia" w:cstheme="majorEastAsia"/>
          <w:color w:val="auto"/>
          <w:szCs w:val="21"/>
          <w:highlight w:val="none"/>
          <w:u w:val="single"/>
          <w:lang w:val="en-US" w:eastAsia="zh-CN"/>
        </w:rPr>
        <w:t>1</w:t>
      </w:r>
      <w:r>
        <w:rPr>
          <w:rFonts w:hint="eastAsia" w:asciiTheme="majorEastAsia" w:hAnsiTheme="majorEastAsia" w:eastAsiaTheme="majorEastAsia" w:cstheme="majorEastAsia"/>
          <w:color w:val="auto"/>
          <w:szCs w:val="21"/>
          <w:highlight w:val="none"/>
        </w:rPr>
        <w:t xml:space="preserve"> 个标包</w:t>
      </w:r>
      <w:r>
        <w:rPr>
          <w:rFonts w:hint="eastAsia" w:asciiTheme="majorEastAsia" w:hAnsiTheme="majorEastAsia" w:eastAsiaTheme="majorEastAsia" w:cstheme="majorEastAsia"/>
          <w:color w:val="auto"/>
          <w:kern w:val="0"/>
          <w:szCs w:val="21"/>
          <w:highlight w:val="none"/>
        </w:rPr>
        <w:t>。</w:t>
      </w:r>
    </w:p>
    <w:p w14:paraId="0B3DBCCD">
      <w:pPr>
        <w:shd w:val="clear" w:color="auto" w:fill="auto"/>
        <w:snapToGrid w:val="0"/>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4.招标方式：</w:t>
      </w:r>
    </w:p>
    <w:p w14:paraId="6BC43DA3">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4.1本项目招标方式：见投标人须知前附表。</w:t>
      </w:r>
    </w:p>
    <w:p w14:paraId="52E36C61">
      <w:pPr>
        <w:shd w:val="clear" w:color="auto" w:fill="auto"/>
        <w:snapToGrid w:val="0"/>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5.计价方式：</w:t>
      </w:r>
    </w:p>
    <w:p w14:paraId="3D3E8021">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5.1本次招标项目合同采用</w:t>
      </w:r>
      <w:r>
        <w:rPr>
          <w:rFonts w:hint="eastAsia" w:asciiTheme="majorEastAsia" w:hAnsiTheme="majorEastAsia" w:eastAsiaTheme="majorEastAsia" w:cstheme="majorEastAsia"/>
          <w:color w:val="auto"/>
          <w:szCs w:val="21"/>
          <w:highlight w:val="none"/>
          <w:u w:val="single"/>
        </w:rPr>
        <w:t xml:space="preserve">   </w:t>
      </w:r>
      <w:r>
        <w:rPr>
          <w:rFonts w:hint="eastAsia" w:asciiTheme="majorEastAsia" w:hAnsiTheme="majorEastAsia" w:eastAsiaTheme="majorEastAsia" w:cstheme="majorEastAsia"/>
          <w:color w:val="auto"/>
          <w:szCs w:val="21"/>
          <w:highlight w:val="none"/>
          <w:u w:val="single"/>
          <w:lang w:val="en-US" w:eastAsia="zh-CN"/>
        </w:rPr>
        <w:t>固定总</w:t>
      </w:r>
      <w:r>
        <w:rPr>
          <w:rFonts w:hint="eastAsia" w:asciiTheme="majorEastAsia" w:hAnsiTheme="majorEastAsia" w:eastAsiaTheme="majorEastAsia" w:cstheme="majorEastAsia"/>
          <w:color w:val="auto"/>
          <w:szCs w:val="21"/>
          <w:highlight w:val="none"/>
          <w:u w:val="single"/>
          <w:lang w:eastAsia="zh-CN"/>
        </w:rPr>
        <w:t>价</w:t>
      </w:r>
      <w:r>
        <w:rPr>
          <w:rFonts w:hint="eastAsia" w:asciiTheme="majorEastAsia" w:hAnsiTheme="majorEastAsia" w:eastAsiaTheme="majorEastAsia" w:cstheme="majorEastAsia"/>
          <w:color w:val="auto"/>
          <w:szCs w:val="21"/>
          <w:highlight w:val="none"/>
          <w:u w:val="single"/>
          <w:lang w:val="en-US" w:eastAsia="zh-CN"/>
        </w:rPr>
        <w:t>合同</w:t>
      </w:r>
      <w:r>
        <w:rPr>
          <w:rFonts w:hint="eastAsia" w:asciiTheme="majorEastAsia" w:hAnsiTheme="majorEastAsia" w:eastAsiaTheme="majorEastAsia" w:cstheme="majorEastAsia"/>
          <w:color w:val="auto"/>
          <w:szCs w:val="21"/>
          <w:highlight w:val="none"/>
          <w:u w:val="single"/>
        </w:rPr>
        <w:t xml:space="preserve"> 。</w:t>
      </w:r>
    </w:p>
    <w:p w14:paraId="28A9D05B">
      <w:pPr>
        <w:shd w:val="clear" w:color="auto" w:fill="auto"/>
        <w:snapToGrid w:val="0"/>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6.评标办法：</w:t>
      </w:r>
    </w:p>
    <w:p w14:paraId="20511DE9">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6.1本次招标评标采用</w:t>
      </w:r>
      <w:r>
        <w:rPr>
          <w:rFonts w:hint="eastAsia" w:asciiTheme="majorEastAsia" w:hAnsiTheme="majorEastAsia" w:eastAsiaTheme="majorEastAsia" w:cstheme="majorEastAsia"/>
          <w:color w:val="auto"/>
          <w:szCs w:val="21"/>
          <w:highlight w:val="none"/>
          <w:u w:val="single"/>
        </w:rPr>
        <w:t xml:space="preserve">  </w:t>
      </w:r>
      <w:r>
        <w:rPr>
          <w:rFonts w:hint="eastAsia" w:asciiTheme="majorEastAsia" w:hAnsiTheme="majorEastAsia" w:eastAsiaTheme="majorEastAsia" w:cstheme="majorEastAsia"/>
          <w:b/>
          <w:bCs/>
          <w:color w:val="auto"/>
          <w:szCs w:val="21"/>
          <w:highlight w:val="none"/>
          <w:u w:val="single"/>
          <w:lang w:val="en-US" w:eastAsia="zh-CN"/>
        </w:rPr>
        <w:t>最低投标价法</w:t>
      </w:r>
      <w:r>
        <w:rPr>
          <w:rFonts w:hint="eastAsia" w:asciiTheme="majorEastAsia" w:hAnsiTheme="majorEastAsia" w:eastAsiaTheme="majorEastAsia" w:cstheme="majorEastAsia"/>
          <w:color w:val="auto"/>
          <w:szCs w:val="21"/>
          <w:highlight w:val="none"/>
          <w:u w:val="single"/>
        </w:rPr>
        <w:t xml:space="preserve"> </w:t>
      </w:r>
      <w:r>
        <w:rPr>
          <w:rFonts w:hint="eastAsia" w:asciiTheme="majorEastAsia" w:hAnsiTheme="majorEastAsia" w:eastAsiaTheme="majorEastAsia" w:cstheme="majorEastAsia"/>
          <w:color w:val="auto"/>
          <w:szCs w:val="21"/>
          <w:highlight w:val="none"/>
        </w:rPr>
        <w:t>（详见第三章评标办法）</w:t>
      </w:r>
    </w:p>
    <w:p w14:paraId="3C641339">
      <w:pPr>
        <w:shd w:val="clear" w:color="auto" w:fill="auto"/>
        <w:snapToGrid w:val="0"/>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7.投标人资格：</w:t>
      </w:r>
    </w:p>
    <w:p w14:paraId="206102AE">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7.1参与采购活动的投标人必须是满足《中华人民共和国政府采购法》规定条件的法人、其他组织或者自然人：</w:t>
      </w:r>
    </w:p>
    <w:p w14:paraId="3867D4A5">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7.2由于政府采购项目的差异性，投标人在参与具体政府采购项目活动时，应仔细阅读该项目的资质要求,具体见投标人须知前附表。</w:t>
      </w:r>
    </w:p>
    <w:p w14:paraId="1142C18B">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7.3根据电子化政府采购的特点</w:t>
      </w: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rPr>
        <w:t>因未注册入库、未办理CA数字证书等原因造成无法投标或投标失败等后果由供应商自行承担。</w:t>
      </w:r>
    </w:p>
    <w:p w14:paraId="73AFC86E">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7.4投标人必须确保自己在信息库中注册的信息真实、准确，并保证投标文件中的有关信息与库中的信息相一致。否则，投标人因此蒙受损失，招标人概不负责。</w:t>
      </w:r>
    </w:p>
    <w:p w14:paraId="3DCD2AA9">
      <w:pPr>
        <w:shd w:val="clear" w:color="auto" w:fill="auto"/>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8. 投标费用</w:t>
      </w:r>
    </w:p>
    <w:p w14:paraId="4FDA1D04">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8.1投标人准备和参加投标活动发生的费用自理。</w:t>
      </w:r>
    </w:p>
    <w:p w14:paraId="685D43B2">
      <w:pPr>
        <w:shd w:val="clear" w:color="auto" w:fill="auto"/>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9.</w:t>
      </w:r>
      <w:bookmarkStart w:id="4" w:name="_Toc247513962"/>
      <w:bookmarkStart w:id="5" w:name="_Toc152045539"/>
      <w:bookmarkStart w:id="6" w:name="_Toc247592876"/>
      <w:bookmarkStart w:id="7" w:name="_Toc152042315"/>
      <w:bookmarkStart w:id="8" w:name="_Toc296602429"/>
      <w:bookmarkStart w:id="9" w:name="_Toc247527563"/>
      <w:bookmarkStart w:id="10" w:name="_Toc144974507"/>
      <w:r>
        <w:rPr>
          <w:rFonts w:hint="eastAsia" w:asciiTheme="majorEastAsia" w:hAnsiTheme="majorEastAsia" w:eastAsiaTheme="majorEastAsia" w:cstheme="majorEastAsia"/>
          <w:b/>
          <w:color w:val="auto"/>
          <w:szCs w:val="21"/>
          <w:highlight w:val="none"/>
        </w:rPr>
        <w:t xml:space="preserve"> 踏勘现场</w:t>
      </w:r>
      <w:bookmarkEnd w:id="4"/>
      <w:bookmarkEnd w:id="5"/>
      <w:bookmarkEnd w:id="6"/>
      <w:bookmarkEnd w:id="7"/>
      <w:bookmarkEnd w:id="8"/>
      <w:bookmarkEnd w:id="9"/>
      <w:bookmarkEnd w:id="10"/>
      <w:r>
        <w:rPr>
          <w:rFonts w:hint="eastAsia"/>
          <w:b/>
          <w:color w:val="auto"/>
          <w:szCs w:val="21"/>
          <w:highlight w:val="none"/>
          <w:lang w:eastAsia="zh-CN"/>
        </w:rPr>
        <w:t>（</w:t>
      </w:r>
      <w:r>
        <w:rPr>
          <w:rFonts w:hint="eastAsia"/>
          <w:b/>
          <w:color w:val="auto"/>
          <w:szCs w:val="21"/>
          <w:highlight w:val="none"/>
          <w:lang w:val="en-US" w:eastAsia="zh-CN"/>
        </w:rPr>
        <w:t>本项目不踏勘</w:t>
      </w:r>
      <w:r>
        <w:rPr>
          <w:rFonts w:hint="eastAsia"/>
          <w:b/>
          <w:color w:val="auto"/>
          <w:szCs w:val="21"/>
          <w:highlight w:val="none"/>
          <w:lang w:eastAsia="zh-CN"/>
        </w:rPr>
        <w:t>）</w:t>
      </w:r>
    </w:p>
    <w:p w14:paraId="43E2339F">
      <w:pPr>
        <w:shd w:val="clear" w:color="auto" w:fill="auto"/>
        <w:spacing w:line="440" w:lineRule="exact"/>
        <w:rPr>
          <w:rFonts w:hint="eastAsia" w:asciiTheme="majorEastAsia" w:hAnsiTheme="majorEastAsia" w:eastAsiaTheme="majorEastAsia" w:cstheme="majorEastAsia"/>
          <w:b/>
          <w:color w:val="auto"/>
          <w:szCs w:val="21"/>
          <w:highlight w:val="none"/>
        </w:rPr>
      </w:pPr>
      <w:bookmarkStart w:id="11" w:name="_Toc247513963"/>
      <w:bookmarkStart w:id="12" w:name="_Toc247527564"/>
      <w:bookmarkStart w:id="13" w:name="_Toc247592877"/>
      <w:bookmarkStart w:id="14" w:name="_Toc152045540"/>
      <w:bookmarkStart w:id="15" w:name="_Toc152042316"/>
      <w:bookmarkStart w:id="16" w:name="_Toc144974508"/>
      <w:bookmarkStart w:id="17" w:name="_Toc296602430"/>
      <w:r>
        <w:rPr>
          <w:rFonts w:hint="eastAsia" w:asciiTheme="majorEastAsia" w:hAnsiTheme="majorEastAsia" w:eastAsiaTheme="majorEastAsia" w:cstheme="majorEastAsia"/>
          <w:b/>
          <w:color w:val="auto"/>
          <w:szCs w:val="21"/>
          <w:highlight w:val="none"/>
        </w:rPr>
        <w:t>10. 投标预备会</w:t>
      </w:r>
      <w:bookmarkEnd w:id="11"/>
      <w:bookmarkEnd w:id="12"/>
      <w:bookmarkEnd w:id="13"/>
      <w:bookmarkEnd w:id="14"/>
      <w:bookmarkEnd w:id="15"/>
      <w:bookmarkEnd w:id="16"/>
      <w:bookmarkEnd w:id="17"/>
      <w:r>
        <w:rPr>
          <w:rFonts w:hint="eastAsia"/>
          <w:b/>
          <w:color w:val="auto"/>
          <w:szCs w:val="21"/>
          <w:highlight w:val="none"/>
          <w:lang w:eastAsia="zh-CN"/>
        </w:rPr>
        <w:t>（</w:t>
      </w:r>
      <w:r>
        <w:rPr>
          <w:rFonts w:hint="eastAsia"/>
          <w:b/>
          <w:color w:val="auto"/>
          <w:szCs w:val="21"/>
          <w:highlight w:val="none"/>
          <w:lang w:val="en-US" w:eastAsia="zh-CN"/>
        </w:rPr>
        <w:t>本项目不召开</w:t>
      </w:r>
      <w:r>
        <w:rPr>
          <w:rFonts w:hint="eastAsia"/>
          <w:b/>
          <w:color w:val="auto"/>
          <w:szCs w:val="21"/>
          <w:highlight w:val="none"/>
          <w:lang w:eastAsia="zh-CN"/>
        </w:rPr>
        <w:t>）</w:t>
      </w:r>
    </w:p>
    <w:p w14:paraId="7FC3AA54">
      <w:pPr>
        <w:shd w:val="clear" w:color="auto" w:fill="auto"/>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11. 联合投标</w:t>
      </w:r>
      <w:r>
        <w:rPr>
          <w:rFonts w:hint="eastAsia"/>
          <w:b/>
          <w:color w:val="auto"/>
          <w:szCs w:val="21"/>
          <w:highlight w:val="none"/>
          <w:lang w:eastAsia="zh-CN"/>
        </w:rPr>
        <w:t>（</w:t>
      </w:r>
      <w:r>
        <w:rPr>
          <w:rFonts w:hint="eastAsia"/>
          <w:b/>
          <w:color w:val="auto"/>
          <w:szCs w:val="21"/>
          <w:highlight w:val="none"/>
          <w:lang w:val="en-US" w:eastAsia="zh-CN"/>
        </w:rPr>
        <w:t>本项目不允许联合体投标</w:t>
      </w:r>
      <w:r>
        <w:rPr>
          <w:rFonts w:hint="eastAsia"/>
          <w:b/>
          <w:color w:val="auto"/>
          <w:szCs w:val="21"/>
          <w:highlight w:val="none"/>
          <w:lang w:eastAsia="zh-CN"/>
        </w:rPr>
        <w:t>）</w:t>
      </w:r>
    </w:p>
    <w:p w14:paraId="558CFF7A">
      <w:pPr>
        <w:shd w:val="clear" w:color="auto" w:fill="auto"/>
        <w:spacing w:line="440" w:lineRule="exact"/>
        <w:jc w:val="left"/>
        <w:rPr>
          <w:rFonts w:hint="eastAsia" w:asciiTheme="majorEastAsia" w:hAnsiTheme="majorEastAsia" w:eastAsiaTheme="majorEastAsia" w:cstheme="majorEastAsia"/>
          <w:b/>
          <w:color w:val="auto"/>
          <w:szCs w:val="21"/>
          <w:highlight w:val="none"/>
          <w:lang w:eastAsia="zh-CN"/>
        </w:rPr>
      </w:pPr>
      <w:r>
        <w:rPr>
          <w:rFonts w:hint="eastAsia" w:asciiTheme="majorEastAsia" w:hAnsiTheme="majorEastAsia" w:eastAsiaTheme="majorEastAsia" w:cstheme="majorEastAsia"/>
          <w:b/>
          <w:color w:val="auto"/>
          <w:szCs w:val="21"/>
          <w:highlight w:val="none"/>
        </w:rPr>
        <w:t>12.招标代理费</w:t>
      </w:r>
      <w:r>
        <w:rPr>
          <w:rFonts w:hint="eastAsia" w:asciiTheme="majorEastAsia" w:hAnsiTheme="majorEastAsia" w:eastAsiaTheme="majorEastAsia" w:cstheme="majorEastAsia"/>
          <w:b/>
          <w:color w:val="auto"/>
          <w:szCs w:val="21"/>
          <w:highlight w:val="none"/>
          <w:lang w:eastAsia="zh-CN"/>
        </w:rPr>
        <w:t>（</w:t>
      </w:r>
      <w:r>
        <w:rPr>
          <w:rFonts w:hint="eastAsia" w:asciiTheme="majorEastAsia" w:hAnsiTheme="majorEastAsia" w:eastAsiaTheme="majorEastAsia" w:cstheme="majorEastAsia"/>
          <w:b/>
          <w:color w:val="auto"/>
          <w:szCs w:val="21"/>
          <w:highlight w:val="none"/>
          <w:lang w:val="en-US" w:eastAsia="zh-CN"/>
        </w:rPr>
        <w:t>详见投标人须知前附表</w:t>
      </w:r>
      <w:r>
        <w:rPr>
          <w:rFonts w:hint="eastAsia" w:asciiTheme="majorEastAsia" w:hAnsiTheme="majorEastAsia" w:eastAsiaTheme="majorEastAsia" w:cstheme="majorEastAsia"/>
          <w:b/>
          <w:color w:val="auto"/>
          <w:szCs w:val="21"/>
          <w:highlight w:val="none"/>
          <w:lang w:eastAsia="zh-CN"/>
        </w:rPr>
        <w:t>）</w:t>
      </w:r>
    </w:p>
    <w:p w14:paraId="2052EE92">
      <w:pPr>
        <w:shd w:val="clear" w:color="auto" w:fill="auto"/>
        <w:spacing w:line="440" w:lineRule="exact"/>
        <w:jc w:val="lef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13.投标人应注意的事项</w:t>
      </w:r>
    </w:p>
    <w:p w14:paraId="787B523F">
      <w:pPr>
        <w:shd w:val="clear" w:color="auto" w:fill="auto"/>
        <w:spacing w:line="440" w:lineRule="exact"/>
        <w:ind w:firstLine="426" w:firstLineChars="200"/>
        <w:rPr>
          <w:rFonts w:hint="eastAsia" w:asciiTheme="majorEastAsia" w:hAnsiTheme="majorEastAsia" w:eastAsiaTheme="majorEastAsia" w:cstheme="majorEastAsia"/>
          <w:bCs/>
          <w:color w:val="auto"/>
          <w:szCs w:val="21"/>
          <w:highlight w:val="none"/>
        </w:rPr>
      </w:pPr>
      <w:r>
        <w:rPr>
          <w:rFonts w:hint="eastAsia" w:asciiTheme="majorEastAsia" w:hAnsiTheme="majorEastAsia" w:eastAsiaTheme="majorEastAsia" w:cstheme="majorEastAsia"/>
          <w:color w:val="auto"/>
          <w:szCs w:val="21"/>
          <w:highlight w:val="none"/>
        </w:rPr>
        <w:t>13.1投标人一旦按规定缴纳了投标保证金并参加投标，即被认为接受了本</w:t>
      </w:r>
      <w:r>
        <w:rPr>
          <w:rFonts w:hint="eastAsia" w:asciiTheme="majorEastAsia" w:hAnsiTheme="majorEastAsia" w:eastAsiaTheme="majorEastAsia" w:cstheme="majorEastAsia"/>
          <w:color w:val="auto"/>
          <w:szCs w:val="21"/>
          <w:highlight w:val="none"/>
          <w:lang w:eastAsia="zh-CN"/>
        </w:rPr>
        <w:t>采购</w:t>
      </w:r>
      <w:r>
        <w:rPr>
          <w:rFonts w:hint="eastAsia" w:asciiTheme="majorEastAsia" w:hAnsiTheme="majorEastAsia" w:eastAsiaTheme="majorEastAsia" w:cstheme="majorEastAsia"/>
          <w:color w:val="auto"/>
          <w:szCs w:val="21"/>
          <w:highlight w:val="none"/>
        </w:rPr>
        <w:t>文件中的所有条件和规定。投标人必须严格按</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的要求编制投标文件，投标文件宜编制页码和目录，以便评委审核。否则，由此产生的一切后果由投标人承担。</w:t>
      </w:r>
    </w:p>
    <w:p w14:paraId="31CC70D2">
      <w:pPr>
        <w:shd w:val="clear" w:color="auto" w:fill="auto"/>
        <w:spacing w:line="440" w:lineRule="exact"/>
        <w:ind w:firstLine="426" w:firstLineChars="200"/>
        <w:rPr>
          <w:rFonts w:hint="eastAsia" w:asciiTheme="majorEastAsia" w:hAnsiTheme="majorEastAsia" w:eastAsiaTheme="majorEastAsia" w:cstheme="majorEastAsia"/>
          <w:b/>
          <w:bCs w:val="0"/>
          <w:color w:val="auto"/>
          <w:szCs w:val="21"/>
          <w:highlight w:val="none"/>
        </w:rPr>
      </w:pPr>
      <w:r>
        <w:rPr>
          <w:rFonts w:hint="eastAsia" w:asciiTheme="majorEastAsia" w:hAnsiTheme="majorEastAsia" w:eastAsiaTheme="majorEastAsia" w:cstheme="majorEastAsia"/>
          <w:bCs/>
          <w:color w:val="auto"/>
          <w:szCs w:val="21"/>
          <w:highlight w:val="none"/>
        </w:rPr>
        <w:t>13.</w:t>
      </w:r>
      <w:r>
        <w:rPr>
          <w:rFonts w:hint="eastAsia" w:asciiTheme="majorEastAsia" w:hAnsiTheme="majorEastAsia" w:eastAsiaTheme="majorEastAsia" w:cstheme="majorEastAsia"/>
          <w:bCs/>
          <w:color w:val="auto"/>
          <w:szCs w:val="21"/>
          <w:highlight w:val="none"/>
          <w:lang w:val="en-US" w:eastAsia="zh-CN"/>
        </w:rPr>
        <w:t>2</w:t>
      </w:r>
      <w:r>
        <w:rPr>
          <w:rFonts w:hint="eastAsia" w:asciiTheme="majorEastAsia" w:hAnsiTheme="majorEastAsia" w:eastAsiaTheme="majorEastAsia" w:cstheme="majorEastAsia"/>
          <w:bCs/>
          <w:color w:val="auto"/>
          <w:szCs w:val="21"/>
          <w:highlight w:val="none"/>
        </w:rPr>
        <w:t xml:space="preserve"> 投标人对采购内容中规定的技术参数、规格等要求必须完全响应或优于</w:t>
      </w:r>
      <w:r>
        <w:rPr>
          <w:rFonts w:hint="eastAsia" w:asciiTheme="majorEastAsia" w:hAnsiTheme="majorEastAsia" w:eastAsiaTheme="majorEastAsia" w:cstheme="majorEastAsia"/>
          <w:bCs/>
          <w:color w:val="auto"/>
          <w:szCs w:val="21"/>
          <w:highlight w:val="none"/>
          <w:lang w:eastAsia="zh-CN"/>
        </w:rPr>
        <w:t>采购文件</w:t>
      </w:r>
      <w:r>
        <w:rPr>
          <w:rFonts w:hint="eastAsia" w:asciiTheme="majorEastAsia" w:hAnsiTheme="majorEastAsia" w:eastAsiaTheme="majorEastAsia" w:cstheme="majorEastAsia"/>
          <w:bCs/>
          <w:color w:val="auto"/>
          <w:szCs w:val="21"/>
          <w:highlight w:val="none"/>
        </w:rPr>
        <w:t>中的要求</w:t>
      </w:r>
      <w:r>
        <w:rPr>
          <w:rFonts w:hint="eastAsia" w:asciiTheme="majorEastAsia" w:hAnsiTheme="majorEastAsia" w:eastAsiaTheme="majorEastAsia" w:cstheme="majorEastAsia"/>
          <w:b/>
          <w:bCs w:val="0"/>
          <w:color w:val="auto"/>
          <w:szCs w:val="21"/>
          <w:highlight w:val="none"/>
        </w:rPr>
        <w:t>。</w:t>
      </w:r>
    </w:p>
    <w:p w14:paraId="0DC4C972">
      <w:pPr>
        <w:shd w:val="clear" w:color="auto" w:fill="auto"/>
        <w:spacing w:line="440" w:lineRule="exact"/>
        <w:ind w:firstLine="416" w:firstLineChars="196"/>
        <w:rPr>
          <w:rFonts w:hint="eastAsia" w:asciiTheme="majorEastAsia" w:hAnsiTheme="majorEastAsia" w:eastAsiaTheme="majorEastAsia" w:cstheme="majorEastAsia"/>
          <w:bCs/>
          <w:color w:val="auto"/>
          <w:szCs w:val="21"/>
          <w:highlight w:val="none"/>
        </w:rPr>
      </w:pPr>
      <w:r>
        <w:rPr>
          <w:rFonts w:hint="eastAsia" w:asciiTheme="majorEastAsia" w:hAnsiTheme="majorEastAsia" w:eastAsiaTheme="majorEastAsia" w:cstheme="majorEastAsia"/>
          <w:bCs/>
          <w:color w:val="auto"/>
          <w:szCs w:val="21"/>
          <w:highlight w:val="none"/>
        </w:rPr>
        <w:t>13.</w:t>
      </w:r>
      <w:r>
        <w:rPr>
          <w:rFonts w:hint="eastAsia" w:asciiTheme="majorEastAsia" w:hAnsiTheme="majorEastAsia" w:eastAsiaTheme="majorEastAsia" w:cstheme="majorEastAsia"/>
          <w:bCs/>
          <w:color w:val="auto"/>
          <w:szCs w:val="21"/>
          <w:highlight w:val="none"/>
          <w:lang w:val="en-US" w:eastAsia="zh-CN"/>
        </w:rPr>
        <w:t>3</w:t>
      </w:r>
      <w:r>
        <w:rPr>
          <w:rFonts w:hint="eastAsia" w:asciiTheme="majorEastAsia" w:hAnsiTheme="majorEastAsia" w:eastAsiaTheme="majorEastAsia" w:cstheme="majorEastAsia"/>
          <w:bCs/>
          <w:color w:val="auto"/>
          <w:szCs w:val="21"/>
          <w:highlight w:val="none"/>
        </w:rPr>
        <w:t>所有投标人的投标保证金都应在</w:t>
      </w:r>
      <w:r>
        <w:rPr>
          <w:rFonts w:hint="eastAsia" w:asciiTheme="majorEastAsia" w:hAnsiTheme="majorEastAsia" w:eastAsiaTheme="majorEastAsia" w:cstheme="majorEastAsia"/>
          <w:bCs/>
          <w:color w:val="auto"/>
          <w:szCs w:val="21"/>
          <w:highlight w:val="none"/>
          <w:lang w:eastAsia="zh-CN"/>
        </w:rPr>
        <w:t>采购文件</w:t>
      </w:r>
      <w:r>
        <w:rPr>
          <w:rFonts w:hint="eastAsia" w:asciiTheme="majorEastAsia" w:hAnsiTheme="majorEastAsia" w:eastAsiaTheme="majorEastAsia" w:cstheme="majorEastAsia"/>
          <w:bCs/>
          <w:color w:val="auto"/>
          <w:szCs w:val="21"/>
          <w:highlight w:val="none"/>
        </w:rPr>
        <w:t>规定的投标保证金缴纳截止日期前缴纳。</w:t>
      </w:r>
    </w:p>
    <w:p w14:paraId="63CFF1CC">
      <w:pPr>
        <w:shd w:val="clear" w:color="auto" w:fill="auto"/>
        <w:spacing w:line="440" w:lineRule="exact"/>
        <w:ind w:firstLine="416" w:firstLineChars="196"/>
        <w:rPr>
          <w:rFonts w:hint="eastAsia" w:asciiTheme="majorEastAsia" w:hAnsiTheme="majorEastAsia" w:eastAsiaTheme="majorEastAsia" w:cstheme="majorEastAsia"/>
          <w:bCs/>
          <w:color w:val="auto"/>
          <w:szCs w:val="21"/>
          <w:highlight w:val="none"/>
        </w:rPr>
      </w:pPr>
      <w:r>
        <w:rPr>
          <w:rFonts w:hint="eastAsia" w:asciiTheme="majorEastAsia" w:hAnsiTheme="majorEastAsia" w:eastAsiaTheme="majorEastAsia" w:cstheme="majorEastAsia"/>
          <w:bCs/>
          <w:color w:val="auto"/>
          <w:szCs w:val="21"/>
          <w:highlight w:val="none"/>
        </w:rPr>
        <w:t>13.</w:t>
      </w:r>
      <w:r>
        <w:rPr>
          <w:rFonts w:hint="eastAsia" w:asciiTheme="majorEastAsia" w:hAnsiTheme="majorEastAsia" w:eastAsiaTheme="majorEastAsia" w:cstheme="majorEastAsia"/>
          <w:bCs/>
          <w:color w:val="auto"/>
          <w:szCs w:val="21"/>
          <w:highlight w:val="none"/>
          <w:lang w:val="en-US" w:eastAsia="zh-CN"/>
        </w:rPr>
        <w:t>4</w:t>
      </w:r>
      <w:r>
        <w:rPr>
          <w:rFonts w:hint="eastAsia" w:asciiTheme="majorEastAsia" w:hAnsiTheme="majorEastAsia" w:eastAsiaTheme="majorEastAsia" w:cstheme="majorEastAsia"/>
          <w:bCs/>
          <w:color w:val="auto"/>
          <w:szCs w:val="21"/>
          <w:highlight w:val="none"/>
        </w:rPr>
        <w:t>单位负责人为同一人或者存在直接控股、管理关系的不同供应商，不得参加同一合同项下的政府采购活动。</w:t>
      </w:r>
      <w:r>
        <w:rPr>
          <w:rFonts w:hint="eastAsia" w:asciiTheme="majorEastAsia" w:hAnsiTheme="majorEastAsia" w:eastAsiaTheme="majorEastAsia" w:cstheme="majorEastAsia"/>
          <w:color w:val="auto"/>
          <w:szCs w:val="21"/>
          <w:highlight w:val="none"/>
        </w:rPr>
        <w:t>为采购项目提供整体设计、规范编制或者项目管理、监理、检测等服务的供应商，不得再参加该采购项目的其他采购活动。</w:t>
      </w:r>
    </w:p>
    <w:p w14:paraId="07588942">
      <w:pPr>
        <w:shd w:val="clear" w:color="auto" w:fill="auto"/>
        <w:snapToGrid w:val="0"/>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bCs/>
          <w:color w:val="auto"/>
          <w:szCs w:val="21"/>
          <w:highlight w:val="none"/>
        </w:rPr>
        <w:t>13.</w:t>
      </w:r>
      <w:r>
        <w:rPr>
          <w:rFonts w:hint="eastAsia" w:asciiTheme="majorEastAsia" w:hAnsiTheme="majorEastAsia" w:eastAsiaTheme="majorEastAsia" w:cstheme="majorEastAsia"/>
          <w:bCs/>
          <w:color w:val="auto"/>
          <w:szCs w:val="21"/>
          <w:highlight w:val="none"/>
          <w:lang w:val="en-US" w:eastAsia="zh-CN"/>
        </w:rPr>
        <w:t>5</w:t>
      </w:r>
      <w:r>
        <w:rPr>
          <w:rFonts w:hint="eastAsia" w:asciiTheme="majorEastAsia" w:hAnsiTheme="majorEastAsia" w:eastAsiaTheme="majorEastAsia" w:cstheme="majorEastAsia"/>
          <w:bCs/>
          <w:color w:val="auto"/>
          <w:szCs w:val="21"/>
          <w:highlight w:val="none"/>
        </w:rPr>
        <w:t>本项目</w:t>
      </w:r>
      <w:r>
        <w:rPr>
          <w:rFonts w:hint="eastAsia" w:asciiTheme="majorEastAsia" w:hAnsiTheme="majorEastAsia" w:eastAsiaTheme="majorEastAsia" w:cstheme="majorEastAsia"/>
          <w:color w:val="auto"/>
          <w:szCs w:val="21"/>
          <w:highlight w:val="none"/>
        </w:rPr>
        <w:t>因未注册入库、未办理CA数字证书等原因造成无法投标或投标失败等后果由供应商自行承担。</w:t>
      </w:r>
    </w:p>
    <w:p w14:paraId="789174C4">
      <w:pPr>
        <w:shd w:val="clear" w:color="auto" w:fill="auto"/>
        <w:wordWrap w:val="0"/>
        <w:spacing w:line="440" w:lineRule="exact"/>
        <w:ind w:firstLine="426" w:firstLineChars="200"/>
        <w:rPr>
          <w:rFonts w:hint="eastAsia" w:asciiTheme="majorEastAsia" w:hAnsiTheme="majorEastAsia" w:eastAsiaTheme="majorEastAsia" w:cstheme="majorEastAsia"/>
          <w:bCs/>
          <w:color w:val="auto"/>
          <w:szCs w:val="21"/>
          <w:highlight w:val="none"/>
        </w:rPr>
      </w:pPr>
      <w:r>
        <w:rPr>
          <w:rFonts w:hint="eastAsia" w:asciiTheme="majorEastAsia" w:hAnsiTheme="majorEastAsia" w:eastAsiaTheme="majorEastAsia" w:cstheme="majorEastAsia"/>
          <w:bCs/>
          <w:color w:val="auto"/>
          <w:szCs w:val="21"/>
          <w:highlight w:val="none"/>
        </w:rPr>
        <w:t>13.</w:t>
      </w:r>
      <w:r>
        <w:rPr>
          <w:rFonts w:hint="eastAsia" w:asciiTheme="majorEastAsia" w:hAnsiTheme="majorEastAsia" w:eastAsiaTheme="majorEastAsia" w:cstheme="majorEastAsia"/>
          <w:bCs/>
          <w:color w:val="auto"/>
          <w:szCs w:val="21"/>
          <w:highlight w:val="none"/>
          <w:lang w:val="en-US" w:eastAsia="zh-CN"/>
        </w:rPr>
        <w:t>6</w:t>
      </w:r>
      <w:r>
        <w:rPr>
          <w:rFonts w:hint="eastAsia" w:asciiTheme="majorEastAsia" w:hAnsiTheme="majorEastAsia" w:eastAsiaTheme="majorEastAsia" w:cstheme="majorEastAsia"/>
          <w:bCs/>
          <w:color w:val="auto"/>
          <w:szCs w:val="21"/>
          <w:highlight w:val="none"/>
        </w:rPr>
        <w:t xml:space="preserve">  投标人被视为充分熟悉本招标项目所在地的与履行合同有关的各种情况，包括但不限于：</w:t>
      </w:r>
    </w:p>
    <w:p w14:paraId="7201B6BB">
      <w:pPr>
        <w:shd w:val="clear" w:color="auto" w:fill="auto"/>
        <w:spacing w:line="400" w:lineRule="exact"/>
        <w:ind w:firstLine="319" w:firstLineChars="150"/>
        <w:rPr>
          <w:rFonts w:hint="eastAsia" w:asciiTheme="majorEastAsia" w:hAnsiTheme="majorEastAsia" w:eastAsiaTheme="majorEastAsia" w:cstheme="majorEastAsia"/>
          <w:bCs/>
          <w:color w:val="auto"/>
          <w:szCs w:val="21"/>
          <w:highlight w:val="none"/>
        </w:rPr>
      </w:pPr>
      <w:r>
        <w:rPr>
          <w:rFonts w:hint="eastAsia" w:asciiTheme="majorEastAsia" w:hAnsiTheme="majorEastAsia" w:eastAsiaTheme="majorEastAsia" w:cstheme="majorEastAsia"/>
          <w:bCs/>
          <w:color w:val="auto"/>
          <w:szCs w:val="21"/>
          <w:highlight w:val="none"/>
        </w:rPr>
        <w:t>（1）对本次投标货物和服务的生产、安装调试、验收、维修等有关法律、法规及行业管理标准；</w:t>
      </w:r>
    </w:p>
    <w:p w14:paraId="56684AD9">
      <w:pPr>
        <w:shd w:val="clear" w:color="auto" w:fill="auto"/>
        <w:spacing w:line="400" w:lineRule="exact"/>
        <w:ind w:firstLine="319" w:firstLineChars="150"/>
        <w:rPr>
          <w:rFonts w:hint="eastAsia" w:asciiTheme="majorEastAsia" w:hAnsiTheme="majorEastAsia" w:eastAsiaTheme="majorEastAsia" w:cstheme="majorEastAsia"/>
          <w:bCs/>
          <w:color w:val="auto"/>
          <w:szCs w:val="21"/>
          <w:highlight w:val="none"/>
        </w:rPr>
      </w:pPr>
      <w:r>
        <w:rPr>
          <w:rFonts w:hint="eastAsia" w:asciiTheme="majorEastAsia" w:hAnsiTheme="majorEastAsia" w:eastAsiaTheme="majorEastAsia" w:cstheme="majorEastAsia"/>
          <w:bCs/>
          <w:color w:val="auto"/>
          <w:szCs w:val="21"/>
          <w:highlight w:val="none"/>
        </w:rPr>
        <w:t>（2）</w:t>
      </w:r>
      <w:r>
        <w:rPr>
          <w:rFonts w:hint="eastAsia" w:asciiTheme="majorEastAsia" w:hAnsiTheme="majorEastAsia" w:eastAsiaTheme="majorEastAsia" w:cstheme="majorEastAsia"/>
          <w:bCs/>
          <w:color w:val="auto"/>
          <w:szCs w:val="21"/>
          <w:highlight w:val="none"/>
          <w:lang w:eastAsia="zh-CN"/>
        </w:rPr>
        <w:t>本地区</w:t>
      </w:r>
      <w:r>
        <w:rPr>
          <w:rFonts w:hint="eastAsia" w:asciiTheme="majorEastAsia" w:hAnsiTheme="majorEastAsia" w:eastAsiaTheme="majorEastAsia" w:cstheme="majorEastAsia"/>
          <w:bCs/>
          <w:color w:val="auto"/>
          <w:szCs w:val="21"/>
          <w:highlight w:val="none"/>
        </w:rPr>
        <w:t>有关管理部门的相关规定；</w:t>
      </w:r>
    </w:p>
    <w:p w14:paraId="1CDFC697">
      <w:pPr>
        <w:shd w:val="clear" w:color="auto" w:fill="auto"/>
        <w:spacing w:line="400" w:lineRule="exact"/>
        <w:ind w:firstLine="319" w:firstLineChars="150"/>
        <w:rPr>
          <w:rFonts w:hint="eastAsia" w:asciiTheme="majorEastAsia" w:hAnsiTheme="majorEastAsia" w:eastAsiaTheme="majorEastAsia" w:cstheme="majorEastAsia"/>
          <w:bCs/>
          <w:color w:val="auto"/>
          <w:szCs w:val="21"/>
          <w:highlight w:val="none"/>
        </w:rPr>
      </w:pPr>
      <w:r>
        <w:rPr>
          <w:rFonts w:hint="eastAsia" w:asciiTheme="majorEastAsia" w:hAnsiTheme="majorEastAsia" w:eastAsiaTheme="majorEastAsia" w:cstheme="majorEastAsia"/>
          <w:bCs/>
          <w:color w:val="auto"/>
          <w:szCs w:val="21"/>
          <w:highlight w:val="none"/>
        </w:rPr>
        <w:t>（3）招标人的相关场地情况、基础建设、电力供应情况及相关设计标准。</w:t>
      </w:r>
    </w:p>
    <w:p w14:paraId="4EEE74EF">
      <w:pPr>
        <w:shd w:val="clear" w:color="auto" w:fill="auto"/>
        <w:spacing w:line="400" w:lineRule="exact"/>
        <w:ind w:firstLine="319" w:firstLineChars="150"/>
        <w:rPr>
          <w:rFonts w:hint="eastAsia" w:asciiTheme="majorEastAsia" w:hAnsiTheme="majorEastAsia" w:eastAsiaTheme="majorEastAsia" w:cstheme="majorEastAsia"/>
          <w:b/>
          <w:color w:val="auto"/>
          <w:sz w:val="28"/>
          <w:szCs w:val="28"/>
          <w:highlight w:val="none"/>
        </w:rPr>
      </w:pPr>
      <w:r>
        <w:rPr>
          <w:rFonts w:hint="eastAsia" w:asciiTheme="majorEastAsia" w:hAnsiTheme="majorEastAsia" w:eastAsiaTheme="majorEastAsia" w:cstheme="majorEastAsia"/>
          <w:bCs/>
          <w:color w:val="auto"/>
          <w:szCs w:val="21"/>
          <w:highlight w:val="none"/>
        </w:rPr>
        <w:t>本</w:t>
      </w:r>
      <w:r>
        <w:rPr>
          <w:rFonts w:hint="eastAsia" w:asciiTheme="majorEastAsia" w:hAnsiTheme="majorEastAsia" w:eastAsiaTheme="majorEastAsia" w:cstheme="majorEastAsia"/>
          <w:bCs/>
          <w:color w:val="auto"/>
          <w:szCs w:val="21"/>
          <w:highlight w:val="none"/>
          <w:lang w:eastAsia="zh-CN"/>
        </w:rPr>
        <w:t>采购文件</w:t>
      </w:r>
      <w:r>
        <w:rPr>
          <w:rFonts w:hint="eastAsia" w:asciiTheme="majorEastAsia" w:hAnsiTheme="majorEastAsia" w:eastAsiaTheme="majorEastAsia" w:cstheme="majorEastAsia"/>
          <w:bCs/>
          <w:color w:val="auto"/>
          <w:szCs w:val="21"/>
          <w:highlight w:val="none"/>
        </w:rPr>
        <w:t>不再对上述情况进行描述。</w:t>
      </w:r>
      <w:bookmarkStart w:id="18" w:name="_Toc469495725"/>
    </w:p>
    <w:p w14:paraId="6D143E50">
      <w:pPr>
        <w:shd w:val="clear" w:color="auto" w:fill="auto"/>
        <w:spacing w:before="312" w:beforeLines="100" w:after="312" w:afterLines="100" w:line="440" w:lineRule="exact"/>
        <w:jc w:val="center"/>
        <w:outlineLvl w:val="2"/>
        <w:rPr>
          <w:rFonts w:hint="eastAsia" w:asciiTheme="majorEastAsia" w:hAnsiTheme="majorEastAsia" w:eastAsiaTheme="majorEastAsia" w:cstheme="majorEastAsia"/>
          <w:b/>
          <w:color w:val="auto"/>
          <w:sz w:val="28"/>
          <w:szCs w:val="28"/>
          <w:highlight w:val="none"/>
        </w:rPr>
      </w:pPr>
    </w:p>
    <w:p w14:paraId="538F1EAA">
      <w:pPr>
        <w:shd w:val="clear" w:color="auto" w:fill="auto"/>
        <w:spacing w:before="312" w:beforeLines="100" w:after="312" w:afterLines="100" w:line="440" w:lineRule="exact"/>
        <w:jc w:val="center"/>
        <w:outlineLvl w:val="2"/>
        <w:rPr>
          <w:rFonts w:hint="eastAsia" w:asciiTheme="majorEastAsia" w:hAnsiTheme="majorEastAsia" w:eastAsiaTheme="majorEastAsia" w:cstheme="majorEastAsia"/>
          <w:b/>
          <w:color w:val="auto"/>
          <w:sz w:val="28"/>
          <w:szCs w:val="28"/>
          <w:highlight w:val="none"/>
          <w:lang w:eastAsia="zh-CN"/>
        </w:rPr>
      </w:pPr>
      <w:r>
        <w:rPr>
          <w:rFonts w:hint="eastAsia" w:asciiTheme="majorEastAsia" w:hAnsiTheme="majorEastAsia" w:eastAsiaTheme="majorEastAsia" w:cstheme="majorEastAsia"/>
          <w:b/>
          <w:color w:val="auto"/>
          <w:sz w:val="28"/>
          <w:szCs w:val="28"/>
          <w:highlight w:val="none"/>
        </w:rPr>
        <w:t>（二）</w:t>
      </w:r>
      <w:bookmarkEnd w:id="18"/>
      <w:r>
        <w:rPr>
          <w:rFonts w:hint="eastAsia" w:asciiTheme="majorEastAsia" w:hAnsiTheme="majorEastAsia" w:eastAsiaTheme="majorEastAsia" w:cstheme="majorEastAsia"/>
          <w:b/>
          <w:color w:val="auto"/>
          <w:sz w:val="28"/>
          <w:szCs w:val="28"/>
          <w:highlight w:val="none"/>
          <w:lang w:eastAsia="zh-CN"/>
        </w:rPr>
        <w:t>谈判文件</w:t>
      </w:r>
    </w:p>
    <w:p w14:paraId="7E713998">
      <w:pPr>
        <w:shd w:val="clear" w:color="auto" w:fill="auto"/>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lang w:val="en-US" w:eastAsia="zh-CN"/>
        </w:rPr>
        <w:t>14</w:t>
      </w:r>
      <w:r>
        <w:rPr>
          <w:rFonts w:hint="eastAsia" w:asciiTheme="majorEastAsia" w:hAnsiTheme="majorEastAsia" w:eastAsiaTheme="majorEastAsia" w:cstheme="majorEastAsia"/>
          <w:b/>
          <w:color w:val="auto"/>
          <w:szCs w:val="21"/>
          <w:highlight w:val="none"/>
        </w:rPr>
        <w:t xml:space="preserve">. </w:t>
      </w:r>
      <w:r>
        <w:rPr>
          <w:rFonts w:hint="eastAsia" w:asciiTheme="majorEastAsia" w:hAnsiTheme="majorEastAsia" w:eastAsiaTheme="majorEastAsia" w:cstheme="majorEastAsia"/>
          <w:b/>
          <w:color w:val="auto"/>
          <w:szCs w:val="21"/>
          <w:highlight w:val="none"/>
          <w:lang w:eastAsia="zh-CN"/>
        </w:rPr>
        <w:t>采购文件</w:t>
      </w:r>
      <w:r>
        <w:rPr>
          <w:rFonts w:hint="eastAsia" w:asciiTheme="majorEastAsia" w:hAnsiTheme="majorEastAsia" w:eastAsiaTheme="majorEastAsia" w:cstheme="majorEastAsia"/>
          <w:b/>
          <w:color w:val="auto"/>
          <w:szCs w:val="21"/>
          <w:highlight w:val="none"/>
        </w:rPr>
        <w:t>的编制依据</w:t>
      </w:r>
    </w:p>
    <w:p w14:paraId="6D6B3C04">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根据《中华人民共和国政府采购法》、《政府采购货物和服务招标投标管理办法》和《中华人民共和国合同法》</w:t>
      </w:r>
      <w:r>
        <w:rPr>
          <w:rFonts w:hint="eastAsia" w:asciiTheme="majorEastAsia" w:hAnsiTheme="majorEastAsia" w:eastAsiaTheme="majorEastAsia" w:cstheme="majorEastAsia"/>
          <w:color w:val="auto"/>
          <w:spacing w:val="-2"/>
          <w:szCs w:val="21"/>
          <w:highlight w:val="none"/>
        </w:rPr>
        <w:t>等相关法律法规和规章及部、省、市级规范性文件的规定，编制本</w:t>
      </w:r>
      <w:r>
        <w:rPr>
          <w:rFonts w:hint="eastAsia" w:asciiTheme="majorEastAsia" w:hAnsiTheme="majorEastAsia" w:eastAsiaTheme="majorEastAsia" w:cstheme="majorEastAsia"/>
          <w:color w:val="auto"/>
          <w:spacing w:val="-2"/>
          <w:szCs w:val="21"/>
          <w:highlight w:val="none"/>
          <w:lang w:eastAsia="zh-CN"/>
        </w:rPr>
        <w:t>采购文件</w:t>
      </w:r>
      <w:r>
        <w:rPr>
          <w:rFonts w:hint="eastAsia" w:asciiTheme="majorEastAsia" w:hAnsiTheme="majorEastAsia" w:eastAsiaTheme="majorEastAsia" w:cstheme="majorEastAsia"/>
          <w:color w:val="auto"/>
          <w:spacing w:val="-2"/>
          <w:szCs w:val="21"/>
          <w:highlight w:val="none"/>
        </w:rPr>
        <w:t>。</w:t>
      </w:r>
    </w:p>
    <w:p w14:paraId="4C588B21">
      <w:pPr>
        <w:shd w:val="clear" w:color="auto" w:fill="auto"/>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lang w:val="en-US" w:eastAsia="zh-CN"/>
        </w:rPr>
        <w:t>15</w:t>
      </w:r>
      <w:r>
        <w:rPr>
          <w:rFonts w:hint="eastAsia" w:asciiTheme="majorEastAsia" w:hAnsiTheme="majorEastAsia" w:eastAsiaTheme="majorEastAsia" w:cstheme="majorEastAsia"/>
          <w:b/>
          <w:color w:val="auto"/>
          <w:szCs w:val="21"/>
          <w:highlight w:val="none"/>
        </w:rPr>
        <w:t xml:space="preserve">. </w:t>
      </w:r>
      <w:r>
        <w:rPr>
          <w:rFonts w:hint="eastAsia" w:asciiTheme="majorEastAsia" w:hAnsiTheme="majorEastAsia" w:eastAsiaTheme="majorEastAsia" w:cstheme="majorEastAsia"/>
          <w:b/>
          <w:color w:val="auto"/>
          <w:szCs w:val="21"/>
          <w:highlight w:val="none"/>
          <w:lang w:eastAsia="zh-CN"/>
        </w:rPr>
        <w:t>采购文件</w:t>
      </w:r>
      <w:r>
        <w:rPr>
          <w:rFonts w:hint="eastAsia" w:asciiTheme="majorEastAsia" w:hAnsiTheme="majorEastAsia" w:eastAsiaTheme="majorEastAsia" w:cstheme="majorEastAsia"/>
          <w:b/>
          <w:color w:val="auto"/>
          <w:szCs w:val="21"/>
          <w:highlight w:val="none"/>
        </w:rPr>
        <w:t>的组成</w:t>
      </w:r>
    </w:p>
    <w:p w14:paraId="217D6C57">
      <w:pPr>
        <w:shd w:val="clear" w:color="auto" w:fill="auto"/>
        <w:spacing w:line="440" w:lineRule="exact"/>
        <w:ind w:firstLine="213" w:firstLineChars="1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1</w:t>
      </w:r>
      <w:r>
        <w:rPr>
          <w:rFonts w:hint="eastAsia" w:asciiTheme="majorEastAsia" w:hAnsiTheme="majorEastAsia" w:eastAsiaTheme="majorEastAsia" w:cstheme="majorEastAsia"/>
          <w:color w:val="auto"/>
          <w:szCs w:val="21"/>
          <w:highlight w:val="none"/>
          <w:lang w:val="en-US" w:eastAsia="zh-CN"/>
        </w:rPr>
        <w:t>5</w:t>
      </w:r>
      <w:r>
        <w:rPr>
          <w:rFonts w:hint="eastAsia" w:asciiTheme="majorEastAsia" w:hAnsiTheme="majorEastAsia" w:eastAsiaTheme="majorEastAsia" w:cstheme="majorEastAsia"/>
          <w:color w:val="auto"/>
          <w:szCs w:val="21"/>
          <w:highlight w:val="none"/>
        </w:rPr>
        <w:t xml:space="preserve">.1 </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包括内容：</w:t>
      </w:r>
    </w:p>
    <w:p w14:paraId="60983791">
      <w:pPr>
        <w:shd w:val="clear" w:color="auto" w:fill="auto"/>
        <w:spacing w:line="440" w:lineRule="exact"/>
        <w:ind w:firstLine="1491" w:firstLineChars="7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 xml:space="preserve">第一章  </w:t>
      </w:r>
      <w:r>
        <w:rPr>
          <w:rFonts w:hint="eastAsia" w:asciiTheme="majorEastAsia" w:hAnsiTheme="majorEastAsia" w:eastAsiaTheme="majorEastAsia" w:cstheme="majorEastAsia"/>
          <w:color w:val="auto"/>
          <w:szCs w:val="21"/>
          <w:highlight w:val="none"/>
          <w:lang w:eastAsia="zh-CN"/>
        </w:rPr>
        <w:t>招</w:t>
      </w:r>
      <w:r>
        <w:rPr>
          <w:rFonts w:hint="eastAsia" w:asciiTheme="majorEastAsia" w:hAnsiTheme="majorEastAsia" w:eastAsiaTheme="majorEastAsia" w:cstheme="majorEastAsia"/>
          <w:color w:val="auto"/>
          <w:szCs w:val="21"/>
          <w:highlight w:val="none"/>
        </w:rPr>
        <w:t>标公告</w:t>
      </w:r>
    </w:p>
    <w:p w14:paraId="64629C9F">
      <w:pPr>
        <w:shd w:val="clear" w:color="auto" w:fill="auto"/>
        <w:spacing w:line="440" w:lineRule="exact"/>
        <w:ind w:firstLine="1491" w:firstLineChars="7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第二章  投标须知</w:t>
      </w:r>
    </w:p>
    <w:p w14:paraId="47E57A74">
      <w:pPr>
        <w:shd w:val="clear" w:color="auto" w:fill="auto"/>
        <w:spacing w:line="440" w:lineRule="exact"/>
        <w:ind w:firstLine="1491" w:firstLineChars="700"/>
        <w:rPr>
          <w:rFonts w:hint="eastAsia" w:asciiTheme="majorEastAsia" w:hAnsiTheme="majorEastAsia" w:eastAsiaTheme="majorEastAsia" w:cstheme="majorEastAsia"/>
          <w:color w:val="auto"/>
          <w:szCs w:val="21"/>
          <w:highlight w:val="none"/>
          <w:lang w:eastAsia="zh-CN"/>
        </w:rPr>
      </w:pPr>
      <w:r>
        <w:rPr>
          <w:rFonts w:hint="eastAsia" w:asciiTheme="majorEastAsia" w:hAnsiTheme="majorEastAsia" w:eastAsiaTheme="majorEastAsia" w:cstheme="majorEastAsia"/>
          <w:color w:val="auto"/>
          <w:szCs w:val="21"/>
          <w:highlight w:val="none"/>
        </w:rPr>
        <w:t>第三章  评标办法</w:t>
      </w:r>
    </w:p>
    <w:p w14:paraId="60AD09E6">
      <w:pPr>
        <w:ind w:firstLine="1491" w:firstLineChars="700"/>
        <w:jc w:val="both"/>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 xml:space="preserve">第四章  </w:t>
      </w:r>
      <w:r>
        <w:rPr>
          <w:rFonts w:hint="eastAsia" w:asciiTheme="majorEastAsia" w:hAnsiTheme="majorEastAsia" w:eastAsiaTheme="majorEastAsia" w:cstheme="majorEastAsia"/>
          <w:color w:val="auto"/>
          <w:szCs w:val="21"/>
          <w:highlight w:val="none"/>
          <w:lang w:val="en-US" w:eastAsia="zh-CN"/>
        </w:rPr>
        <w:t>采购内容（技术）及商务要求</w:t>
      </w:r>
    </w:p>
    <w:p w14:paraId="2D057BA3">
      <w:pPr>
        <w:shd w:val="clear" w:color="auto" w:fill="auto"/>
        <w:spacing w:line="440" w:lineRule="exact"/>
        <w:ind w:firstLine="1491" w:firstLineChars="7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第五章  合同条款及格式</w:t>
      </w:r>
    </w:p>
    <w:p w14:paraId="1112F4F8">
      <w:pPr>
        <w:shd w:val="clear" w:color="auto" w:fill="auto"/>
        <w:spacing w:line="440" w:lineRule="exact"/>
        <w:ind w:firstLine="1491" w:firstLineChars="7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第六章  投标文件格式文本</w:t>
      </w:r>
    </w:p>
    <w:p w14:paraId="1D1D7EBA">
      <w:pPr>
        <w:shd w:val="clear" w:color="auto" w:fill="auto"/>
        <w:spacing w:line="440" w:lineRule="exact"/>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 xml:space="preserve">   1</w:t>
      </w:r>
      <w:r>
        <w:rPr>
          <w:rFonts w:hint="eastAsia" w:asciiTheme="majorEastAsia" w:hAnsiTheme="majorEastAsia" w:eastAsiaTheme="majorEastAsia" w:cstheme="majorEastAsia"/>
          <w:color w:val="auto"/>
          <w:szCs w:val="21"/>
          <w:highlight w:val="none"/>
          <w:lang w:val="en-US" w:eastAsia="zh-CN"/>
        </w:rPr>
        <w:t>5</w:t>
      </w:r>
      <w:r>
        <w:rPr>
          <w:rFonts w:hint="eastAsia" w:asciiTheme="majorEastAsia" w:hAnsiTheme="majorEastAsia" w:eastAsiaTheme="majorEastAsia" w:cstheme="majorEastAsia"/>
          <w:color w:val="auto"/>
          <w:szCs w:val="21"/>
          <w:highlight w:val="none"/>
        </w:rPr>
        <w:t>.2 除1</w:t>
      </w:r>
      <w:r>
        <w:rPr>
          <w:rFonts w:hint="eastAsia" w:asciiTheme="majorEastAsia" w:hAnsiTheme="majorEastAsia" w:eastAsiaTheme="majorEastAsia" w:cstheme="majorEastAsia"/>
          <w:color w:val="auto"/>
          <w:szCs w:val="21"/>
          <w:highlight w:val="none"/>
          <w:lang w:val="en-US" w:eastAsia="zh-CN"/>
        </w:rPr>
        <w:t>5</w:t>
      </w:r>
      <w:r>
        <w:rPr>
          <w:rFonts w:hint="eastAsia" w:asciiTheme="majorEastAsia" w:hAnsiTheme="majorEastAsia" w:eastAsiaTheme="majorEastAsia" w:cstheme="majorEastAsia"/>
          <w:color w:val="auto"/>
          <w:szCs w:val="21"/>
          <w:highlight w:val="none"/>
        </w:rPr>
        <w:t>.1内容外，招标答疑亦为</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的组成部分，对招标人和投标人起约束作用。</w:t>
      </w:r>
    </w:p>
    <w:p w14:paraId="2DD33BF6">
      <w:pPr>
        <w:pStyle w:val="15"/>
        <w:shd w:val="clear" w:color="auto" w:fill="auto"/>
        <w:wordWrap w:val="0"/>
        <w:spacing w:line="400" w:lineRule="exact"/>
        <w:rPr>
          <w:rFonts w:hint="eastAsia" w:asciiTheme="majorEastAsia" w:hAnsiTheme="majorEastAsia" w:eastAsiaTheme="majorEastAsia" w:cstheme="majorEastAsia"/>
          <w:color w:val="auto"/>
          <w:szCs w:val="21"/>
          <w:highlight w:val="none"/>
          <w:lang w:val="en-US"/>
        </w:rPr>
      </w:pPr>
      <w:r>
        <w:rPr>
          <w:rFonts w:hint="eastAsia" w:asciiTheme="majorEastAsia" w:hAnsiTheme="majorEastAsia" w:eastAsiaTheme="majorEastAsia" w:cstheme="majorEastAsia"/>
          <w:color w:val="auto"/>
          <w:szCs w:val="21"/>
          <w:highlight w:val="none"/>
        </w:rPr>
        <w:t xml:space="preserve">   1</w:t>
      </w:r>
      <w:r>
        <w:rPr>
          <w:rFonts w:hint="eastAsia" w:asciiTheme="majorEastAsia" w:hAnsiTheme="majorEastAsia" w:eastAsiaTheme="majorEastAsia" w:cstheme="majorEastAsia"/>
          <w:color w:val="auto"/>
          <w:szCs w:val="21"/>
          <w:highlight w:val="none"/>
          <w:lang w:val="en-US" w:eastAsia="zh-CN"/>
        </w:rPr>
        <w:t>5</w:t>
      </w:r>
      <w:r>
        <w:rPr>
          <w:rFonts w:hint="eastAsia" w:asciiTheme="majorEastAsia" w:hAnsiTheme="majorEastAsia" w:eastAsiaTheme="majorEastAsia" w:cstheme="majorEastAsia"/>
          <w:color w:val="auto"/>
          <w:szCs w:val="21"/>
          <w:highlight w:val="none"/>
        </w:rPr>
        <w:t>.3</w:t>
      </w:r>
      <w:r>
        <w:rPr>
          <w:rFonts w:hint="eastAsia" w:asciiTheme="majorEastAsia" w:hAnsiTheme="majorEastAsia" w:eastAsiaTheme="majorEastAsia" w:cstheme="majorEastAsia"/>
          <w:color w:val="auto"/>
          <w:szCs w:val="21"/>
          <w:highlight w:val="none"/>
          <w:u w:val="none" w:color="auto"/>
        </w:rPr>
        <w:t>投标人应仔细阅读和检查</w:t>
      </w:r>
      <w:r>
        <w:rPr>
          <w:rFonts w:hint="eastAsia" w:asciiTheme="majorEastAsia" w:hAnsiTheme="majorEastAsia" w:eastAsiaTheme="majorEastAsia" w:cstheme="majorEastAsia"/>
          <w:color w:val="auto"/>
          <w:szCs w:val="21"/>
          <w:highlight w:val="none"/>
          <w:u w:val="none" w:color="auto"/>
          <w:lang w:eastAsia="zh-CN"/>
        </w:rPr>
        <w:t>采购文件</w:t>
      </w:r>
      <w:r>
        <w:rPr>
          <w:rFonts w:hint="eastAsia" w:asciiTheme="majorEastAsia" w:hAnsiTheme="majorEastAsia" w:eastAsiaTheme="majorEastAsia" w:cstheme="majorEastAsia"/>
          <w:color w:val="auto"/>
          <w:szCs w:val="21"/>
          <w:highlight w:val="none"/>
          <w:u w:val="none" w:color="auto"/>
        </w:rPr>
        <w:t>的全部内容。如发现缺页或附件不全，应及时向招标人提出，以便补齐。如有疑问，投标人应在</w:t>
      </w:r>
      <w:r>
        <w:rPr>
          <w:rFonts w:hint="eastAsia" w:asciiTheme="majorEastAsia" w:hAnsiTheme="majorEastAsia" w:eastAsiaTheme="majorEastAsia" w:cstheme="majorEastAsia"/>
          <w:color w:val="auto"/>
          <w:szCs w:val="21"/>
          <w:highlight w:val="none"/>
        </w:rPr>
        <w:t>以书面形式一次性向采购人和采购代理机构提出同一环节的质疑</w:t>
      </w:r>
      <w:r>
        <w:rPr>
          <w:rFonts w:hint="eastAsia" w:asciiTheme="majorEastAsia" w:hAnsiTheme="majorEastAsia" w:eastAsiaTheme="majorEastAsia" w:cstheme="majorEastAsia"/>
          <w:color w:val="auto"/>
          <w:szCs w:val="21"/>
          <w:highlight w:val="none"/>
          <w:u w:val="none" w:color="auto"/>
        </w:rPr>
        <w:t>。</w:t>
      </w:r>
    </w:p>
    <w:p w14:paraId="477999B6">
      <w:pPr>
        <w:shd w:val="clear" w:color="auto" w:fill="auto"/>
        <w:wordWrap w:val="0"/>
        <w:spacing w:line="440" w:lineRule="exact"/>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 xml:space="preserve">   1</w:t>
      </w:r>
      <w:r>
        <w:rPr>
          <w:rFonts w:hint="eastAsia" w:asciiTheme="majorEastAsia" w:hAnsiTheme="majorEastAsia" w:eastAsiaTheme="majorEastAsia" w:cstheme="majorEastAsia"/>
          <w:color w:val="auto"/>
          <w:szCs w:val="21"/>
          <w:highlight w:val="none"/>
          <w:lang w:val="en-US" w:eastAsia="zh-CN"/>
        </w:rPr>
        <w:t>5</w:t>
      </w:r>
      <w:r>
        <w:rPr>
          <w:rFonts w:hint="eastAsia" w:asciiTheme="majorEastAsia" w:hAnsiTheme="majorEastAsia" w:eastAsiaTheme="majorEastAsia" w:cstheme="majorEastAsia"/>
          <w:color w:val="auto"/>
          <w:szCs w:val="21"/>
          <w:highlight w:val="none"/>
        </w:rPr>
        <w:t>.4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w:t>
      </w:r>
      <w:r>
        <w:rPr>
          <w:rFonts w:hint="eastAsia" w:asciiTheme="majorEastAsia" w:hAnsiTheme="majorEastAsia" w:eastAsiaTheme="majorEastAsia" w:cstheme="majorEastAsia"/>
          <w:color w:val="auto"/>
          <w:szCs w:val="21"/>
          <w:highlight w:val="none"/>
          <w:lang w:val="en-US" w:eastAsia="zh-CN"/>
        </w:rPr>
        <w:t>新疆</w:t>
      </w:r>
      <w:r>
        <w:rPr>
          <w:rFonts w:hint="eastAsia" w:asciiTheme="majorEastAsia" w:hAnsiTheme="majorEastAsia" w:eastAsiaTheme="majorEastAsia" w:cstheme="majorEastAsia"/>
          <w:color w:val="auto"/>
          <w:szCs w:val="21"/>
          <w:highlight w:val="none"/>
        </w:rPr>
        <w:t>政府采购网下载专区下载。</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的澄清将在</w:t>
      </w:r>
      <w:r>
        <w:rPr>
          <w:rFonts w:hint="eastAsia" w:asciiTheme="majorEastAsia" w:hAnsiTheme="majorEastAsia" w:eastAsiaTheme="majorEastAsia" w:cstheme="majorEastAsia"/>
          <w:color w:val="auto"/>
          <w:szCs w:val="21"/>
          <w:highlight w:val="none"/>
          <w:lang w:eastAsia="zh-CN"/>
        </w:rPr>
        <w:t>政采云平台“更正公告”栏目予以公告</w:t>
      </w:r>
      <w:r>
        <w:rPr>
          <w:rFonts w:hint="eastAsia" w:asciiTheme="majorEastAsia" w:hAnsiTheme="majorEastAsia" w:eastAsiaTheme="majorEastAsia" w:cstheme="majorEastAsia"/>
          <w:color w:val="auto"/>
          <w:szCs w:val="21"/>
          <w:highlight w:val="none"/>
        </w:rPr>
        <w:t>，但不指明澄清问题的来源。如果澄清内容影响投标文件编制的，将相应延长投标截止时间。</w:t>
      </w:r>
    </w:p>
    <w:p w14:paraId="29BEC0F4">
      <w:pPr>
        <w:shd w:val="clear" w:color="auto" w:fill="auto"/>
        <w:spacing w:line="440" w:lineRule="exact"/>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rPr>
        <w:t>1</w:t>
      </w:r>
      <w:r>
        <w:rPr>
          <w:rFonts w:hint="eastAsia" w:asciiTheme="majorEastAsia" w:hAnsiTheme="majorEastAsia" w:eastAsiaTheme="majorEastAsia" w:cstheme="majorEastAsia"/>
          <w:b/>
          <w:bCs/>
          <w:color w:val="auto"/>
          <w:szCs w:val="21"/>
          <w:highlight w:val="none"/>
          <w:lang w:val="en-US" w:eastAsia="zh-CN"/>
        </w:rPr>
        <w:t>6</w:t>
      </w:r>
      <w:r>
        <w:rPr>
          <w:rFonts w:hint="eastAsia" w:asciiTheme="majorEastAsia" w:hAnsiTheme="majorEastAsia" w:eastAsiaTheme="majorEastAsia" w:cstheme="majorEastAsia"/>
          <w:b/>
          <w:bCs/>
          <w:color w:val="auto"/>
          <w:szCs w:val="21"/>
          <w:highlight w:val="none"/>
        </w:rPr>
        <w:t xml:space="preserve">. </w:t>
      </w:r>
      <w:r>
        <w:rPr>
          <w:rFonts w:hint="eastAsia" w:asciiTheme="majorEastAsia" w:hAnsiTheme="majorEastAsia" w:eastAsiaTheme="majorEastAsia" w:cstheme="majorEastAsia"/>
          <w:b/>
          <w:bCs/>
          <w:color w:val="auto"/>
          <w:szCs w:val="21"/>
          <w:highlight w:val="none"/>
          <w:lang w:eastAsia="zh-CN"/>
        </w:rPr>
        <w:t>采购文件</w:t>
      </w:r>
      <w:r>
        <w:rPr>
          <w:rFonts w:hint="eastAsia" w:asciiTheme="majorEastAsia" w:hAnsiTheme="majorEastAsia" w:eastAsiaTheme="majorEastAsia" w:cstheme="majorEastAsia"/>
          <w:b/>
          <w:bCs/>
          <w:color w:val="auto"/>
          <w:szCs w:val="21"/>
          <w:highlight w:val="none"/>
        </w:rPr>
        <w:t>的修改、补充、解释</w:t>
      </w:r>
    </w:p>
    <w:p w14:paraId="162C5394">
      <w:pPr>
        <w:shd w:val="clear" w:color="auto" w:fill="auto"/>
        <w:wordWrap w:val="0"/>
        <w:spacing w:line="400" w:lineRule="exact"/>
        <w:ind w:firstLine="319" w:firstLineChars="15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1</w:t>
      </w:r>
      <w:r>
        <w:rPr>
          <w:rFonts w:hint="eastAsia" w:asciiTheme="majorEastAsia" w:hAnsiTheme="majorEastAsia" w:eastAsiaTheme="majorEastAsia" w:cstheme="majorEastAsia"/>
          <w:color w:val="auto"/>
          <w:szCs w:val="21"/>
          <w:highlight w:val="none"/>
          <w:lang w:val="en-US" w:eastAsia="zh-CN"/>
        </w:rPr>
        <w:t>6</w:t>
      </w:r>
      <w:r>
        <w:rPr>
          <w:rFonts w:hint="eastAsia" w:asciiTheme="majorEastAsia" w:hAnsiTheme="majorEastAsia" w:eastAsiaTheme="majorEastAsia" w:cstheme="majorEastAsia"/>
          <w:color w:val="auto"/>
          <w:szCs w:val="21"/>
          <w:highlight w:val="none"/>
        </w:rPr>
        <w:t>.1</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发出后，招标人在规定的投标截止时间前可对</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进行必要的修改和补充，并以</w:t>
      </w:r>
      <w:r>
        <w:rPr>
          <w:rFonts w:hint="eastAsia" w:asciiTheme="majorEastAsia" w:hAnsiTheme="majorEastAsia" w:eastAsiaTheme="majorEastAsia" w:cstheme="majorEastAsia"/>
          <w:color w:val="auto"/>
          <w:szCs w:val="21"/>
          <w:highlight w:val="none"/>
          <w:lang w:eastAsia="zh-CN"/>
        </w:rPr>
        <w:t>更正</w:t>
      </w:r>
      <w:r>
        <w:rPr>
          <w:rFonts w:hint="eastAsia" w:asciiTheme="majorEastAsia" w:hAnsiTheme="majorEastAsia" w:eastAsiaTheme="majorEastAsia" w:cstheme="majorEastAsia"/>
          <w:color w:val="auto"/>
          <w:szCs w:val="21"/>
          <w:highlight w:val="none"/>
        </w:rPr>
        <w:t>公告形式在</w:t>
      </w:r>
      <w:r>
        <w:rPr>
          <w:rFonts w:hint="eastAsia" w:asciiTheme="majorEastAsia" w:hAnsiTheme="majorEastAsia" w:eastAsiaTheme="majorEastAsia" w:cstheme="majorEastAsia"/>
          <w:color w:val="auto"/>
          <w:szCs w:val="21"/>
          <w:highlight w:val="none"/>
          <w:lang w:eastAsia="zh-CN"/>
        </w:rPr>
        <w:t>政采云平台</w:t>
      </w:r>
      <w:r>
        <w:rPr>
          <w:rFonts w:hint="eastAsia" w:asciiTheme="majorEastAsia" w:hAnsiTheme="majorEastAsia" w:eastAsiaTheme="majorEastAsia" w:cstheme="majorEastAsia"/>
          <w:color w:val="auto"/>
          <w:szCs w:val="21"/>
          <w:highlight w:val="none"/>
        </w:rPr>
        <w:t xml:space="preserve"> “</w:t>
      </w:r>
      <w:r>
        <w:rPr>
          <w:rFonts w:hint="eastAsia" w:asciiTheme="majorEastAsia" w:hAnsiTheme="majorEastAsia" w:eastAsiaTheme="majorEastAsia" w:cstheme="majorEastAsia"/>
          <w:color w:val="auto"/>
          <w:szCs w:val="21"/>
          <w:highlight w:val="none"/>
          <w:lang w:eastAsia="zh-CN"/>
        </w:rPr>
        <w:t>更正公告</w:t>
      </w:r>
      <w:r>
        <w:rPr>
          <w:rFonts w:hint="eastAsia" w:asciiTheme="majorEastAsia" w:hAnsiTheme="majorEastAsia" w:eastAsiaTheme="majorEastAsia" w:cstheme="majorEastAsia"/>
          <w:color w:val="auto"/>
          <w:szCs w:val="21"/>
          <w:highlight w:val="none"/>
        </w:rPr>
        <w:t>”栏目予以公告，请各位投标人注意查看有关澄清内容，如不及时查看造成后果由投标人自负。</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的修改、补充等内容作为</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的组成部分，具有约束作用。</w:t>
      </w:r>
    </w:p>
    <w:p w14:paraId="3D732595">
      <w:pPr>
        <w:shd w:val="clear" w:color="auto" w:fill="auto"/>
        <w:wordWrap w:val="0"/>
        <w:spacing w:line="400" w:lineRule="exact"/>
        <w:ind w:firstLine="319" w:firstLineChars="15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1</w:t>
      </w:r>
      <w:r>
        <w:rPr>
          <w:rFonts w:hint="eastAsia" w:asciiTheme="majorEastAsia" w:hAnsiTheme="majorEastAsia" w:eastAsiaTheme="majorEastAsia" w:cstheme="majorEastAsia"/>
          <w:color w:val="auto"/>
          <w:szCs w:val="21"/>
          <w:highlight w:val="none"/>
          <w:lang w:val="en-US" w:eastAsia="zh-CN"/>
        </w:rPr>
        <w:t>6</w:t>
      </w:r>
      <w:r>
        <w:rPr>
          <w:rFonts w:hint="eastAsia" w:asciiTheme="majorEastAsia" w:hAnsiTheme="majorEastAsia" w:eastAsiaTheme="majorEastAsia" w:cstheme="majorEastAsia"/>
          <w:color w:val="auto"/>
          <w:szCs w:val="21"/>
          <w:highlight w:val="none"/>
        </w:rPr>
        <w:t xml:space="preserve">.2 采购代理机构可视采购具体情况对已发出的采购文件进行必要的澄清、修改或者补充。澄清、修改或者补充的内容可能影响投标文件编制的，应当在投标截止时间至少15日前，在原公告发布媒体上发布澄清公告，澄清或者修改的内容为采购文件的组成部分；不足15日的，应当顺延提交投标文件的截止时间。 </w:t>
      </w:r>
    </w:p>
    <w:p w14:paraId="2AE3907F">
      <w:pPr>
        <w:shd w:val="clear" w:color="auto" w:fill="auto"/>
        <w:wordWrap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bCs/>
          <w:color w:val="auto"/>
          <w:szCs w:val="21"/>
          <w:highlight w:val="none"/>
        </w:rPr>
        <w:t>1</w:t>
      </w:r>
      <w:r>
        <w:rPr>
          <w:rFonts w:hint="eastAsia" w:asciiTheme="majorEastAsia" w:hAnsiTheme="majorEastAsia" w:eastAsiaTheme="majorEastAsia" w:cstheme="majorEastAsia"/>
          <w:bCs/>
          <w:color w:val="auto"/>
          <w:szCs w:val="21"/>
          <w:highlight w:val="none"/>
          <w:lang w:val="en-US" w:eastAsia="zh-CN"/>
        </w:rPr>
        <w:t>6</w:t>
      </w:r>
      <w:r>
        <w:rPr>
          <w:rFonts w:hint="eastAsia" w:asciiTheme="majorEastAsia" w:hAnsiTheme="majorEastAsia" w:eastAsiaTheme="majorEastAsia" w:cstheme="majorEastAsia"/>
          <w:bCs/>
          <w:color w:val="auto"/>
          <w:szCs w:val="21"/>
          <w:highlight w:val="none"/>
        </w:rPr>
        <w:t>.</w:t>
      </w:r>
      <w:r>
        <w:rPr>
          <w:rFonts w:hint="eastAsia" w:asciiTheme="majorEastAsia" w:hAnsiTheme="majorEastAsia" w:eastAsiaTheme="majorEastAsia" w:cstheme="majorEastAsia"/>
          <w:bCs/>
          <w:color w:val="auto"/>
          <w:szCs w:val="21"/>
          <w:highlight w:val="none"/>
          <w:lang w:val="en-US" w:eastAsia="zh-CN"/>
        </w:rPr>
        <w:t>3</w:t>
      </w:r>
      <w:r>
        <w:rPr>
          <w:rFonts w:hint="eastAsia" w:asciiTheme="majorEastAsia" w:hAnsiTheme="majorEastAsia" w:eastAsiaTheme="majorEastAsia" w:cstheme="majorEastAsia"/>
          <w:bCs/>
          <w:color w:val="auto"/>
          <w:szCs w:val="21"/>
          <w:highlight w:val="none"/>
        </w:rPr>
        <w:t xml:space="preserve"> </w:t>
      </w:r>
      <w:r>
        <w:rPr>
          <w:rFonts w:hint="eastAsia" w:asciiTheme="majorEastAsia" w:hAnsiTheme="majorEastAsia" w:eastAsiaTheme="majorEastAsia" w:cstheme="majorEastAsia"/>
          <w:color w:val="auto"/>
          <w:szCs w:val="21"/>
          <w:highlight w:val="none"/>
        </w:rPr>
        <w:t>供应商在规定的时间内未对采购文件提出疑问、质疑或要求澄清的，将视其为无异议。</w:t>
      </w:r>
    </w:p>
    <w:p w14:paraId="35F33DE7">
      <w:pPr>
        <w:shd w:val="clear" w:color="auto" w:fill="auto"/>
        <w:spacing w:line="400" w:lineRule="exact"/>
        <w:ind w:firstLine="426" w:firstLineChars="200"/>
        <w:rPr>
          <w:rFonts w:hint="eastAsia" w:asciiTheme="majorEastAsia" w:hAnsiTheme="majorEastAsia" w:eastAsiaTheme="majorEastAsia" w:cstheme="majorEastAsia"/>
          <w:bCs/>
          <w:color w:val="auto"/>
          <w:szCs w:val="21"/>
          <w:highlight w:val="none"/>
        </w:rPr>
      </w:pPr>
      <w:r>
        <w:rPr>
          <w:rFonts w:hint="eastAsia" w:asciiTheme="majorEastAsia" w:hAnsiTheme="majorEastAsia" w:eastAsiaTheme="majorEastAsia" w:cstheme="majorEastAsia"/>
          <w:bCs/>
          <w:color w:val="auto"/>
          <w:szCs w:val="21"/>
          <w:highlight w:val="none"/>
        </w:rPr>
        <w:t>1</w:t>
      </w:r>
      <w:r>
        <w:rPr>
          <w:rFonts w:hint="eastAsia" w:asciiTheme="majorEastAsia" w:hAnsiTheme="majorEastAsia" w:eastAsiaTheme="majorEastAsia" w:cstheme="majorEastAsia"/>
          <w:bCs/>
          <w:color w:val="auto"/>
          <w:szCs w:val="21"/>
          <w:highlight w:val="none"/>
          <w:lang w:val="en-US" w:eastAsia="zh-CN"/>
        </w:rPr>
        <w:t>6</w:t>
      </w:r>
      <w:r>
        <w:rPr>
          <w:rFonts w:hint="eastAsia" w:asciiTheme="majorEastAsia" w:hAnsiTheme="majorEastAsia" w:eastAsiaTheme="majorEastAsia" w:cstheme="majorEastAsia"/>
          <w:bCs/>
          <w:color w:val="auto"/>
          <w:szCs w:val="21"/>
          <w:highlight w:val="none"/>
        </w:rPr>
        <w:t>.</w:t>
      </w:r>
      <w:r>
        <w:rPr>
          <w:rFonts w:hint="eastAsia" w:asciiTheme="majorEastAsia" w:hAnsiTheme="majorEastAsia" w:eastAsiaTheme="majorEastAsia" w:cstheme="majorEastAsia"/>
          <w:bCs/>
          <w:color w:val="auto"/>
          <w:szCs w:val="21"/>
          <w:highlight w:val="none"/>
          <w:lang w:val="en-US" w:eastAsia="zh-CN"/>
        </w:rPr>
        <w:t>4</w:t>
      </w:r>
      <w:r>
        <w:rPr>
          <w:rFonts w:hint="eastAsia" w:asciiTheme="majorEastAsia" w:hAnsiTheme="majorEastAsia" w:eastAsiaTheme="majorEastAsia" w:cstheme="majorEastAsia"/>
          <w:bCs/>
          <w:color w:val="auto"/>
          <w:szCs w:val="21"/>
          <w:highlight w:val="none"/>
        </w:rPr>
        <w:t xml:space="preserve"> </w:t>
      </w:r>
      <w:r>
        <w:rPr>
          <w:rFonts w:hint="eastAsia" w:asciiTheme="majorEastAsia" w:hAnsiTheme="majorEastAsia" w:eastAsiaTheme="majorEastAsia" w:cstheme="majorEastAsia"/>
          <w:bCs/>
          <w:color w:val="auto"/>
          <w:szCs w:val="21"/>
          <w:highlight w:val="none"/>
          <w:lang w:eastAsia="zh-CN"/>
        </w:rPr>
        <w:t>采购文件</w:t>
      </w:r>
      <w:r>
        <w:rPr>
          <w:rFonts w:hint="eastAsia" w:asciiTheme="majorEastAsia" w:hAnsiTheme="majorEastAsia" w:eastAsiaTheme="majorEastAsia" w:cstheme="majorEastAsia"/>
          <w:bCs/>
          <w:color w:val="auto"/>
          <w:szCs w:val="21"/>
          <w:highlight w:val="none"/>
        </w:rPr>
        <w:t>的解释</w:t>
      </w:r>
    </w:p>
    <w:p w14:paraId="1297226C">
      <w:pPr>
        <w:shd w:val="clear" w:color="auto" w:fill="auto"/>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本</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由招标人（或其委托的招标代理机构）负责解释。</w:t>
      </w:r>
    </w:p>
    <w:p w14:paraId="2DE26475">
      <w:pPr>
        <w:shd w:val="clear" w:color="auto" w:fill="auto"/>
        <w:spacing w:line="400" w:lineRule="exact"/>
        <w:rPr>
          <w:rFonts w:hint="eastAsia" w:asciiTheme="majorEastAsia" w:hAnsiTheme="majorEastAsia" w:eastAsiaTheme="majorEastAsia" w:cstheme="majorEastAsia"/>
          <w:b/>
          <w:color w:val="0000FF"/>
          <w:szCs w:val="21"/>
          <w:highlight w:val="none"/>
        </w:rPr>
      </w:pPr>
      <w:r>
        <w:rPr>
          <w:rFonts w:hint="eastAsia" w:asciiTheme="majorEastAsia" w:hAnsiTheme="majorEastAsia" w:eastAsiaTheme="majorEastAsia" w:cstheme="majorEastAsia"/>
          <w:b/>
          <w:color w:val="auto"/>
          <w:szCs w:val="21"/>
          <w:highlight w:val="none"/>
        </w:rPr>
        <w:t>1</w:t>
      </w:r>
      <w:r>
        <w:rPr>
          <w:rFonts w:hint="eastAsia" w:asciiTheme="majorEastAsia" w:hAnsiTheme="majorEastAsia" w:eastAsiaTheme="majorEastAsia" w:cstheme="majorEastAsia"/>
          <w:b/>
          <w:color w:val="auto"/>
          <w:szCs w:val="21"/>
          <w:highlight w:val="none"/>
          <w:lang w:val="en-US" w:eastAsia="zh-CN"/>
        </w:rPr>
        <w:t>7</w:t>
      </w:r>
      <w:r>
        <w:rPr>
          <w:rFonts w:hint="eastAsia" w:asciiTheme="majorEastAsia" w:hAnsiTheme="majorEastAsia" w:eastAsiaTheme="majorEastAsia" w:cstheme="majorEastAsia"/>
          <w:b/>
          <w:color w:val="auto"/>
          <w:szCs w:val="21"/>
          <w:highlight w:val="none"/>
        </w:rPr>
        <w:t xml:space="preserve">. </w:t>
      </w:r>
      <w:r>
        <w:rPr>
          <w:rFonts w:hint="eastAsia" w:asciiTheme="majorEastAsia" w:hAnsiTheme="majorEastAsia" w:eastAsiaTheme="majorEastAsia" w:cstheme="majorEastAsia"/>
          <w:b/>
          <w:color w:val="auto"/>
          <w:szCs w:val="21"/>
          <w:highlight w:val="none"/>
          <w:lang w:eastAsia="zh-CN"/>
        </w:rPr>
        <w:t>采购文件</w:t>
      </w:r>
      <w:r>
        <w:rPr>
          <w:rFonts w:hint="eastAsia" w:asciiTheme="majorEastAsia" w:hAnsiTheme="majorEastAsia" w:eastAsiaTheme="majorEastAsia" w:cstheme="majorEastAsia"/>
          <w:b/>
          <w:color w:val="auto"/>
          <w:szCs w:val="21"/>
          <w:highlight w:val="none"/>
        </w:rPr>
        <w:t>的发出</w:t>
      </w:r>
    </w:p>
    <w:p w14:paraId="704AC654">
      <w:pPr>
        <w:shd w:val="clear" w:color="auto" w:fill="auto"/>
        <w:spacing w:line="400" w:lineRule="exact"/>
        <w:ind w:firstLine="319" w:firstLineChars="15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1</w:t>
      </w:r>
      <w:r>
        <w:rPr>
          <w:rFonts w:hint="eastAsia" w:asciiTheme="majorEastAsia" w:hAnsiTheme="majorEastAsia" w:eastAsiaTheme="majorEastAsia" w:cstheme="majorEastAsia"/>
          <w:color w:val="auto"/>
          <w:szCs w:val="21"/>
          <w:highlight w:val="none"/>
          <w:lang w:val="en-US" w:eastAsia="zh-CN"/>
        </w:rPr>
        <w:t>7</w:t>
      </w:r>
      <w:r>
        <w:rPr>
          <w:rFonts w:hint="eastAsia" w:asciiTheme="majorEastAsia" w:hAnsiTheme="majorEastAsia" w:eastAsiaTheme="majorEastAsia" w:cstheme="majorEastAsia"/>
          <w:color w:val="auto"/>
          <w:szCs w:val="21"/>
          <w:highlight w:val="none"/>
        </w:rPr>
        <w:t xml:space="preserve">.1  </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的澄清、修改、补充及招标答疑等均应报</w:t>
      </w:r>
      <w:r>
        <w:rPr>
          <w:rFonts w:hint="eastAsia" w:asciiTheme="majorEastAsia" w:hAnsiTheme="majorEastAsia" w:eastAsiaTheme="majorEastAsia" w:cstheme="majorEastAsia"/>
          <w:color w:val="auto"/>
          <w:szCs w:val="21"/>
          <w:highlight w:val="none"/>
          <w:lang w:eastAsia="zh-CN"/>
        </w:rPr>
        <w:t>相关部门</w:t>
      </w:r>
      <w:r>
        <w:rPr>
          <w:rFonts w:hint="eastAsia" w:asciiTheme="majorEastAsia" w:hAnsiTheme="majorEastAsia" w:eastAsiaTheme="majorEastAsia" w:cstheme="majorEastAsia"/>
          <w:color w:val="auto"/>
          <w:szCs w:val="21"/>
          <w:highlight w:val="none"/>
        </w:rPr>
        <w:t>备案后，方可发出。</w:t>
      </w:r>
    </w:p>
    <w:p w14:paraId="47DB71E9">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bookmarkStart w:id="19" w:name="_Toc469495726"/>
      <w:r>
        <w:rPr>
          <w:rFonts w:hint="eastAsia" w:asciiTheme="majorEastAsia" w:hAnsiTheme="majorEastAsia" w:eastAsiaTheme="majorEastAsia" w:cstheme="majorEastAsia"/>
          <w:b/>
          <w:bCs/>
          <w:color w:val="auto"/>
          <w:szCs w:val="21"/>
          <w:highlight w:val="none"/>
        </w:rPr>
        <w:t>1</w:t>
      </w:r>
      <w:r>
        <w:rPr>
          <w:rFonts w:hint="eastAsia" w:asciiTheme="majorEastAsia" w:hAnsiTheme="majorEastAsia" w:eastAsiaTheme="majorEastAsia" w:cstheme="majorEastAsia"/>
          <w:b/>
          <w:bCs/>
          <w:color w:val="auto"/>
          <w:szCs w:val="21"/>
          <w:highlight w:val="none"/>
          <w:lang w:val="en-US" w:eastAsia="zh-CN"/>
        </w:rPr>
        <w:t>8</w:t>
      </w:r>
      <w:r>
        <w:rPr>
          <w:rFonts w:hint="eastAsia" w:asciiTheme="majorEastAsia" w:hAnsiTheme="majorEastAsia" w:eastAsiaTheme="majorEastAsia" w:cstheme="majorEastAsia"/>
          <w:b/>
          <w:bCs/>
          <w:color w:val="auto"/>
          <w:szCs w:val="21"/>
          <w:highlight w:val="none"/>
        </w:rPr>
        <w:t>.</w:t>
      </w:r>
      <w:r>
        <w:rPr>
          <w:rFonts w:hint="eastAsia" w:asciiTheme="majorEastAsia" w:hAnsiTheme="majorEastAsia" w:eastAsiaTheme="majorEastAsia" w:cstheme="majorEastAsia"/>
          <w:color w:val="auto"/>
          <w:szCs w:val="21"/>
          <w:highlight w:val="none"/>
        </w:rPr>
        <w:t xml:space="preserve"> 凡需要设置样品情形时，必须明确是否需要随样品提交检测报告，并明确检测机构的要求、检测内容、</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b w:val="0"/>
          <w:bCs w:val="0"/>
          <w:color w:val="auto"/>
          <w:szCs w:val="21"/>
          <w:highlight w:val="none"/>
        </w:rPr>
        <w:t>样品封存</w:t>
      </w:r>
      <w:r>
        <w:rPr>
          <w:rFonts w:hint="eastAsia" w:asciiTheme="majorEastAsia" w:hAnsiTheme="majorEastAsia" w:eastAsiaTheme="majorEastAsia" w:cstheme="majorEastAsia"/>
          <w:color w:val="auto"/>
          <w:szCs w:val="21"/>
          <w:highlight w:val="none"/>
        </w:rPr>
        <w:t>等事项。（</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无法判断样品是否合格且样品需要提供给第三方权威检测机构检测的,在投标人提供招标人认可的第三方权威检测机构检测报告后，</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推荐的</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候选人方可生效，采购人或代理机构发布</w:t>
      </w:r>
      <w:r>
        <w:rPr>
          <w:rFonts w:hint="eastAsia" w:asciiTheme="majorEastAsia" w:hAnsiTheme="majorEastAsia" w:eastAsiaTheme="majorEastAsia" w:cstheme="majorEastAsia"/>
          <w:color w:val="auto"/>
          <w:szCs w:val="21"/>
          <w:highlight w:val="none"/>
          <w:lang w:eastAsia="zh-CN"/>
        </w:rPr>
        <w:t>成交</w:t>
      </w:r>
      <w:r>
        <w:rPr>
          <w:rFonts w:hint="eastAsia" w:asciiTheme="majorEastAsia" w:hAnsiTheme="majorEastAsia" w:eastAsiaTheme="majorEastAsia" w:cstheme="majorEastAsia"/>
          <w:color w:val="auto"/>
          <w:szCs w:val="21"/>
          <w:highlight w:val="none"/>
        </w:rPr>
        <w:t>（成交）结果公告。</w:t>
      </w:r>
    </w:p>
    <w:p w14:paraId="61E2D5F8">
      <w:pPr>
        <w:shd w:val="clear" w:color="auto" w:fill="auto"/>
        <w:spacing w:line="400" w:lineRule="exact"/>
        <w:ind w:firstLine="42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中应明确样品送检方式、检测费用支付方法、投标人在规定时间内无法提供第三方权威检测机构检测报告的处理方式。（</w:t>
      </w:r>
      <w:r>
        <w:rPr>
          <w:rFonts w:hint="eastAsia" w:asciiTheme="majorEastAsia" w:hAnsiTheme="majorEastAsia" w:eastAsiaTheme="majorEastAsia" w:cstheme="majorEastAsia"/>
          <w:color w:val="auto"/>
          <w:szCs w:val="21"/>
          <w:highlight w:val="none"/>
          <w:lang w:eastAsia="zh-CN"/>
        </w:rPr>
        <w:t>采购人</w:t>
      </w:r>
      <w:r>
        <w:rPr>
          <w:rFonts w:hint="eastAsia" w:asciiTheme="majorEastAsia" w:hAnsiTheme="majorEastAsia" w:eastAsiaTheme="majorEastAsia" w:cstheme="majorEastAsia"/>
          <w:color w:val="auto"/>
          <w:szCs w:val="21"/>
          <w:highlight w:val="none"/>
        </w:rPr>
        <w:t>根据项目需求按上述要求自行描述）</w:t>
      </w:r>
    </w:p>
    <w:p w14:paraId="2B40FED8">
      <w:pPr>
        <w:shd w:val="clear" w:color="auto" w:fill="auto"/>
        <w:spacing w:before="312" w:beforeLines="100" w:after="312" w:afterLines="100" w:line="440" w:lineRule="exact"/>
        <w:jc w:val="center"/>
        <w:outlineLvl w:val="2"/>
        <w:rPr>
          <w:rFonts w:hint="eastAsia" w:asciiTheme="majorEastAsia" w:hAnsiTheme="majorEastAsia" w:eastAsiaTheme="majorEastAsia" w:cstheme="majorEastAsia"/>
          <w:b/>
          <w:color w:val="auto"/>
          <w:sz w:val="28"/>
          <w:szCs w:val="28"/>
          <w:highlight w:val="none"/>
        </w:rPr>
      </w:pPr>
      <w:r>
        <w:rPr>
          <w:rFonts w:hint="eastAsia" w:asciiTheme="majorEastAsia" w:hAnsiTheme="majorEastAsia" w:eastAsiaTheme="majorEastAsia" w:cstheme="majorEastAsia"/>
          <w:b/>
          <w:color w:val="auto"/>
          <w:sz w:val="28"/>
          <w:szCs w:val="28"/>
          <w:highlight w:val="none"/>
        </w:rPr>
        <w:t>（三）投标文件的编制</w:t>
      </w:r>
      <w:bookmarkEnd w:id="19"/>
    </w:p>
    <w:p w14:paraId="56095BA0">
      <w:pPr>
        <w:shd w:val="clear" w:color="auto" w:fill="auto"/>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lang w:val="en-US" w:eastAsia="zh-CN"/>
        </w:rPr>
        <w:t>19</w:t>
      </w:r>
      <w:r>
        <w:rPr>
          <w:rFonts w:hint="eastAsia" w:asciiTheme="majorEastAsia" w:hAnsiTheme="majorEastAsia" w:eastAsiaTheme="majorEastAsia" w:cstheme="majorEastAsia"/>
          <w:b/>
          <w:color w:val="auto"/>
          <w:szCs w:val="21"/>
          <w:highlight w:val="none"/>
        </w:rPr>
        <w:t>. 投标的语言及度量衡单位</w:t>
      </w:r>
    </w:p>
    <w:p w14:paraId="0E14F19C">
      <w:pPr>
        <w:shd w:val="clear" w:color="auto" w:fill="auto"/>
        <w:spacing w:line="440" w:lineRule="exact"/>
        <w:ind w:firstLine="287" w:firstLineChars="135"/>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19</w:t>
      </w:r>
      <w:r>
        <w:rPr>
          <w:rFonts w:hint="eastAsia" w:asciiTheme="majorEastAsia" w:hAnsiTheme="majorEastAsia" w:eastAsiaTheme="majorEastAsia" w:cstheme="majorEastAsia"/>
          <w:color w:val="auto"/>
          <w:szCs w:val="21"/>
          <w:highlight w:val="none"/>
        </w:rPr>
        <w:t>.1投标人提交的投标文件、技术文件和资料，以及投标人与招标人就有关投标的所有来往函电均应使用中文。投标文件中若有英文或其他语言文字的资料，应提供相应的中文翻译资料。对不同文本投标文件的解释发生异议的，以中文文本为准。</w:t>
      </w:r>
    </w:p>
    <w:p w14:paraId="6E1FCA4C">
      <w:pPr>
        <w:shd w:val="clear" w:color="auto" w:fill="auto"/>
        <w:spacing w:line="440" w:lineRule="exact"/>
        <w:ind w:firstLine="287" w:firstLineChars="135"/>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19</w:t>
      </w:r>
      <w:r>
        <w:rPr>
          <w:rFonts w:hint="eastAsia" w:asciiTheme="majorEastAsia" w:hAnsiTheme="majorEastAsia" w:eastAsiaTheme="majorEastAsia" w:cstheme="majorEastAsia"/>
          <w:color w:val="auto"/>
          <w:szCs w:val="21"/>
          <w:highlight w:val="none"/>
        </w:rPr>
        <w:t>.2除</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中另有规定外，投标书所使用的度量衡均须采用法定计量单位。</w:t>
      </w:r>
    </w:p>
    <w:p w14:paraId="3C5839B7">
      <w:pPr>
        <w:shd w:val="clear" w:color="auto" w:fill="auto"/>
        <w:spacing w:line="40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2</w:t>
      </w:r>
      <w:r>
        <w:rPr>
          <w:rFonts w:hint="eastAsia" w:asciiTheme="majorEastAsia" w:hAnsiTheme="majorEastAsia" w:eastAsiaTheme="majorEastAsia" w:cstheme="majorEastAsia"/>
          <w:b/>
          <w:color w:val="auto"/>
          <w:szCs w:val="21"/>
          <w:highlight w:val="none"/>
          <w:lang w:val="en-US" w:eastAsia="zh-CN"/>
        </w:rPr>
        <w:t>0</w:t>
      </w:r>
      <w:r>
        <w:rPr>
          <w:rFonts w:hint="eastAsia" w:asciiTheme="majorEastAsia" w:hAnsiTheme="majorEastAsia" w:eastAsiaTheme="majorEastAsia" w:cstheme="majorEastAsia"/>
          <w:b/>
          <w:color w:val="auto"/>
          <w:szCs w:val="21"/>
          <w:highlight w:val="none"/>
        </w:rPr>
        <w:t>. 投标文件的组成</w:t>
      </w:r>
    </w:p>
    <w:p w14:paraId="6DACBF94">
      <w:pPr>
        <w:shd w:val="clear" w:color="auto" w:fill="auto"/>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资格证明文件和</w:t>
      </w:r>
      <w:r>
        <w:rPr>
          <w:rFonts w:hint="eastAsia" w:asciiTheme="majorEastAsia" w:hAnsiTheme="majorEastAsia" w:eastAsiaTheme="majorEastAsia" w:cstheme="majorEastAsia"/>
          <w:color w:val="auto"/>
          <w:szCs w:val="21"/>
          <w:highlight w:val="none"/>
          <w:lang w:val="en-US" w:eastAsia="zh-CN"/>
        </w:rPr>
        <w:t>报价文件、</w:t>
      </w:r>
      <w:r>
        <w:rPr>
          <w:rFonts w:hint="eastAsia" w:asciiTheme="majorEastAsia" w:hAnsiTheme="majorEastAsia" w:eastAsiaTheme="majorEastAsia" w:cstheme="majorEastAsia"/>
          <w:color w:val="auto"/>
          <w:szCs w:val="21"/>
          <w:highlight w:val="none"/>
        </w:rPr>
        <w:t>商务</w:t>
      </w: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rPr>
        <w:t>技术文件。</w:t>
      </w:r>
    </w:p>
    <w:p w14:paraId="1DE28D2E">
      <w:pPr>
        <w:shd w:val="clear" w:color="auto" w:fill="auto"/>
        <w:spacing w:line="440" w:lineRule="exact"/>
        <w:ind w:firstLine="426" w:firstLineChars="200"/>
        <w:rPr>
          <w:rFonts w:hint="eastAsia" w:ascii="宋体" w:hAnsi="宋体" w:eastAsia="宋体" w:cs="宋体"/>
          <w:b/>
          <w:color w:val="0000FF"/>
          <w:sz w:val="24"/>
          <w:szCs w:val="24"/>
          <w:highlight w:val="none"/>
          <w:lang w:eastAsia="zh-CN"/>
        </w:rPr>
      </w:pPr>
      <w:r>
        <w:rPr>
          <w:rFonts w:hint="eastAsia" w:asciiTheme="majorEastAsia" w:hAnsiTheme="majorEastAsia" w:eastAsiaTheme="majorEastAsia" w:cstheme="majorEastAsia"/>
          <w:color w:val="auto"/>
          <w:szCs w:val="21"/>
          <w:highlight w:val="none"/>
          <w:lang w:val="en-US" w:eastAsia="zh-CN"/>
        </w:rPr>
        <w:t>20.1</w:t>
      </w:r>
      <w:r>
        <w:rPr>
          <w:rFonts w:hint="eastAsia" w:ascii="宋体" w:hAnsi="宋体" w:eastAsia="宋体" w:cs="宋体"/>
          <w:b/>
          <w:bCs w:val="0"/>
          <w:color w:val="0000FF"/>
          <w:sz w:val="21"/>
          <w:szCs w:val="21"/>
          <w:highlight w:val="none"/>
        </w:rPr>
        <w:t>资格证明文件</w:t>
      </w:r>
      <w:r>
        <w:rPr>
          <w:rFonts w:hint="eastAsia" w:ascii="宋体" w:hAnsi="宋体" w:eastAsia="宋体" w:cs="宋体"/>
          <w:b/>
          <w:bCs w:val="0"/>
          <w:color w:val="0000FF"/>
          <w:sz w:val="21"/>
          <w:szCs w:val="21"/>
          <w:highlight w:val="none"/>
          <w:lang w:eastAsia="zh-CN"/>
        </w:rPr>
        <w:t>（</w:t>
      </w:r>
      <w:r>
        <w:rPr>
          <w:rFonts w:hint="eastAsia" w:ascii="宋体" w:hAnsi="宋体" w:eastAsia="宋体" w:cs="宋体"/>
          <w:b/>
          <w:bCs w:val="0"/>
          <w:color w:val="0000FF"/>
          <w:sz w:val="21"/>
          <w:szCs w:val="21"/>
          <w:highlight w:val="none"/>
          <w:lang w:val="en-US" w:eastAsia="zh-CN"/>
        </w:rPr>
        <w:t>目录</w:t>
      </w:r>
      <w:r>
        <w:rPr>
          <w:rFonts w:hint="eastAsia" w:ascii="宋体" w:hAnsi="宋体" w:eastAsia="宋体" w:cs="宋体"/>
          <w:b/>
          <w:bCs w:val="0"/>
          <w:color w:val="0000FF"/>
          <w:sz w:val="21"/>
          <w:szCs w:val="21"/>
          <w:highlight w:val="none"/>
          <w:lang w:eastAsia="zh-CN"/>
        </w:rPr>
        <w:t>）</w:t>
      </w:r>
    </w:p>
    <w:p w14:paraId="66C1DA6C">
      <w:pPr>
        <w:shd w:val="clear" w:color="auto" w:fill="auto"/>
        <w:spacing w:line="440" w:lineRule="exact"/>
        <w:ind w:firstLine="312" w:firstLineChars="147"/>
        <w:rPr>
          <w:rFonts w:hint="eastAsia" w:ascii="宋体" w:hAnsi="宋体" w:eastAsia="宋体" w:cs="宋体"/>
          <w:color w:val="auto"/>
          <w:szCs w:val="21"/>
          <w:highlight w:val="none"/>
        </w:rPr>
      </w:pPr>
      <w:r>
        <w:rPr>
          <w:rFonts w:hint="eastAsia" w:ascii="宋体" w:hAnsi="宋体" w:eastAsia="宋体" w:cs="宋体"/>
          <w:b/>
          <w:bCs/>
          <w:color w:val="0000FF"/>
          <w:sz w:val="21"/>
          <w:szCs w:val="21"/>
          <w:highlight w:val="none"/>
        </w:rPr>
        <w:t>资格证明</w:t>
      </w:r>
      <w:r>
        <w:rPr>
          <w:rFonts w:hint="eastAsia" w:ascii="宋体" w:hAnsi="宋体" w:eastAsia="宋体" w:cs="宋体"/>
          <w:b/>
          <w:bCs/>
          <w:color w:val="0000FF"/>
          <w:sz w:val="21"/>
          <w:szCs w:val="21"/>
          <w:highlight w:val="none"/>
          <w:lang w:eastAsia="zh-CN"/>
        </w:rPr>
        <w:t>文件</w:t>
      </w:r>
      <w:r>
        <w:rPr>
          <w:rFonts w:hint="eastAsia" w:ascii="宋体" w:hAnsi="宋体" w:eastAsia="宋体" w:cs="宋体"/>
          <w:b/>
          <w:bCs/>
          <w:color w:val="0000FF"/>
          <w:sz w:val="21"/>
          <w:szCs w:val="21"/>
          <w:highlight w:val="none"/>
        </w:rPr>
        <w:t>是证明投标人有资格参加投标和</w:t>
      </w:r>
      <w:r>
        <w:rPr>
          <w:rFonts w:hint="eastAsia" w:ascii="宋体" w:hAnsi="宋体" w:eastAsia="宋体" w:cs="宋体"/>
          <w:b/>
          <w:bCs/>
          <w:color w:val="0000FF"/>
          <w:sz w:val="21"/>
          <w:szCs w:val="21"/>
          <w:highlight w:val="none"/>
          <w:lang w:eastAsia="zh-CN"/>
        </w:rPr>
        <w:t>成交</w:t>
      </w:r>
      <w:r>
        <w:rPr>
          <w:rFonts w:hint="eastAsia" w:ascii="宋体" w:hAnsi="宋体" w:eastAsia="宋体" w:cs="宋体"/>
          <w:b/>
          <w:bCs/>
          <w:color w:val="0000FF"/>
          <w:sz w:val="21"/>
          <w:szCs w:val="21"/>
          <w:highlight w:val="none"/>
        </w:rPr>
        <w:t>后有能力履行合同的文件，这些文件应能满足招标的要求，否则作无效投标处理。</w:t>
      </w:r>
    </w:p>
    <w:p w14:paraId="1C1EDD68">
      <w:pPr>
        <w:numPr>
          <w:ilvl w:val="0"/>
          <w:numId w:val="0"/>
        </w:numPr>
        <w:shd w:val="clear" w:color="auto" w:fill="auto"/>
        <w:spacing w:line="440" w:lineRule="exact"/>
        <w:ind w:leftChars="135"/>
        <w:rPr>
          <w:rFonts w:hint="eastAsia" w:ascii="宋体" w:hAnsi="宋体" w:eastAsia="宋体" w:cs="宋体"/>
          <w:b/>
          <w:bCs/>
          <w:color w:val="0000FF"/>
          <w:szCs w:val="21"/>
          <w:highlight w:val="none"/>
          <w:lang w:val="en-US" w:eastAsia="zh-CN"/>
        </w:rPr>
      </w:pPr>
      <w:r>
        <w:rPr>
          <w:rFonts w:hint="eastAsia" w:ascii="宋体" w:hAnsi="宋体" w:eastAsia="宋体" w:cs="宋体"/>
          <w:b/>
          <w:bCs/>
          <w:color w:val="0000FF"/>
          <w:szCs w:val="21"/>
          <w:highlight w:val="none"/>
          <w:lang w:val="en-US" w:eastAsia="zh-CN"/>
        </w:rPr>
        <w:t>1、法人或者非法人组织的营业执照等证明文件或自然人的身份证明复印件；</w:t>
      </w:r>
    </w:p>
    <w:p w14:paraId="15329A98">
      <w:pPr>
        <w:shd w:val="clear" w:color="auto" w:fill="auto"/>
        <w:spacing w:line="440" w:lineRule="exact"/>
        <w:ind w:firstLine="312" w:firstLineChars="147"/>
        <w:rPr>
          <w:rFonts w:hint="eastAsia" w:ascii="宋体" w:hAnsi="宋体" w:eastAsia="宋体" w:cs="宋体"/>
          <w:b/>
          <w:bCs/>
          <w:color w:val="0000FF"/>
          <w:szCs w:val="21"/>
          <w:highlight w:val="none"/>
          <w:lang w:val="en-US" w:eastAsia="zh-CN"/>
        </w:rPr>
      </w:pPr>
      <w:r>
        <w:rPr>
          <w:rFonts w:hint="eastAsia" w:ascii="宋体" w:hAnsi="宋体" w:eastAsia="宋体" w:cs="宋体"/>
          <w:b/>
          <w:bCs/>
          <w:color w:val="0000FF"/>
          <w:szCs w:val="21"/>
          <w:highlight w:val="none"/>
          <w:lang w:val="en-US" w:eastAsia="zh-CN"/>
        </w:rPr>
        <w:t>2、</w:t>
      </w:r>
      <w:r>
        <w:rPr>
          <w:rFonts w:hint="eastAsia" w:ascii="宋体" w:hAnsi="宋体" w:cs="宋体"/>
          <w:b/>
          <w:bCs/>
          <w:color w:val="0000FF"/>
          <w:szCs w:val="21"/>
          <w:highlight w:val="none"/>
          <w:lang w:val="en-US" w:eastAsia="zh-CN"/>
        </w:rPr>
        <w:t>投标人提供</w:t>
      </w:r>
      <w:r>
        <w:rPr>
          <w:rFonts w:hint="eastAsia" w:ascii="宋体" w:hAnsi="宋体" w:eastAsia="宋体" w:cs="宋体"/>
          <w:b/>
          <w:bCs/>
          <w:color w:val="0000FF"/>
          <w:szCs w:val="21"/>
          <w:highlight w:val="none"/>
          <w:lang w:val="en-US" w:eastAsia="zh-CN"/>
        </w:rPr>
        <w:t>投标文件递交截止之日前</w:t>
      </w:r>
      <w:r>
        <w:rPr>
          <w:rFonts w:hint="eastAsia" w:ascii="宋体" w:hAnsi="宋体" w:cs="宋体"/>
          <w:b/>
          <w:bCs/>
          <w:color w:val="0000FF"/>
          <w:szCs w:val="21"/>
          <w:highlight w:val="none"/>
          <w:lang w:val="en-US" w:eastAsia="zh-CN"/>
        </w:rPr>
        <w:t>6</w:t>
      </w:r>
      <w:r>
        <w:rPr>
          <w:rFonts w:hint="eastAsia" w:ascii="宋体" w:hAnsi="宋体" w:eastAsia="宋体" w:cs="宋体"/>
          <w:b/>
          <w:bCs/>
          <w:color w:val="0000FF"/>
          <w:szCs w:val="21"/>
          <w:highlight w:val="none"/>
          <w:lang w:val="en-US" w:eastAsia="zh-CN"/>
        </w:rPr>
        <w:t>个月内任</w:t>
      </w:r>
      <w:r>
        <w:rPr>
          <w:rFonts w:hint="eastAsia" w:ascii="宋体" w:hAnsi="宋体" w:cs="宋体"/>
          <w:b/>
          <w:bCs/>
          <w:color w:val="0000FF"/>
          <w:szCs w:val="21"/>
          <w:highlight w:val="none"/>
          <w:lang w:val="en-US" w:eastAsia="zh-CN"/>
        </w:rPr>
        <w:t>1</w:t>
      </w:r>
      <w:r>
        <w:rPr>
          <w:rFonts w:hint="eastAsia" w:ascii="宋体" w:hAnsi="宋体" w:eastAsia="宋体" w:cs="宋体"/>
          <w:b/>
          <w:bCs/>
          <w:color w:val="0000FF"/>
          <w:szCs w:val="21"/>
          <w:highlight w:val="none"/>
          <w:lang w:val="en-US" w:eastAsia="zh-CN"/>
        </w:rPr>
        <w:t>个月的缴纳税收的完税凭证，依法免税的投标人应提供相应文件证明其依法免税）；</w:t>
      </w:r>
    </w:p>
    <w:p w14:paraId="2A2CDBB3">
      <w:pPr>
        <w:numPr>
          <w:ilvl w:val="0"/>
          <w:numId w:val="0"/>
        </w:numPr>
        <w:shd w:val="clear" w:color="auto" w:fill="auto"/>
        <w:spacing w:line="440" w:lineRule="exact"/>
        <w:ind w:left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3</w:t>
      </w:r>
      <w:r>
        <w:rPr>
          <w:rFonts w:hint="eastAsia" w:ascii="宋体" w:hAnsi="宋体" w:eastAsia="宋体" w:cs="宋体"/>
          <w:b/>
          <w:bCs/>
          <w:color w:val="0000FF"/>
          <w:szCs w:val="21"/>
          <w:highlight w:val="none"/>
          <w:lang w:val="en-US" w:eastAsia="zh-CN"/>
        </w:rPr>
        <w:t>、法定代表人投标需提供法定代表人资格证明书，委托代理人投标需提供法定代表人授权委托书及被授权在职人员近6个月内任意1个月有效的社保证明（自然人投标的无需提供）；</w:t>
      </w:r>
    </w:p>
    <w:p w14:paraId="185D58B0">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4</w:t>
      </w:r>
      <w:r>
        <w:rPr>
          <w:rFonts w:hint="eastAsia" w:ascii="宋体" w:hAnsi="宋体" w:eastAsia="宋体" w:cs="宋体"/>
          <w:b/>
          <w:bCs/>
          <w:color w:val="0000FF"/>
          <w:szCs w:val="21"/>
          <w:highlight w:val="none"/>
          <w:lang w:val="en-US" w:eastAsia="zh-CN"/>
        </w:rPr>
        <w:t>、</w:t>
      </w:r>
      <w:r>
        <w:rPr>
          <w:rFonts w:hint="eastAsia" w:ascii="宋体" w:hAnsi="宋体" w:cs="宋体"/>
          <w:b/>
          <w:bCs/>
          <w:color w:val="0000FF"/>
          <w:szCs w:val="21"/>
          <w:highlight w:val="none"/>
          <w:lang w:val="en-US" w:eastAsia="zh-CN"/>
        </w:rPr>
        <w:t>投标保证金汇款凭证或保函等票据</w:t>
      </w:r>
      <w:r>
        <w:rPr>
          <w:rFonts w:hint="eastAsia" w:ascii="宋体" w:hAnsi="宋体" w:eastAsia="宋体" w:cs="宋体"/>
          <w:b/>
          <w:bCs/>
          <w:color w:val="0000FF"/>
          <w:szCs w:val="21"/>
          <w:highlight w:val="none"/>
          <w:lang w:val="en-US" w:eastAsia="zh-CN"/>
        </w:rPr>
        <w:t>；</w:t>
      </w:r>
    </w:p>
    <w:p w14:paraId="3C21490C">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kern w:val="2"/>
          <w:sz w:val="21"/>
          <w:szCs w:val="24"/>
          <w:lang w:val="en-US" w:eastAsia="zh-CN" w:bidi="ar-SA"/>
        </w:rPr>
        <w:t>5</w:t>
      </w:r>
      <w:r>
        <w:rPr>
          <w:rFonts w:hint="eastAsia" w:ascii="宋体" w:hAnsi="宋体" w:eastAsia="宋体" w:cs="宋体"/>
          <w:b/>
          <w:bCs/>
          <w:color w:val="0000FF"/>
          <w:kern w:val="2"/>
          <w:sz w:val="21"/>
          <w:szCs w:val="24"/>
          <w:lang w:val="en-US" w:eastAsia="zh-CN" w:bidi="ar-SA"/>
        </w:rPr>
        <w:t>、在“信用</w:t>
      </w:r>
      <w:r>
        <w:rPr>
          <w:rFonts w:hint="eastAsia" w:ascii="宋体" w:hAnsi="宋体" w:eastAsia="宋体" w:cs="宋体"/>
          <w:b/>
          <w:bCs/>
          <w:color w:val="0000FF"/>
          <w:szCs w:val="21"/>
          <w:highlight w:val="none"/>
          <w:lang w:val="en-US" w:eastAsia="zh-CN"/>
        </w:rPr>
        <w:t>中国”及“中国政府采购网”网站上未被列入失信被执行人、重大税收违法案件当事人名单以及政府采购严重违法失信行为记录名单的投标企业；</w:t>
      </w:r>
    </w:p>
    <w:p w14:paraId="79C73819">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6</w:t>
      </w:r>
      <w:r>
        <w:rPr>
          <w:rFonts w:hint="eastAsia" w:ascii="宋体" w:hAnsi="宋体" w:eastAsia="宋体" w:cs="宋体"/>
          <w:b/>
          <w:bCs/>
          <w:color w:val="0000FF"/>
          <w:szCs w:val="21"/>
          <w:highlight w:val="none"/>
          <w:lang w:val="en-US" w:eastAsia="zh-CN"/>
        </w:rPr>
        <w:t>、具有良好的商业信誉和健全的财务会计制度（经审计的近3年内任意1年的财务审计报告（新成立不足一年的提供成立之日起至今的财务报表）或基本开户银行出具的资信证明）</w:t>
      </w:r>
    </w:p>
    <w:p w14:paraId="39A530B6">
      <w:pPr>
        <w:shd w:val="clear" w:color="auto" w:fill="auto"/>
        <w:spacing w:line="440" w:lineRule="exact"/>
        <w:ind w:firstLine="287" w:firstLineChars="135"/>
        <w:rPr>
          <w:rFonts w:hint="default"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7、供应商须同时具有《劳务派遣经营许可证》和《人力资源服务许可证》</w:t>
      </w:r>
    </w:p>
    <w:p w14:paraId="300968FC">
      <w:pPr>
        <w:shd w:val="clear" w:color="auto" w:fill="auto"/>
        <w:spacing w:line="440" w:lineRule="exact"/>
        <w:ind w:firstLine="287" w:firstLineChars="135"/>
        <w:rPr>
          <w:rFonts w:hint="eastAsia" w:ascii="宋体" w:hAnsi="宋体" w:cs="宋体"/>
          <w:b/>
          <w:color w:val="auto"/>
          <w:szCs w:val="21"/>
          <w:highlight w:val="none"/>
        </w:rPr>
      </w:pPr>
      <w:r>
        <w:rPr>
          <w:rFonts w:hint="eastAsia" w:ascii="宋体" w:hAnsi="宋体" w:cs="宋体"/>
          <w:b/>
          <w:bCs/>
          <w:color w:val="0000FF"/>
          <w:szCs w:val="21"/>
          <w:highlight w:val="none"/>
          <w:lang w:val="en-US" w:eastAsia="zh-CN"/>
        </w:rPr>
        <w:t>8</w:t>
      </w:r>
      <w:r>
        <w:rPr>
          <w:rFonts w:hint="eastAsia" w:ascii="宋体" w:hAnsi="宋体" w:eastAsia="宋体" w:cs="宋体"/>
          <w:b/>
          <w:bCs/>
          <w:color w:val="0000FF"/>
          <w:szCs w:val="21"/>
          <w:highlight w:val="none"/>
          <w:lang w:val="en-US" w:eastAsia="zh-CN"/>
        </w:rPr>
        <w:t>、</w:t>
      </w:r>
      <w:r>
        <w:rPr>
          <w:rFonts w:hint="eastAsia" w:ascii="宋体" w:hAnsi="宋体" w:eastAsia="宋体" w:cs="宋体"/>
          <w:b/>
          <w:bCs/>
          <w:color w:val="0000FF"/>
          <w:kern w:val="2"/>
          <w:sz w:val="21"/>
          <w:szCs w:val="21"/>
          <w:lang w:val="en-US" w:eastAsia="zh-CN" w:bidi="ar-SA"/>
        </w:rPr>
        <w:t>提供</w:t>
      </w:r>
      <w:r>
        <w:rPr>
          <w:rFonts w:hint="eastAsia" w:ascii="宋体" w:hAnsi="宋体" w:cs="宋体"/>
          <w:b/>
          <w:bCs/>
          <w:color w:val="0000FF"/>
          <w:kern w:val="2"/>
          <w:sz w:val="21"/>
          <w:szCs w:val="21"/>
          <w:lang w:val="en-US" w:eastAsia="zh-CN" w:bidi="ar-SA"/>
        </w:rPr>
        <w:t>本次投标</w:t>
      </w:r>
      <w:r>
        <w:rPr>
          <w:rFonts w:hint="eastAsia" w:ascii="宋体" w:hAnsi="宋体" w:eastAsia="宋体" w:cs="宋体"/>
          <w:b/>
          <w:bCs/>
          <w:color w:val="0000FF"/>
          <w:kern w:val="2"/>
          <w:sz w:val="21"/>
          <w:szCs w:val="21"/>
          <w:lang w:val="en-US" w:eastAsia="zh-CN" w:bidi="ar-SA"/>
        </w:rPr>
        <w:t>为</w:t>
      </w:r>
      <w:r>
        <w:rPr>
          <w:rFonts w:hint="eastAsia" w:ascii="宋体" w:hAnsi="宋体" w:cs="宋体"/>
          <w:b/>
          <w:bCs/>
          <w:color w:val="0000FF"/>
          <w:kern w:val="2"/>
          <w:sz w:val="21"/>
          <w:szCs w:val="21"/>
          <w:lang w:val="en-US" w:eastAsia="zh-CN" w:bidi="ar-SA"/>
        </w:rPr>
        <w:t>中小</w:t>
      </w:r>
      <w:r>
        <w:rPr>
          <w:rFonts w:hint="eastAsia" w:ascii="宋体" w:hAnsi="宋体" w:eastAsia="宋体" w:cs="宋体"/>
          <w:b/>
          <w:bCs/>
          <w:color w:val="0000FF"/>
          <w:kern w:val="2"/>
          <w:sz w:val="21"/>
          <w:szCs w:val="21"/>
          <w:lang w:val="en-US" w:eastAsia="zh-CN" w:bidi="ar-SA"/>
        </w:rPr>
        <w:t>企业的</w:t>
      </w:r>
      <w:r>
        <w:rPr>
          <w:rFonts w:hint="eastAsia" w:ascii="宋体" w:hAnsi="宋体" w:cs="宋体"/>
          <w:b/>
          <w:bCs/>
          <w:color w:val="0000FF"/>
          <w:kern w:val="2"/>
          <w:sz w:val="21"/>
          <w:szCs w:val="21"/>
          <w:lang w:val="en-US" w:eastAsia="zh-CN" w:bidi="ar-SA"/>
        </w:rPr>
        <w:t>《</w:t>
      </w:r>
      <w:r>
        <w:rPr>
          <w:rFonts w:hint="eastAsia" w:ascii="宋体" w:hAnsi="宋体" w:eastAsia="宋体" w:cs="宋体"/>
          <w:b/>
          <w:bCs/>
          <w:color w:val="0000FF"/>
          <w:kern w:val="2"/>
          <w:sz w:val="21"/>
          <w:szCs w:val="21"/>
          <w:lang w:val="en-US" w:eastAsia="zh-CN" w:bidi="ar-SA"/>
        </w:rPr>
        <w:t>中小企业声明函</w:t>
      </w:r>
      <w:r>
        <w:rPr>
          <w:rFonts w:hint="eastAsia" w:ascii="宋体" w:hAnsi="宋体" w:cs="宋体"/>
          <w:b/>
          <w:bCs/>
          <w:color w:val="0000FF"/>
          <w:kern w:val="2"/>
          <w:sz w:val="21"/>
          <w:szCs w:val="21"/>
          <w:lang w:val="en-US" w:eastAsia="zh-CN" w:bidi="ar-SA"/>
        </w:rPr>
        <w:t>》</w:t>
      </w:r>
    </w:p>
    <w:p w14:paraId="258A0045">
      <w:pPr>
        <w:shd w:val="clear" w:color="auto" w:fill="auto"/>
        <w:spacing w:line="440" w:lineRule="exact"/>
        <w:ind w:firstLine="426" w:firstLineChars="200"/>
        <w:rPr>
          <w:rFonts w:hint="eastAsia" w:ascii="宋体" w:hAnsi="宋体" w:eastAsia="宋体" w:cs="宋体"/>
          <w:b/>
          <w:bCs w:val="0"/>
          <w:color w:val="0000FF"/>
          <w:sz w:val="21"/>
          <w:szCs w:val="21"/>
          <w:highlight w:val="none"/>
          <w:lang w:val="en-US" w:eastAsia="zh-CN"/>
        </w:rPr>
      </w:pPr>
      <w:r>
        <w:rPr>
          <w:rFonts w:hint="eastAsia" w:ascii="宋体" w:hAnsi="宋体" w:cs="宋体"/>
          <w:b/>
          <w:bCs w:val="0"/>
          <w:color w:val="0000FF"/>
          <w:sz w:val="21"/>
          <w:szCs w:val="21"/>
          <w:highlight w:val="none"/>
          <w:lang w:val="en-US" w:eastAsia="zh-CN"/>
        </w:rPr>
        <w:t>20.2</w:t>
      </w:r>
      <w:r>
        <w:rPr>
          <w:rFonts w:hint="eastAsia" w:ascii="宋体" w:hAnsi="宋体" w:eastAsia="宋体" w:cs="宋体"/>
          <w:b/>
          <w:bCs w:val="0"/>
          <w:color w:val="0000FF"/>
          <w:sz w:val="21"/>
          <w:szCs w:val="21"/>
          <w:highlight w:val="none"/>
          <w:lang w:val="en-US" w:eastAsia="zh-CN"/>
        </w:rPr>
        <w:t xml:space="preserve"> 报价文件</w:t>
      </w:r>
      <w:r>
        <w:rPr>
          <w:rFonts w:hint="eastAsia" w:ascii="宋体" w:hAnsi="宋体" w:cs="宋体"/>
          <w:b/>
          <w:bCs w:val="0"/>
          <w:color w:val="0000FF"/>
          <w:sz w:val="21"/>
          <w:szCs w:val="21"/>
          <w:highlight w:val="none"/>
          <w:lang w:val="en-US" w:eastAsia="zh-CN"/>
        </w:rPr>
        <w:t>（目录）</w:t>
      </w:r>
    </w:p>
    <w:p w14:paraId="14562E2C">
      <w:pPr>
        <w:shd w:val="clear" w:color="auto" w:fill="auto"/>
        <w:spacing w:line="440" w:lineRule="exact"/>
        <w:ind w:firstLine="426" w:firstLineChars="200"/>
        <w:rPr>
          <w:rFonts w:hint="eastAsia" w:ascii="宋体" w:hAnsi="宋体" w:eastAsia="宋体" w:cs="宋体"/>
          <w:b/>
          <w:bCs w:val="0"/>
          <w:color w:val="0000FF"/>
          <w:sz w:val="21"/>
          <w:szCs w:val="21"/>
          <w:highlight w:val="none"/>
          <w:lang w:val="en-US" w:eastAsia="zh-CN"/>
        </w:rPr>
      </w:pPr>
      <w:r>
        <w:rPr>
          <w:rFonts w:hint="eastAsia" w:ascii="宋体" w:hAnsi="宋体" w:eastAsia="宋体" w:cs="宋体"/>
          <w:b/>
          <w:bCs w:val="0"/>
          <w:color w:val="0000FF"/>
          <w:sz w:val="21"/>
          <w:szCs w:val="21"/>
          <w:highlight w:val="none"/>
          <w:lang w:val="en-US" w:eastAsia="zh-CN"/>
        </w:rPr>
        <w:t>1、开标一览表</w:t>
      </w:r>
    </w:p>
    <w:p w14:paraId="3A586893">
      <w:pPr>
        <w:shd w:val="clear" w:color="auto" w:fill="auto"/>
        <w:spacing w:line="440" w:lineRule="exact"/>
        <w:ind w:firstLine="498" w:firstLineChars="234"/>
        <w:rPr>
          <w:rFonts w:hint="default" w:ascii="宋体" w:hAnsi="宋体" w:cs="宋体"/>
          <w:b/>
          <w:color w:val="auto"/>
          <w:szCs w:val="21"/>
          <w:highlight w:val="none"/>
          <w:lang w:val="en-US" w:eastAsia="zh-CN"/>
        </w:rPr>
      </w:pPr>
      <w:r>
        <w:rPr>
          <w:rFonts w:hint="eastAsia" w:ascii="宋体" w:hAnsi="宋体" w:cs="宋体"/>
          <w:b/>
          <w:bCs/>
          <w:color w:val="0000FF"/>
          <w:szCs w:val="21"/>
          <w:highlight w:val="none"/>
          <w:lang w:val="en-US" w:eastAsia="zh-CN"/>
        </w:rPr>
        <w:t>2</w:t>
      </w:r>
      <w:r>
        <w:rPr>
          <w:rFonts w:hint="eastAsia" w:ascii="宋体" w:hAnsi="宋体" w:eastAsia="宋体" w:cs="宋体"/>
          <w:b/>
          <w:bCs/>
          <w:color w:val="0000FF"/>
          <w:szCs w:val="21"/>
          <w:highlight w:val="none"/>
          <w:lang w:val="en-US" w:eastAsia="zh-CN"/>
        </w:rPr>
        <w:t>、投标分项报价表</w:t>
      </w:r>
    </w:p>
    <w:p w14:paraId="62525B1A">
      <w:pPr>
        <w:shd w:val="clear" w:color="auto" w:fill="auto"/>
        <w:spacing w:line="440" w:lineRule="exact"/>
        <w:ind w:firstLine="312" w:firstLineChars="147"/>
        <w:rPr>
          <w:rFonts w:hint="eastAsia" w:ascii="宋体" w:hAnsi="宋体" w:eastAsia="宋体" w:cs="宋体"/>
          <w:b/>
          <w:bCs/>
          <w:color w:val="0000FF"/>
          <w:sz w:val="21"/>
          <w:szCs w:val="21"/>
          <w:highlight w:val="none"/>
          <w:lang w:val="en-US" w:eastAsia="zh-CN"/>
        </w:rPr>
      </w:pPr>
      <w:r>
        <w:rPr>
          <w:rFonts w:hint="eastAsia" w:ascii="宋体" w:hAnsi="宋体" w:cs="宋体"/>
          <w:b/>
          <w:bCs/>
          <w:color w:val="0000FF"/>
          <w:sz w:val="21"/>
          <w:szCs w:val="21"/>
          <w:highlight w:val="none"/>
          <w:lang w:val="en-US" w:eastAsia="zh-CN"/>
        </w:rPr>
        <w:t>20.3</w:t>
      </w:r>
      <w:r>
        <w:rPr>
          <w:rFonts w:hint="eastAsia" w:ascii="宋体" w:hAnsi="宋体" w:eastAsia="宋体" w:cs="宋体"/>
          <w:b/>
          <w:bCs/>
          <w:color w:val="0000FF"/>
          <w:sz w:val="21"/>
          <w:szCs w:val="21"/>
          <w:highlight w:val="none"/>
          <w:lang w:val="en-US" w:eastAsia="zh-CN"/>
        </w:rPr>
        <w:t>商务及技术文件（目录）</w:t>
      </w:r>
    </w:p>
    <w:p w14:paraId="72A70B29">
      <w:pPr>
        <w:shd w:val="clear" w:color="auto" w:fill="auto"/>
        <w:spacing w:line="440" w:lineRule="exact"/>
        <w:ind w:firstLine="312" w:firstLineChars="147"/>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1、</w:t>
      </w:r>
      <w:r>
        <w:rPr>
          <w:rFonts w:hint="eastAsia" w:ascii="宋体" w:hAnsi="宋体" w:eastAsia="宋体" w:cs="宋体"/>
          <w:b/>
          <w:bCs/>
          <w:color w:val="0000FF"/>
          <w:szCs w:val="21"/>
          <w:highlight w:val="none"/>
          <w:lang w:val="en-US" w:eastAsia="zh-CN"/>
        </w:rPr>
        <w:t>投标函</w:t>
      </w:r>
    </w:p>
    <w:p w14:paraId="5B8608BF">
      <w:pPr>
        <w:shd w:val="clear" w:color="auto" w:fill="auto"/>
        <w:spacing w:line="440" w:lineRule="exact"/>
        <w:ind w:firstLine="312" w:firstLineChars="147"/>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2</w:t>
      </w:r>
      <w:r>
        <w:rPr>
          <w:rFonts w:hint="eastAsia" w:ascii="宋体" w:hAnsi="宋体" w:eastAsia="宋体" w:cs="宋体"/>
          <w:b/>
          <w:bCs/>
          <w:color w:val="0000FF"/>
          <w:szCs w:val="21"/>
          <w:highlight w:val="none"/>
          <w:lang w:val="en-US" w:eastAsia="zh-CN"/>
        </w:rPr>
        <w:t>、</w:t>
      </w:r>
      <w:r>
        <w:rPr>
          <w:rFonts w:hint="eastAsia" w:ascii="宋体" w:hAnsi="宋体" w:cs="宋体"/>
          <w:b/>
          <w:bCs/>
          <w:color w:val="0000FF"/>
          <w:szCs w:val="21"/>
          <w:highlight w:val="none"/>
          <w:lang w:val="en-US" w:eastAsia="zh-CN"/>
        </w:rPr>
        <w:t>诚信声明</w:t>
      </w:r>
    </w:p>
    <w:p w14:paraId="4809ABE2">
      <w:pPr>
        <w:numPr>
          <w:ilvl w:val="0"/>
          <w:numId w:val="0"/>
        </w:numPr>
        <w:shd w:val="clear" w:color="auto" w:fill="auto"/>
        <w:spacing w:line="440" w:lineRule="exact"/>
        <w:ind w:left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3、</w:t>
      </w:r>
      <w:r>
        <w:rPr>
          <w:rFonts w:hint="eastAsia" w:ascii="宋体" w:hAnsi="宋体" w:eastAsia="宋体" w:cs="宋体"/>
          <w:b/>
          <w:bCs/>
          <w:color w:val="0000FF"/>
          <w:szCs w:val="21"/>
          <w:highlight w:val="none"/>
          <w:lang w:val="en-US" w:eastAsia="zh-CN"/>
        </w:rPr>
        <w:t>参加政府采购活动前三年内，在经营活动中没有重大违法记录（提供承诺函）</w:t>
      </w:r>
    </w:p>
    <w:p w14:paraId="2A1CC0A1">
      <w:pPr>
        <w:shd w:val="clear" w:color="auto" w:fill="auto"/>
        <w:spacing w:line="440" w:lineRule="exact"/>
        <w:ind w:firstLine="287" w:firstLineChars="135"/>
        <w:rPr>
          <w:rFonts w:hint="eastAsia" w:ascii="宋体" w:hAnsi="宋体" w:eastAsia="宋体" w:cs="宋体"/>
          <w:b/>
          <w:bCs/>
          <w:color w:val="0000FF"/>
          <w:kern w:val="2"/>
          <w:sz w:val="21"/>
          <w:szCs w:val="24"/>
          <w:lang w:val="en-US" w:eastAsia="zh-CN" w:bidi="ar-SA"/>
        </w:rPr>
      </w:pPr>
      <w:r>
        <w:rPr>
          <w:rFonts w:hint="eastAsia" w:ascii="宋体" w:hAnsi="宋体" w:cs="宋体"/>
          <w:b/>
          <w:bCs/>
          <w:color w:val="0000FF"/>
          <w:szCs w:val="21"/>
          <w:highlight w:val="none"/>
          <w:lang w:val="en-US" w:eastAsia="zh-CN"/>
        </w:rPr>
        <w:t>4</w:t>
      </w:r>
      <w:r>
        <w:rPr>
          <w:rFonts w:hint="eastAsia" w:ascii="宋体" w:hAnsi="宋体" w:eastAsia="宋体" w:cs="宋体"/>
          <w:b/>
          <w:bCs/>
          <w:color w:val="0000FF"/>
          <w:kern w:val="2"/>
          <w:sz w:val="21"/>
          <w:szCs w:val="24"/>
          <w:lang w:val="en-US" w:eastAsia="zh-CN" w:bidi="ar-SA"/>
        </w:rPr>
        <w:t>、针对本次采购项目《反商业贿赂承诺书》</w:t>
      </w:r>
    </w:p>
    <w:p w14:paraId="54A93D2D">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5</w:t>
      </w:r>
      <w:r>
        <w:rPr>
          <w:rFonts w:hint="eastAsia" w:ascii="宋体" w:hAnsi="宋体" w:eastAsia="宋体" w:cs="宋体"/>
          <w:b/>
          <w:bCs/>
          <w:color w:val="0000FF"/>
          <w:szCs w:val="21"/>
          <w:highlight w:val="none"/>
          <w:lang w:val="en-US" w:eastAsia="zh-CN"/>
        </w:rPr>
        <w:t>、投标人关联单位的说明</w:t>
      </w:r>
    </w:p>
    <w:p w14:paraId="20DA2773">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6</w:t>
      </w:r>
      <w:r>
        <w:rPr>
          <w:rFonts w:hint="eastAsia" w:ascii="宋体" w:hAnsi="宋体" w:eastAsia="宋体" w:cs="宋体"/>
          <w:b/>
          <w:bCs/>
          <w:color w:val="0000FF"/>
          <w:szCs w:val="21"/>
          <w:highlight w:val="none"/>
          <w:lang w:val="en-US" w:eastAsia="zh-CN"/>
        </w:rPr>
        <w:t>、技术规格偏离表</w:t>
      </w:r>
    </w:p>
    <w:p w14:paraId="74B169B2">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7</w:t>
      </w:r>
      <w:r>
        <w:rPr>
          <w:rFonts w:hint="eastAsia" w:ascii="宋体" w:hAnsi="宋体" w:eastAsia="宋体" w:cs="宋体"/>
          <w:b/>
          <w:bCs/>
          <w:color w:val="0000FF"/>
          <w:szCs w:val="21"/>
          <w:highlight w:val="none"/>
          <w:lang w:val="en-US" w:eastAsia="zh-CN"/>
        </w:rPr>
        <w:t>、商务条款偏离表</w:t>
      </w:r>
    </w:p>
    <w:p w14:paraId="064D3DF3">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8</w:t>
      </w:r>
      <w:r>
        <w:rPr>
          <w:rFonts w:hint="eastAsia" w:ascii="宋体" w:hAnsi="宋体" w:eastAsia="宋体" w:cs="宋体"/>
          <w:b/>
          <w:bCs/>
          <w:color w:val="0000FF"/>
          <w:szCs w:val="21"/>
          <w:highlight w:val="none"/>
          <w:lang w:val="en-US" w:eastAsia="zh-CN"/>
        </w:rPr>
        <w:t>、投标人基本情况表</w:t>
      </w:r>
    </w:p>
    <w:p w14:paraId="0FDAAF31">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9</w:t>
      </w:r>
      <w:r>
        <w:rPr>
          <w:rFonts w:hint="eastAsia" w:ascii="宋体" w:hAnsi="宋体" w:eastAsia="宋体" w:cs="宋体"/>
          <w:b/>
          <w:bCs/>
          <w:color w:val="0000FF"/>
          <w:szCs w:val="21"/>
          <w:highlight w:val="none"/>
          <w:lang w:val="en-US" w:eastAsia="zh-CN"/>
        </w:rPr>
        <w:t>、投标人认为有必要提供的其他证明材料</w:t>
      </w:r>
    </w:p>
    <w:p w14:paraId="45F0F02F">
      <w:pPr>
        <w:shd w:val="clear" w:color="auto" w:fill="auto"/>
        <w:spacing w:line="400" w:lineRule="exact"/>
        <w:ind w:firstLine="422" w:firstLineChars="199"/>
        <w:rPr>
          <w:rFonts w:hint="eastAsia" w:asciiTheme="majorEastAsia" w:hAnsiTheme="majorEastAsia" w:eastAsiaTheme="majorEastAsia" w:cstheme="majorEastAsia"/>
          <w:color w:val="auto"/>
          <w:szCs w:val="21"/>
          <w:highlight w:val="none"/>
          <w:lang w:eastAsia="zh-CN"/>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0</w:t>
      </w:r>
      <w:r>
        <w:rPr>
          <w:rFonts w:hint="eastAsia" w:asciiTheme="majorEastAsia" w:hAnsiTheme="majorEastAsia" w:eastAsiaTheme="majorEastAsia" w:cstheme="majorEastAsia"/>
          <w:color w:val="auto"/>
          <w:szCs w:val="21"/>
          <w:highlight w:val="none"/>
        </w:rPr>
        <w:t>.</w:t>
      </w:r>
      <w:r>
        <w:rPr>
          <w:rFonts w:hint="eastAsia" w:asciiTheme="majorEastAsia" w:hAnsiTheme="majorEastAsia" w:eastAsiaTheme="majorEastAsia" w:cstheme="majorEastAsia"/>
          <w:color w:val="auto"/>
          <w:szCs w:val="21"/>
          <w:highlight w:val="none"/>
          <w:lang w:val="en-US" w:eastAsia="zh-CN"/>
        </w:rPr>
        <w:t>4</w:t>
      </w:r>
      <w:r>
        <w:rPr>
          <w:rFonts w:hint="eastAsia" w:asciiTheme="majorEastAsia" w:hAnsiTheme="majorEastAsia" w:eastAsiaTheme="majorEastAsia" w:cstheme="majorEastAsia"/>
          <w:color w:val="auto"/>
          <w:szCs w:val="21"/>
          <w:highlight w:val="none"/>
          <w:lang w:eastAsia="zh-CN"/>
        </w:rPr>
        <w:t>投标文件的要求</w:t>
      </w:r>
    </w:p>
    <w:p w14:paraId="2F3B68FE">
      <w:pPr>
        <w:shd w:val="clear" w:color="auto" w:fill="auto"/>
        <w:spacing w:line="400" w:lineRule="exact"/>
        <w:ind w:firstLine="422" w:firstLineChars="199"/>
        <w:rPr>
          <w:rFonts w:hint="eastAsia" w:asciiTheme="majorEastAsia" w:hAnsiTheme="majorEastAsia" w:eastAsiaTheme="majorEastAsia" w:cstheme="majorEastAsia"/>
          <w:color w:val="auto"/>
          <w:szCs w:val="21"/>
          <w:highlight w:val="none"/>
          <w:lang w:eastAsia="zh-CN"/>
        </w:rPr>
      </w:pP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lang w:eastAsia="zh-CN"/>
        </w:rPr>
        <w:t>）供应商应仔细阅读采购文件的所有内容，按照采购文件的要求详细编制投标文件，所提交的全部资料必须真实有效，并且要保证字迹清晰易于辨认。投标文件应对采购文件实质性内容作出响应，否则按无效标处理。</w:t>
      </w:r>
    </w:p>
    <w:p w14:paraId="2791DA29">
      <w:pPr>
        <w:shd w:val="clear" w:color="auto" w:fill="auto"/>
        <w:spacing w:line="400" w:lineRule="exact"/>
        <w:ind w:firstLine="422" w:firstLineChars="199"/>
        <w:rPr>
          <w:rFonts w:hint="eastAsia" w:asciiTheme="majorEastAsia" w:hAnsiTheme="majorEastAsia" w:eastAsiaTheme="majorEastAsia" w:cstheme="majorEastAsia"/>
          <w:color w:val="auto"/>
          <w:szCs w:val="21"/>
          <w:highlight w:val="none"/>
          <w:lang w:eastAsia="zh-CN"/>
        </w:rPr>
      </w:pP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lang w:val="en-US" w:eastAsia="zh-CN"/>
        </w:rPr>
        <w:t>2</w:t>
      </w:r>
      <w:r>
        <w:rPr>
          <w:rFonts w:hint="eastAsia" w:asciiTheme="majorEastAsia" w:hAnsiTheme="majorEastAsia" w:eastAsiaTheme="majorEastAsia" w:cstheme="majorEastAsia"/>
          <w:color w:val="auto"/>
          <w:szCs w:val="21"/>
          <w:highlight w:val="none"/>
          <w:lang w:eastAsia="zh-CN"/>
        </w:rPr>
        <w:t>）投标文件格式应按本采购文件第六章格式要求编制，不得对采购文件格式进行增删更改，否则按无效标处理。</w:t>
      </w:r>
    </w:p>
    <w:p w14:paraId="3086117B">
      <w:pPr>
        <w:shd w:val="clear" w:color="auto" w:fill="auto"/>
        <w:spacing w:line="400" w:lineRule="exact"/>
        <w:ind w:firstLine="422" w:firstLineChars="199"/>
        <w:rPr>
          <w:rFonts w:hint="eastAsia" w:asciiTheme="majorEastAsia" w:hAnsiTheme="majorEastAsia" w:eastAsiaTheme="majorEastAsia" w:cstheme="majorEastAsia"/>
          <w:color w:val="auto"/>
          <w:szCs w:val="21"/>
          <w:highlight w:val="none"/>
          <w:lang w:eastAsia="zh-CN"/>
        </w:rPr>
      </w:pP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lang w:val="en-US" w:eastAsia="zh-CN"/>
        </w:rPr>
        <w:t>3</w:t>
      </w:r>
      <w:r>
        <w:rPr>
          <w:rFonts w:hint="eastAsia" w:asciiTheme="majorEastAsia" w:hAnsiTheme="majorEastAsia" w:eastAsiaTheme="majorEastAsia" w:cstheme="majorEastAsia"/>
          <w:color w:val="auto"/>
          <w:szCs w:val="21"/>
          <w:highlight w:val="none"/>
          <w:lang w:eastAsia="zh-CN"/>
        </w:rPr>
        <w:t xml:space="preserve">）对采购文件格式可更改的例外情况：采购文件第六章附件格式要求中明确规定表格中行数不够用时可按相同格式增加行数，其他一切内容和格式不得更改。 </w:t>
      </w:r>
    </w:p>
    <w:p w14:paraId="7DA21C0A">
      <w:pPr>
        <w:shd w:val="clear" w:color="auto" w:fill="auto"/>
        <w:spacing w:line="400" w:lineRule="exact"/>
        <w:ind w:firstLine="422" w:firstLineChars="199"/>
        <w:rPr>
          <w:rFonts w:hint="eastAsia" w:asciiTheme="majorEastAsia" w:hAnsiTheme="majorEastAsia" w:eastAsiaTheme="majorEastAsia" w:cstheme="majorEastAsia"/>
          <w:color w:val="auto"/>
          <w:szCs w:val="21"/>
          <w:highlight w:val="none"/>
          <w:lang w:eastAsia="zh-CN"/>
        </w:rPr>
      </w:pP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lang w:val="en-US" w:eastAsia="zh-CN"/>
        </w:rPr>
        <w:t>4</w:t>
      </w:r>
      <w:r>
        <w:rPr>
          <w:rFonts w:hint="eastAsia" w:asciiTheme="majorEastAsia" w:hAnsiTheme="majorEastAsia" w:eastAsiaTheme="majorEastAsia" w:cstheme="majorEastAsia"/>
          <w:color w:val="auto"/>
          <w:szCs w:val="21"/>
          <w:highlight w:val="none"/>
          <w:lang w:eastAsia="zh-CN"/>
        </w:rPr>
        <w:t>）投标文件为电子投标文件，电子投标文件按“政采云供应商项目采购-电子招投标操作指南”及本采购文件要求制作、加密传输。</w:t>
      </w:r>
    </w:p>
    <w:p w14:paraId="337A9F4E">
      <w:pPr>
        <w:shd w:val="clear" w:color="auto" w:fill="auto"/>
        <w:spacing w:line="400" w:lineRule="exact"/>
        <w:ind w:firstLine="422" w:firstLineChars="199"/>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lang w:val="en-US" w:eastAsia="zh-CN"/>
        </w:rPr>
        <w:t>5</w:t>
      </w:r>
      <w:r>
        <w:rPr>
          <w:rFonts w:hint="eastAsia" w:asciiTheme="majorEastAsia" w:hAnsiTheme="majorEastAsia" w:eastAsiaTheme="majorEastAsia" w:cstheme="majorEastAsia"/>
          <w:color w:val="auto"/>
          <w:szCs w:val="21"/>
          <w:highlight w:val="none"/>
          <w:lang w:eastAsia="zh-CN"/>
        </w:rPr>
        <w:t>）投标文件未在投标截止时间前完成传输的，视为投标文件撤回；投标文件未按时解密也未提供备份投标文件的，亦视为投标文件撤回。</w:t>
      </w:r>
    </w:p>
    <w:p w14:paraId="7EE2C61F">
      <w:pPr>
        <w:shd w:val="clear" w:color="auto" w:fill="auto"/>
        <w:spacing w:line="440" w:lineRule="exact"/>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b/>
          <w:color w:val="auto"/>
          <w:szCs w:val="21"/>
          <w:highlight w:val="none"/>
        </w:rPr>
        <w:t>2</w:t>
      </w:r>
      <w:r>
        <w:rPr>
          <w:rFonts w:hint="eastAsia" w:asciiTheme="majorEastAsia" w:hAnsiTheme="majorEastAsia" w:eastAsiaTheme="majorEastAsia" w:cstheme="majorEastAsia"/>
          <w:b/>
          <w:color w:val="auto"/>
          <w:szCs w:val="21"/>
          <w:highlight w:val="none"/>
          <w:lang w:val="en-US" w:eastAsia="zh-CN"/>
        </w:rPr>
        <w:t>1</w:t>
      </w:r>
      <w:r>
        <w:rPr>
          <w:rFonts w:hint="eastAsia" w:asciiTheme="majorEastAsia" w:hAnsiTheme="majorEastAsia" w:eastAsiaTheme="majorEastAsia" w:cstheme="majorEastAsia"/>
          <w:color w:val="auto"/>
          <w:szCs w:val="21"/>
          <w:highlight w:val="none"/>
        </w:rPr>
        <w:t>.</w:t>
      </w:r>
      <w:r>
        <w:rPr>
          <w:rFonts w:hint="eastAsia" w:asciiTheme="majorEastAsia" w:hAnsiTheme="majorEastAsia" w:eastAsiaTheme="majorEastAsia" w:cstheme="majorEastAsia"/>
          <w:b/>
          <w:color w:val="auto"/>
          <w:szCs w:val="21"/>
          <w:highlight w:val="none"/>
        </w:rPr>
        <w:t>投标报价</w:t>
      </w:r>
    </w:p>
    <w:p w14:paraId="3F5C6552">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rPr>
        <w:t>.1投标报价文件中的单价和总价全部采用人民币表示。</w:t>
      </w:r>
    </w:p>
    <w:p w14:paraId="336105DD">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rPr>
        <w:t>.2投标报价表上应清楚地标明投标人拟提供</w:t>
      </w:r>
      <w:r>
        <w:rPr>
          <w:rFonts w:hint="eastAsia" w:asciiTheme="majorEastAsia" w:hAnsiTheme="majorEastAsia" w:eastAsiaTheme="majorEastAsia" w:cstheme="majorEastAsia"/>
          <w:color w:val="auto"/>
          <w:szCs w:val="21"/>
          <w:highlight w:val="none"/>
          <w:lang w:val="en-US" w:eastAsia="zh-CN"/>
        </w:rPr>
        <w:t>货物及服务</w:t>
      </w:r>
      <w:r>
        <w:rPr>
          <w:rFonts w:hint="eastAsia" w:asciiTheme="majorEastAsia" w:hAnsiTheme="majorEastAsia" w:eastAsiaTheme="majorEastAsia" w:cstheme="majorEastAsia"/>
          <w:color w:val="auto"/>
          <w:szCs w:val="21"/>
          <w:highlight w:val="none"/>
        </w:rPr>
        <w:t>的名称、数量、单价和总价。</w:t>
      </w:r>
    </w:p>
    <w:p w14:paraId="0DB968A8">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rPr>
        <w:t>.3投标人只允许有一个方案、一个报价。</w:t>
      </w:r>
    </w:p>
    <w:p w14:paraId="1B7E7528">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rPr>
        <w:t>.4投标人应按“</w:t>
      </w:r>
      <w:r>
        <w:rPr>
          <w:rFonts w:hint="eastAsia" w:asciiTheme="majorEastAsia" w:hAnsiTheme="majorEastAsia" w:eastAsiaTheme="majorEastAsia" w:cstheme="majorEastAsia"/>
          <w:color w:val="auto"/>
          <w:szCs w:val="21"/>
          <w:highlight w:val="none"/>
          <w:lang w:eastAsia="zh-CN"/>
        </w:rPr>
        <w:t>采购内容（技术）及商务要求</w:t>
      </w:r>
      <w:r>
        <w:rPr>
          <w:rFonts w:hint="eastAsia" w:asciiTheme="majorEastAsia" w:hAnsiTheme="majorEastAsia" w:eastAsiaTheme="majorEastAsia" w:cstheme="majorEastAsia"/>
          <w:color w:val="auto"/>
          <w:szCs w:val="21"/>
          <w:highlight w:val="none"/>
        </w:rPr>
        <w:t>”所列</w:t>
      </w:r>
      <w:r>
        <w:rPr>
          <w:rFonts w:hint="eastAsia" w:asciiTheme="majorEastAsia" w:hAnsiTheme="majorEastAsia" w:eastAsiaTheme="majorEastAsia" w:cstheme="majorEastAsia"/>
          <w:color w:val="auto"/>
          <w:szCs w:val="21"/>
          <w:highlight w:val="none"/>
          <w:lang w:val="en-US" w:eastAsia="zh-CN"/>
        </w:rPr>
        <w:t>货物</w:t>
      </w:r>
      <w:r>
        <w:rPr>
          <w:rFonts w:hint="eastAsia" w:asciiTheme="majorEastAsia" w:hAnsiTheme="majorEastAsia" w:eastAsiaTheme="majorEastAsia" w:cstheme="majorEastAsia"/>
          <w:color w:val="auto"/>
          <w:szCs w:val="21"/>
          <w:highlight w:val="none"/>
        </w:rPr>
        <w:t>逐项进行单价报价，并最终单价报</w:t>
      </w:r>
      <w:r>
        <w:rPr>
          <w:rFonts w:hint="eastAsia" w:asciiTheme="majorEastAsia" w:hAnsiTheme="majorEastAsia" w:eastAsiaTheme="majorEastAsia" w:cstheme="majorEastAsia"/>
          <w:color w:val="auto"/>
          <w:szCs w:val="21"/>
          <w:highlight w:val="none"/>
          <w:lang w:val="en-US" w:eastAsia="zh-CN"/>
        </w:rPr>
        <w:t>合计</w:t>
      </w:r>
      <w:r>
        <w:rPr>
          <w:rFonts w:hint="eastAsia" w:asciiTheme="majorEastAsia" w:hAnsiTheme="majorEastAsia" w:eastAsiaTheme="majorEastAsia" w:cstheme="majorEastAsia"/>
          <w:color w:val="auto"/>
          <w:szCs w:val="21"/>
          <w:highlight w:val="none"/>
        </w:rPr>
        <w:t>总价。综合单价包括：</w:t>
      </w:r>
      <w:r>
        <w:rPr>
          <w:rFonts w:hint="eastAsia" w:asciiTheme="majorEastAsia" w:hAnsiTheme="majorEastAsia" w:eastAsiaTheme="majorEastAsia" w:cstheme="majorEastAsia"/>
          <w:color w:val="auto"/>
          <w:szCs w:val="21"/>
          <w:highlight w:val="none"/>
          <w:lang w:val="en-US" w:eastAsia="zh-CN"/>
        </w:rPr>
        <w:t>产品</w:t>
      </w:r>
      <w:r>
        <w:rPr>
          <w:rFonts w:hint="eastAsia" w:asciiTheme="majorEastAsia" w:hAnsiTheme="majorEastAsia" w:eastAsiaTheme="majorEastAsia" w:cstheme="majorEastAsia"/>
          <w:color w:val="auto"/>
          <w:szCs w:val="21"/>
          <w:highlight w:val="none"/>
        </w:rPr>
        <w:t>费、材料费、辅材费、运输费、管理费、利润、风险费用、代理费、</w:t>
      </w:r>
      <w:r>
        <w:rPr>
          <w:rFonts w:hint="eastAsia" w:asciiTheme="majorEastAsia" w:hAnsiTheme="majorEastAsia" w:eastAsiaTheme="majorEastAsia" w:cstheme="majorEastAsia"/>
          <w:color w:val="auto"/>
          <w:szCs w:val="21"/>
          <w:highlight w:val="none"/>
          <w:lang w:val="en-US" w:eastAsia="zh-CN"/>
        </w:rPr>
        <w:t>安装、</w:t>
      </w:r>
      <w:r>
        <w:rPr>
          <w:rFonts w:hint="eastAsia" w:asciiTheme="majorEastAsia" w:hAnsiTheme="majorEastAsia" w:eastAsiaTheme="majorEastAsia" w:cstheme="majorEastAsia"/>
          <w:color w:val="auto"/>
          <w:szCs w:val="21"/>
          <w:highlight w:val="none"/>
        </w:rPr>
        <w:t>调试、验收、培训及后期服务及对</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单位征收的各种税费等所有一切费用，综合单价今后将不作任何调整。</w:t>
      </w:r>
    </w:p>
    <w:p w14:paraId="02EFF4F4">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rPr>
        <w:t>.5投标报价的价格是</w:t>
      </w:r>
      <w:r>
        <w:rPr>
          <w:rFonts w:hint="eastAsia" w:asciiTheme="majorEastAsia" w:hAnsiTheme="majorEastAsia" w:eastAsiaTheme="majorEastAsia" w:cstheme="majorEastAsia"/>
          <w:color w:val="auto"/>
          <w:szCs w:val="21"/>
          <w:highlight w:val="none"/>
          <w:lang w:val="en-US" w:eastAsia="zh-CN"/>
        </w:rPr>
        <w:t>货物及服务</w:t>
      </w:r>
      <w:r>
        <w:rPr>
          <w:rFonts w:hint="eastAsia" w:asciiTheme="majorEastAsia" w:hAnsiTheme="majorEastAsia" w:eastAsiaTheme="majorEastAsia" w:cstheme="majorEastAsia"/>
          <w:color w:val="auto"/>
          <w:szCs w:val="21"/>
          <w:highlight w:val="none"/>
        </w:rPr>
        <w:t>交货地验收价格，其</w:t>
      </w:r>
      <w:r>
        <w:rPr>
          <w:rFonts w:hint="eastAsia" w:asciiTheme="majorEastAsia" w:hAnsiTheme="majorEastAsia" w:eastAsiaTheme="majorEastAsia" w:cstheme="majorEastAsia"/>
          <w:color w:val="auto"/>
          <w:szCs w:val="21"/>
          <w:highlight w:val="none"/>
          <w:lang w:val="en-US" w:eastAsia="zh-CN"/>
        </w:rPr>
        <w:t>总价</w:t>
      </w:r>
      <w:r>
        <w:rPr>
          <w:rFonts w:hint="eastAsia" w:asciiTheme="majorEastAsia" w:hAnsiTheme="majorEastAsia" w:eastAsiaTheme="majorEastAsia" w:cstheme="majorEastAsia"/>
          <w:color w:val="auto"/>
          <w:szCs w:val="21"/>
          <w:highlight w:val="none"/>
        </w:rPr>
        <w:t>即为履行合同的固定</w:t>
      </w:r>
      <w:r>
        <w:rPr>
          <w:rFonts w:hint="eastAsia" w:asciiTheme="majorEastAsia" w:hAnsiTheme="majorEastAsia" w:eastAsiaTheme="majorEastAsia" w:cstheme="majorEastAsia"/>
          <w:color w:val="auto"/>
          <w:szCs w:val="21"/>
          <w:highlight w:val="none"/>
          <w:lang w:val="en-US" w:eastAsia="zh-CN"/>
        </w:rPr>
        <w:t>总价</w:t>
      </w:r>
      <w:r>
        <w:rPr>
          <w:rFonts w:hint="eastAsia" w:asciiTheme="majorEastAsia" w:hAnsiTheme="majorEastAsia" w:eastAsiaTheme="majorEastAsia" w:cstheme="majorEastAsia"/>
          <w:color w:val="auto"/>
          <w:szCs w:val="21"/>
          <w:highlight w:val="none"/>
        </w:rPr>
        <w:t>。</w:t>
      </w:r>
    </w:p>
    <w:p w14:paraId="0AFE417A">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rPr>
        <w:t>.6技术要求中规定的</w:t>
      </w:r>
      <w:r>
        <w:rPr>
          <w:rFonts w:hint="eastAsia" w:asciiTheme="majorEastAsia" w:hAnsiTheme="majorEastAsia" w:eastAsiaTheme="majorEastAsia" w:cstheme="majorEastAsia"/>
          <w:color w:val="auto"/>
          <w:szCs w:val="21"/>
          <w:highlight w:val="none"/>
          <w:lang w:val="en-US" w:eastAsia="zh-CN"/>
        </w:rPr>
        <w:t>相关所有</w:t>
      </w:r>
      <w:r>
        <w:rPr>
          <w:rFonts w:hint="eastAsia" w:asciiTheme="majorEastAsia" w:hAnsiTheme="majorEastAsia" w:eastAsiaTheme="majorEastAsia" w:cstheme="majorEastAsia"/>
          <w:color w:val="auto"/>
          <w:szCs w:val="21"/>
          <w:highlight w:val="none"/>
        </w:rPr>
        <w:t>费用应包括在投标价格中。投标文件报价为含税价，招标人不再为此次招标支付任何费用。</w:t>
      </w:r>
    </w:p>
    <w:p w14:paraId="7E4EC6E6">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rPr>
        <w:t>.7投标报价应由法定代表人或被授权人签署。</w:t>
      </w:r>
    </w:p>
    <w:p w14:paraId="09C77FF2">
      <w:pPr>
        <w:shd w:val="clear" w:color="auto" w:fill="auto"/>
        <w:spacing w:line="440" w:lineRule="exact"/>
        <w:ind w:firstLine="426" w:firstLineChars="200"/>
        <w:rPr>
          <w:rFonts w:hint="eastAsia" w:asciiTheme="majorEastAsia" w:hAnsiTheme="majorEastAsia" w:eastAsiaTheme="majorEastAsia" w:cstheme="majorEastAsia"/>
          <w:bCs/>
          <w:color w:val="auto"/>
          <w:szCs w:val="21"/>
          <w:highlight w:val="none"/>
        </w:rPr>
      </w:pPr>
      <w:r>
        <w:rPr>
          <w:rFonts w:hint="eastAsia" w:asciiTheme="majorEastAsia" w:hAnsiTheme="majorEastAsia" w:eastAsiaTheme="majorEastAsia" w:cstheme="majorEastAsia"/>
          <w:bCs/>
          <w:color w:val="auto"/>
          <w:szCs w:val="21"/>
          <w:highlight w:val="none"/>
        </w:rPr>
        <w:t>2</w:t>
      </w:r>
      <w:r>
        <w:rPr>
          <w:rFonts w:hint="eastAsia" w:asciiTheme="majorEastAsia" w:hAnsiTheme="majorEastAsia" w:eastAsiaTheme="majorEastAsia" w:cstheme="majorEastAsia"/>
          <w:bCs/>
          <w:color w:val="auto"/>
          <w:szCs w:val="21"/>
          <w:highlight w:val="none"/>
          <w:lang w:val="en-US" w:eastAsia="zh-CN"/>
        </w:rPr>
        <w:t>1</w:t>
      </w:r>
      <w:r>
        <w:rPr>
          <w:rFonts w:hint="eastAsia" w:asciiTheme="majorEastAsia" w:hAnsiTheme="majorEastAsia" w:eastAsiaTheme="majorEastAsia" w:cstheme="majorEastAsia"/>
          <w:bCs/>
          <w:color w:val="auto"/>
          <w:szCs w:val="21"/>
          <w:highlight w:val="none"/>
        </w:rPr>
        <w:t>.8</w:t>
      </w:r>
      <w:r>
        <w:rPr>
          <w:rFonts w:hint="eastAsia" w:asciiTheme="majorEastAsia" w:hAnsiTheme="majorEastAsia" w:eastAsiaTheme="majorEastAsia" w:cstheme="majorEastAsia"/>
          <w:b/>
          <w:color w:val="auto"/>
          <w:szCs w:val="21"/>
          <w:highlight w:val="none"/>
        </w:rPr>
        <w:t>投标人投标</w:t>
      </w:r>
      <w:r>
        <w:rPr>
          <w:rFonts w:hint="eastAsia" w:asciiTheme="majorEastAsia" w:hAnsiTheme="majorEastAsia" w:eastAsiaTheme="majorEastAsia" w:cstheme="majorEastAsia"/>
          <w:b/>
          <w:color w:val="auto"/>
          <w:szCs w:val="21"/>
          <w:highlight w:val="none"/>
          <w:lang w:val="en-US" w:eastAsia="zh-CN"/>
        </w:rPr>
        <w:t>总价</w:t>
      </w:r>
      <w:r>
        <w:rPr>
          <w:rFonts w:hint="eastAsia" w:asciiTheme="majorEastAsia" w:hAnsiTheme="majorEastAsia" w:eastAsiaTheme="majorEastAsia" w:cstheme="majorEastAsia"/>
          <w:b/>
          <w:color w:val="auto"/>
          <w:szCs w:val="21"/>
          <w:highlight w:val="none"/>
        </w:rPr>
        <w:t>，不得高于本次招标设置的最</w:t>
      </w:r>
      <w:r>
        <w:rPr>
          <w:rFonts w:hint="eastAsia" w:asciiTheme="majorEastAsia" w:hAnsiTheme="majorEastAsia" w:eastAsiaTheme="majorEastAsia" w:cstheme="majorEastAsia"/>
          <w:b/>
          <w:color w:val="auto"/>
          <w:szCs w:val="21"/>
          <w:highlight w:val="none"/>
          <w:lang w:val="en-US" w:eastAsia="zh-CN"/>
        </w:rPr>
        <w:t>高限价</w:t>
      </w:r>
      <w:r>
        <w:rPr>
          <w:rFonts w:hint="eastAsia" w:asciiTheme="majorEastAsia" w:hAnsiTheme="majorEastAsia" w:eastAsiaTheme="majorEastAsia" w:cstheme="majorEastAsia"/>
          <w:b/>
          <w:color w:val="auto"/>
          <w:szCs w:val="21"/>
          <w:highlight w:val="none"/>
        </w:rPr>
        <w:t>，</w:t>
      </w:r>
      <w:r>
        <w:rPr>
          <w:rFonts w:hint="eastAsia" w:asciiTheme="majorEastAsia" w:hAnsiTheme="majorEastAsia" w:eastAsiaTheme="majorEastAsia" w:cstheme="majorEastAsia"/>
          <w:b/>
          <w:bCs/>
          <w:color w:val="auto"/>
          <w:szCs w:val="21"/>
          <w:highlight w:val="none"/>
        </w:rPr>
        <w:t>否则将作为无效投标处理。</w:t>
      </w:r>
    </w:p>
    <w:p w14:paraId="2CB829C1">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rPr>
        <w:t>.9如投标文件中未列明全面实现投标</w:t>
      </w:r>
      <w:r>
        <w:rPr>
          <w:rFonts w:hint="eastAsia" w:asciiTheme="majorEastAsia" w:hAnsiTheme="majorEastAsia" w:eastAsiaTheme="majorEastAsia" w:cstheme="majorEastAsia"/>
          <w:color w:val="auto"/>
          <w:szCs w:val="21"/>
          <w:highlight w:val="none"/>
          <w:lang w:val="en-US" w:eastAsia="zh-CN"/>
        </w:rPr>
        <w:t>服务</w:t>
      </w:r>
      <w:r>
        <w:rPr>
          <w:rFonts w:hint="eastAsia" w:asciiTheme="majorEastAsia" w:hAnsiTheme="majorEastAsia" w:eastAsiaTheme="majorEastAsia" w:cstheme="majorEastAsia"/>
          <w:color w:val="auto"/>
          <w:szCs w:val="21"/>
          <w:highlight w:val="none"/>
        </w:rPr>
        <w:t>功能而必须配置的配套或辅助设施及相应技术措施的费用，这些费用将被视为已包含在总投标价中。</w:t>
      </w:r>
    </w:p>
    <w:p w14:paraId="12B6FAC6">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rPr>
        <w:t>.10总投标价中不得包含</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要求以外的内容，否则，在评标时不予核减，但在授予合同时，招标人有权将这部分价格从其</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价格中扣除。</w:t>
      </w:r>
    </w:p>
    <w:p w14:paraId="3BF408CF">
      <w:pPr>
        <w:shd w:val="clear" w:color="auto" w:fill="auto"/>
        <w:spacing w:line="440" w:lineRule="exact"/>
        <w:ind w:firstLine="408" w:firstLineChars="192"/>
        <w:rPr>
          <w:rFonts w:hint="eastAsia" w:asciiTheme="majorEastAsia" w:hAnsiTheme="majorEastAsia" w:eastAsiaTheme="majorEastAsia" w:cstheme="majorEastAsia"/>
          <w:color w:val="auto"/>
          <w:szCs w:val="21"/>
          <w:highlight w:val="none"/>
          <w:lang w:val="en-US" w:eastAsia="zh-CN"/>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rPr>
        <w:t>.11总投标价中不得缺漏</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所要求的内容，否则，评标时将有效投标中该项内容的最高价计入其评标总价，但在授予合同时，缺漏项目的报价视作已含在其他项目的报价中，这些项目将作为免费赠送而包含在合同内。</w:t>
      </w:r>
      <w:r>
        <w:rPr>
          <w:rFonts w:hint="eastAsia" w:asciiTheme="majorEastAsia" w:hAnsiTheme="majorEastAsia" w:eastAsiaTheme="majorEastAsia" w:cstheme="majorEastAsia"/>
          <w:color w:val="auto"/>
          <w:szCs w:val="21"/>
          <w:highlight w:val="none"/>
          <w:lang w:val="en-US" w:eastAsia="zh-CN"/>
        </w:rPr>
        <w:t xml:space="preserve">    </w:t>
      </w:r>
    </w:p>
    <w:p w14:paraId="3FC8530C">
      <w:pPr>
        <w:shd w:val="clear" w:color="auto" w:fill="auto"/>
        <w:spacing w:line="440" w:lineRule="exact"/>
        <w:ind w:firstLine="408" w:firstLineChars="192"/>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rPr>
        <w:t>.12投标人不得对从第三方采购</w:t>
      </w:r>
      <w:r>
        <w:rPr>
          <w:rFonts w:hint="eastAsia" w:asciiTheme="majorEastAsia" w:hAnsiTheme="majorEastAsia" w:eastAsiaTheme="majorEastAsia" w:cstheme="majorEastAsia"/>
          <w:color w:val="auto"/>
          <w:szCs w:val="21"/>
          <w:highlight w:val="none"/>
          <w:lang w:val="en-US" w:eastAsia="zh-CN"/>
        </w:rPr>
        <w:t>货物及服务</w:t>
      </w:r>
      <w:r>
        <w:rPr>
          <w:rFonts w:hint="eastAsia" w:asciiTheme="majorEastAsia" w:hAnsiTheme="majorEastAsia" w:eastAsiaTheme="majorEastAsia" w:cstheme="majorEastAsia"/>
          <w:color w:val="auto"/>
          <w:szCs w:val="21"/>
          <w:highlight w:val="none"/>
        </w:rPr>
        <w:t>的随机备品、备件另行收费，否则在计算评标价时这部分费用将不予扣除，在授予合同时将从</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价格中扣除该部分费用。</w:t>
      </w:r>
    </w:p>
    <w:p w14:paraId="0E9EF5B6">
      <w:pPr>
        <w:shd w:val="clear" w:color="auto" w:fill="auto"/>
        <w:spacing w:line="440" w:lineRule="exact"/>
        <w:ind w:firstLine="408" w:firstLineChars="192"/>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rPr>
        <w:t>.13投标人应根据</w:t>
      </w:r>
      <w:r>
        <w:rPr>
          <w:rFonts w:hint="eastAsia" w:asciiTheme="majorEastAsia" w:hAnsiTheme="majorEastAsia" w:eastAsiaTheme="majorEastAsia" w:cstheme="majorEastAsia"/>
          <w:color w:val="auto"/>
          <w:szCs w:val="21"/>
          <w:highlight w:val="none"/>
          <w:lang w:val="en-US" w:eastAsia="zh-CN"/>
        </w:rPr>
        <w:t>服务</w:t>
      </w:r>
      <w:r>
        <w:rPr>
          <w:rFonts w:hint="eastAsia" w:asciiTheme="majorEastAsia" w:hAnsiTheme="majorEastAsia" w:eastAsiaTheme="majorEastAsia" w:cstheme="majorEastAsia"/>
          <w:color w:val="auto"/>
          <w:szCs w:val="21"/>
          <w:highlight w:val="none"/>
        </w:rPr>
        <w:t>的技术状况列出随机备品备件的清单和数量</w:t>
      </w:r>
      <w:r>
        <w:rPr>
          <w:rFonts w:hint="eastAsia" w:asciiTheme="majorEastAsia" w:hAnsiTheme="majorEastAsia" w:eastAsiaTheme="majorEastAsia" w:cstheme="majorEastAsia"/>
          <w:color w:val="auto"/>
          <w:szCs w:val="21"/>
          <w:highlight w:val="none"/>
          <w:lang w:eastAsia="zh-CN"/>
        </w:rPr>
        <w:t>（如有）</w:t>
      </w:r>
      <w:r>
        <w:rPr>
          <w:rFonts w:hint="eastAsia" w:asciiTheme="majorEastAsia" w:hAnsiTheme="majorEastAsia" w:eastAsiaTheme="majorEastAsia" w:cstheme="majorEastAsia"/>
          <w:color w:val="auto"/>
          <w:szCs w:val="21"/>
          <w:highlight w:val="none"/>
        </w:rPr>
        <w:t>，并将该备品备件价格计入总投标价，若所提供的产品无需备件，则应在投标文件中说明；无论投标人在报价中列明随机备品备件的数量及价格多少，在质保期内招标人均无需为维护维修保养所需的专用工具和备品备件另行支付费用。</w:t>
      </w:r>
    </w:p>
    <w:p w14:paraId="40D063BC">
      <w:pPr>
        <w:shd w:val="clear" w:color="auto" w:fill="auto"/>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2</w:t>
      </w:r>
      <w:r>
        <w:rPr>
          <w:rFonts w:hint="eastAsia" w:asciiTheme="majorEastAsia" w:hAnsiTheme="majorEastAsia" w:eastAsiaTheme="majorEastAsia" w:cstheme="majorEastAsia"/>
          <w:b/>
          <w:color w:val="auto"/>
          <w:szCs w:val="21"/>
          <w:highlight w:val="none"/>
          <w:lang w:val="en-US" w:eastAsia="zh-CN"/>
        </w:rPr>
        <w:t>2</w:t>
      </w:r>
      <w:r>
        <w:rPr>
          <w:rFonts w:hint="eastAsia" w:asciiTheme="majorEastAsia" w:hAnsiTheme="majorEastAsia" w:eastAsiaTheme="majorEastAsia" w:cstheme="majorEastAsia"/>
          <w:b/>
          <w:color w:val="auto"/>
          <w:szCs w:val="21"/>
          <w:highlight w:val="none"/>
        </w:rPr>
        <w:t>. 投标有效期</w:t>
      </w:r>
    </w:p>
    <w:p w14:paraId="3F9638E4">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2</w:t>
      </w:r>
      <w:r>
        <w:rPr>
          <w:rFonts w:hint="eastAsia" w:asciiTheme="majorEastAsia" w:hAnsiTheme="majorEastAsia" w:eastAsiaTheme="majorEastAsia" w:cstheme="majorEastAsia"/>
          <w:color w:val="auto"/>
          <w:szCs w:val="21"/>
          <w:highlight w:val="none"/>
        </w:rPr>
        <w:t>.1 除投标人须知前附表另有规定外，投标有效期为</w:t>
      </w:r>
      <w:r>
        <w:rPr>
          <w:rFonts w:hint="eastAsia" w:asciiTheme="majorEastAsia" w:hAnsiTheme="majorEastAsia" w:eastAsiaTheme="majorEastAsia" w:cstheme="majorEastAsia"/>
          <w:color w:val="auto"/>
          <w:szCs w:val="21"/>
          <w:highlight w:val="none"/>
          <w:u w:val="single"/>
        </w:rPr>
        <w:t>60天</w:t>
      </w:r>
      <w:r>
        <w:rPr>
          <w:rFonts w:hint="eastAsia" w:asciiTheme="majorEastAsia" w:hAnsiTheme="majorEastAsia" w:eastAsiaTheme="majorEastAsia" w:cstheme="majorEastAsia"/>
          <w:color w:val="auto"/>
          <w:szCs w:val="21"/>
          <w:highlight w:val="none"/>
        </w:rPr>
        <w:t>。</w:t>
      </w:r>
    </w:p>
    <w:p w14:paraId="397C4634">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2</w:t>
      </w:r>
      <w:r>
        <w:rPr>
          <w:rFonts w:hint="eastAsia" w:asciiTheme="majorEastAsia" w:hAnsiTheme="majorEastAsia" w:eastAsiaTheme="majorEastAsia" w:cstheme="majorEastAsia"/>
          <w:color w:val="auto"/>
          <w:szCs w:val="21"/>
          <w:highlight w:val="none"/>
        </w:rPr>
        <w:t>.2在投标有效期内，投标人撤销或修改其投标文件的，应承担</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和法律规定的责任。</w:t>
      </w:r>
    </w:p>
    <w:p w14:paraId="02292A8D">
      <w:pPr>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2</w:t>
      </w:r>
      <w:r>
        <w:rPr>
          <w:rFonts w:hint="eastAsia" w:asciiTheme="majorEastAsia" w:hAnsiTheme="majorEastAsia" w:eastAsiaTheme="majorEastAsia" w:cstheme="majorEastAsia"/>
          <w:color w:val="auto"/>
          <w:szCs w:val="21"/>
          <w:highlight w:val="none"/>
        </w:rPr>
        <w:t>.3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5854C729">
      <w:pPr>
        <w:shd w:val="clear" w:color="auto" w:fill="auto"/>
        <w:spacing w:line="440" w:lineRule="exac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rPr>
        <w:t>2</w:t>
      </w:r>
      <w:r>
        <w:rPr>
          <w:rFonts w:hint="eastAsia" w:asciiTheme="majorEastAsia" w:hAnsiTheme="majorEastAsia" w:eastAsiaTheme="majorEastAsia" w:cstheme="majorEastAsia"/>
          <w:b/>
          <w:color w:val="auto"/>
          <w:szCs w:val="21"/>
          <w:highlight w:val="none"/>
          <w:lang w:val="en-US" w:eastAsia="zh-CN"/>
        </w:rPr>
        <w:t>3</w:t>
      </w:r>
      <w:r>
        <w:rPr>
          <w:rFonts w:hint="eastAsia" w:asciiTheme="majorEastAsia" w:hAnsiTheme="majorEastAsia" w:eastAsiaTheme="majorEastAsia" w:cstheme="majorEastAsia"/>
          <w:b/>
          <w:color w:val="auto"/>
          <w:szCs w:val="21"/>
          <w:highlight w:val="none"/>
        </w:rPr>
        <w:t>. 投标保证金</w:t>
      </w:r>
    </w:p>
    <w:p w14:paraId="4A9DBF32">
      <w:pPr>
        <w:shd w:val="clear" w:color="auto" w:fill="auto"/>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3</w:t>
      </w:r>
      <w:r>
        <w:rPr>
          <w:rFonts w:hint="eastAsia" w:asciiTheme="majorEastAsia" w:hAnsiTheme="majorEastAsia" w:eastAsiaTheme="majorEastAsia" w:cstheme="majorEastAsia"/>
          <w:color w:val="auto"/>
          <w:szCs w:val="21"/>
          <w:highlight w:val="none"/>
        </w:rPr>
        <w:t>.1投标人须知前附表规定递交投标保证金的，投标人在递交投标文件的同时，应按投标人须知前附表规定的金额、担保形式和第六章“投标文件格式”规定的投标保证金格式递交投标保证金，并作为其投标文件的组成部分。投标人不按要求提交投标保证金的，</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将否决其投标。</w:t>
      </w:r>
    </w:p>
    <w:p w14:paraId="3214AB6D">
      <w:pPr>
        <w:shd w:val="clear" w:color="auto" w:fill="auto"/>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3</w:t>
      </w:r>
      <w:r>
        <w:rPr>
          <w:rFonts w:hint="eastAsia" w:asciiTheme="majorEastAsia" w:hAnsiTheme="majorEastAsia" w:eastAsiaTheme="majorEastAsia" w:cstheme="majorEastAsia"/>
          <w:color w:val="auto"/>
          <w:szCs w:val="21"/>
          <w:highlight w:val="none"/>
        </w:rPr>
        <w:t>.2自</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通知书发出之日起5个工作日内退还未</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投标人的投标保证金，自政府采购合同签订之日起5个工作日内退还</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人的投标保证金。</w:t>
      </w:r>
    </w:p>
    <w:p w14:paraId="3ACB9013">
      <w:pPr>
        <w:shd w:val="clear" w:color="auto" w:fill="auto"/>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3</w:t>
      </w:r>
      <w:r>
        <w:rPr>
          <w:rFonts w:hint="eastAsia" w:asciiTheme="majorEastAsia" w:hAnsiTheme="majorEastAsia" w:eastAsiaTheme="majorEastAsia" w:cstheme="majorEastAsia"/>
          <w:color w:val="auto"/>
          <w:szCs w:val="21"/>
          <w:highlight w:val="none"/>
        </w:rPr>
        <w:t xml:space="preserve">.3有下列情形之一的，投标保证金将不予退还： </w:t>
      </w:r>
    </w:p>
    <w:p w14:paraId="37208C8E">
      <w:pPr>
        <w:shd w:val="clear" w:color="auto" w:fill="auto"/>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（1）投标人在规定的投标有效期内撤回或修改其投标文件；</w:t>
      </w:r>
    </w:p>
    <w:p w14:paraId="58303432">
      <w:pPr>
        <w:shd w:val="clear" w:color="auto" w:fill="auto"/>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通知书发出后三十天内，</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人无正当理由拒签合同协议书或未按</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规定提交履约担保。</w:t>
      </w:r>
    </w:p>
    <w:p w14:paraId="2F341195">
      <w:pPr>
        <w:shd w:val="clear" w:color="auto" w:fill="auto"/>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（3）提供虚假材料谋取</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的；</w:t>
      </w:r>
    </w:p>
    <w:p w14:paraId="3CB3057B">
      <w:pPr>
        <w:shd w:val="clear" w:color="auto" w:fill="auto"/>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（4）经查实属于陪标、串通投标的等。</w:t>
      </w:r>
    </w:p>
    <w:p w14:paraId="31B18292">
      <w:pPr>
        <w:shd w:val="clear" w:color="auto" w:fill="auto"/>
        <w:spacing w:line="400" w:lineRule="exact"/>
        <w:ind w:firstLine="426" w:firstLineChars="200"/>
        <w:rPr>
          <w:rFonts w:hint="eastAsia" w:asciiTheme="majorEastAsia" w:hAnsiTheme="majorEastAsia" w:eastAsiaTheme="majorEastAsia" w:cstheme="majorEastAsia"/>
          <w:color w:val="auto"/>
          <w:szCs w:val="21"/>
          <w:highlight w:val="none"/>
        </w:rPr>
      </w:pPr>
      <w:bookmarkStart w:id="20" w:name="_Toc469495727"/>
      <w:r>
        <w:rPr>
          <w:rFonts w:hint="eastAsia" w:asciiTheme="majorEastAsia" w:hAnsiTheme="majorEastAsia" w:eastAsiaTheme="majorEastAsia" w:cstheme="majorEastAsia"/>
          <w:color w:val="auto"/>
          <w:szCs w:val="21"/>
          <w:highlight w:val="none"/>
        </w:rPr>
        <w:t>2</w:t>
      </w:r>
      <w:r>
        <w:rPr>
          <w:rFonts w:hint="eastAsia" w:asciiTheme="majorEastAsia" w:hAnsiTheme="majorEastAsia" w:eastAsiaTheme="majorEastAsia" w:cstheme="majorEastAsia"/>
          <w:color w:val="auto"/>
          <w:szCs w:val="21"/>
          <w:highlight w:val="none"/>
          <w:lang w:val="en-US" w:eastAsia="zh-CN"/>
        </w:rPr>
        <w:t>3</w:t>
      </w:r>
      <w:r>
        <w:rPr>
          <w:rFonts w:hint="eastAsia" w:asciiTheme="majorEastAsia" w:hAnsiTheme="majorEastAsia" w:eastAsiaTheme="majorEastAsia" w:cstheme="majorEastAsia"/>
          <w:color w:val="auto"/>
          <w:szCs w:val="21"/>
          <w:highlight w:val="none"/>
        </w:rPr>
        <w:t>.4投标保证金按</w:t>
      </w:r>
      <w:r>
        <w:rPr>
          <w:rFonts w:hint="eastAsia" w:asciiTheme="majorEastAsia" w:hAnsiTheme="majorEastAsia" w:eastAsiaTheme="majorEastAsia" w:cstheme="majorEastAsia"/>
          <w:color w:val="auto"/>
          <w:szCs w:val="21"/>
          <w:highlight w:val="none"/>
          <w:lang w:eastAsia="zh-CN"/>
        </w:rPr>
        <w:t>投标人须知前附表第</w:t>
      </w:r>
      <w:r>
        <w:rPr>
          <w:rFonts w:hint="eastAsia" w:asciiTheme="majorEastAsia" w:hAnsiTheme="majorEastAsia" w:eastAsiaTheme="majorEastAsia" w:cstheme="majorEastAsia"/>
          <w:color w:val="auto"/>
          <w:szCs w:val="21"/>
          <w:highlight w:val="none"/>
          <w:lang w:val="en-US" w:eastAsia="zh-CN"/>
        </w:rPr>
        <w:t>16条</w:t>
      </w:r>
      <w:r>
        <w:rPr>
          <w:rFonts w:hint="eastAsia" w:asciiTheme="majorEastAsia" w:hAnsiTheme="majorEastAsia" w:eastAsiaTheme="majorEastAsia" w:cstheme="majorEastAsia"/>
          <w:color w:val="auto"/>
          <w:szCs w:val="21"/>
          <w:highlight w:val="none"/>
        </w:rPr>
        <w:t>规定执行。</w:t>
      </w:r>
    </w:p>
    <w:p w14:paraId="0EA00FE4">
      <w:pPr>
        <w:pStyle w:val="2"/>
        <w:shd w:val="clear" w:color="auto" w:fill="auto"/>
        <w:bidi w:val="0"/>
        <w:jc w:val="center"/>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（四）</w:t>
      </w:r>
      <w:bookmarkEnd w:id="20"/>
      <w:r>
        <w:rPr>
          <w:rFonts w:hint="eastAsia" w:asciiTheme="majorEastAsia" w:hAnsiTheme="majorEastAsia" w:eastAsiaTheme="majorEastAsia" w:cstheme="majorEastAsia"/>
          <w:color w:val="auto"/>
          <w:sz w:val="28"/>
          <w:szCs w:val="28"/>
          <w:highlight w:val="none"/>
        </w:rPr>
        <w:t>投标文件的制作、上传及递交要求</w:t>
      </w:r>
    </w:p>
    <w:p w14:paraId="1C360ECB">
      <w:pPr>
        <w:shd w:val="clear" w:color="auto" w:fill="auto"/>
        <w:snapToGrid w:val="0"/>
        <w:spacing w:line="360" w:lineRule="auto"/>
        <w:rPr>
          <w:rFonts w:hint="eastAsia" w:asciiTheme="majorEastAsia" w:hAnsiTheme="majorEastAsia" w:eastAsiaTheme="majorEastAsia" w:cstheme="majorEastAsia"/>
          <w:b/>
          <w:color w:val="auto"/>
          <w:sz w:val="21"/>
          <w:szCs w:val="21"/>
          <w:highlight w:val="none"/>
        </w:rPr>
      </w:pPr>
      <w:r>
        <w:rPr>
          <w:rFonts w:hint="eastAsia" w:asciiTheme="majorEastAsia" w:hAnsiTheme="majorEastAsia" w:eastAsiaTheme="majorEastAsia" w:cstheme="majorEastAsia"/>
          <w:b/>
          <w:bCs/>
          <w:color w:val="auto"/>
          <w:sz w:val="21"/>
          <w:szCs w:val="21"/>
          <w:highlight w:val="none"/>
          <w:lang w:val="en-US" w:eastAsia="zh-CN"/>
        </w:rPr>
        <w:t>24.</w:t>
      </w:r>
      <w:r>
        <w:rPr>
          <w:rFonts w:hint="eastAsia" w:asciiTheme="majorEastAsia" w:hAnsiTheme="majorEastAsia" w:eastAsiaTheme="majorEastAsia" w:cstheme="majorEastAsia"/>
          <w:b/>
          <w:bCs/>
          <w:color w:val="auto"/>
          <w:sz w:val="21"/>
          <w:szCs w:val="21"/>
          <w:highlight w:val="none"/>
        </w:rPr>
        <w:t>投标文件的制作要求</w:t>
      </w:r>
    </w:p>
    <w:p w14:paraId="56653E25">
      <w:pPr>
        <w:pStyle w:val="6"/>
        <w:shd w:val="clear" w:color="auto" w:fill="auto"/>
        <w:snapToGrid w:val="0"/>
        <w:spacing w:line="360" w:lineRule="auto"/>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val="0"/>
          <w:bCs/>
          <w:color w:val="auto"/>
          <w:sz w:val="21"/>
          <w:szCs w:val="21"/>
          <w:highlight w:val="none"/>
        </w:rPr>
        <w:t>（1）供应商应按照投标文件组成内容及项目招标需求和</w:t>
      </w:r>
      <w:r>
        <w:rPr>
          <w:rFonts w:hint="eastAsia" w:asciiTheme="majorEastAsia" w:hAnsiTheme="majorEastAsia" w:eastAsiaTheme="majorEastAsia" w:cstheme="majorEastAsia"/>
          <w:b w:val="0"/>
          <w:bCs/>
          <w:color w:val="auto"/>
          <w:sz w:val="21"/>
          <w:szCs w:val="21"/>
          <w:highlight w:val="none"/>
          <w:lang w:eastAsia="zh-CN"/>
        </w:rPr>
        <w:t>新疆</w:t>
      </w:r>
      <w:r>
        <w:rPr>
          <w:rFonts w:hint="eastAsia" w:asciiTheme="majorEastAsia" w:hAnsiTheme="majorEastAsia" w:eastAsiaTheme="majorEastAsia" w:cstheme="majorEastAsia"/>
          <w:b w:val="0"/>
          <w:bCs/>
          <w:color w:val="auto"/>
          <w:sz w:val="21"/>
          <w:szCs w:val="21"/>
          <w:highlight w:val="none"/>
        </w:rPr>
        <w:t>政府采购云平台要求制作投标文件，不按采购文件和</w:t>
      </w:r>
      <w:r>
        <w:rPr>
          <w:rFonts w:hint="eastAsia" w:asciiTheme="majorEastAsia" w:hAnsiTheme="majorEastAsia" w:eastAsiaTheme="majorEastAsia" w:cstheme="majorEastAsia"/>
          <w:b w:val="0"/>
          <w:bCs/>
          <w:color w:val="auto"/>
          <w:sz w:val="21"/>
          <w:szCs w:val="21"/>
          <w:highlight w:val="none"/>
          <w:lang w:eastAsia="zh-CN"/>
        </w:rPr>
        <w:t>新疆</w:t>
      </w:r>
      <w:r>
        <w:rPr>
          <w:rFonts w:hint="eastAsia" w:asciiTheme="majorEastAsia" w:hAnsiTheme="majorEastAsia" w:eastAsiaTheme="majorEastAsia" w:cstheme="majorEastAsia"/>
          <w:b w:val="0"/>
          <w:bCs/>
          <w:color w:val="auto"/>
          <w:sz w:val="21"/>
          <w:szCs w:val="21"/>
          <w:highlight w:val="none"/>
        </w:rPr>
        <w:t>政府采购云平台要求制作投标文件的将视情况处理（拒收等），由此产生的责任由供应商自行承担。</w:t>
      </w:r>
    </w:p>
    <w:p w14:paraId="619F4CA1">
      <w:pPr>
        <w:pStyle w:val="6"/>
        <w:shd w:val="clear" w:color="auto" w:fill="auto"/>
        <w:snapToGrid w:val="0"/>
        <w:spacing w:line="360" w:lineRule="auto"/>
        <w:ind w:firstLine="426" w:firstLineChars="200"/>
        <w:rPr>
          <w:rFonts w:hint="eastAsia" w:asciiTheme="majorEastAsia" w:hAnsiTheme="majorEastAsia" w:eastAsiaTheme="majorEastAsia" w:cstheme="majorEastAsia"/>
          <w:b w:val="0"/>
          <w:color w:val="auto"/>
          <w:sz w:val="21"/>
          <w:szCs w:val="21"/>
          <w:highlight w:val="none"/>
        </w:rPr>
      </w:pPr>
      <w:r>
        <w:rPr>
          <w:rFonts w:hint="eastAsia" w:asciiTheme="majorEastAsia" w:hAnsiTheme="majorEastAsia" w:eastAsiaTheme="majorEastAsia" w:cstheme="majorEastAsia"/>
          <w:bCs/>
          <w:color w:val="auto"/>
          <w:sz w:val="21"/>
          <w:szCs w:val="21"/>
          <w:highlight w:val="none"/>
        </w:rPr>
        <w:t>电子投标文件部分：供应商应根据“政采云供应商项目采购-电子招投标操作指南”及本采购文件规定的格式和顺序编制电子投标文件并进行关联定位。本文件《第六章 投标文件格式》中有提供格式的，供应商应按照格式进行编制（格式中要求提供相关证明材料的还需后附相关证明材料），并按格式要求在指定位置根据要求进行签章，否则视为未提供；本文件《第六章投标文件格式》未提供格式的，请供应商自行拟定格式，并加盖单位公章，否则视为未提供。</w:t>
      </w:r>
    </w:p>
    <w:p w14:paraId="2B2B5AF8">
      <w:pPr>
        <w:pStyle w:val="6"/>
        <w:shd w:val="clear" w:color="auto" w:fill="auto"/>
        <w:snapToGrid w:val="0"/>
        <w:spacing w:line="360" w:lineRule="auto"/>
        <w:ind w:firstLine="426" w:firstLineChars="200"/>
        <w:rPr>
          <w:rFonts w:hint="eastAsia" w:asciiTheme="majorEastAsia" w:hAnsiTheme="majorEastAsia" w:eastAsiaTheme="majorEastAsia" w:cstheme="majorEastAsia"/>
          <w:b w:val="0"/>
          <w:bCs/>
          <w:color w:val="auto"/>
          <w:sz w:val="21"/>
          <w:szCs w:val="21"/>
          <w:highlight w:val="none"/>
        </w:rPr>
      </w:pPr>
      <w:r>
        <w:rPr>
          <w:rFonts w:hint="eastAsia" w:asciiTheme="majorEastAsia" w:hAnsiTheme="majorEastAsia" w:eastAsiaTheme="majorEastAsia" w:cstheme="majorEastAsia"/>
          <w:b w:val="0"/>
          <w:bCs/>
          <w:color w:val="auto"/>
          <w:sz w:val="21"/>
          <w:szCs w:val="21"/>
          <w:highlight w:val="none"/>
        </w:rPr>
        <w:t>备份电子投标文件：通过“政采云”平台电子投标工具制作投标文件所产生的备份文件。</w:t>
      </w:r>
    </w:p>
    <w:p w14:paraId="01F923A3">
      <w:pPr>
        <w:pStyle w:val="6"/>
        <w:shd w:val="clear" w:color="auto" w:fill="auto"/>
        <w:snapToGrid w:val="0"/>
        <w:spacing w:line="360" w:lineRule="auto"/>
        <w:rPr>
          <w:rFonts w:hint="eastAsia" w:asciiTheme="majorEastAsia" w:hAnsiTheme="majorEastAsia" w:eastAsiaTheme="majorEastAsia" w:cstheme="majorEastAsia"/>
          <w:b w:val="0"/>
          <w:bCs/>
          <w:color w:val="auto"/>
          <w:sz w:val="21"/>
          <w:szCs w:val="21"/>
          <w:highlight w:val="none"/>
        </w:rPr>
      </w:pPr>
      <w:r>
        <w:rPr>
          <w:rFonts w:hint="eastAsia" w:asciiTheme="majorEastAsia" w:hAnsiTheme="majorEastAsia" w:eastAsiaTheme="majorEastAsia" w:cstheme="majorEastAsia"/>
          <w:b w:val="0"/>
          <w:bCs/>
          <w:color w:val="auto"/>
          <w:sz w:val="21"/>
          <w:szCs w:val="21"/>
          <w:highlight w:val="none"/>
        </w:rPr>
        <w:t>（2）供应商应对所提供的全部资料的真实性、有效性承担法律责任，电子投标文件中所须加盖公章部分均采用CA签章。</w:t>
      </w:r>
    </w:p>
    <w:p w14:paraId="64424061">
      <w:pPr>
        <w:pStyle w:val="6"/>
        <w:shd w:val="clear" w:color="auto" w:fill="auto"/>
        <w:snapToGrid w:val="0"/>
        <w:spacing w:line="360" w:lineRule="auto"/>
        <w:rPr>
          <w:rFonts w:hint="eastAsia" w:asciiTheme="majorEastAsia" w:hAnsiTheme="majorEastAsia" w:eastAsiaTheme="majorEastAsia" w:cstheme="majorEastAsia"/>
          <w:b w:val="0"/>
          <w:bCs/>
          <w:color w:val="auto"/>
          <w:sz w:val="21"/>
          <w:szCs w:val="21"/>
          <w:highlight w:val="none"/>
        </w:rPr>
      </w:pPr>
      <w:r>
        <w:rPr>
          <w:rFonts w:hint="eastAsia" w:asciiTheme="majorEastAsia" w:hAnsiTheme="majorEastAsia" w:eastAsiaTheme="majorEastAsia" w:cstheme="majorEastAsia"/>
          <w:b w:val="0"/>
          <w:bCs/>
          <w:color w:val="auto"/>
          <w:sz w:val="21"/>
          <w:szCs w:val="21"/>
          <w:highlight w:val="none"/>
        </w:rPr>
        <w:t>（3）投标文件以及供应商与采购组织机构就有关投标事宜的所有来往函电，均应以中文汉语书写。除签字、盖章、专用名称等特殊情形外，以中文汉语以外的文字表述的投标文件视同未提供。</w:t>
      </w:r>
    </w:p>
    <w:p w14:paraId="29B46949">
      <w:pPr>
        <w:pStyle w:val="6"/>
        <w:shd w:val="clear" w:color="auto" w:fill="auto"/>
        <w:snapToGrid w:val="0"/>
        <w:spacing w:line="360" w:lineRule="auto"/>
        <w:rPr>
          <w:rFonts w:hint="eastAsia" w:asciiTheme="majorEastAsia" w:hAnsiTheme="majorEastAsia" w:eastAsiaTheme="majorEastAsia" w:cstheme="majorEastAsia"/>
          <w:b w:val="0"/>
          <w:bCs/>
          <w:color w:val="auto"/>
          <w:sz w:val="21"/>
          <w:szCs w:val="21"/>
          <w:highlight w:val="none"/>
        </w:rPr>
      </w:pPr>
      <w:r>
        <w:rPr>
          <w:rFonts w:hint="eastAsia" w:asciiTheme="majorEastAsia" w:hAnsiTheme="majorEastAsia" w:eastAsiaTheme="majorEastAsia" w:cstheme="majorEastAsia"/>
          <w:b w:val="0"/>
          <w:bCs/>
          <w:color w:val="auto"/>
          <w:sz w:val="21"/>
          <w:szCs w:val="21"/>
          <w:highlight w:val="none"/>
        </w:rPr>
        <w:t>（4）投标计量单位，采购文件已有明确规定的，使用采购文件规定的计量单位；采购文件没有规定的，应采用中华人民共和国法定计量单位（货币单位：人民币元）。</w:t>
      </w:r>
    </w:p>
    <w:p w14:paraId="141E72C1">
      <w:pPr>
        <w:pStyle w:val="6"/>
        <w:shd w:val="clear" w:color="auto" w:fill="auto"/>
        <w:snapToGrid w:val="0"/>
        <w:spacing w:line="360" w:lineRule="auto"/>
        <w:rPr>
          <w:rFonts w:hint="eastAsia" w:asciiTheme="majorEastAsia" w:hAnsiTheme="majorEastAsia" w:eastAsiaTheme="majorEastAsia" w:cstheme="majorEastAsia"/>
          <w:b w:val="0"/>
          <w:bCs/>
          <w:color w:val="auto"/>
          <w:sz w:val="21"/>
          <w:szCs w:val="21"/>
          <w:highlight w:val="none"/>
        </w:rPr>
      </w:pPr>
      <w:r>
        <w:rPr>
          <w:rFonts w:hint="eastAsia" w:asciiTheme="majorEastAsia" w:hAnsiTheme="majorEastAsia" w:eastAsiaTheme="majorEastAsia" w:cstheme="majorEastAsia"/>
          <w:b w:val="0"/>
          <w:bCs/>
          <w:color w:val="auto"/>
          <w:sz w:val="21"/>
          <w:szCs w:val="21"/>
          <w:highlight w:val="none"/>
        </w:rPr>
        <w:t>（5）若供应商不按采购文件的要求提供资格审查材料，其风险由供应商自行承担。</w:t>
      </w:r>
    </w:p>
    <w:p w14:paraId="58EBD0AF">
      <w:pPr>
        <w:pStyle w:val="6"/>
        <w:shd w:val="clear" w:color="auto" w:fill="auto"/>
        <w:snapToGrid w:val="0"/>
        <w:spacing w:line="360" w:lineRule="auto"/>
        <w:rPr>
          <w:rFonts w:hint="eastAsia" w:asciiTheme="majorEastAsia" w:hAnsiTheme="majorEastAsia" w:eastAsiaTheme="majorEastAsia" w:cstheme="majorEastAsia"/>
          <w:b w:val="0"/>
          <w:bCs/>
          <w:color w:val="auto"/>
          <w:sz w:val="21"/>
          <w:szCs w:val="21"/>
          <w:highlight w:val="none"/>
        </w:rPr>
      </w:pPr>
      <w:r>
        <w:rPr>
          <w:rFonts w:hint="eastAsia" w:asciiTheme="majorEastAsia" w:hAnsiTheme="majorEastAsia" w:eastAsiaTheme="majorEastAsia" w:cstheme="majorEastAsia"/>
          <w:b w:val="0"/>
          <w:bCs/>
          <w:color w:val="auto"/>
          <w:sz w:val="21"/>
          <w:szCs w:val="21"/>
          <w:highlight w:val="none"/>
        </w:rPr>
        <w:t>（6）与本次投标无关的内容请不要制作在内，确保投标文件有针对性、简洁明了。</w:t>
      </w:r>
    </w:p>
    <w:p w14:paraId="721CE666">
      <w:pPr>
        <w:shd w:val="clear" w:color="auto" w:fill="auto"/>
        <w:snapToGrid w:val="0"/>
        <w:spacing w:line="360" w:lineRule="auto"/>
        <w:rPr>
          <w:rFonts w:hint="eastAsia" w:asciiTheme="majorEastAsia" w:hAnsiTheme="majorEastAsia" w:eastAsiaTheme="majorEastAsia" w:cstheme="majorEastAsia"/>
          <w:b/>
          <w:color w:val="auto"/>
          <w:sz w:val="21"/>
          <w:szCs w:val="21"/>
          <w:highlight w:val="none"/>
        </w:rPr>
      </w:pPr>
      <w:r>
        <w:rPr>
          <w:rFonts w:hint="eastAsia" w:asciiTheme="majorEastAsia" w:hAnsiTheme="majorEastAsia" w:eastAsiaTheme="majorEastAsia" w:cstheme="majorEastAsia"/>
          <w:b/>
          <w:bCs/>
          <w:color w:val="auto"/>
          <w:sz w:val="21"/>
          <w:szCs w:val="21"/>
          <w:highlight w:val="none"/>
          <w:lang w:val="en-US" w:eastAsia="zh-CN"/>
        </w:rPr>
        <w:t>25.</w:t>
      </w:r>
      <w:r>
        <w:rPr>
          <w:rFonts w:hint="eastAsia" w:asciiTheme="majorEastAsia" w:hAnsiTheme="majorEastAsia" w:eastAsiaTheme="majorEastAsia" w:cstheme="majorEastAsia"/>
          <w:b/>
          <w:bCs/>
          <w:color w:val="auto"/>
          <w:sz w:val="21"/>
          <w:szCs w:val="21"/>
          <w:highlight w:val="none"/>
        </w:rPr>
        <w:t>投标文件的上传</w:t>
      </w:r>
    </w:p>
    <w:p w14:paraId="6371E8CA">
      <w:pPr>
        <w:pStyle w:val="6"/>
        <w:shd w:val="clear" w:color="auto" w:fill="auto"/>
        <w:snapToGrid w:val="0"/>
        <w:spacing w:line="360" w:lineRule="auto"/>
        <w:rPr>
          <w:rFonts w:hint="eastAsia" w:asciiTheme="majorEastAsia" w:hAnsiTheme="majorEastAsia" w:eastAsiaTheme="majorEastAsia" w:cstheme="majorEastAsia"/>
          <w:b/>
          <w:bCs/>
          <w:color w:val="auto"/>
          <w:sz w:val="21"/>
          <w:szCs w:val="21"/>
          <w:highlight w:val="none"/>
        </w:rPr>
      </w:pPr>
      <w:r>
        <w:rPr>
          <w:rFonts w:hint="eastAsia" w:asciiTheme="majorEastAsia" w:hAnsiTheme="majorEastAsia" w:eastAsiaTheme="majorEastAsia" w:cstheme="majorEastAsia"/>
          <w:b/>
          <w:bCs/>
          <w:color w:val="auto"/>
          <w:sz w:val="21"/>
          <w:szCs w:val="21"/>
          <w:highlight w:val="none"/>
        </w:rPr>
        <w:t>（1）</w:t>
      </w:r>
      <w:r>
        <w:rPr>
          <w:rFonts w:hint="eastAsia" w:asciiTheme="majorEastAsia" w:hAnsiTheme="majorEastAsia" w:eastAsiaTheme="majorEastAsia" w:cstheme="majorEastAsia"/>
          <w:b/>
          <w:bCs/>
          <w:color w:val="auto"/>
          <w:sz w:val="21"/>
          <w:szCs w:val="21"/>
          <w:highlight w:val="none"/>
          <w:lang w:bidi="zh-CN"/>
        </w:rPr>
        <w:t>电子加密投标文件（“.jmbs”格式）</w:t>
      </w:r>
      <w:r>
        <w:rPr>
          <w:rFonts w:hint="eastAsia" w:asciiTheme="majorEastAsia" w:hAnsiTheme="majorEastAsia" w:eastAsiaTheme="majorEastAsia" w:cstheme="majorEastAsia"/>
          <w:b/>
          <w:bCs/>
          <w:color w:val="auto"/>
          <w:sz w:val="21"/>
          <w:szCs w:val="21"/>
          <w:highlight w:val="none"/>
        </w:rPr>
        <w:t>：</w:t>
      </w:r>
    </w:p>
    <w:p w14:paraId="5F1243F6">
      <w:pPr>
        <w:pStyle w:val="6"/>
        <w:shd w:val="clear" w:color="auto" w:fill="auto"/>
        <w:snapToGrid w:val="0"/>
        <w:spacing w:line="360" w:lineRule="auto"/>
        <w:ind w:firstLine="532" w:firstLineChars="250"/>
        <w:rPr>
          <w:rFonts w:hint="eastAsia" w:asciiTheme="majorEastAsia" w:hAnsiTheme="majorEastAsia" w:eastAsiaTheme="majorEastAsia" w:cstheme="majorEastAsia"/>
          <w:b w:val="0"/>
          <w:bCs/>
          <w:color w:val="auto"/>
          <w:sz w:val="21"/>
          <w:szCs w:val="21"/>
          <w:highlight w:val="none"/>
          <w:lang w:bidi="zh-CN"/>
        </w:rPr>
      </w:pPr>
      <w:r>
        <w:rPr>
          <w:rFonts w:hint="eastAsia" w:asciiTheme="majorEastAsia" w:hAnsiTheme="majorEastAsia" w:eastAsiaTheme="majorEastAsia" w:cstheme="majorEastAsia"/>
          <w:b w:val="0"/>
          <w:bCs/>
          <w:color w:val="auto"/>
          <w:sz w:val="21"/>
          <w:szCs w:val="21"/>
          <w:highlight w:val="none"/>
          <w:lang w:bidi="zh-CN"/>
        </w:rPr>
        <w:t>a.</w:t>
      </w:r>
      <w:r>
        <w:rPr>
          <w:rFonts w:hint="eastAsia" w:asciiTheme="majorEastAsia" w:hAnsiTheme="majorEastAsia" w:eastAsiaTheme="majorEastAsia" w:cstheme="majorEastAsia"/>
          <w:b w:val="0"/>
          <w:bCs/>
          <w:color w:val="auto"/>
          <w:kern w:val="0"/>
          <w:sz w:val="21"/>
          <w:szCs w:val="21"/>
          <w:highlight w:val="none"/>
        </w:rPr>
        <w:t xml:space="preserve"> </w:t>
      </w:r>
      <w:r>
        <w:rPr>
          <w:rFonts w:hint="eastAsia" w:asciiTheme="majorEastAsia" w:hAnsiTheme="majorEastAsia" w:eastAsiaTheme="majorEastAsia" w:cstheme="majorEastAsia"/>
          <w:b w:val="0"/>
          <w:bCs/>
          <w:color w:val="auto"/>
          <w:sz w:val="21"/>
          <w:szCs w:val="21"/>
          <w:highlight w:val="none"/>
          <w:lang w:bidi="zh-CN"/>
        </w:rPr>
        <w:t>供应商应在投标截止时间前将电子加密投标文件成功上传递交至新疆政府采购云平台，否则投标无效；</w:t>
      </w:r>
    </w:p>
    <w:p w14:paraId="00041DCF">
      <w:pPr>
        <w:pStyle w:val="6"/>
        <w:shd w:val="clear" w:color="auto" w:fill="auto"/>
        <w:snapToGrid w:val="0"/>
        <w:spacing w:line="360" w:lineRule="auto"/>
        <w:ind w:firstLine="532" w:firstLineChars="250"/>
        <w:rPr>
          <w:rFonts w:hint="eastAsia" w:asciiTheme="majorEastAsia" w:hAnsiTheme="majorEastAsia" w:eastAsiaTheme="majorEastAsia" w:cstheme="majorEastAsia"/>
          <w:b w:val="0"/>
          <w:bCs/>
          <w:color w:val="auto"/>
          <w:sz w:val="21"/>
          <w:szCs w:val="21"/>
          <w:highlight w:val="none"/>
        </w:rPr>
      </w:pPr>
      <w:r>
        <w:rPr>
          <w:rFonts w:hint="eastAsia" w:asciiTheme="majorEastAsia" w:hAnsiTheme="majorEastAsia" w:eastAsiaTheme="majorEastAsia" w:cstheme="majorEastAsia"/>
          <w:b w:val="0"/>
          <w:bCs/>
          <w:color w:val="auto"/>
          <w:sz w:val="21"/>
          <w:szCs w:val="21"/>
          <w:highlight w:val="none"/>
          <w:lang w:bidi="zh-CN"/>
        </w:rPr>
        <w:t>b.供应商成功上传电子加密投标文件后，可自行打印投标文件接收回执。</w:t>
      </w:r>
    </w:p>
    <w:p w14:paraId="2F2B2910">
      <w:pPr>
        <w:pStyle w:val="6"/>
        <w:shd w:val="clear" w:color="auto" w:fill="auto"/>
        <w:snapToGrid w:val="0"/>
        <w:spacing w:line="360" w:lineRule="auto"/>
        <w:rPr>
          <w:rFonts w:hint="eastAsia" w:asciiTheme="majorEastAsia" w:hAnsiTheme="majorEastAsia" w:eastAsiaTheme="majorEastAsia" w:cstheme="majorEastAsia"/>
          <w:b/>
          <w:bCs/>
          <w:color w:val="auto"/>
          <w:sz w:val="21"/>
          <w:szCs w:val="21"/>
          <w:highlight w:val="none"/>
          <w:lang w:bidi="zh-CN"/>
        </w:rPr>
      </w:pPr>
      <w:r>
        <w:rPr>
          <w:rFonts w:hint="eastAsia" w:asciiTheme="majorEastAsia" w:hAnsiTheme="majorEastAsia" w:eastAsiaTheme="majorEastAsia" w:cstheme="majorEastAsia"/>
          <w:b/>
          <w:bCs/>
          <w:color w:val="auto"/>
          <w:sz w:val="21"/>
          <w:szCs w:val="21"/>
          <w:highlight w:val="none"/>
        </w:rPr>
        <w:t>（2）</w:t>
      </w:r>
      <w:r>
        <w:rPr>
          <w:rFonts w:hint="eastAsia" w:asciiTheme="majorEastAsia" w:hAnsiTheme="majorEastAsia" w:eastAsiaTheme="majorEastAsia" w:cstheme="majorEastAsia"/>
          <w:b/>
          <w:bCs/>
          <w:color w:val="auto"/>
          <w:sz w:val="21"/>
          <w:szCs w:val="21"/>
          <w:highlight w:val="none"/>
          <w:lang w:bidi="zh-CN"/>
        </w:rPr>
        <w:t>备份投标文件（“.bfbs”格式）：</w:t>
      </w:r>
    </w:p>
    <w:p w14:paraId="29FF24B7">
      <w:pPr>
        <w:pStyle w:val="6"/>
        <w:shd w:val="clear" w:color="auto" w:fill="auto"/>
        <w:snapToGrid w:val="0"/>
        <w:spacing w:line="360" w:lineRule="auto"/>
        <w:ind w:firstLine="532" w:firstLineChars="250"/>
        <w:rPr>
          <w:rFonts w:hint="eastAsia" w:asciiTheme="majorEastAsia" w:hAnsiTheme="majorEastAsia" w:eastAsiaTheme="majorEastAsia" w:cstheme="majorEastAsia"/>
          <w:color w:val="auto"/>
          <w:sz w:val="21"/>
          <w:szCs w:val="21"/>
          <w:highlight w:val="none"/>
          <w:lang w:val="en-US" w:bidi="zh-CN"/>
        </w:rPr>
      </w:pPr>
      <w:r>
        <w:rPr>
          <w:rFonts w:hint="eastAsia" w:asciiTheme="majorEastAsia" w:hAnsiTheme="majorEastAsia" w:eastAsiaTheme="majorEastAsia" w:cstheme="majorEastAsia"/>
          <w:b w:val="0"/>
          <w:bCs/>
          <w:color w:val="auto"/>
          <w:sz w:val="21"/>
          <w:szCs w:val="21"/>
          <w:highlight w:val="none"/>
          <w:lang w:bidi="zh-CN"/>
        </w:rPr>
        <w:t>a.供应商可以将备份投标文件打包压缩并加密，压缩包命名为“XX单位备份投标文件”，加密密码由供应商自行保管；送达时间以采购代理机构实际接收时间为准。</w:t>
      </w:r>
      <w:r>
        <w:rPr>
          <w:rFonts w:hint="eastAsia" w:asciiTheme="majorEastAsia" w:hAnsiTheme="majorEastAsia" w:eastAsiaTheme="majorEastAsia" w:cstheme="majorEastAsia"/>
          <w:color w:val="auto"/>
          <w:sz w:val="21"/>
          <w:szCs w:val="21"/>
          <w:highlight w:val="none"/>
          <w:lang w:bidi="zh-CN"/>
        </w:rPr>
        <w:t>“备份投标文件”以投标截止时间前指定接收邮箱最终收到的文件为准，逾期或未按要求提供的视为未提供，建议供应商提前1日办理邮件提供事宜</w:t>
      </w:r>
      <w:r>
        <w:rPr>
          <w:rFonts w:hint="eastAsia" w:asciiTheme="majorEastAsia" w:hAnsiTheme="majorEastAsia" w:eastAsiaTheme="majorEastAsia" w:cstheme="majorEastAsia"/>
          <w:color w:val="auto"/>
          <w:sz w:val="21"/>
          <w:szCs w:val="21"/>
          <w:highlight w:val="none"/>
        </w:rPr>
        <w:t>（</w:t>
      </w:r>
      <w:r>
        <w:rPr>
          <w:rFonts w:hint="eastAsia" w:asciiTheme="majorEastAsia" w:hAnsiTheme="majorEastAsia" w:eastAsiaTheme="majorEastAsia" w:cstheme="majorEastAsia"/>
          <w:b/>
          <w:bCs/>
          <w:color w:val="000000"/>
          <w:sz w:val="21"/>
          <w:szCs w:val="21"/>
          <w:highlight w:val="none"/>
          <w:lang w:val="en-US" w:eastAsia="zh-CN"/>
        </w:rPr>
        <w:t>接收人邮箱：756299071@qq.com，</w:t>
      </w:r>
      <w:r>
        <w:rPr>
          <w:rFonts w:hint="eastAsia" w:asciiTheme="majorEastAsia" w:hAnsiTheme="majorEastAsia" w:eastAsiaTheme="majorEastAsia" w:cstheme="majorEastAsia"/>
          <w:b/>
          <w:bCs/>
          <w:color w:val="auto"/>
          <w:sz w:val="21"/>
          <w:szCs w:val="21"/>
          <w:highlight w:val="none"/>
          <w:lang w:val="en-US" w:eastAsia="zh-CN" w:bidi="zh-CN"/>
        </w:rPr>
        <w:t>联系人：王先生 联系电话：18809085988）</w:t>
      </w:r>
    </w:p>
    <w:p w14:paraId="44636DCB">
      <w:pPr>
        <w:pStyle w:val="6"/>
        <w:shd w:val="clear" w:color="auto" w:fill="auto"/>
        <w:snapToGrid w:val="0"/>
        <w:spacing w:line="360" w:lineRule="auto"/>
        <w:ind w:firstLine="532" w:firstLineChars="250"/>
        <w:rPr>
          <w:rFonts w:hint="eastAsia" w:asciiTheme="majorEastAsia" w:hAnsiTheme="majorEastAsia" w:eastAsiaTheme="majorEastAsia" w:cstheme="majorEastAsia"/>
          <w:b w:val="0"/>
          <w:bCs/>
          <w:color w:val="auto"/>
          <w:sz w:val="21"/>
          <w:szCs w:val="21"/>
          <w:highlight w:val="none"/>
          <w:lang w:bidi="zh-CN"/>
        </w:rPr>
      </w:pPr>
      <w:r>
        <w:rPr>
          <w:rFonts w:hint="eastAsia" w:asciiTheme="majorEastAsia" w:hAnsiTheme="majorEastAsia" w:eastAsiaTheme="majorEastAsia" w:cstheme="majorEastAsia"/>
          <w:b w:val="0"/>
          <w:bCs/>
          <w:color w:val="auto"/>
          <w:sz w:val="21"/>
          <w:szCs w:val="21"/>
          <w:highlight w:val="none"/>
          <w:lang w:bidi="zh-CN"/>
        </w:rPr>
        <w:t>b.通过“新疆政府采购云平台”成功上传递交的“电子加密投标文件”已按时解密的，“备份投标文件”自动失效。投标截止时间前，投标供应商仅递交了“备份投标文件”而未将“电子加密投标文件”成功上传至“政府采购云平台”的，投标无效。</w:t>
      </w:r>
    </w:p>
    <w:p w14:paraId="0B80281E">
      <w:pPr>
        <w:shd w:val="clear" w:color="auto" w:fill="auto"/>
        <w:snapToGrid w:val="0"/>
        <w:spacing w:line="360" w:lineRule="auto"/>
        <w:rPr>
          <w:rFonts w:hint="eastAsia" w:asciiTheme="majorEastAsia" w:hAnsiTheme="majorEastAsia" w:eastAsiaTheme="majorEastAsia" w:cstheme="majorEastAsia"/>
          <w:b/>
          <w:color w:val="auto"/>
          <w:sz w:val="21"/>
          <w:szCs w:val="21"/>
          <w:highlight w:val="none"/>
        </w:rPr>
      </w:pPr>
      <w:r>
        <w:rPr>
          <w:rFonts w:hint="eastAsia" w:asciiTheme="majorEastAsia" w:hAnsiTheme="majorEastAsia" w:eastAsiaTheme="majorEastAsia" w:cstheme="majorEastAsia"/>
          <w:b/>
          <w:bCs/>
          <w:color w:val="auto"/>
          <w:sz w:val="21"/>
          <w:szCs w:val="21"/>
          <w:highlight w:val="none"/>
          <w:lang w:val="en-US" w:eastAsia="zh-CN"/>
        </w:rPr>
        <w:t>26.</w:t>
      </w:r>
      <w:r>
        <w:rPr>
          <w:rFonts w:hint="eastAsia" w:asciiTheme="majorEastAsia" w:hAnsiTheme="majorEastAsia" w:eastAsiaTheme="majorEastAsia" w:cstheme="majorEastAsia"/>
          <w:b/>
          <w:color w:val="auto"/>
          <w:sz w:val="21"/>
          <w:szCs w:val="21"/>
          <w:highlight w:val="none"/>
        </w:rPr>
        <w:t>投标文件的递交要求</w:t>
      </w:r>
    </w:p>
    <w:p w14:paraId="1709EEA4">
      <w:pPr>
        <w:shd w:val="clear" w:color="auto" w:fill="auto"/>
        <w:snapToGrid w:val="0"/>
        <w:spacing w:line="360" w:lineRule="auto"/>
        <w:ind w:firstLine="426" w:firstLineChars="200"/>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（1）供应商须按照采购文件和政采云平台的要求编制并加密投标文件。在投标文件递交截止时间以前完成投标文件的传输递交，截止时间后递交的投标文件，将被拒收。</w:t>
      </w:r>
    </w:p>
    <w:p w14:paraId="4BBD2433">
      <w:pPr>
        <w:shd w:val="clear" w:color="auto" w:fill="auto"/>
        <w:tabs>
          <w:tab w:val="left" w:pos="1418"/>
        </w:tabs>
        <w:autoSpaceDE w:val="0"/>
        <w:autoSpaceDN w:val="0"/>
        <w:adjustRightInd w:val="0"/>
        <w:snapToGrid w:val="0"/>
        <w:spacing w:line="360" w:lineRule="auto"/>
        <w:ind w:firstLine="426" w:firstLineChars="200"/>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（2）备份电子投标文件必须在投标截止时间前送达指定的投标地点。备份电子投标文件在截止时间后提交，采购组织机构将拒绝接收。</w:t>
      </w:r>
    </w:p>
    <w:p w14:paraId="15E184BA">
      <w:pPr>
        <w:shd w:val="clear" w:color="auto" w:fill="auto"/>
        <w:tabs>
          <w:tab w:val="left" w:pos="1418"/>
        </w:tabs>
        <w:autoSpaceDE w:val="0"/>
        <w:autoSpaceDN w:val="0"/>
        <w:adjustRightInd w:val="0"/>
        <w:snapToGrid w:val="0"/>
        <w:spacing w:line="360" w:lineRule="auto"/>
        <w:ind w:firstLine="426" w:firstLineChars="200"/>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（3）如有特殊情况，采购组织机构延长截止时间和开标时间，采购组织机构和供应商的权利和义务将受到新的截止时间和开标时间的约束。</w:t>
      </w:r>
    </w:p>
    <w:p w14:paraId="5B6D5628">
      <w:pPr>
        <w:shd w:val="clear" w:color="auto" w:fill="auto"/>
        <w:tabs>
          <w:tab w:val="left" w:pos="1418"/>
        </w:tabs>
        <w:autoSpaceDE w:val="0"/>
        <w:autoSpaceDN w:val="0"/>
        <w:adjustRightInd w:val="0"/>
        <w:snapToGrid w:val="0"/>
        <w:spacing w:line="360" w:lineRule="auto"/>
        <w:rPr>
          <w:rFonts w:hint="eastAsia" w:asciiTheme="majorEastAsia" w:hAnsiTheme="majorEastAsia" w:eastAsiaTheme="majorEastAsia" w:cstheme="majorEastAsia"/>
          <w:b/>
          <w:bCs/>
          <w:color w:val="auto"/>
          <w:sz w:val="21"/>
          <w:szCs w:val="21"/>
          <w:highlight w:val="none"/>
          <w:lang w:val="en-US" w:eastAsia="zh-CN"/>
        </w:rPr>
      </w:pPr>
      <w:r>
        <w:rPr>
          <w:rFonts w:hint="eastAsia" w:asciiTheme="majorEastAsia" w:hAnsiTheme="majorEastAsia" w:eastAsiaTheme="majorEastAsia" w:cstheme="majorEastAsia"/>
          <w:b/>
          <w:bCs/>
          <w:color w:val="auto"/>
          <w:sz w:val="21"/>
          <w:szCs w:val="21"/>
          <w:highlight w:val="none"/>
          <w:lang w:val="en-US" w:eastAsia="zh-CN"/>
        </w:rPr>
        <w:t>27．投标文件的补充、修改与撤回</w:t>
      </w:r>
    </w:p>
    <w:p w14:paraId="21B93367">
      <w:pPr>
        <w:shd w:val="clear" w:color="auto" w:fill="auto"/>
        <w:tabs>
          <w:tab w:val="left" w:pos="960"/>
          <w:tab w:val="left" w:pos="1418"/>
        </w:tabs>
        <w:autoSpaceDE w:val="0"/>
        <w:autoSpaceDN w:val="0"/>
        <w:adjustRightInd w:val="0"/>
        <w:snapToGrid w:val="0"/>
        <w:spacing w:line="360" w:lineRule="auto"/>
        <w:ind w:firstLine="426" w:firstLineChars="200"/>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投标文件撤回。投标截止时间后传输递交的投标文件，“政府采购云平台”将予以拒收。投标截止时间后，供应商不得修改（补充）或撤回其投标文件。</w:t>
      </w:r>
    </w:p>
    <w:p w14:paraId="53C18E32">
      <w:pPr>
        <w:keepNext w:val="0"/>
        <w:keepLines w:val="0"/>
        <w:pageBreakBefore w:val="0"/>
        <w:widowControl w:val="0"/>
        <w:shd w:val="clear" w:color="auto" w:fill="auto"/>
        <w:kinsoku/>
        <w:wordWrap/>
        <w:overflowPunct/>
        <w:topLinePunct w:val="0"/>
        <w:autoSpaceDE/>
        <w:autoSpaceDN/>
        <w:bidi w:val="0"/>
        <w:adjustRightInd/>
        <w:snapToGrid/>
        <w:spacing w:before="313" w:beforeLines="100" w:after="313" w:afterLines="100" w:line="440" w:lineRule="exact"/>
        <w:jc w:val="center"/>
        <w:textAlignment w:val="auto"/>
        <w:outlineLvl w:val="2"/>
        <w:rPr>
          <w:rFonts w:hint="eastAsia" w:asciiTheme="majorEastAsia" w:hAnsiTheme="majorEastAsia" w:eastAsiaTheme="majorEastAsia" w:cstheme="majorEastAsia"/>
          <w:b/>
          <w:bCs/>
          <w:color w:val="auto"/>
          <w:sz w:val="28"/>
          <w:szCs w:val="28"/>
          <w:highlight w:val="none"/>
        </w:rPr>
      </w:pPr>
      <w:bookmarkStart w:id="21" w:name="_Toc469495728"/>
      <w:r>
        <w:rPr>
          <w:rFonts w:hint="eastAsia" w:asciiTheme="majorEastAsia" w:hAnsiTheme="majorEastAsia" w:eastAsiaTheme="majorEastAsia" w:cstheme="majorEastAsia"/>
          <w:b/>
          <w:bCs/>
          <w:color w:val="auto"/>
          <w:sz w:val="28"/>
          <w:szCs w:val="28"/>
          <w:highlight w:val="none"/>
        </w:rPr>
        <w:t>（五）开 标、评标和定标</w:t>
      </w:r>
      <w:bookmarkEnd w:id="21"/>
    </w:p>
    <w:p w14:paraId="576ED6A2">
      <w:pPr>
        <w:shd w:val="clear" w:color="auto" w:fill="auto"/>
        <w:snapToGrid w:val="0"/>
        <w:spacing w:line="360" w:lineRule="auto"/>
        <w:rPr>
          <w:rFonts w:hint="eastAsia" w:asciiTheme="majorEastAsia" w:hAnsiTheme="majorEastAsia" w:eastAsiaTheme="majorEastAsia" w:cstheme="majorEastAsia"/>
          <w:b/>
          <w:bCs/>
          <w:color w:val="auto"/>
          <w:sz w:val="24"/>
          <w:szCs w:val="24"/>
          <w:highlight w:val="none"/>
          <w:lang w:val="en-US" w:eastAsia="zh-CN"/>
        </w:rPr>
      </w:pPr>
      <w:r>
        <w:rPr>
          <w:rFonts w:hint="eastAsia" w:asciiTheme="majorEastAsia" w:hAnsiTheme="majorEastAsia" w:eastAsiaTheme="majorEastAsia" w:cstheme="majorEastAsia"/>
          <w:b/>
          <w:bCs/>
          <w:color w:val="auto"/>
          <w:sz w:val="24"/>
          <w:szCs w:val="24"/>
          <w:highlight w:val="none"/>
          <w:lang w:val="en-US" w:eastAsia="zh-CN"/>
        </w:rPr>
        <w:t>28. 开标</w:t>
      </w:r>
    </w:p>
    <w:p w14:paraId="17A42481">
      <w:pPr>
        <w:shd w:val="clear" w:color="auto" w:fill="auto"/>
        <w:snapToGrid w:val="0"/>
        <w:spacing w:line="360" w:lineRule="auto"/>
        <w:rPr>
          <w:rFonts w:hint="eastAsia" w:asciiTheme="majorEastAsia" w:hAnsiTheme="majorEastAsia" w:eastAsiaTheme="majorEastAsia" w:cstheme="majorEastAsia"/>
          <w:b/>
          <w:bCs/>
          <w:color w:val="auto"/>
          <w:sz w:val="21"/>
          <w:szCs w:val="21"/>
          <w:highlight w:val="none"/>
          <w:lang w:val="en-US" w:eastAsia="zh-CN"/>
        </w:rPr>
      </w:pPr>
      <w:bookmarkStart w:id="22" w:name="_Toc73975822"/>
      <w:r>
        <w:rPr>
          <w:rFonts w:hint="eastAsia" w:asciiTheme="majorEastAsia" w:hAnsiTheme="majorEastAsia" w:eastAsiaTheme="majorEastAsia" w:cstheme="majorEastAsia"/>
          <w:b/>
          <w:bCs/>
          <w:color w:val="auto"/>
          <w:sz w:val="21"/>
          <w:szCs w:val="21"/>
          <w:highlight w:val="none"/>
          <w:lang w:val="en-US" w:eastAsia="zh-CN"/>
        </w:rPr>
        <w:t>28.1开标邀请</w:t>
      </w:r>
      <w:bookmarkEnd w:id="22"/>
    </w:p>
    <w:p w14:paraId="1EF18511">
      <w:pPr>
        <w:pStyle w:val="15"/>
        <w:shd w:val="clear" w:color="auto" w:fill="auto"/>
        <w:snapToGrid w:val="0"/>
        <w:spacing w:line="360" w:lineRule="auto"/>
        <w:ind w:firstLine="426" w:firstLineChars="200"/>
        <w:rPr>
          <w:rFonts w:hint="eastAsia" w:asciiTheme="majorEastAsia" w:hAnsiTheme="majorEastAsia" w:eastAsiaTheme="majorEastAsia" w:cstheme="majorEastAsia"/>
          <w:b w:val="0"/>
          <w:bCs/>
          <w:color w:val="auto"/>
          <w:sz w:val="21"/>
          <w:szCs w:val="21"/>
          <w:highlight w:val="none"/>
        </w:rPr>
      </w:pPr>
      <w:r>
        <w:rPr>
          <w:rFonts w:hint="eastAsia" w:asciiTheme="majorEastAsia" w:hAnsiTheme="majorEastAsia" w:eastAsiaTheme="majorEastAsia" w:cstheme="majorEastAsia"/>
          <w:b w:val="0"/>
          <w:bCs/>
          <w:color w:val="auto"/>
          <w:sz w:val="21"/>
          <w:szCs w:val="21"/>
          <w:highlight w:val="none"/>
          <w:lang w:eastAsia="zh-CN"/>
        </w:rPr>
        <w:t>（</w:t>
      </w:r>
      <w:r>
        <w:rPr>
          <w:rFonts w:hint="eastAsia" w:asciiTheme="majorEastAsia" w:hAnsiTheme="majorEastAsia" w:eastAsiaTheme="majorEastAsia" w:cstheme="majorEastAsia"/>
          <w:b w:val="0"/>
          <w:bCs/>
          <w:color w:val="auto"/>
          <w:sz w:val="21"/>
          <w:szCs w:val="21"/>
          <w:highlight w:val="none"/>
          <w:lang w:val="en-US" w:eastAsia="zh-CN"/>
        </w:rPr>
        <w:t>1</w:t>
      </w:r>
      <w:r>
        <w:rPr>
          <w:rFonts w:hint="eastAsia" w:asciiTheme="majorEastAsia" w:hAnsiTheme="majorEastAsia" w:eastAsiaTheme="majorEastAsia" w:cstheme="majorEastAsia"/>
          <w:b w:val="0"/>
          <w:bCs/>
          <w:color w:val="auto"/>
          <w:sz w:val="21"/>
          <w:szCs w:val="21"/>
          <w:highlight w:val="none"/>
          <w:lang w:eastAsia="zh-CN"/>
        </w:rPr>
        <w:t>）</w:t>
      </w:r>
      <w:r>
        <w:rPr>
          <w:rFonts w:hint="eastAsia" w:asciiTheme="majorEastAsia" w:hAnsiTheme="majorEastAsia" w:eastAsiaTheme="majorEastAsia" w:cstheme="majorEastAsia"/>
          <w:b w:val="0"/>
          <w:bCs/>
          <w:color w:val="auto"/>
          <w:sz w:val="21"/>
          <w:szCs w:val="21"/>
          <w:highlight w:val="none"/>
        </w:rPr>
        <w:t>开标准备：本项目开标的准备工作由采购组织机构负责落实，开标过程由采购组织机构负责记录；</w:t>
      </w:r>
    </w:p>
    <w:p w14:paraId="05A81E35">
      <w:pPr>
        <w:pStyle w:val="15"/>
        <w:shd w:val="clear" w:color="auto" w:fill="auto"/>
        <w:snapToGrid w:val="0"/>
        <w:spacing w:line="360" w:lineRule="auto"/>
        <w:ind w:firstLine="426" w:firstLineChars="200"/>
        <w:rPr>
          <w:rFonts w:hint="eastAsia" w:asciiTheme="majorEastAsia" w:hAnsiTheme="majorEastAsia" w:eastAsiaTheme="majorEastAsia" w:cstheme="majorEastAsia"/>
          <w:b w:val="0"/>
          <w:bCs/>
          <w:color w:val="auto"/>
          <w:sz w:val="21"/>
          <w:szCs w:val="21"/>
          <w:highlight w:val="none"/>
        </w:rPr>
      </w:pPr>
      <w:r>
        <w:rPr>
          <w:rFonts w:hint="eastAsia" w:asciiTheme="majorEastAsia" w:hAnsiTheme="majorEastAsia" w:eastAsiaTheme="majorEastAsia" w:cstheme="majorEastAsia"/>
          <w:b w:val="0"/>
          <w:bCs/>
          <w:color w:val="auto"/>
          <w:sz w:val="21"/>
          <w:szCs w:val="21"/>
          <w:highlight w:val="none"/>
          <w:lang w:eastAsia="zh-CN"/>
        </w:rPr>
        <w:t>（</w:t>
      </w:r>
      <w:r>
        <w:rPr>
          <w:rFonts w:hint="eastAsia" w:asciiTheme="majorEastAsia" w:hAnsiTheme="majorEastAsia" w:eastAsiaTheme="majorEastAsia" w:cstheme="majorEastAsia"/>
          <w:b w:val="0"/>
          <w:bCs/>
          <w:color w:val="auto"/>
          <w:sz w:val="21"/>
          <w:szCs w:val="21"/>
          <w:highlight w:val="none"/>
          <w:lang w:val="en-US" w:eastAsia="zh-CN"/>
        </w:rPr>
        <w:t>2）</w:t>
      </w:r>
      <w:r>
        <w:rPr>
          <w:rFonts w:hint="eastAsia" w:asciiTheme="majorEastAsia" w:hAnsiTheme="majorEastAsia" w:eastAsiaTheme="majorEastAsia" w:cstheme="majorEastAsia"/>
          <w:b w:val="0"/>
          <w:bCs/>
          <w:color w:val="auto"/>
          <w:sz w:val="21"/>
          <w:szCs w:val="21"/>
          <w:highlight w:val="none"/>
        </w:rPr>
        <w:t>开标主持：本项目开标由采购人或者采购代理机构主持；</w:t>
      </w:r>
    </w:p>
    <w:p w14:paraId="6CF79D09">
      <w:pPr>
        <w:pStyle w:val="15"/>
        <w:shd w:val="clear" w:color="auto" w:fill="auto"/>
        <w:snapToGrid w:val="0"/>
        <w:spacing w:line="360" w:lineRule="auto"/>
        <w:ind w:firstLine="426" w:firstLineChars="200"/>
        <w:rPr>
          <w:rFonts w:hint="eastAsia" w:asciiTheme="majorEastAsia" w:hAnsiTheme="majorEastAsia" w:eastAsiaTheme="majorEastAsia" w:cstheme="majorEastAsia"/>
          <w:b w:val="0"/>
          <w:color w:val="auto"/>
          <w:sz w:val="21"/>
          <w:szCs w:val="21"/>
          <w:highlight w:val="none"/>
        </w:rPr>
      </w:pPr>
      <w:r>
        <w:rPr>
          <w:rFonts w:hint="eastAsia" w:asciiTheme="majorEastAsia" w:hAnsiTheme="majorEastAsia" w:eastAsiaTheme="majorEastAsia" w:cstheme="majorEastAsia"/>
          <w:b w:val="0"/>
          <w:color w:val="auto"/>
          <w:sz w:val="21"/>
          <w:szCs w:val="21"/>
          <w:highlight w:val="none"/>
          <w:lang w:eastAsia="zh-CN"/>
        </w:rPr>
        <w:t>（</w:t>
      </w:r>
      <w:r>
        <w:rPr>
          <w:rFonts w:hint="eastAsia" w:asciiTheme="majorEastAsia" w:hAnsiTheme="majorEastAsia" w:eastAsiaTheme="majorEastAsia" w:cstheme="majorEastAsia"/>
          <w:b w:val="0"/>
          <w:color w:val="auto"/>
          <w:sz w:val="21"/>
          <w:szCs w:val="21"/>
          <w:highlight w:val="none"/>
          <w:lang w:val="en-US" w:eastAsia="zh-CN"/>
        </w:rPr>
        <w:t>3</w:t>
      </w:r>
      <w:r>
        <w:rPr>
          <w:rFonts w:hint="eastAsia" w:asciiTheme="majorEastAsia" w:hAnsiTheme="majorEastAsia" w:eastAsiaTheme="majorEastAsia" w:cstheme="majorEastAsia"/>
          <w:b w:val="0"/>
          <w:color w:val="auto"/>
          <w:sz w:val="21"/>
          <w:szCs w:val="21"/>
          <w:highlight w:val="none"/>
          <w:lang w:eastAsia="zh-CN"/>
        </w:rPr>
        <w:t>）</w:t>
      </w:r>
      <w:r>
        <w:rPr>
          <w:rFonts w:hint="eastAsia" w:asciiTheme="majorEastAsia" w:hAnsiTheme="majorEastAsia" w:eastAsiaTheme="majorEastAsia" w:cstheme="majorEastAsia"/>
          <w:b w:val="0"/>
          <w:color w:val="auto"/>
          <w:sz w:val="21"/>
          <w:szCs w:val="21"/>
          <w:highlight w:val="none"/>
        </w:rPr>
        <w:t>开标邀请：本项目采用电子交易，采购组织机构将按照采购文件规定的时间通过“</w:t>
      </w:r>
      <w:r>
        <w:rPr>
          <w:rFonts w:hint="eastAsia" w:asciiTheme="majorEastAsia" w:hAnsiTheme="majorEastAsia" w:eastAsiaTheme="majorEastAsia" w:cstheme="majorEastAsia"/>
          <w:b w:val="0"/>
          <w:color w:val="auto"/>
          <w:sz w:val="21"/>
          <w:szCs w:val="21"/>
          <w:highlight w:val="none"/>
          <w:lang w:eastAsia="zh-CN"/>
        </w:rPr>
        <w:t>新疆</w:t>
      </w:r>
      <w:r>
        <w:rPr>
          <w:rFonts w:hint="eastAsia" w:asciiTheme="majorEastAsia" w:hAnsiTheme="majorEastAsia" w:eastAsiaTheme="majorEastAsia" w:cstheme="majorEastAsia"/>
          <w:b w:val="0"/>
          <w:color w:val="auto"/>
          <w:sz w:val="21"/>
          <w:szCs w:val="21"/>
          <w:highlight w:val="none"/>
        </w:rPr>
        <w:t>政府采购云平台，网址：</w:t>
      </w:r>
      <w:r>
        <w:rPr>
          <w:rFonts w:hint="eastAsia" w:asciiTheme="majorEastAsia" w:hAnsiTheme="majorEastAsia" w:eastAsiaTheme="majorEastAsia" w:cstheme="majorEastAsia"/>
          <w:b w:val="0"/>
          <w:color w:val="auto"/>
          <w:sz w:val="21"/>
          <w:szCs w:val="21"/>
          <w:highlight w:val="none"/>
        </w:rPr>
        <w:fldChar w:fldCharType="begin"/>
      </w:r>
      <w:r>
        <w:rPr>
          <w:rFonts w:hint="eastAsia" w:asciiTheme="majorEastAsia" w:hAnsiTheme="majorEastAsia" w:eastAsiaTheme="majorEastAsia" w:cstheme="majorEastAsia"/>
          <w:b w:val="0"/>
          <w:color w:val="auto"/>
          <w:sz w:val="21"/>
          <w:szCs w:val="21"/>
          <w:highlight w:val="none"/>
        </w:rPr>
        <w:instrText xml:space="preserve">HYPERLINK "http://www.zcygov.cn"</w:instrText>
      </w:r>
      <w:r>
        <w:rPr>
          <w:rFonts w:hint="eastAsia" w:asciiTheme="majorEastAsia" w:hAnsiTheme="majorEastAsia" w:eastAsiaTheme="majorEastAsia" w:cstheme="majorEastAsia"/>
          <w:b w:val="0"/>
          <w:color w:val="auto"/>
          <w:sz w:val="21"/>
          <w:szCs w:val="21"/>
          <w:highlight w:val="none"/>
        </w:rPr>
        <w:fldChar w:fldCharType="separate"/>
      </w:r>
      <w:r>
        <w:rPr>
          <w:rStyle w:val="38"/>
          <w:rFonts w:hint="eastAsia" w:asciiTheme="majorEastAsia" w:hAnsiTheme="majorEastAsia" w:eastAsiaTheme="majorEastAsia" w:cstheme="majorEastAsia"/>
          <w:b w:val="0"/>
          <w:color w:val="auto"/>
          <w:sz w:val="21"/>
          <w:szCs w:val="21"/>
          <w:highlight w:val="none"/>
          <w:u w:val="none"/>
        </w:rPr>
        <w:t>www.zcygov.cn</w:t>
      </w:r>
      <w:r>
        <w:rPr>
          <w:rFonts w:hint="eastAsia" w:asciiTheme="majorEastAsia" w:hAnsiTheme="majorEastAsia" w:eastAsiaTheme="majorEastAsia" w:cstheme="majorEastAsia"/>
          <w:color w:val="auto"/>
          <w:sz w:val="21"/>
          <w:szCs w:val="21"/>
          <w:highlight w:val="none"/>
        </w:rPr>
        <w:fldChar w:fldCharType="end"/>
      </w:r>
      <w:r>
        <w:rPr>
          <w:rFonts w:hint="eastAsia" w:asciiTheme="majorEastAsia" w:hAnsiTheme="majorEastAsia" w:eastAsiaTheme="majorEastAsia" w:cstheme="majorEastAsia"/>
          <w:b w:val="0"/>
          <w:color w:val="auto"/>
          <w:sz w:val="21"/>
          <w:szCs w:val="21"/>
          <w:highlight w:val="none"/>
        </w:rPr>
        <w:t>”组织开标、开启投标响应文件，所有供应商均应当准时在线参加。</w:t>
      </w:r>
    </w:p>
    <w:p w14:paraId="7BBACFC5">
      <w:pPr>
        <w:pStyle w:val="15"/>
        <w:shd w:val="clear" w:color="auto" w:fill="auto"/>
        <w:snapToGrid w:val="0"/>
        <w:spacing w:line="360" w:lineRule="auto"/>
        <w:ind w:firstLine="426" w:firstLineChars="200"/>
        <w:rPr>
          <w:rFonts w:hint="eastAsia" w:asciiTheme="majorEastAsia" w:hAnsiTheme="majorEastAsia" w:eastAsiaTheme="majorEastAsia" w:cstheme="majorEastAsia"/>
          <w:b w:val="0"/>
          <w:color w:val="auto"/>
          <w:sz w:val="21"/>
          <w:szCs w:val="21"/>
          <w:highlight w:val="none"/>
        </w:rPr>
      </w:pPr>
      <w:r>
        <w:rPr>
          <w:rFonts w:hint="eastAsia" w:asciiTheme="majorEastAsia" w:hAnsiTheme="majorEastAsia" w:eastAsiaTheme="majorEastAsia" w:cstheme="majorEastAsia"/>
          <w:b w:val="0"/>
          <w:color w:val="auto"/>
          <w:sz w:val="21"/>
          <w:szCs w:val="21"/>
          <w:highlight w:val="none"/>
          <w:lang w:eastAsia="zh-CN"/>
        </w:rPr>
        <w:t>（</w:t>
      </w:r>
      <w:r>
        <w:rPr>
          <w:rFonts w:hint="eastAsia" w:asciiTheme="majorEastAsia" w:hAnsiTheme="majorEastAsia" w:eastAsiaTheme="majorEastAsia" w:cstheme="majorEastAsia"/>
          <w:b w:val="0"/>
          <w:color w:val="auto"/>
          <w:sz w:val="21"/>
          <w:szCs w:val="21"/>
          <w:highlight w:val="none"/>
          <w:lang w:val="en-US" w:eastAsia="zh-CN"/>
        </w:rPr>
        <w:t>4</w:t>
      </w:r>
      <w:r>
        <w:rPr>
          <w:rFonts w:hint="eastAsia" w:asciiTheme="majorEastAsia" w:hAnsiTheme="majorEastAsia" w:eastAsiaTheme="majorEastAsia" w:cstheme="majorEastAsia"/>
          <w:b w:val="0"/>
          <w:color w:val="auto"/>
          <w:sz w:val="21"/>
          <w:szCs w:val="21"/>
          <w:highlight w:val="none"/>
          <w:lang w:eastAsia="zh-CN"/>
        </w:rPr>
        <w:t>）</w:t>
      </w:r>
      <w:r>
        <w:rPr>
          <w:rFonts w:hint="eastAsia" w:asciiTheme="majorEastAsia" w:hAnsiTheme="majorEastAsia" w:eastAsiaTheme="majorEastAsia" w:cstheme="majorEastAsia"/>
          <w:b w:val="0"/>
          <w:color w:val="auto"/>
          <w:sz w:val="21"/>
          <w:szCs w:val="21"/>
          <w:highlight w:val="none"/>
        </w:rPr>
        <w:t>供应商对开标过程和开标记录有疑义，以及认为采购人、采购代理机构相关工作人员有需要回避的情形的，应当场提出询问或回避申请。供应商未参加开标的视同认可开标结果，事后不得对采购相关人员、开标过程和开标结果提出异议，同时投标供应商因未在线参加开标而导致投标文件无法按时解密等一切后果由供应商自行承担。</w:t>
      </w:r>
    </w:p>
    <w:p w14:paraId="50B99DDE">
      <w:pPr>
        <w:shd w:val="clear" w:color="auto" w:fill="auto"/>
        <w:snapToGrid w:val="0"/>
        <w:spacing w:line="360" w:lineRule="auto"/>
        <w:outlineLvl w:val="2"/>
        <w:rPr>
          <w:rFonts w:hint="eastAsia" w:asciiTheme="majorEastAsia" w:hAnsiTheme="majorEastAsia" w:eastAsiaTheme="majorEastAsia" w:cstheme="majorEastAsia"/>
          <w:b/>
          <w:color w:val="auto"/>
          <w:sz w:val="21"/>
          <w:szCs w:val="21"/>
          <w:highlight w:val="none"/>
        </w:rPr>
      </w:pPr>
      <w:bookmarkStart w:id="23" w:name="_Toc73975823"/>
      <w:r>
        <w:rPr>
          <w:rFonts w:hint="eastAsia" w:asciiTheme="majorEastAsia" w:hAnsiTheme="majorEastAsia" w:eastAsiaTheme="majorEastAsia" w:cstheme="majorEastAsia"/>
          <w:b/>
          <w:color w:val="auto"/>
          <w:sz w:val="21"/>
          <w:szCs w:val="21"/>
          <w:highlight w:val="none"/>
          <w:lang w:val="en-US" w:eastAsia="zh-CN"/>
        </w:rPr>
        <w:t>28.2</w:t>
      </w:r>
      <w:r>
        <w:rPr>
          <w:rFonts w:hint="eastAsia" w:asciiTheme="majorEastAsia" w:hAnsiTheme="majorEastAsia" w:eastAsiaTheme="majorEastAsia" w:cstheme="majorEastAsia"/>
          <w:b/>
          <w:bCs/>
          <w:color w:val="auto"/>
          <w:sz w:val="21"/>
          <w:szCs w:val="21"/>
          <w:highlight w:val="none"/>
        </w:rPr>
        <w:t>开标程序</w:t>
      </w:r>
      <w:bookmarkEnd w:id="23"/>
    </w:p>
    <w:p w14:paraId="058D1F5C">
      <w:pPr>
        <w:snapToGrid w:val="0"/>
        <w:spacing w:line="360" w:lineRule="auto"/>
        <w:ind w:firstLine="426" w:firstLineChars="200"/>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（1）开标时间到后，主持人宣布开标会议开始。</w:t>
      </w:r>
    </w:p>
    <w:p w14:paraId="7B014212">
      <w:pPr>
        <w:snapToGrid w:val="0"/>
        <w:spacing w:line="360" w:lineRule="auto"/>
        <w:ind w:firstLine="426" w:firstLineChars="200"/>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（2）</w:t>
      </w:r>
      <w:r>
        <w:rPr>
          <w:rFonts w:hint="eastAsia" w:asciiTheme="majorEastAsia" w:hAnsiTheme="majorEastAsia" w:eastAsiaTheme="majorEastAsia" w:cstheme="majorEastAsia"/>
          <w:kern w:val="0"/>
          <w:szCs w:val="21"/>
          <w:highlight w:val="none"/>
        </w:rPr>
        <w:t>投标文件解密（</w:t>
      </w:r>
      <w:r>
        <w:rPr>
          <w:rFonts w:hint="eastAsia" w:asciiTheme="majorEastAsia" w:hAnsiTheme="majorEastAsia" w:eastAsiaTheme="majorEastAsia" w:cstheme="majorEastAsia"/>
          <w:b/>
          <w:kern w:val="0"/>
          <w:szCs w:val="21"/>
          <w:highlight w:val="none"/>
        </w:rPr>
        <w:t>解密规定见《供应商须知前附表》</w:t>
      </w:r>
      <w:r>
        <w:rPr>
          <w:rFonts w:hint="eastAsia" w:asciiTheme="majorEastAsia" w:hAnsiTheme="majorEastAsia" w:eastAsiaTheme="majorEastAsia" w:cstheme="majorEastAsia"/>
          <w:kern w:val="0"/>
          <w:szCs w:val="21"/>
          <w:highlight w:val="none"/>
        </w:rPr>
        <w:t>）</w:t>
      </w:r>
      <w:r>
        <w:rPr>
          <w:rFonts w:hint="eastAsia" w:asciiTheme="majorEastAsia" w:hAnsiTheme="majorEastAsia" w:eastAsiaTheme="majorEastAsia" w:cstheme="majorEastAsia"/>
          <w:szCs w:val="21"/>
          <w:highlight w:val="none"/>
        </w:rPr>
        <w:t>。</w:t>
      </w:r>
    </w:p>
    <w:p w14:paraId="3D67DB72">
      <w:pPr>
        <w:snapToGrid w:val="0"/>
        <w:spacing w:line="360" w:lineRule="auto"/>
        <w:ind w:firstLine="426" w:firstLineChars="200"/>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（3）</w:t>
      </w:r>
      <w:r>
        <w:rPr>
          <w:rFonts w:hint="eastAsia" w:asciiTheme="majorEastAsia" w:hAnsiTheme="majorEastAsia" w:eastAsiaTheme="majorEastAsia" w:cstheme="majorEastAsia"/>
          <w:kern w:val="0"/>
          <w:szCs w:val="21"/>
          <w:highlight w:val="none"/>
        </w:rPr>
        <w:t>投标文件解密异常情况处理（</w:t>
      </w:r>
      <w:r>
        <w:rPr>
          <w:rFonts w:hint="eastAsia" w:asciiTheme="majorEastAsia" w:hAnsiTheme="majorEastAsia" w:eastAsiaTheme="majorEastAsia" w:cstheme="majorEastAsia"/>
          <w:b/>
          <w:kern w:val="0"/>
          <w:szCs w:val="21"/>
          <w:highlight w:val="none"/>
        </w:rPr>
        <w:t>处理办法见《供应商须知前附表》</w:t>
      </w:r>
      <w:r>
        <w:rPr>
          <w:rFonts w:hint="eastAsia" w:asciiTheme="majorEastAsia" w:hAnsiTheme="majorEastAsia" w:eastAsiaTheme="majorEastAsia" w:cstheme="majorEastAsia"/>
          <w:kern w:val="0"/>
          <w:szCs w:val="21"/>
          <w:highlight w:val="none"/>
        </w:rPr>
        <w:t>）</w:t>
      </w:r>
      <w:r>
        <w:rPr>
          <w:rFonts w:hint="eastAsia" w:asciiTheme="majorEastAsia" w:hAnsiTheme="majorEastAsia" w:eastAsiaTheme="majorEastAsia" w:cstheme="majorEastAsia"/>
          <w:szCs w:val="21"/>
          <w:highlight w:val="none"/>
        </w:rPr>
        <w:t>。</w:t>
      </w:r>
    </w:p>
    <w:p w14:paraId="31A016DC">
      <w:pPr>
        <w:snapToGrid w:val="0"/>
        <w:spacing w:line="360" w:lineRule="auto"/>
        <w:ind w:firstLine="426" w:firstLineChars="200"/>
        <w:rPr>
          <w:rFonts w:hint="eastAsia" w:asciiTheme="majorEastAsia" w:hAnsiTheme="majorEastAsia" w:eastAsiaTheme="majorEastAsia" w:cstheme="majorEastAsia"/>
          <w:kern w:val="0"/>
          <w:szCs w:val="21"/>
          <w:highlight w:val="none"/>
          <w:lang w:eastAsia="zh-CN"/>
        </w:rPr>
      </w:pPr>
      <w:r>
        <w:rPr>
          <w:rFonts w:hint="eastAsia" w:asciiTheme="majorEastAsia" w:hAnsiTheme="majorEastAsia" w:eastAsiaTheme="majorEastAsia" w:cstheme="majorEastAsia"/>
          <w:kern w:val="0"/>
          <w:szCs w:val="21"/>
          <w:highlight w:val="none"/>
        </w:rPr>
        <w:t>（4）公布投标文件解密情况（投标文件成功解密的供应商名单等信息）</w:t>
      </w:r>
      <w:r>
        <w:rPr>
          <w:rFonts w:hint="eastAsia" w:asciiTheme="majorEastAsia" w:hAnsiTheme="majorEastAsia" w:eastAsiaTheme="majorEastAsia" w:cstheme="majorEastAsia"/>
          <w:kern w:val="0"/>
          <w:szCs w:val="21"/>
          <w:highlight w:val="none"/>
          <w:lang w:eastAsia="zh-CN"/>
        </w:rPr>
        <w:t>。</w:t>
      </w:r>
    </w:p>
    <w:p w14:paraId="6890AAAD">
      <w:pPr>
        <w:snapToGrid w:val="0"/>
        <w:spacing w:line="360" w:lineRule="auto"/>
        <w:ind w:firstLine="426" w:firstLineChars="200"/>
        <w:jc w:val="left"/>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（5）开启标书信息（资格证明文件、商务技术文件</w:t>
      </w:r>
      <w:r>
        <w:rPr>
          <w:rFonts w:hint="eastAsia" w:asciiTheme="majorEastAsia" w:hAnsiTheme="majorEastAsia" w:eastAsiaTheme="majorEastAsia" w:cstheme="majorEastAsia"/>
          <w:kern w:val="0"/>
          <w:szCs w:val="21"/>
          <w:highlight w:val="none"/>
          <w:lang w:eastAsia="zh-CN"/>
        </w:rPr>
        <w:t>、</w:t>
      </w:r>
      <w:r>
        <w:rPr>
          <w:rFonts w:hint="eastAsia" w:asciiTheme="majorEastAsia" w:hAnsiTheme="majorEastAsia" w:eastAsiaTheme="majorEastAsia" w:cstheme="majorEastAsia"/>
          <w:kern w:val="0"/>
          <w:szCs w:val="21"/>
          <w:highlight w:val="none"/>
          <w:lang w:val="en-US" w:eastAsia="zh-CN"/>
        </w:rPr>
        <w:t>报价文件</w:t>
      </w:r>
      <w:r>
        <w:rPr>
          <w:rFonts w:hint="eastAsia" w:asciiTheme="majorEastAsia" w:hAnsiTheme="majorEastAsia" w:eastAsiaTheme="majorEastAsia" w:cstheme="majorEastAsia"/>
          <w:kern w:val="0"/>
          <w:szCs w:val="21"/>
          <w:highlight w:val="none"/>
        </w:rPr>
        <w:t>）。标书信息开启后，首先由</w:t>
      </w:r>
      <w:r>
        <w:rPr>
          <w:rFonts w:hint="eastAsia" w:asciiTheme="majorEastAsia" w:hAnsiTheme="majorEastAsia" w:eastAsiaTheme="majorEastAsia" w:cstheme="majorEastAsia"/>
          <w:kern w:val="0"/>
          <w:szCs w:val="21"/>
          <w:highlight w:val="none"/>
          <w:lang w:val="en-US" w:eastAsia="zh-CN"/>
        </w:rPr>
        <w:t>资格审查小组</w:t>
      </w:r>
      <w:r>
        <w:rPr>
          <w:rFonts w:hint="eastAsia" w:asciiTheme="majorEastAsia" w:hAnsiTheme="majorEastAsia" w:eastAsiaTheme="majorEastAsia" w:cstheme="majorEastAsia"/>
          <w:kern w:val="0"/>
          <w:szCs w:val="21"/>
          <w:highlight w:val="none"/>
        </w:rPr>
        <w:t>依法对投标供应商的资格证明文件进行审查（具体见本章“24.3 投标供应商资格审查”）， 审查结束公布投标供应商的资格符合情况。资格审查未获通过的供应商，其商务技术文件及报价文件不再进入评审。</w:t>
      </w:r>
    </w:p>
    <w:p w14:paraId="04B6FB2A">
      <w:pPr>
        <w:snapToGrid w:val="0"/>
        <w:spacing w:line="360" w:lineRule="auto"/>
        <w:ind w:firstLine="426" w:firstLineChars="200"/>
        <w:jc w:val="left"/>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（6）商务技术评审结束后，主持人公布商务技术评审无效投标供应商名单和商务技术评审有效投标供应商名单</w:t>
      </w:r>
      <w:r>
        <w:rPr>
          <w:rFonts w:hint="eastAsia" w:asciiTheme="majorEastAsia" w:hAnsiTheme="majorEastAsia" w:eastAsiaTheme="majorEastAsia" w:cstheme="majorEastAsia"/>
          <w:szCs w:val="21"/>
          <w:highlight w:val="none"/>
        </w:rPr>
        <w:t>。</w:t>
      </w:r>
      <w:r>
        <w:rPr>
          <w:rFonts w:hint="eastAsia" w:asciiTheme="majorEastAsia" w:hAnsiTheme="majorEastAsia" w:eastAsiaTheme="majorEastAsia" w:cstheme="majorEastAsia"/>
          <w:kern w:val="0"/>
          <w:szCs w:val="21"/>
          <w:highlight w:val="none"/>
        </w:rPr>
        <w:t>商务技术评审无效的供应商，其报价不再进入评审。</w:t>
      </w:r>
    </w:p>
    <w:p w14:paraId="19A23350">
      <w:pPr>
        <w:snapToGrid w:val="0"/>
        <w:spacing w:line="360" w:lineRule="auto"/>
        <w:ind w:firstLine="426" w:firstLineChars="200"/>
        <w:jc w:val="left"/>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（7）</w:t>
      </w:r>
      <w:r>
        <w:rPr>
          <w:rFonts w:hint="eastAsia" w:asciiTheme="majorEastAsia" w:hAnsiTheme="majorEastAsia" w:eastAsiaTheme="majorEastAsia" w:cstheme="majorEastAsia"/>
          <w:kern w:val="0"/>
          <w:szCs w:val="21"/>
          <w:highlight w:val="none"/>
          <w:lang w:val="en-US" w:eastAsia="zh-CN"/>
        </w:rPr>
        <w:t>谈判报价，</w:t>
      </w:r>
      <w:r>
        <w:rPr>
          <w:rFonts w:hint="eastAsia" w:asciiTheme="majorEastAsia" w:hAnsiTheme="majorEastAsia" w:eastAsiaTheme="majorEastAsia" w:cstheme="majorEastAsia"/>
          <w:kern w:val="0"/>
          <w:szCs w:val="21"/>
          <w:highlight w:val="none"/>
        </w:rPr>
        <w:t>开启有效投标供应商的报价，</w:t>
      </w:r>
      <w:r>
        <w:rPr>
          <w:rFonts w:hint="eastAsia" w:asciiTheme="majorEastAsia" w:hAnsiTheme="majorEastAsia" w:eastAsiaTheme="majorEastAsia" w:cstheme="majorEastAsia"/>
          <w:szCs w:val="21"/>
          <w:highlight w:val="none"/>
          <w:lang w:bidi="zh-CN"/>
        </w:rPr>
        <w:t>并【开启签字时段】，供应商对开标纪录进行在线签字确认（不予确认的应说明理由，否则视为无异议）</w:t>
      </w:r>
      <w:r>
        <w:rPr>
          <w:rFonts w:hint="eastAsia" w:asciiTheme="majorEastAsia" w:hAnsiTheme="majorEastAsia" w:eastAsiaTheme="majorEastAsia" w:cstheme="majorEastAsia"/>
          <w:kern w:val="0"/>
          <w:szCs w:val="21"/>
          <w:highlight w:val="none"/>
        </w:rPr>
        <w:t>。</w:t>
      </w:r>
    </w:p>
    <w:p w14:paraId="76E1C0B8">
      <w:pPr>
        <w:snapToGrid w:val="0"/>
        <w:spacing w:line="360" w:lineRule="auto"/>
        <w:ind w:firstLine="426" w:firstLineChars="200"/>
        <w:jc w:val="left"/>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开标结束后，由谈判小组对报价的合理性、准确性等进行审查核实</w:t>
      </w:r>
      <w:r>
        <w:rPr>
          <w:rFonts w:hint="eastAsia" w:asciiTheme="majorEastAsia" w:hAnsiTheme="majorEastAsia" w:eastAsiaTheme="majorEastAsia" w:cstheme="majorEastAsia"/>
          <w:szCs w:val="21"/>
          <w:highlight w:val="none"/>
        </w:rPr>
        <w:t>。</w:t>
      </w:r>
    </w:p>
    <w:p w14:paraId="00B367A8">
      <w:pPr>
        <w:snapToGrid w:val="0"/>
        <w:spacing w:line="360" w:lineRule="auto"/>
        <w:ind w:firstLine="426" w:firstLineChars="200"/>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szCs w:val="21"/>
          <w:highlight w:val="none"/>
        </w:rPr>
        <w:t>（8）</w:t>
      </w:r>
      <w:r>
        <w:rPr>
          <w:rFonts w:hint="eastAsia" w:asciiTheme="majorEastAsia" w:hAnsiTheme="majorEastAsia" w:eastAsiaTheme="majorEastAsia" w:cstheme="majorEastAsia"/>
          <w:kern w:val="0"/>
          <w:szCs w:val="21"/>
          <w:highlight w:val="none"/>
        </w:rPr>
        <w:t>评审结束后，采购代理机构在系统上公布评审结果。</w:t>
      </w:r>
    </w:p>
    <w:p w14:paraId="620A00A7">
      <w:pPr>
        <w:shd w:val="clear" w:color="auto" w:fill="auto"/>
        <w:snapToGrid w:val="0"/>
        <w:spacing w:line="360" w:lineRule="auto"/>
        <w:ind w:left="480"/>
        <w:rPr>
          <w:rFonts w:hint="eastAsia" w:asciiTheme="majorEastAsia" w:hAnsiTheme="majorEastAsia" w:eastAsiaTheme="majorEastAsia" w:cstheme="majorEastAsia"/>
          <w:b/>
          <w:color w:val="auto"/>
          <w:sz w:val="21"/>
          <w:szCs w:val="21"/>
          <w:highlight w:val="none"/>
        </w:rPr>
      </w:pPr>
      <w:r>
        <w:rPr>
          <w:rFonts w:hint="eastAsia" w:asciiTheme="majorEastAsia" w:hAnsiTheme="majorEastAsia" w:eastAsiaTheme="majorEastAsia" w:cstheme="majorEastAsia"/>
          <w:b/>
          <w:color w:val="auto"/>
          <w:sz w:val="21"/>
          <w:szCs w:val="21"/>
          <w:highlight w:val="none"/>
        </w:rPr>
        <w:t>特别情况说明：</w:t>
      </w:r>
    </w:p>
    <w:p w14:paraId="5B20567C">
      <w:pPr>
        <w:shd w:val="clear" w:color="auto" w:fill="auto"/>
        <w:snapToGrid w:val="0"/>
        <w:spacing w:line="360" w:lineRule="auto"/>
        <w:ind w:firstLine="376" w:firstLineChars="177"/>
        <w:jc w:val="left"/>
        <w:rPr>
          <w:rFonts w:hint="eastAsia" w:asciiTheme="majorEastAsia" w:hAnsiTheme="majorEastAsia" w:eastAsiaTheme="majorEastAsia" w:cstheme="majorEastAsia"/>
          <w:b/>
          <w:color w:val="auto"/>
          <w:kern w:val="0"/>
          <w:sz w:val="21"/>
          <w:szCs w:val="21"/>
          <w:highlight w:val="none"/>
        </w:rPr>
      </w:pPr>
      <w:r>
        <w:rPr>
          <w:rFonts w:hint="eastAsia" w:asciiTheme="majorEastAsia" w:hAnsiTheme="majorEastAsia" w:eastAsiaTheme="majorEastAsia" w:cstheme="majorEastAsia"/>
          <w:b/>
          <w:color w:val="auto"/>
          <w:kern w:val="0"/>
          <w:sz w:val="21"/>
          <w:szCs w:val="21"/>
          <w:highlight w:val="none"/>
        </w:rPr>
        <w:t>（1）本项目采用电子交易，如遇“</w:t>
      </w:r>
      <w:r>
        <w:rPr>
          <w:rFonts w:hint="eastAsia" w:asciiTheme="majorEastAsia" w:hAnsiTheme="majorEastAsia" w:eastAsiaTheme="majorEastAsia" w:cstheme="majorEastAsia"/>
          <w:b/>
          <w:color w:val="auto"/>
          <w:kern w:val="0"/>
          <w:sz w:val="21"/>
          <w:szCs w:val="21"/>
          <w:highlight w:val="none"/>
          <w:lang w:eastAsia="zh-CN"/>
        </w:rPr>
        <w:t>新疆</w:t>
      </w:r>
      <w:r>
        <w:rPr>
          <w:rFonts w:hint="eastAsia" w:asciiTheme="majorEastAsia" w:hAnsiTheme="majorEastAsia" w:eastAsiaTheme="majorEastAsia" w:cstheme="majorEastAsia"/>
          <w:b/>
          <w:color w:val="auto"/>
          <w:kern w:val="0"/>
          <w:sz w:val="21"/>
          <w:szCs w:val="21"/>
          <w:highlight w:val="none"/>
        </w:rPr>
        <w:t>政府采购云平台”电子化开标或评审程序调整的，按调整后程序执行。</w:t>
      </w:r>
    </w:p>
    <w:p w14:paraId="2B619FC1">
      <w:pPr>
        <w:shd w:val="clear" w:color="auto" w:fill="auto"/>
        <w:snapToGrid w:val="0"/>
        <w:spacing w:line="360" w:lineRule="auto"/>
        <w:ind w:firstLine="376" w:firstLineChars="177"/>
        <w:jc w:val="left"/>
        <w:rPr>
          <w:rFonts w:hint="eastAsia" w:asciiTheme="majorEastAsia" w:hAnsiTheme="majorEastAsia" w:eastAsiaTheme="majorEastAsia" w:cstheme="majorEastAsia"/>
          <w:b/>
          <w:color w:val="auto"/>
          <w:kern w:val="0"/>
          <w:sz w:val="21"/>
          <w:szCs w:val="21"/>
          <w:highlight w:val="none"/>
        </w:rPr>
      </w:pPr>
      <w:r>
        <w:rPr>
          <w:rFonts w:hint="eastAsia" w:asciiTheme="majorEastAsia" w:hAnsiTheme="majorEastAsia" w:eastAsiaTheme="majorEastAsia" w:cstheme="majorEastAsia"/>
          <w:b/>
          <w:color w:val="auto"/>
          <w:kern w:val="0"/>
          <w:sz w:val="21"/>
          <w:szCs w:val="21"/>
          <w:highlight w:val="none"/>
        </w:rPr>
        <w:t>（2）开标过程中需要相关当事人进行签字或盖章确认的材料将通过“政府采购云平台”进行，若因“政府采购云平台”技术问题无法进行签字或盖章确认的，采购组织机构将通过电子邮件等形式予以确认，</w:t>
      </w:r>
      <w:r>
        <w:rPr>
          <w:rFonts w:hint="eastAsia" w:asciiTheme="majorEastAsia" w:hAnsiTheme="majorEastAsia" w:eastAsiaTheme="majorEastAsia" w:cstheme="majorEastAsia"/>
          <w:b/>
          <w:color w:val="auto"/>
          <w:kern w:val="0"/>
          <w:sz w:val="21"/>
          <w:szCs w:val="21"/>
          <w:highlight w:val="none"/>
          <w:u w:val="single"/>
        </w:rPr>
        <w:t>请供应商保证办理投标事宜人员电话畅通、网络在线，签字或盖章确认的时间为</w:t>
      </w:r>
      <w:r>
        <w:rPr>
          <w:rFonts w:hint="eastAsia" w:asciiTheme="majorEastAsia" w:hAnsiTheme="majorEastAsia" w:eastAsiaTheme="majorEastAsia" w:cstheme="majorEastAsia"/>
          <w:b/>
          <w:color w:val="auto"/>
          <w:kern w:val="0"/>
          <w:sz w:val="21"/>
          <w:szCs w:val="21"/>
          <w:highlight w:val="none"/>
          <w:u w:val="single"/>
          <w:lang w:val="en-US" w:eastAsia="zh-CN"/>
        </w:rPr>
        <w:t>20</w:t>
      </w:r>
      <w:r>
        <w:rPr>
          <w:rFonts w:hint="eastAsia" w:asciiTheme="majorEastAsia" w:hAnsiTheme="majorEastAsia" w:eastAsiaTheme="majorEastAsia" w:cstheme="majorEastAsia"/>
          <w:b/>
          <w:color w:val="auto"/>
          <w:kern w:val="0"/>
          <w:sz w:val="21"/>
          <w:szCs w:val="21"/>
          <w:highlight w:val="none"/>
          <w:u w:val="single"/>
        </w:rPr>
        <w:t>分钟。如未及时签字或盖章确认的，视为无异议</w:t>
      </w:r>
      <w:r>
        <w:rPr>
          <w:rFonts w:hint="eastAsia" w:asciiTheme="majorEastAsia" w:hAnsiTheme="majorEastAsia" w:eastAsiaTheme="majorEastAsia" w:cstheme="majorEastAsia"/>
          <w:b/>
          <w:color w:val="auto"/>
          <w:kern w:val="0"/>
          <w:sz w:val="21"/>
          <w:szCs w:val="21"/>
          <w:highlight w:val="none"/>
        </w:rPr>
        <w:t>。</w:t>
      </w:r>
    </w:p>
    <w:p w14:paraId="07B154B2">
      <w:pPr>
        <w:shd w:val="clear" w:color="auto" w:fill="auto"/>
        <w:snapToGrid w:val="0"/>
        <w:spacing w:line="360" w:lineRule="auto"/>
        <w:jc w:val="left"/>
        <w:rPr>
          <w:rFonts w:hint="eastAsia" w:asciiTheme="majorEastAsia" w:hAnsiTheme="majorEastAsia" w:eastAsiaTheme="majorEastAsia" w:cstheme="majorEastAsia"/>
          <w:b/>
          <w:color w:val="auto"/>
          <w:kern w:val="0"/>
          <w:sz w:val="21"/>
          <w:szCs w:val="21"/>
          <w:highlight w:val="none"/>
        </w:rPr>
      </w:pPr>
      <w:r>
        <w:rPr>
          <w:rFonts w:hint="eastAsia" w:asciiTheme="majorEastAsia" w:hAnsiTheme="majorEastAsia" w:eastAsiaTheme="majorEastAsia" w:cstheme="majorEastAsia"/>
          <w:b/>
          <w:color w:val="auto"/>
          <w:kern w:val="0"/>
          <w:sz w:val="21"/>
          <w:szCs w:val="21"/>
          <w:highlight w:val="none"/>
          <w:lang w:val="en-US" w:eastAsia="zh-CN"/>
        </w:rPr>
        <w:t>28.3</w:t>
      </w:r>
      <w:r>
        <w:rPr>
          <w:rFonts w:hint="eastAsia" w:asciiTheme="majorEastAsia" w:hAnsiTheme="majorEastAsia" w:eastAsiaTheme="majorEastAsia" w:cstheme="majorEastAsia"/>
          <w:b/>
          <w:color w:val="auto"/>
          <w:kern w:val="0"/>
          <w:sz w:val="21"/>
          <w:szCs w:val="21"/>
          <w:highlight w:val="none"/>
        </w:rPr>
        <w:t xml:space="preserve"> 投标供应商资格审查：</w:t>
      </w:r>
    </w:p>
    <w:p w14:paraId="25648E65">
      <w:pPr>
        <w:shd w:val="clear" w:color="auto" w:fill="auto"/>
        <w:snapToGrid w:val="0"/>
        <w:spacing w:line="360" w:lineRule="auto"/>
        <w:ind w:firstLine="426" w:firstLineChars="200"/>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（1）</w:t>
      </w:r>
      <w:r>
        <w:rPr>
          <w:rFonts w:hint="eastAsia" w:asciiTheme="majorEastAsia" w:hAnsiTheme="majorEastAsia" w:eastAsiaTheme="majorEastAsia" w:cstheme="majorEastAsia"/>
          <w:bCs/>
          <w:color w:val="auto"/>
          <w:kern w:val="0"/>
          <w:sz w:val="21"/>
          <w:szCs w:val="21"/>
          <w:highlight w:val="none"/>
        </w:rPr>
        <w:t>开标（标书信息开启）后，</w:t>
      </w:r>
      <w:r>
        <w:rPr>
          <w:rFonts w:hint="eastAsia" w:asciiTheme="majorEastAsia" w:hAnsiTheme="majorEastAsia" w:eastAsiaTheme="majorEastAsia" w:cstheme="majorEastAsia"/>
          <w:bCs/>
          <w:color w:val="auto"/>
          <w:kern w:val="0"/>
          <w:sz w:val="21"/>
          <w:szCs w:val="21"/>
          <w:highlight w:val="none"/>
          <w:lang w:val="en-US" w:eastAsia="zh-CN"/>
        </w:rPr>
        <w:t>资格审查小组</w:t>
      </w:r>
      <w:r>
        <w:rPr>
          <w:rFonts w:hint="eastAsia" w:asciiTheme="majorEastAsia" w:hAnsiTheme="majorEastAsia" w:eastAsiaTheme="majorEastAsia" w:cstheme="majorEastAsia"/>
          <w:bCs/>
          <w:color w:val="auto"/>
          <w:kern w:val="0"/>
          <w:sz w:val="21"/>
          <w:szCs w:val="21"/>
          <w:highlight w:val="none"/>
        </w:rPr>
        <w:t>首先依法对投标供应商的资格文件进行审查，审查各投标供应商的资格符合情况。</w:t>
      </w:r>
      <w:r>
        <w:rPr>
          <w:rFonts w:hint="eastAsia" w:asciiTheme="majorEastAsia" w:hAnsiTheme="majorEastAsia" w:eastAsiaTheme="majorEastAsia" w:cstheme="majorEastAsia"/>
          <w:color w:val="auto"/>
          <w:sz w:val="21"/>
          <w:szCs w:val="21"/>
          <w:highlight w:val="none"/>
          <w:lang w:val="en-US" w:eastAsia="zh-CN"/>
        </w:rPr>
        <w:t>资格审查小组</w:t>
      </w:r>
      <w:r>
        <w:rPr>
          <w:rFonts w:hint="eastAsia" w:asciiTheme="majorEastAsia" w:hAnsiTheme="majorEastAsia" w:eastAsiaTheme="majorEastAsia" w:cstheme="majorEastAsia"/>
          <w:color w:val="auto"/>
          <w:sz w:val="21"/>
          <w:szCs w:val="21"/>
          <w:highlight w:val="none"/>
        </w:rPr>
        <w:t>对投标供应商所提交的资格证明材料仅负审核的责任。如发现投标供应商所提交的资格证明材料不合法或与事实不符，采购人可取消其</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 w:val="21"/>
          <w:szCs w:val="21"/>
          <w:highlight w:val="none"/>
        </w:rPr>
        <w:t>资格并追究投标供应商的法律责任。</w:t>
      </w:r>
    </w:p>
    <w:p w14:paraId="2D40BB99">
      <w:pPr>
        <w:pStyle w:val="6"/>
        <w:shd w:val="clear" w:color="auto" w:fill="auto"/>
        <w:snapToGrid w:val="0"/>
        <w:spacing w:line="360" w:lineRule="auto"/>
        <w:rPr>
          <w:rFonts w:hint="eastAsia" w:asciiTheme="majorEastAsia" w:hAnsiTheme="majorEastAsia" w:eastAsiaTheme="majorEastAsia" w:cstheme="majorEastAsia"/>
          <w:b w:val="0"/>
          <w:bCs/>
          <w:color w:val="auto"/>
          <w:sz w:val="21"/>
          <w:szCs w:val="21"/>
          <w:highlight w:val="none"/>
        </w:rPr>
      </w:pPr>
      <w:r>
        <w:rPr>
          <w:rFonts w:hint="eastAsia" w:asciiTheme="majorEastAsia" w:hAnsiTheme="majorEastAsia" w:eastAsiaTheme="majorEastAsia" w:cstheme="majorEastAsia"/>
          <w:b w:val="0"/>
          <w:bCs/>
          <w:color w:val="auto"/>
          <w:sz w:val="21"/>
          <w:szCs w:val="21"/>
          <w:highlight w:val="none"/>
        </w:rPr>
        <w:t>（2）投标供应商提交的资格证明材料无法证明其符合采购文件规定的“投标供应商资格要求”的，</w:t>
      </w:r>
      <w:r>
        <w:rPr>
          <w:rFonts w:hint="eastAsia" w:asciiTheme="majorEastAsia" w:hAnsiTheme="majorEastAsia" w:eastAsiaTheme="majorEastAsia" w:cstheme="majorEastAsia"/>
          <w:b w:val="0"/>
          <w:bCs/>
          <w:color w:val="auto"/>
          <w:sz w:val="21"/>
          <w:szCs w:val="21"/>
          <w:highlight w:val="none"/>
          <w:lang w:val="en-US" w:eastAsia="zh-CN"/>
        </w:rPr>
        <w:t>资格审查小组</w:t>
      </w:r>
      <w:r>
        <w:rPr>
          <w:rFonts w:hint="eastAsia" w:asciiTheme="majorEastAsia" w:hAnsiTheme="majorEastAsia" w:eastAsiaTheme="majorEastAsia" w:cstheme="majorEastAsia"/>
          <w:b w:val="0"/>
          <w:bCs/>
          <w:color w:val="auto"/>
          <w:sz w:val="21"/>
          <w:szCs w:val="21"/>
          <w:highlight w:val="none"/>
        </w:rPr>
        <w:t>将对其作“资格审查不合格”处理（无效投标），并不再将其投标提交</w:t>
      </w:r>
      <w:r>
        <w:rPr>
          <w:rFonts w:hint="eastAsia" w:asciiTheme="majorEastAsia" w:hAnsiTheme="majorEastAsia" w:eastAsiaTheme="majorEastAsia" w:cstheme="majorEastAsia"/>
          <w:b w:val="0"/>
          <w:bCs/>
          <w:color w:val="auto"/>
          <w:sz w:val="21"/>
          <w:szCs w:val="21"/>
          <w:highlight w:val="none"/>
          <w:lang w:eastAsia="zh-CN"/>
        </w:rPr>
        <w:t>谈判小组</w:t>
      </w:r>
      <w:r>
        <w:rPr>
          <w:rFonts w:hint="eastAsia" w:asciiTheme="majorEastAsia" w:hAnsiTheme="majorEastAsia" w:eastAsiaTheme="majorEastAsia" w:cstheme="majorEastAsia"/>
          <w:b w:val="0"/>
          <w:bCs/>
          <w:color w:val="auto"/>
          <w:sz w:val="21"/>
          <w:szCs w:val="21"/>
          <w:highlight w:val="none"/>
        </w:rPr>
        <w:t>进行后续评审。</w:t>
      </w:r>
    </w:p>
    <w:p w14:paraId="0D58569B">
      <w:pPr>
        <w:pStyle w:val="6"/>
        <w:shd w:val="clear" w:color="auto" w:fill="auto"/>
        <w:snapToGrid w:val="0"/>
        <w:spacing w:line="360" w:lineRule="auto"/>
        <w:rPr>
          <w:rFonts w:hint="eastAsia" w:asciiTheme="majorEastAsia" w:hAnsiTheme="majorEastAsia" w:eastAsiaTheme="majorEastAsia" w:cstheme="majorEastAsia"/>
          <w:b w:val="0"/>
          <w:bCs/>
          <w:color w:val="auto"/>
          <w:sz w:val="21"/>
          <w:szCs w:val="21"/>
          <w:highlight w:val="none"/>
        </w:rPr>
      </w:pPr>
      <w:r>
        <w:rPr>
          <w:rFonts w:hint="eastAsia" w:asciiTheme="majorEastAsia" w:hAnsiTheme="majorEastAsia" w:eastAsiaTheme="majorEastAsia" w:cstheme="majorEastAsia"/>
          <w:b w:val="0"/>
          <w:bCs/>
          <w:color w:val="auto"/>
          <w:sz w:val="21"/>
          <w:szCs w:val="21"/>
          <w:highlight w:val="none"/>
        </w:rPr>
        <w:t>（3）</w:t>
      </w:r>
      <w:r>
        <w:rPr>
          <w:rFonts w:hint="eastAsia" w:asciiTheme="majorEastAsia" w:hAnsiTheme="majorEastAsia" w:eastAsiaTheme="majorEastAsia" w:cstheme="majorEastAsia"/>
          <w:b w:val="0"/>
          <w:bCs/>
          <w:color w:val="auto"/>
          <w:kern w:val="0"/>
          <w:sz w:val="21"/>
          <w:szCs w:val="21"/>
          <w:highlight w:val="none"/>
        </w:rPr>
        <w:t>供应商</w:t>
      </w:r>
      <w:r>
        <w:rPr>
          <w:rFonts w:hint="eastAsia" w:asciiTheme="majorEastAsia" w:hAnsiTheme="majorEastAsia" w:eastAsiaTheme="majorEastAsia" w:cstheme="majorEastAsia"/>
          <w:b w:val="0"/>
          <w:bCs/>
          <w:color w:val="auto"/>
          <w:sz w:val="21"/>
          <w:szCs w:val="21"/>
          <w:highlight w:val="none"/>
        </w:rPr>
        <w:t>信用记录查询与使用：</w:t>
      </w:r>
      <w:r>
        <w:rPr>
          <w:rFonts w:hint="eastAsia" w:asciiTheme="majorEastAsia" w:hAnsiTheme="majorEastAsia" w:eastAsiaTheme="majorEastAsia" w:cstheme="majorEastAsia"/>
          <w:b w:val="0"/>
          <w:bCs/>
          <w:color w:val="auto"/>
          <w:kern w:val="0"/>
          <w:sz w:val="21"/>
          <w:szCs w:val="21"/>
          <w:highlight w:val="none"/>
        </w:rPr>
        <w:t>见《供应商须知前附表》。</w:t>
      </w:r>
    </w:p>
    <w:p w14:paraId="5D722891">
      <w:pPr>
        <w:shd w:val="clear" w:color="auto" w:fill="auto"/>
        <w:snapToGrid w:val="0"/>
        <w:spacing w:line="360" w:lineRule="auto"/>
        <w:outlineLvl w:val="2"/>
        <w:rPr>
          <w:rFonts w:hint="eastAsia" w:asciiTheme="majorEastAsia" w:hAnsiTheme="majorEastAsia" w:eastAsiaTheme="majorEastAsia" w:cstheme="majorEastAsia"/>
          <w:b/>
          <w:color w:val="auto"/>
          <w:sz w:val="21"/>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评审工作</w:t>
      </w:r>
    </w:p>
    <w:p w14:paraId="6E0DF0BE">
      <w:pPr>
        <w:widowControl/>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采购人或采购代理机构负责组织本项目的评审工作，并依据《政府采购货物和服务招标投标管理办法（财政部第87号令）》第四十五条的相关规定履行职责。</w:t>
      </w:r>
    </w:p>
    <w:p w14:paraId="7A734DDC">
      <w:pPr>
        <w:shd w:val="clear" w:color="auto" w:fill="auto"/>
        <w:snapToGrid w:val="0"/>
        <w:spacing w:line="360" w:lineRule="auto"/>
        <w:outlineLvl w:val="2"/>
        <w:rPr>
          <w:rFonts w:hint="eastAsia" w:asciiTheme="majorEastAsia" w:hAnsiTheme="majorEastAsia" w:eastAsiaTheme="majorEastAsia" w:cstheme="majorEastAsia"/>
          <w:b/>
          <w:color w:val="auto"/>
          <w:sz w:val="21"/>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30. 谈判小组的组建</w:t>
      </w:r>
    </w:p>
    <w:p w14:paraId="1381E667">
      <w:pPr>
        <w:widowControl/>
        <w:shd w:val="clear" w:color="auto" w:fill="auto"/>
        <w:spacing w:line="440" w:lineRule="exact"/>
        <w:ind w:firstLine="213" w:firstLineChars="100"/>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color w:val="auto"/>
          <w:szCs w:val="21"/>
          <w:highlight w:val="none"/>
          <w:lang w:val="en-US" w:eastAsia="zh-CN"/>
        </w:rPr>
        <w:t>30</w:t>
      </w:r>
      <w:r>
        <w:rPr>
          <w:rFonts w:hint="eastAsia" w:asciiTheme="majorEastAsia" w:hAnsiTheme="majorEastAsia" w:eastAsiaTheme="majorEastAsia" w:cstheme="majorEastAsia"/>
          <w:color w:val="auto"/>
          <w:szCs w:val="21"/>
          <w:highlight w:val="none"/>
        </w:rPr>
        <w:t>.1</w:t>
      </w:r>
      <w:r>
        <w:rPr>
          <w:rFonts w:hint="eastAsia" w:asciiTheme="majorEastAsia" w:hAnsiTheme="majorEastAsia" w:eastAsiaTheme="majorEastAsia" w:cstheme="majorEastAsia"/>
          <w:b/>
          <w:bCs/>
          <w:color w:val="auto"/>
          <w:szCs w:val="21"/>
          <w:highlight w:val="none"/>
          <w:lang w:eastAsia="zh-CN"/>
        </w:rPr>
        <w:t>谈判小组</w:t>
      </w:r>
      <w:r>
        <w:rPr>
          <w:rFonts w:hint="eastAsia" w:asciiTheme="majorEastAsia" w:hAnsiTheme="majorEastAsia" w:eastAsiaTheme="majorEastAsia" w:cstheme="majorEastAsia"/>
          <w:b/>
          <w:bCs/>
          <w:color w:val="auto"/>
          <w:szCs w:val="21"/>
          <w:highlight w:val="none"/>
        </w:rPr>
        <w:t>由采购人或采购代理机构依法组建，成员由采购人代表和评审专家组成，成员人数为</w:t>
      </w:r>
      <w:r>
        <w:rPr>
          <w:rFonts w:hint="eastAsia" w:asciiTheme="majorEastAsia" w:hAnsiTheme="majorEastAsia" w:eastAsiaTheme="majorEastAsia" w:cstheme="majorEastAsia"/>
          <w:b/>
          <w:bCs/>
          <w:color w:val="auto"/>
          <w:szCs w:val="21"/>
          <w:highlight w:val="none"/>
          <w:lang w:val="en-US" w:eastAsia="zh-CN"/>
        </w:rPr>
        <w:t>3</w:t>
      </w:r>
      <w:r>
        <w:rPr>
          <w:rFonts w:hint="eastAsia" w:asciiTheme="majorEastAsia" w:hAnsiTheme="majorEastAsia" w:eastAsiaTheme="majorEastAsia" w:cstheme="majorEastAsia"/>
          <w:b/>
          <w:bCs/>
          <w:color w:val="auto"/>
          <w:szCs w:val="21"/>
          <w:highlight w:val="none"/>
        </w:rPr>
        <w:t>人，其中评审专家不少于成员总数的三分之二。</w:t>
      </w:r>
    </w:p>
    <w:p w14:paraId="527A8F79">
      <w:pPr>
        <w:widowControl/>
        <w:shd w:val="clear" w:color="auto" w:fill="auto"/>
        <w:spacing w:line="440" w:lineRule="exact"/>
        <w:ind w:firstLine="213" w:firstLineChars="1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30</w:t>
      </w:r>
      <w:r>
        <w:rPr>
          <w:rFonts w:hint="eastAsia" w:asciiTheme="majorEastAsia" w:hAnsiTheme="majorEastAsia" w:eastAsiaTheme="majorEastAsia" w:cstheme="majorEastAsia"/>
          <w:color w:val="auto"/>
          <w:szCs w:val="21"/>
          <w:highlight w:val="none"/>
        </w:rPr>
        <w:t>.2评审专家从</w:t>
      </w:r>
      <w:r>
        <w:rPr>
          <w:rFonts w:hint="eastAsia" w:asciiTheme="majorEastAsia" w:hAnsiTheme="majorEastAsia" w:eastAsiaTheme="majorEastAsia" w:cstheme="majorEastAsia"/>
          <w:color w:val="auto"/>
          <w:szCs w:val="21"/>
          <w:highlight w:val="none"/>
          <w:lang w:eastAsia="zh-CN"/>
        </w:rPr>
        <w:t>新疆</w:t>
      </w:r>
      <w:r>
        <w:rPr>
          <w:rFonts w:hint="eastAsia" w:asciiTheme="majorEastAsia" w:hAnsiTheme="majorEastAsia" w:eastAsiaTheme="majorEastAsia" w:cstheme="majorEastAsia"/>
          <w:color w:val="auto"/>
          <w:szCs w:val="21"/>
          <w:highlight w:val="none"/>
        </w:rPr>
        <w:t>政府采购云平台专家库中通过随机方式抽取产生。</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成员名单在采购结果公告前保密。</w:t>
      </w:r>
    </w:p>
    <w:p w14:paraId="4A38B4C7">
      <w:pPr>
        <w:widowControl/>
        <w:shd w:val="clear" w:color="auto" w:fill="auto"/>
        <w:spacing w:line="440" w:lineRule="exact"/>
        <w:ind w:firstLine="213" w:firstLineChars="100"/>
        <w:rPr>
          <w:rFonts w:hint="eastAsia" w:asciiTheme="majorEastAsia" w:hAnsiTheme="majorEastAsia" w:eastAsiaTheme="majorEastAsia" w:cstheme="majorEastAsia"/>
          <w:b/>
          <w:color w:val="auto"/>
          <w:sz w:val="21"/>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31.谈判小组的职责</w:t>
      </w:r>
    </w:p>
    <w:p w14:paraId="39735350">
      <w:pPr>
        <w:widowControl/>
        <w:shd w:val="clear" w:color="auto" w:fill="auto"/>
        <w:spacing w:line="440" w:lineRule="exact"/>
        <w:ind w:firstLine="213" w:firstLineChars="1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31</w:t>
      </w:r>
      <w:r>
        <w:rPr>
          <w:rFonts w:hint="eastAsia" w:asciiTheme="majorEastAsia" w:hAnsiTheme="majorEastAsia" w:eastAsiaTheme="majorEastAsia" w:cstheme="majorEastAsia"/>
          <w:color w:val="auto"/>
          <w:szCs w:val="21"/>
          <w:highlight w:val="none"/>
        </w:rPr>
        <w:t>.1审查、评价投标文件是否符合采购文件的商务、技术等实质性要求。</w:t>
      </w:r>
    </w:p>
    <w:p w14:paraId="09ACB2B0">
      <w:pPr>
        <w:widowControl/>
        <w:shd w:val="clear" w:color="auto" w:fill="auto"/>
        <w:spacing w:line="440" w:lineRule="exact"/>
        <w:ind w:firstLine="213" w:firstLineChars="1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31</w:t>
      </w:r>
      <w:r>
        <w:rPr>
          <w:rFonts w:hint="eastAsia" w:asciiTheme="majorEastAsia" w:hAnsiTheme="majorEastAsia" w:eastAsiaTheme="majorEastAsia" w:cstheme="majorEastAsia"/>
          <w:color w:val="auto"/>
          <w:szCs w:val="21"/>
          <w:highlight w:val="none"/>
        </w:rPr>
        <w:t>.2要求供应商对投标文件有关事项作出澄清或者说明。</w:t>
      </w:r>
    </w:p>
    <w:p w14:paraId="55F8EBF5">
      <w:pPr>
        <w:widowControl/>
        <w:shd w:val="clear" w:color="auto" w:fill="auto"/>
        <w:spacing w:line="440" w:lineRule="exact"/>
        <w:ind w:firstLine="213" w:firstLineChars="1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31</w:t>
      </w:r>
      <w:r>
        <w:rPr>
          <w:rFonts w:hint="eastAsia" w:asciiTheme="majorEastAsia" w:hAnsiTheme="majorEastAsia" w:eastAsiaTheme="majorEastAsia" w:cstheme="majorEastAsia"/>
          <w:color w:val="auto"/>
          <w:szCs w:val="21"/>
          <w:highlight w:val="none"/>
        </w:rPr>
        <w:t>.3对投标文件进行比较和评价。</w:t>
      </w:r>
    </w:p>
    <w:p w14:paraId="5809F4F8">
      <w:pPr>
        <w:widowControl/>
        <w:shd w:val="clear" w:color="auto" w:fill="auto"/>
        <w:spacing w:line="440" w:lineRule="exact"/>
        <w:ind w:firstLine="213" w:firstLineChars="1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31</w:t>
      </w:r>
      <w:r>
        <w:rPr>
          <w:rFonts w:hint="eastAsia" w:asciiTheme="majorEastAsia" w:hAnsiTheme="majorEastAsia" w:eastAsiaTheme="majorEastAsia" w:cstheme="majorEastAsia"/>
          <w:color w:val="auto"/>
          <w:szCs w:val="21"/>
          <w:highlight w:val="none"/>
        </w:rPr>
        <w:t>.4确定</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候选人名单，</w:t>
      </w:r>
      <w:r>
        <w:rPr>
          <w:rFonts w:hint="eastAsia" w:asciiTheme="majorEastAsia" w:hAnsiTheme="majorEastAsia" w:eastAsiaTheme="majorEastAsia" w:cstheme="majorEastAsia"/>
          <w:color w:val="auto"/>
          <w:szCs w:val="21"/>
          <w:highlight w:val="none"/>
          <w:lang w:val="en-US" w:eastAsia="zh-CN"/>
        </w:rPr>
        <w:t>或</w:t>
      </w:r>
      <w:r>
        <w:rPr>
          <w:rFonts w:hint="eastAsia" w:asciiTheme="majorEastAsia" w:hAnsiTheme="majorEastAsia" w:eastAsiaTheme="majorEastAsia" w:cstheme="majorEastAsia"/>
          <w:color w:val="auto"/>
          <w:szCs w:val="21"/>
          <w:highlight w:val="none"/>
        </w:rPr>
        <w:t>根据采购人委托直接确定</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人。</w:t>
      </w:r>
    </w:p>
    <w:p w14:paraId="6BE6A67D">
      <w:pPr>
        <w:widowControl/>
        <w:shd w:val="clear" w:color="auto" w:fill="auto"/>
        <w:spacing w:line="440" w:lineRule="exact"/>
        <w:ind w:firstLine="213" w:firstLineChars="1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31</w:t>
      </w:r>
      <w:r>
        <w:rPr>
          <w:rFonts w:hint="eastAsia" w:asciiTheme="majorEastAsia" w:hAnsiTheme="majorEastAsia" w:eastAsiaTheme="majorEastAsia" w:cstheme="majorEastAsia"/>
          <w:color w:val="auto"/>
          <w:szCs w:val="21"/>
          <w:highlight w:val="none"/>
        </w:rPr>
        <w:t>.5向采购人、采购代理机构或者有关部门报告评审中发现的违法行为。</w:t>
      </w:r>
    </w:p>
    <w:p w14:paraId="366B2532">
      <w:pPr>
        <w:widowControl/>
        <w:shd w:val="clear" w:color="auto" w:fill="auto"/>
        <w:spacing w:line="440" w:lineRule="exact"/>
        <w:ind w:firstLine="213" w:firstLineChars="100"/>
        <w:rPr>
          <w:rFonts w:hint="eastAsia" w:asciiTheme="majorEastAsia" w:hAnsiTheme="majorEastAsia" w:eastAsiaTheme="majorEastAsia" w:cstheme="majorEastAsia"/>
          <w:b/>
          <w:color w:val="auto"/>
          <w:sz w:val="21"/>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32. 评标原则</w:t>
      </w:r>
    </w:p>
    <w:p w14:paraId="074D2F57">
      <w:pPr>
        <w:widowControl/>
        <w:shd w:val="clear" w:color="auto" w:fill="auto"/>
        <w:spacing w:line="440" w:lineRule="exact"/>
        <w:ind w:firstLine="213" w:firstLineChars="1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32</w:t>
      </w:r>
      <w:r>
        <w:rPr>
          <w:rFonts w:hint="eastAsia" w:asciiTheme="majorEastAsia" w:hAnsiTheme="majorEastAsia" w:eastAsiaTheme="majorEastAsia" w:cstheme="majorEastAsia"/>
          <w:color w:val="auto"/>
          <w:szCs w:val="21"/>
          <w:highlight w:val="none"/>
        </w:rPr>
        <w:t>.1</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将遵循公平、公正、科学的原则，对供应商提交的投标文件进行</w:t>
      </w:r>
      <w:r>
        <w:rPr>
          <w:rFonts w:hint="eastAsia" w:asciiTheme="majorEastAsia" w:hAnsiTheme="majorEastAsia" w:eastAsiaTheme="majorEastAsia" w:cstheme="majorEastAsia"/>
          <w:color w:val="auto"/>
          <w:szCs w:val="21"/>
          <w:highlight w:val="none"/>
          <w:lang w:val="en-US" w:eastAsia="zh-CN"/>
        </w:rPr>
        <w:t>最低价</w:t>
      </w:r>
      <w:r>
        <w:rPr>
          <w:rFonts w:hint="eastAsia" w:asciiTheme="majorEastAsia" w:hAnsiTheme="majorEastAsia" w:eastAsiaTheme="majorEastAsia" w:cstheme="majorEastAsia"/>
          <w:color w:val="auto"/>
          <w:szCs w:val="21"/>
          <w:highlight w:val="none"/>
        </w:rPr>
        <w:t>评审，</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按照采购文件规定的评标</w:t>
      </w:r>
      <w:r>
        <w:rPr>
          <w:rFonts w:hint="eastAsia" w:asciiTheme="majorEastAsia" w:hAnsiTheme="majorEastAsia" w:eastAsiaTheme="majorEastAsia" w:cstheme="majorEastAsia"/>
          <w:color w:val="auto"/>
          <w:szCs w:val="21"/>
          <w:highlight w:val="none"/>
          <w:lang w:val="en-US" w:eastAsia="zh-CN"/>
        </w:rPr>
        <w:t>要求</w:t>
      </w:r>
      <w:r>
        <w:rPr>
          <w:rFonts w:hint="eastAsia" w:asciiTheme="majorEastAsia" w:hAnsiTheme="majorEastAsia" w:eastAsiaTheme="majorEastAsia" w:cstheme="majorEastAsia"/>
          <w:color w:val="auto"/>
          <w:szCs w:val="21"/>
          <w:highlight w:val="none"/>
        </w:rPr>
        <w:t>进行</w:t>
      </w:r>
      <w:r>
        <w:rPr>
          <w:rFonts w:hint="eastAsia" w:asciiTheme="majorEastAsia" w:hAnsiTheme="majorEastAsia" w:eastAsiaTheme="majorEastAsia" w:cstheme="majorEastAsia"/>
          <w:color w:val="auto"/>
          <w:szCs w:val="21"/>
          <w:highlight w:val="none"/>
          <w:lang w:val="en-US" w:eastAsia="zh-CN"/>
        </w:rPr>
        <w:t>比较</w:t>
      </w:r>
      <w:r>
        <w:rPr>
          <w:rFonts w:hint="eastAsia" w:asciiTheme="majorEastAsia" w:hAnsiTheme="majorEastAsia" w:eastAsiaTheme="majorEastAsia" w:cstheme="majorEastAsia"/>
          <w:color w:val="auto"/>
          <w:szCs w:val="21"/>
          <w:highlight w:val="none"/>
        </w:rPr>
        <w:t>。</w:t>
      </w:r>
    </w:p>
    <w:p w14:paraId="6E865E48">
      <w:pPr>
        <w:widowControl/>
        <w:shd w:val="clear" w:color="auto" w:fill="auto"/>
        <w:spacing w:line="440" w:lineRule="exact"/>
        <w:ind w:firstLine="213" w:firstLineChars="1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32</w:t>
      </w:r>
      <w:r>
        <w:rPr>
          <w:rFonts w:hint="eastAsia" w:asciiTheme="majorEastAsia" w:hAnsiTheme="majorEastAsia" w:eastAsiaTheme="majorEastAsia" w:cstheme="majorEastAsia"/>
          <w:color w:val="auto"/>
          <w:szCs w:val="21"/>
          <w:highlight w:val="none"/>
        </w:rPr>
        <w:t>.2客观公正对待所有供应商，对所有投标</w:t>
      </w:r>
      <w:r>
        <w:rPr>
          <w:rFonts w:hint="eastAsia" w:asciiTheme="majorEastAsia" w:hAnsiTheme="majorEastAsia" w:eastAsiaTheme="majorEastAsia" w:cstheme="majorEastAsia"/>
          <w:color w:val="auto"/>
          <w:szCs w:val="21"/>
          <w:highlight w:val="none"/>
          <w:lang w:val="en-US" w:eastAsia="zh-CN"/>
        </w:rPr>
        <w:t>文件</w:t>
      </w:r>
      <w:r>
        <w:rPr>
          <w:rFonts w:hint="eastAsia" w:asciiTheme="majorEastAsia" w:hAnsiTheme="majorEastAsia" w:eastAsiaTheme="majorEastAsia" w:cstheme="majorEastAsia"/>
          <w:color w:val="auto"/>
          <w:szCs w:val="21"/>
          <w:highlight w:val="none"/>
        </w:rPr>
        <w:t xml:space="preserve">均采用相同的程序和标准。 </w:t>
      </w:r>
    </w:p>
    <w:p w14:paraId="4B0F7741">
      <w:pPr>
        <w:widowControl/>
        <w:shd w:val="clear" w:color="auto" w:fill="auto"/>
        <w:spacing w:line="440" w:lineRule="exact"/>
        <w:ind w:firstLine="213" w:firstLineChars="1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32</w:t>
      </w:r>
      <w:r>
        <w:rPr>
          <w:rFonts w:hint="eastAsia" w:asciiTheme="majorEastAsia" w:hAnsiTheme="majorEastAsia" w:eastAsiaTheme="majorEastAsia" w:cstheme="majorEastAsia"/>
          <w:color w:val="auto"/>
          <w:szCs w:val="21"/>
          <w:highlight w:val="none"/>
        </w:rPr>
        <w:t>.3</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成员对需要共同认定的事项存在争议的，按照少数服从多数的原则作出结论。持不同意见的</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 xml:space="preserve">成员应当在评审报告上签署不同意见及理由，否则视为同意评审报告。     </w:t>
      </w:r>
    </w:p>
    <w:p w14:paraId="5FD367B8">
      <w:pPr>
        <w:widowControl/>
        <w:shd w:val="clear" w:color="auto" w:fill="auto"/>
        <w:spacing w:line="440" w:lineRule="exact"/>
        <w:ind w:firstLine="213" w:firstLineChars="100"/>
        <w:rPr>
          <w:rFonts w:hint="eastAsia" w:asciiTheme="majorEastAsia" w:hAnsiTheme="majorEastAsia" w:eastAsiaTheme="majorEastAsia" w:cstheme="majorEastAsia"/>
          <w:b/>
          <w:color w:val="auto"/>
          <w:sz w:val="21"/>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33. 评委纪律</w:t>
      </w:r>
    </w:p>
    <w:p w14:paraId="5E6456C3">
      <w:pPr>
        <w:widowControl/>
        <w:shd w:val="clear" w:color="auto" w:fill="auto"/>
        <w:spacing w:line="44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成员必须严格遵守保密规定，不得泄露评审的有关情况，任何单位和个人不得干扰、影响评标的正常进行，</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成员不得私下与投标供应商接触，不得出现</w:t>
      </w:r>
      <w:r>
        <w:rPr>
          <w:rFonts w:hint="eastAsia" w:asciiTheme="majorEastAsia" w:hAnsiTheme="majorEastAsia" w:eastAsiaTheme="majorEastAsia" w:cstheme="majorEastAsia"/>
          <w:color w:val="auto"/>
          <w:szCs w:val="21"/>
          <w:highlight w:val="none"/>
          <w:lang w:val="en-US" w:eastAsia="zh-CN"/>
        </w:rPr>
        <w:t>自治区</w:t>
      </w:r>
      <w:bookmarkStart w:id="122" w:name="_GoBack"/>
      <w:bookmarkEnd w:id="122"/>
      <w:r>
        <w:rPr>
          <w:rFonts w:hint="eastAsia" w:asciiTheme="majorEastAsia" w:hAnsiTheme="majorEastAsia" w:eastAsiaTheme="majorEastAsia" w:cstheme="majorEastAsia"/>
          <w:color w:val="auto"/>
          <w:szCs w:val="21"/>
          <w:highlight w:val="none"/>
        </w:rPr>
        <w:t>采购活动现场组织管理办法中规定的其他禁止行为。</w:t>
      </w:r>
    </w:p>
    <w:p w14:paraId="3F76A29F">
      <w:pPr>
        <w:widowControl/>
        <w:shd w:val="clear" w:color="auto" w:fill="auto"/>
        <w:spacing w:line="440" w:lineRule="exact"/>
        <w:ind w:firstLine="213" w:firstLineChars="1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b/>
          <w:color w:val="auto"/>
          <w:sz w:val="21"/>
          <w:szCs w:val="21"/>
          <w:highlight w:val="none"/>
          <w:lang w:val="en-US" w:eastAsia="zh-CN"/>
        </w:rPr>
        <w:t>34.评标程序（详见“本采购文件：第三章  评标办法”）</w:t>
      </w:r>
    </w:p>
    <w:p w14:paraId="6BF4ECCB">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35．澄清、说明或补正的形式</w:t>
      </w:r>
    </w:p>
    <w:p w14:paraId="08BE64C3">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35.1对于投标文件中含义不明确、同类问题表述不一致或者有明显文字和计算错误的内容，谈判小组将通过“政府采购云平台”在线询标的方式要求投标供应商在规定的时间内作出必要的澄清、说明或者补正，</w:t>
      </w:r>
      <w:r>
        <w:rPr>
          <w:rFonts w:hint="eastAsia" w:asciiTheme="majorEastAsia" w:hAnsiTheme="majorEastAsia" w:eastAsiaTheme="majorEastAsia" w:cstheme="majorEastAsia"/>
          <w:b/>
          <w:bCs/>
          <w:color w:val="auto"/>
          <w:szCs w:val="21"/>
          <w:highlight w:val="none"/>
          <w:lang w:val="en-US" w:eastAsia="zh-CN"/>
        </w:rPr>
        <w:t>投标供应商澄清、说明或补正时间为20分钟</w:t>
      </w:r>
      <w:r>
        <w:rPr>
          <w:rFonts w:hint="eastAsia" w:asciiTheme="majorEastAsia" w:hAnsiTheme="majorEastAsia" w:eastAsiaTheme="majorEastAsia" w:cstheme="majorEastAsia"/>
          <w:b w:val="0"/>
          <w:bCs w:val="0"/>
          <w:color w:val="auto"/>
          <w:szCs w:val="21"/>
          <w:highlight w:val="none"/>
          <w:lang w:val="en-US" w:eastAsia="zh-CN"/>
        </w:rPr>
        <w:t>。</w:t>
      </w:r>
    </w:p>
    <w:p w14:paraId="0CD97516">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35.2投标供应商的澄清、说明或者补正应当通过“政府采购云平台”在线答复的方式提交，并加盖公章（电子印章），或者由法定代表人或其授权的代表签字。投标供应商的澄清、说明或者补正不得超出投标文件的范围或者改变投标文件的实质性内容，不接受投标供应商主动对投标文件的澄清、说明或者补正。</w:t>
      </w:r>
    </w:p>
    <w:p w14:paraId="729A05AA">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35.3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225728F5">
      <w:pPr>
        <w:shd w:val="clear" w:color="auto" w:fill="auto"/>
        <w:spacing w:line="440" w:lineRule="exact"/>
        <w:ind w:firstLine="213" w:firstLineChars="100"/>
        <w:jc w:val="left"/>
        <w:rPr>
          <w:rFonts w:hint="eastAsia" w:asciiTheme="majorEastAsia" w:hAnsiTheme="majorEastAsia" w:eastAsiaTheme="majorEastAsia" w:cstheme="majorEastAsia"/>
          <w:b/>
          <w:color w:val="auto"/>
          <w:sz w:val="21"/>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36．错误修正的原则</w:t>
      </w:r>
    </w:p>
    <w:p w14:paraId="69FA2534">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电子交易平台客户端里开标一览表录入的投标报价或优惠率与扫描上传的报价文件信息不一致的，以扫描上传的报价文件信息为准进行修正。</w:t>
      </w:r>
    </w:p>
    <w:p w14:paraId="1068D46E">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投标文件报价出现前后不一致的，除采购文件另有规定外，按照下列规定修正：</w:t>
      </w:r>
    </w:p>
    <w:p w14:paraId="3978E29B">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36.1 投标函中表述的内容与报价表中不一致的，以报价表为准；报价表中的内容与报价明细表不一致的，以报价表为准；</w:t>
      </w:r>
    </w:p>
    <w:p w14:paraId="571EA432">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36.2 投标文件中的大写金额和小写金额不一致的，以大写金额为准；</w:t>
      </w:r>
    </w:p>
    <w:p w14:paraId="23DBA0A0">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36.3 单价金额小数点或者百分比有明显错位的，以开标一览表的总价为准，并修改单价；</w:t>
      </w:r>
    </w:p>
    <w:p w14:paraId="6B09BB53">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36.4 总价金额与按单价汇总金额不一致的，以单价金额计算结果为准；</w:t>
      </w:r>
    </w:p>
    <w:p w14:paraId="51A37551">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36.5 若用文字表示的数值与用数字表示的数值不一致，以文字表示的数值为准；</w:t>
      </w:r>
    </w:p>
    <w:p w14:paraId="18167357">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36.6 如有多报（指数量超出采购文件需求）、重报（指同一货物重复报价），其投标总价在评标过程中不予调整，如其成交，其合同价按其投标单价予以调整；</w:t>
      </w:r>
    </w:p>
    <w:p w14:paraId="021CBDCE">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36.7 对不同文字文本投标文件的解释发生异议的，以中文文本为准；</w:t>
      </w:r>
    </w:p>
    <w:p w14:paraId="19B454D7">
      <w:pPr>
        <w:shd w:val="clear" w:color="auto" w:fill="auto"/>
        <w:spacing w:line="440" w:lineRule="exact"/>
        <w:ind w:firstLine="213" w:firstLineChars="100"/>
        <w:jc w:val="left"/>
        <w:rPr>
          <w:rFonts w:hint="eastAsia" w:asciiTheme="majorEastAsia" w:hAnsiTheme="majorEastAsia" w:eastAsiaTheme="majorEastAsia" w:cstheme="majorEastAsia"/>
          <w:b/>
          <w:bCs/>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w:t>
      </w:r>
      <w:r>
        <w:rPr>
          <w:rFonts w:hint="eastAsia" w:asciiTheme="majorEastAsia" w:hAnsiTheme="majorEastAsia" w:eastAsiaTheme="majorEastAsia" w:cstheme="majorEastAsia"/>
          <w:b/>
          <w:bCs/>
          <w:color w:val="auto"/>
          <w:szCs w:val="21"/>
          <w:highlight w:val="none"/>
          <w:lang w:val="en-US" w:eastAsia="zh-CN"/>
        </w:rPr>
        <w:t>修正应当采用电子询标的形式，并加盖公章（电子印章）。</w:t>
      </w:r>
    </w:p>
    <w:p w14:paraId="07D0AB98">
      <w:pPr>
        <w:shd w:val="clear" w:color="auto" w:fill="auto"/>
        <w:spacing w:line="440" w:lineRule="exact"/>
        <w:ind w:firstLine="213" w:firstLineChars="100"/>
        <w:jc w:val="left"/>
        <w:rPr>
          <w:rFonts w:hint="eastAsia" w:asciiTheme="majorEastAsia" w:hAnsiTheme="majorEastAsia" w:eastAsiaTheme="majorEastAsia" w:cstheme="majorEastAsia"/>
          <w:b/>
          <w:color w:val="auto"/>
          <w:sz w:val="21"/>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37．无效投标文件</w:t>
      </w:r>
    </w:p>
    <w:p w14:paraId="50355983">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有下列情形之一的，投标文件按无效标处理：</w:t>
      </w:r>
    </w:p>
    <w:p w14:paraId="53F8D560">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37.1 报名的投标人与参加投标的投标人发生实质性变更的且未提供有效证明的；</w:t>
      </w:r>
    </w:p>
    <w:p w14:paraId="03C696C2">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37.2投标人提交两份或两份以上内容不同的投标文件，未声明哪一份有效的；</w:t>
      </w:r>
    </w:p>
    <w:p w14:paraId="34513869">
      <w:pPr>
        <w:shd w:val="clear" w:color="auto" w:fill="auto"/>
        <w:spacing w:line="360" w:lineRule="auto"/>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37.3 法定代表人投标投标文件非投标人法定代表人签署的；委托代理人投标未提供或提供无效的法定代表人授权书的；</w:t>
      </w:r>
    </w:p>
    <w:p w14:paraId="463FF9C4">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37.4 未按采购文件规定编制的；</w:t>
      </w:r>
    </w:p>
    <w:p w14:paraId="126662E6">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37.5 投标文件内容未按采购文件规定签字、盖章的；</w:t>
      </w:r>
    </w:p>
    <w:p w14:paraId="7D36D792">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37.6 投标文件组成漏项或未按规定的格式编制或或内容不全或内容字迹模糊辨认不清的等而导致评标活动无法正常进行；</w:t>
      </w:r>
    </w:p>
    <w:p w14:paraId="3209A9B6">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37.7 投标人未按采购文件变更通知更改投标文件的；</w:t>
      </w:r>
    </w:p>
    <w:p w14:paraId="25C50A5F">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37.8 《开标一览表</w:t>
      </w:r>
      <w:r>
        <w:rPr>
          <w:rFonts w:hint="eastAsia" w:ascii="宋体" w:hAnsi="Times New Roman" w:eastAsia="宋体" w:cs="Times New Roman"/>
          <w:b w:val="0"/>
          <w:bCs w:val="0"/>
          <w:color w:val="auto"/>
          <w:szCs w:val="21"/>
          <w:highlight w:val="none"/>
          <w:lang w:val="en-US" w:eastAsia="zh-CN"/>
        </w:rPr>
        <w:t>》和《投标分项报价表》内容不完</w:t>
      </w:r>
      <w:r>
        <w:rPr>
          <w:rFonts w:hint="eastAsia" w:ascii="宋体"/>
          <w:b w:val="0"/>
          <w:bCs w:val="0"/>
          <w:color w:val="auto"/>
          <w:szCs w:val="21"/>
          <w:highlight w:val="none"/>
          <w:lang w:val="en-US" w:eastAsia="zh-CN"/>
        </w:rPr>
        <w:t>整且不接受修正意见或字迹不能辨认的或未提供；</w:t>
      </w:r>
    </w:p>
    <w:p w14:paraId="483FE633">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37.9 标项投标报价超过采购文件规定的最高限价；</w:t>
      </w:r>
    </w:p>
    <w:p w14:paraId="5FC45795">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37.10 因投标人原因编制错误造成经评标委员会修正后的报价达到或超过投标报价的0.5%；</w:t>
      </w:r>
    </w:p>
    <w:p w14:paraId="684FEDCC">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37.11 投标人的报价明显低于其他通过符合性审查投标人的报价，有可能影响产品质量或者不能诚信履约的，且在规定时间内不能合理说明原因并提供证明材料的；</w:t>
      </w:r>
    </w:p>
    <w:p w14:paraId="2EB6060C">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37.12 未实质性响应采购文件中条款要求的投标文件；</w:t>
      </w:r>
    </w:p>
    <w:p w14:paraId="03432FB4">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37.13 不符合招标范围、技术规格、技术标准的要求无法满足采购人使用要求；</w:t>
      </w:r>
    </w:p>
    <w:p w14:paraId="70D4BED7">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37.14 投标文件附有采购人不能接受的条款；</w:t>
      </w:r>
    </w:p>
    <w:p w14:paraId="710E1DDE">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37.15 投标文件中提供了赠品或者与本项目采购无关的其他商品、服务；</w:t>
      </w:r>
    </w:p>
    <w:p w14:paraId="5004A28E">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37.16 投标文件中承诺的投标有效期少于采购文件中载明的投标有效期；</w:t>
      </w:r>
    </w:p>
    <w:p w14:paraId="52F3D62C">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37.17投标人串通投标，妨碍其他投标人的竞争行为，损害采购人或者其他投标人的合法权益；</w:t>
      </w:r>
    </w:p>
    <w:p w14:paraId="7920DE78">
      <w:pPr>
        <w:shd w:val="clear" w:color="auto" w:fill="auto"/>
        <w:spacing w:line="440" w:lineRule="exact"/>
        <w:ind w:firstLine="213" w:firstLineChars="100"/>
        <w:jc w:val="left"/>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37.18违反国家及政府部门相关法律、法规、文件规定或经评标委员会认定的其他属于重大偏离；</w:t>
      </w:r>
    </w:p>
    <w:p w14:paraId="6FF467F2">
      <w:pPr>
        <w:shd w:val="clear" w:color="auto" w:fill="auto"/>
        <w:spacing w:line="440" w:lineRule="exact"/>
        <w:ind w:firstLine="213" w:firstLineChars="100"/>
        <w:jc w:val="left"/>
        <w:rPr>
          <w:rFonts w:hint="eastAsia" w:asciiTheme="majorEastAsia" w:hAnsiTheme="majorEastAsia" w:eastAsiaTheme="majorEastAsia" w:cstheme="majorEastAsia"/>
          <w:b/>
          <w:color w:val="auto"/>
          <w:sz w:val="21"/>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38．废标</w:t>
      </w:r>
    </w:p>
    <w:p w14:paraId="093F1F8A">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38.1 符合谈判文件规定废标情形的；</w:t>
      </w:r>
    </w:p>
    <w:p w14:paraId="0D1B7982">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38.2 出现影响采购公正的违法、违规行为的；</w:t>
      </w:r>
    </w:p>
    <w:p w14:paraId="758DE324">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38.3 供应商的报价均超过了采购最高限价的，采购人不能支付的;</w:t>
      </w:r>
    </w:p>
    <w:p w14:paraId="0DA84529">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38.4 因重大变故，采购任务取消的。</w:t>
      </w:r>
    </w:p>
    <w:p w14:paraId="235F06BD">
      <w:pPr>
        <w:shd w:val="clear" w:color="auto" w:fill="auto"/>
        <w:spacing w:line="440" w:lineRule="exact"/>
        <w:ind w:firstLine="213" w:firstLineChars="100"/>
        <w:jc w:val="left"/>
        <w:rPr>
          <w:rFonts w:hint="eastAsia" w:asciiTheme="majorEastAsia" w:hAnsiTheme="majorEastAsia" w:eastAsiaTheme="majorEastAsia" w:cstheme="majorEastAsia"/>
          <w:b/>
          <w:color w:val="auto"/>
          <w:sz w:val="21"/>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39．突发情况处理</w:t>
      </w:r>
    </w:p>
    <w:p w14:paraId="7204D81C">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39.1 采购过程中出现以下情形，导致电子交易平台无法正常运行，或者无法保证电子交易的公平、公正和安全时，采购组织机构可中止电子交易活动：</w:t>
      </w:r>
    </w:p>
    <w:p w14:paraId="16D79A82">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 xml:space="preserve">（1）电子交易平台发生故障而无法登录访问的； </w:t>
      </w:r>
    </w:p>
    <w:p w14:paraId="79595CCD">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（2）电子交易平台应用或数据库出现错误，不能进行正常操作的；</w:t>
      </w:r>
    </w:p>
    <w:p w14:paraId="34E1C175">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（3）电子交易平台发现严重安全漏洞，有潜在泄密危险的；</w:t>
      </w:r>
    </w:p>
    <w:p w14:paraId="2E0664BF">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 xml:space="preserve">（4）病毒发作导致不能进行正常操作的； </w:t>
      </w:r>
    </w:p>
    <w:p w14:paraId="76CC9437">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（5）其他无法保证电子交易的公平、公正和安全的情况。</w:t>
      </w:r>
    </w:p>
    <w:p w14:paraId="73A99519">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出现前款规定情形，不影响采购公平、公正性的，采购组织机构可以待上述情形消除后继续组织电子交易活动，也可以决定某些环节以纸质形式进行；影响或可能影响采购公平、公正性的，应当重新采购。</w:t>
      </w:r>
    </w:p>
    <w:p w14:paraId="68A35D9C">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39.2 采购代理机构或资格审查小组或谈判小组因不可抗力（不可抗力包括但不限于自然灾害、断电、传播疫病等）原因造成电子交易活动无法正常运行的，将采取以下措施：</w:t>
      </w:r>
    </w:p>
    <w:p w14:paraId="7D9A10AE">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（1）短时间内能消除不可抗力因素的，采购代理机构或资格审查小组或谈判小组在消除不可抗力因素后继续组织电子交易活动；</w:t>
      </w:r>
    </w:p>
    <w:p w14:paraId="6A0DA60F">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（2）长时间内无法消除不可抗力因素的，采购代理机构或资格审查小组或谈判小组将中止电子交易活动。中止电子交易活动的，采购人应当重新组织政府采购活动。</w:t>
      </w:r>
    </w:p>
    <w:p w14:paraId="48322536">
      <w:pPr>
        <w:shd w:val="clear" w:color="auto" w:fill="auto"/>
        <w:spacing w:line="440" w:lineRule="exact"/>
        <w:ind w:firstLine="213" w:firstLineChars="100"/>
        <w:jc w:val="left"/>
        <w:rPr>
          <w:rFonts w:hint="eastAsia" w:asciiTheme="majorEastAsia" w:hAnsiTheme="majorEastAsia" w:eastAsiaTheme="majorEastAsia" w:cstheme="majorEastAsia"/>
          <w:b/>
          <w:color w:val="auto"/>
          <w:sz w:val="21"/>
          <w:szCs w:val="21"/>
          <w:highlight w:val="none"/>
          <w:lang w:val="en-US" w:eastAsia="zh-CN"/>
        </w:rPr>
      </w:pPr>
      <w:r>
        <w:rPr>
          <w:rFonts w:hint="eastAsia" w:asciiTheme="majorEastAsia" w:hAnsiTheme="majorEastAsia" w:eastAsiaTheme="majorEastAsia" w:cstheme="majorEastAsia"/>
          <w:b/>
          <w:color w:val="auto"/>
          <w:sz w:val="21"/>
          <w:szCs w:val="21"/>
          <w:highlight w:val="none"/>
          <w:lang w:val="en-US" w:eastAsia="zh-CN"/>
        </w:rPr>
        <w:t>40.定标</w:t>
      </w:r>
    </w:p>
    <w:p w14:paraId="0E7E4140">
      <w:pPr>
        <w:shd w:val="clear" w:color="auto" w:fill="auto"/>
        <w:spacing w:line="440" w:lineRule="exact"/>
        <w:ind w:firstLine="426" w:firstLineChars="200"/>
        <w:jc w:val="left"/>
        <w:rPr>
          <w:rFonts w:hint="eastAsia" w:asciiTheme="majorEastAsia" w:hAnsiTheme="majorEastAsia" w:eastAsiaTheme="majorEastAsia" w:cstheme="majorEastAsia"/>
          <w:b w:val="0"/>
          <w:bCs w:val="0"/>
          <w:color w:val="auto"/>
          <w:szCs w:val="21"/>
          <w:highlight w:val="none"/>
          <w:lang w:val="en-US" w:eastAsia="zh-CN"/>
        </w:rPr>
      </w:pPr>
      <w:bookmarkStart w:id="24" w:name="_Toc469495729"/>
      <w:r>
        <w:rPr>
          <w:rFonts w:hint="eastAsia" w:asciiTheme="majorEastAsia" w:hAnsiTheme="majorEastAsia" w:eastAsiaTheme="majorEastAsia" w:cstheme="majorEastAsia"/>
          <w:b w:val="0"/>
          <w:bCs w:val="0"/>
          <w:color w:val="auto"/>
          <w:szCs w:val="21"/>
          <w:highlight w:val="none"/>
          <w:lang w:val="en-US" w:eastAsia="zh-CN"/>
        </w:rPr>
        <w:t>4</w:t>
      </w:r>
      <w:r>
        <w:rPr>
          <w:rFonts w:hint="eastAsia" w:asciiTheme="majorEastAsia" w:hAnsiTheme="majorEastAsia" w:eastAsiaTheme="majorEastAsia" w:cstheme="majorEastAsia"/>
          <w:b/>
          <w:color w:val="auto"/>
          <w:sz w:val="21"/>
          <w:szCs w:val="21"/>
          <w:highlight w:val="none"/>
          <w:lang w:val="en-US" w:eastAsia="zh-CN"/>
        </w:rPr>
        <w:t>0</w:t>
      </w:r>
      <w:r>
        <w:rPr>
          <w:rFonts w:hint="eastAsia" w:asciiTheme="majorEastAsia" w:hAnsiTheme="majorEastAsia" w:eastAsiaTheme="majorEastAsia" w:cstheme="majorEastAsia"/>
          <w:b w:val="0"/>
          <w:bCs w:val="0"/>
          <w:color w:val="auto"/>
          <w:szCs w:val="21"/>
          <w:highlight w:val="none"/>
          <w:lang w:val="en-US" w:eastAsia="zh-CN"/>
        </w:rPr>
        <w:t>.1采购结果确认（确定成交供应商）</w:t>
      </w:r>
    </w:p>
    <w:p w14:paraId="3E391D58">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采购结果确认（确定成交供应商）：本项目由采购人根据谈判小组提交的《评审报告》，通过“政府采购云平台”依法确认采购结果、确定成交供应商。具体流程如下：</w:t>
      </w:r>
    </w:p>
    <w:p w14:paraId="06A6C000">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（1）采购代理机构将在评审结束后2个工作日内将评审报告送采购人。</w:t>
      </w:r>
    </w:p>
    <w:p w14:paraId="5784F6D1">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 xml:space="preserve">（2）采购人将在收到评审报告之日起5个工作日内，在评审报告推荐的成交候选供应商名单中按顺序确定成交供应商，并将确认意见以书面形式回复采购代理机构。 </w:t>
      </w:r>
    </w:p>
    <w:p w14:paraId="7DFFD98D">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0000FF"/>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40.2</w:t>
      </w:r>
      <w:r>
        <w:rPr>
          <w:rFonts w:hint="eastAsia" w:asciiTheme="majorEastAsia" w:hAnsiTheme="majorEastAsia" w:eastAsiaTheme="majorEastAsia" w:cstheme="majorEastAsia"/>
          <w:b/>
          <w:bCs/>
          <w:color w:val="auto"/>
          <w:szCs w:val="21"/>
          <w:highlight w:val="none"/>
          <w:lang w:val="en-US" w:eastAsia="zh-CN"/>
        </w:rPr>
        <w:t>采购结果经采购人确认后2个工作日内，采购代理机构将在新疆政府采购网、克州公共资源交易中心网（www.zjzfcg.gov.cn）上公告采购结果，成交公告期限为1个工作日。</w:t>
      </w:r>
    </w:p>
    <w:p w14:paraId="4F3B5FE1">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41. 成交通知书</w:t>
      </w:r>
    </w:p>
    <w:p w14:paraId="70684112">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41.1</w:t>
      </w:r>
      <w:r>
        <w:rPr>
          <w:rFonts w:hint="eastAsia" w:asciiTheme="majorEastAsia" w:hAnsiTheme="majorEastAsia" w:eastAsiaTheme="majorEastAsia" w:cstheme="majorEastAsia"/>
          <w:color w:val="auto"/>
          <w:szCs w:val="21"/>
          <w:highlight w:val="none"/>
        </w:rPr>
        <w:t>在</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通知书发出前，招标人将</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侯选人的情况在</w:t>
      </w:r>
      <w:r>
        <w:rPr>
          <w:rFonts w:hint="eastAsia" w:asciiTheme="majorEastAsia" w:hAnsiTheme="majorEastAsia" w:eastAsiaTheme="majorEastAsia" w:cstheme="majorEastAsia"/>
          <w:color w:val="auto"/>
          <w:szCs w:val="21"/>
          <w:highlight w:val="none"/>
          <w:lang w:eastAsia="zh-CN"/>
        </w:rPr>
        <w:t>新疆政府采购网、</w:t>
      </w:r>
      <w:r>
        <w:rPr>
          <w:rFonts w:hint="eastAsia" w:asciiTheme="majorEastAsia" w:hAnsiTheme="majorEastAsia" w:eastAsiaTheme="majorEastAsia" w:cstheme="majorEastAsia"/>
          <w:color w:val="auto"/>
          <w:szCs w:val="21"/>
          <w:highlight w:val="none"/>
          <w:lang w:val="en-US" w:eastAsia="zh-CN"/>
        </w:rPr>
        <w:t>克州公共资源交易中心网</w:t>
      </w:r>
      <w:r>
        <w:rPr>
          <w:rFonts w:hint="eastAsia" w:asciiTheme="majorEastAsia" w:hAnsiTheme="majorEastAsia" w:eastAsiaTheme="majorEastAsia" w:cstheme="majorEastAsia"/>
          <w:color w:val="auto"/>
          <w:szCs w:val="21"/>
          <w:highlight w:val="none"/>
        </w:rPr>
        <w:t>予以公示，</w:t>
      </w:r>
      <w:r>
        <w:rPr>
          <w:rFonts w:hint="eastAsia" w:asciiTheme="majorEastAsia" w:hAnsiTheme="majorEastAsia" w:eastAsiaTheme="majorEastAsia" w:cstheme="majorEastAsia"/>
          <w:b/>
          <w:bCs/>
          <w:color w:val="auto"/>
          <w:szCs w:val="21"/>
          <w:highlight w:val="none"/>
        </w:rPr>
        <w:t>公示期为</w:t>
      </w:r>
      <w:r>
        <w:rPr>
          <w:rFonts w:hint="eastAsia" w:asciiTheme="majorEastAsia" w:hAnsiTheme="majorEastAsia" w:eastAsiaTheme="majorEastAsia" w:cstheme="majorEastAsia"/>
          <w:b/>
          <w:bCs/>
          <w:color w:val="auto"/>
          <w:szCs w:val="21"/>
          <w:highlight w:val="none"/>
          <w:lang w:eastAsia="zh-CN"/>
        </w:rPr>
        <w:t>一</w:t>
      </w:r>
      <w:r>
        <w:rPr>
          <w:rFonts w:hint="eastAsia" w:asciiTheme="majorEastAsia" w:hAnsiTheme="majorEastAsia" w:eastAsiaTheme="majorEastAsia" w:cstheme="majorEastAsia"/>
          <w:b/>
          <w:bCs/>
          <w:color w:val="auto"/>
          <w:szCs w:val="21"/>
          <w:highlight w:val="none"/>
        </w:rPr>
        <w:t>个工作日。</w:t>
      </w:r>
      <w:r>
        <w:rPr>
          <w:rFonts w:hint="eastAsia" w:asciiTheme="majorEastAsia" w:hAnsiTheme="majorEastAsia" w:eastAsiaTheme="majorEastAsia" w:cstheme="majorEastAsia"/>
          <w:b/>
          <w:bCs/>
          <w:color w:val="auto"/>
          <w:szCs w:val="21"/>
          <w:highlight w:val="none"/>
          <w:lang w:eastAsia="zh-CN"/>
        </w:rPr>
        <w:t>待公示期结束后，</w:t>
      </w:r>
      <w:r>
        <w:rPr>
          <w:rFonts w:hint="eastAsia" w:asciiTheme="majorEastAsia" w:hAnsiTheme="majorEastAsia" w:eastAsiaTheme="majorEastAsia" w:cstheme="majorEastAsia"/>
          <w:b/>
          <w:bCs/>
          <w:color w:val="auto"/>
          <w:szCs w:val="21"/>
          <w:highlight w:val="none"/>
          <w:lang w:val="en-US" w:eastAsia="zh-CN"/>
        </w:rPr>
        <w:t>采购组织机构向成交人发出成交通知书。</w:t>
      </w:r>
    </w:p>
    <w:p w14:paraId="0F821D07">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41.2成交通知书作为签订合同的重要依据，对采购人和成交供应商均具有法律效力。采购人改变成交结果或者成交供应商放弃成交项目的都应承担法律责任。成交供应商不得向他人转让成交项目，也不得将成交项目肢解后分别向他人转让。</w:t>
      </w:r>
    </w:p>
    <w:p w14:paraId="4CFC077B">
      <w:pPr>
        <w:shd w:val="clear" w:color="auto" w:fill="auto"/>
        <w:spacing w:before="156" w:beforeLines="50" w:line="440" w:lineRule="exact"/>
        <w:ind w:firstLine="3113" w:firstLineChars="1100"/>
        <w:jc w:val="both"/>
        <w:outlineLvl w:val="2"/>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8"/>
          <w:szCs w:val="28"/>
          <w:highlight w:val="none"/>
        </w:rPr>
        <w:t>（六）合同的授予</w:t>
      </w:r>
      <w:bookmarkEnd w:id="24"/>
    </w:p>
    <w:p w14:paraId="3C71190A">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bookmarkStart w:id="25" w:name="_Toc73975842"/>
      <w:bookmarkStart w:id="26" w:name="_Toc469495730"/>
      <w:r>
        <w:rPr>
          <w:rFonts w:hint="eastAsia" w:asciiTheme="majorEastAsia" w:hAnsiTheme="majorEastAsia" w:eastAsiaTheme="majorEastAsia" w:cstheme="majorEastAsia"/>
          <w:b w:val="0"/>
          <w:bCs w:val="0"/>
          <w:color w:val="auto"/>
          <w:szCs w:val="21"/>
          <w:highlight w:val="none"/>
          <w:lang w:val="en-US" w:eastAsia="zh-CN"/>
        </w:rPr>
        <w:t>42．履约保证金</w:t>
      </w:r>
      <w:bookmarkEnd w:id="25"/>
      <w:r>
        <w:rPr>
          <w:rFonts w:hint="eastAsia" w:asciiTheme="majorEastAsia" w:hAnsiTheme="majorEastAsia" w:eastAsiaTheme="majorEastAsia" w:cstheme="majorEastAsia"/>
          <w:b w:val="0"/>
          <w:bCs w:val="0"/>
          <w:color w:val="auto"/>
          <w:szCs w:val="21"/>
          <w:highlight w:val="none"/>
          <w:lang w:val="en-US" w:eastAsia="zh-CN"/>
        </w:rPr>
        <w:t>（详见投标人须知）</w:t>
      </w:r>
    </w:p>
    <w:p w14:paraId="67A4050A">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bookmarkStart w:id="27" w:name="_Toc73975843"/>
      <w:r>
        <w:rPr>
          <w:rFonts w:hint="eastAsia" w:asciiTheme="majorEastAsia" w:hAnsiTheme="majorEastAsia" w:eastAsiaTheme="majorEastAsia" w:cstheme="majorEastAsia"/>
          <w:b w:val="0"/>
          <w:bCs w:val="0"/>
          <w:color w:val="auto"/>
          <w:szCs w:val="21"/>
          <w:highlight w:val="none"/>
          <w:lang w:val="en-US" w:eastAsia="zh-CN"/>
        </w:rPr>
        <w:t>43．签订合同及公告</w:t>
      </w:r>
      <w:bookmarkEnd w:id="27"/>
    </w:p>
    <w:p w14:paraId="30B54ADA">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43.1采购人在成交通知书发出之日起30日内与成交供应商签订合同。</w:t>
      </w:r>
    </w:p>
    <w:p w14:paraId="47AF1995">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43.2成交供应商拖延、拒签合同的,取消成交资格。</w:t>
      </w:r>
    </w:p>
    <w:p w14:paraId="062F80E8">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43.3 采购文件、成交供应商的投标文件及评标过程中有关澄清文件等均作为签订合同的依据。所签订的合同不得对采购文件和成交供应商的投标文件的内容作实质性修改。</w:t>
      </w:r>
    </w:p>
    <w:p w14:paraId="29499FB8">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43.4采购人应当自政府采购合同签订之日起2个工作日内，在省级以上财政部门指定的政府采购信息发布媒体及相关网站上公告。</w:t>
      </w:r>
    </w:p>
    <w:p w14:paraId="24B290C6">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43.5采购人应当自政府采购合同签订之日起7个工作日内，将政府采购合同副本报同级人民政府财政部门备案以及采购代理机构存档。</w:t>
      </w:r>
    </w:p>
    <w:p w14:paraId="559AB1B2">
      <w:pPr>
        <w:shd w:val="clear" w:color="auto" w:fill="auto"/>
        <w:adjustRightInd w:val="0"/>
        <w:snapToGrid w:val="0"/>
        <w:spacing w:line="440" w:lineRule="exact"/>
        <w:jc w:val="center"/>
        <w:outlineLvl w:val="2"/>
        <w:rPr>
          <w:rFonts w:hint="eastAsia" w:asciiTheme="majorEastAsia" w:hAnsiTheme="majorEastAsia" w:eastAsiaTheme="majorEastAsia" w:cstheme="majorEastAsia"/>
          <w:b/>
          <w:bCs/>
          <w:color w:val="auto"/>
          <w:sz w:val="28"/>
          <w:szCs w:val="28"/>
          <w:highlight w:val="none"/>
        </w:rPr>
      </w:pPr>
      <w:r>
        <w:rPr>
          <w:rFonts w:hint="eastAsia" w:asciiTheme="majorEastAsia" w:hAnsiTheme="majorEastAsia" w:eastAsiaTheme="majorEastAsia" w:cstheme="majorEastAsia"/>
          <w:b/>
          <w:bCs/>
          <w:color w:val="auto"/>
          <w:sz w:val="28"/>
          <w:szCs w:val="28"/>
          <w:highlight w:val="none"/>
        </w:rPr>
        <w:t>（七）纪律和监督</w:t>
      </w:r>
      <w:bookmarkEnd w:id="26"/>
    </w:p>
    <w:p w14:paraId="62F6FF7D">
      <w:pPr>
        <w:shd w:val="clear" w:color="auto" w:fill="auto"/>
        <w:spacing w:line="440" w:lineRule="exact"/>
        <w:ind w:firstLine="312" w:firstLineChars="147"/>
        <w:jc w:val="lef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lang w:val="en-US" w:eastAsia="zh-CN"/>
        </w:rPr>
        <w:t>44</w:t>
      </w:r>
      <w:r>
        <w:rPr>
          <w:rFonts w:hint="eastAsia" w:asciiTheme="majorEastAsia" w:hAnsiTheme="majorEastAsia" w:eastAsiaTheme="majorEastAsia" w:cstheme="majorEastAsia"/>
          <w:b/>
          <w:color w:val="auto"/>
          <w:szCs w:val="21"/>
          <w:highlight w:val="none"/>
        </w:rPr>
        <w:t xml:space="preserve">. 对招标人的纪律要求 </w:t>
      </w:r>
    </w:p>
    <w:p w14:paraId="1B207A6A">
      <w:pPr>
        <w:shd w:val="clear" w:color="auto" w:fill="auto"/>
        <w:adjustRightInd w:val="0"/>
        <w:snapToGrid w:val="0"/>
        <w:spacing w:line="440" w:lineRule="exact"/>
        <w:ind w:firstLine="319" w:firstLineChars="150"/>
        <w:rPr>
          <w:rFonts w:hint="eastAsia" w:asciiTheme="majorEastAsia" w:hAnsiTheme="majorEastAsia" w:eastAsiaTheme="majorEastAsia" w:cstheme="majorEastAsia"/>
          <w:color w:val="auto"/>
          <w:kern w:val="10"/>
          <w:szCs w:val="21"/>
          <w:highlight w:val="none"/>
        </w:rPr>
      </w:pPr>
      <w:r>
        <w:rPr>
          <w:rFonts w:hint="eastAsia" w:asciiTheme="majorEastAsia" w:hAnsiTheme="majorEastAsia" w:eastAsiaTheme="majorEastAsia" w:cstheme="majorEastAsia"/>
          <w:color w:val="auto"/>
          <w:kern w:val="10"/>
          <w:szCs w:val="21"/>
          <w:highlight w:val="none"/>
          <w:lang w:val="en-US" w:eastAsia="zh-CN"/>
        </w:rPr>
        <w:t>44</w:t>
      </w:r>
      <w:r>
        <w:rPr>
          <w:rFonts w:hint="eastAsia" w:asciiTheme="majorEastAsia" w:hAnsiTheme="majorEastAsia" w:eastAsiaTheme="majorEastAsia" w:cstheme="majorEastAsia"/>
          <w:color w:val="auto"/>
          <w:kern w:val="10"/>
          <w:szCs w:val="21"/>
          <w:highlight w:val="none"/>
        </w:rPr>
        <w:t>.1招标人不得泄漏招标投标活动中应当保密的情况和资料，不得与投标人串通损害</w:t>
      </w:r>
      <w:r>
        <w:rPr>
          <w:rFonts w:hint="eastAsia" w:asciiTheme="majorEastAsia" w:hAnsiTheme="majorEastAsia" w:eastAsiaTheme="majorEastAsia" w:cstheme="majorEastAsia"/>
          <w:color w:val="auto"/>
          <w:kern w:val="10"/>
          <w:szCs w:val="21"/>
          <w:highlight w:val="none"/>
          <w:lang w:val="en-US" w:eastAsia="zh-CN"/>
        </w:rPr>
        <w:t>中华人民共各国</w:t>
      </w:r>
      <w:r>
        <w:rPr>
          <w:rFonts w:hint="eastAsia" w:asciiTheme="majorEastAsia" w:hAnsiTheme="majorEastAsia" w:eastAsiaTheme="majorEastAsia" w:cstheme="majorEastAsia"/>
          <w:color w:val="auto"/>
          <w:kern w:val="10"/>
          <w:szCs w:val="21"/>
          <w:highlight w:val="none"/>
        </w:rPr>
        <w:t xml:space="preserve">利益，社会公共利益或者他人合法权益。 </w:t>
      </w:r>
    </w:p>
    <w:p w14:paraId="2CE6C4AF">
      <w:pPr>
        <w:shd w:val="clear" w:color="auto" w:fill="auto"/>
        <w:spacing w:line="440" w:lineRule="exact"/>
        <w:ind w:firstLine="312" w:firstLineChars="147"/>
        <w:jc w:val="lef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lang w:val="en-US" w:eastAsia="zh-CN"/>
        </w:rPr>
        <w:t>45</w:t>
      </w:r>
      <w:r>
        <w:rPr>
          <w:rFonts w:hint="eastAsia" w:asciiTheme="majorEastAsia" w:hAnsiTheme="majorEastAsia" w:eastAsiaTheme="majorEastAsia" w:cstheme="majorEastAsia"/>
          <w:b/>
          <w:color w:val="auto"/>
          <w:szCs w:val="21"/>
          <w:highlight w:val="none"/>
        </w:rPr>
        <w:t xml:space="preserve">. 对投标人的纪律要求 </w:t>
      </w:r>
    </w:p>
    <w:p w14:paraId="48E424FE">
      <w:pPr>
        <w:shd w:val="clear" w:color="auto" w:fill="auto"/>
        <w:adjustRightInd w:val="0"/>
        <w:snapToGrid w:val="0"/>
        <w:spacing w:line="440" w:lineRule="exact"/>
        <w:ind w:firstLine="319" w:firstLineChars="150"/>
        <w:rPr>
          <w:rFonts w:hint="eastAsia" w:asciiTheme="majorEastAsia" w:hAnsiTheme="majorEastAsia" w:eastAsiaTheme="majorEastAsia" w:cstheme="majorEastAsia"/>
          <w:color w:val="auto"/>
          <w:kern w:val="10"/>
          <w:szCs w:val="21"/>
          <w:highlight w:val="none"/>
        </w:rPr>
      </w:pPr>
      <w:r>
        <w:rPr>
          <w:rFonts w:hint="eastAsia" w:asciiTheme="majorEastAsia" w:hAnsiTheme="majorEastAsia" w:eastAsiaTheme="majorEastAsia" w:cstheme="majorEastAsia"/>
          <w:color w:val="auto"/>
          <w:kern w:val="10"/>
          <w:szCs w:val="21"/>
          <w:highlight w:val="none"/>
          <w:lang w:val="en-US" w:eastAsia="zh-CN"/>
        </w:rPr>
        <w:t>45</w:t>
      </w:r>
      <w:r>
        <w:rPr>
          <w:rFonts w:hint="eastAsia" w:asciiTheme="majorEastAsia" w:hAnsiTheme="majorEastAsia" w:eastAsiaTheme="majorEastAsia" w:cstheme="majorEastAsia"/>
          <w:color w:val="auto"/>
          <w:kern w:val="10"/>
          <w:szCs w:val="21"/>
          <w:highlight w:val="none"/>
        </w:rPr>
        <w:t>.1投标人不得相互串通投标或者与招标人串通投标，不得向招标人或者</w:t>
      </w:r>
      <w:r>
        <w:rPr>
          <w:rFonts w:hint="eastAsia" w:asciiTheme="majorEastAsia" w:hAnsiTheme="majorEastAsia" w:eastAsiaTheme="majorEastAsia" w:cstheme="majorEastAsia"/>
          <w:color w:val="auto"/>
          <w:kern w:val="10"/>
          <w:szCs w:val="21"/>
          <w:highlight w:val="none"/>
          <w:lang w:eastAsia="zh-CN"/>
        </w:rPr>
        <w:t>谈判小组</w:t>
      </w:r>
      <w:r>
        <w:rPr>
          <w:rFonts w:hint="eastAsia" w:asciiTheme="majorEastAsia" w:hAnsiTheme="majorEastAsia" w:eastAsiaTheme="majorEastAsia" w:cstheme="majorEastAsia"/>
          <w:color w:val="auto"/>
          <w:kern w:val="10"/>
          <w:szCs w:val="21"/>
          <w:highlight w:val="none"/>
        </w:rPr>
        <w:t>成员行贿谋取</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kern w:val="10"/>
          <w:szCs w:val="21"/>
          <w:highlight w:val="none"/>
        </w:rPr>
        <w:t>，不得以他人名义投标或者以其他方式弄虚作假骗取</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kern w:val="10"/>
          <w:szCs w:val="21"/>
          <w:highlight w:val="none"/>
        </w:rPr>
        <w:t>；投标人不得以任何方式干扰、影响评标工作。</w:t>
      </w:r>
    </w:p>
    <w:p w14:paraId="32EE8E7D">
      <w:pPr>
        <w:shd w:val="clear" w:color="auto" w:fill="auto"/>
        <w:spacing w:line="440" w:lineRule="exact"/>
        <w:ind w:firstLine="312" w:firstLineChars="147"/>
        <w:jc w:val="left"/>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lang w:val="en-US" w:eastAsia="zh-CN"/>
        </w:rPr>
        <w:t>46</w:t>
      </w:r>
      <w:r>
        <w:rPr>
          <w:rFonts w:hint="eastAsia" w:asciiTheme="majorEastAsia" w:hAnsiTheme="majorEastAsia" w:eastAsiaTheme="majorEastAsia" w:cstheme="majorEastAsia"/>
          <w:b/>
          <w:color w:val="auto"/>
          <w:szCs w:val="21"/>
          <w:highlight w:val="none"/>
        </w:rPr>
        <w:t>. 对</w:t>
      </w:r>
      <w:r>
        <w:rPr>
          <w:rFonts w:hint="eastAsia" w:asciiTheme="majorEastAsia" w:hAnsiTheme="majorEastAsia" w:eastAsiaTheme="majorEastAsia" w:cstheme="majorEastAsia"/>
          <w:b/>
          <w:color w:val="auto"/>
          <w:szCs w:val="21"/>
          <w:highlight w:val="none"/>
          <w:lang w:eastAsia="zh-CN"/>
        </w:rPr>
        <w:t>谈判小组</w:t>
      </w:r>
      <w:r>
        <w:rPr>
          <w:rFonts w:hint="eastAsia" w:asciiTheme="majorEastAsia" w:hAnsiTheme="majorEastAsia" w:eastAsiaTheme="majorEastAsia" w:cstheme="majorEastAsia"/>
          <w:b/>
          <w:color w:val="auto"/>
          <w:szCs w:val="21"/>
          <w:highlight w:val="none"/>
        </w:rPr>
        <w:t xml:space="preserve">成员的纪律要求 </w:t>
      </w:r>
    </w:p>
    <w:p w14:paraId="009A7302">
      <w:pPr>
        <w:shd w:val="clear" w:color="auto" w:fill="auto"/>
        <w:adjustRightInd w:val="0"/>
        <w:snapToGrid w:val="0"/>
        <w:spacing w:line="440" w:lineRule="exact"/>
        <w:ind w:firstLine="319" w:firstLineChars="150"/>
        <w:rPr>
          <w:rFonts w:hint="eastAsia" w:asciiTheme="majorEastAsia" w:hAnsiTheme="majorEastAsia" w:eastAsiaTheme="majorEastAsia" w:cstheme="majorEastAsia"/>
          <w:color w:val="auto"/>
          <w:kern w:val="10"/>
          <w:szCs w:val="21"/>
          <w:highlight w:val="none"/>
        </w:rPr>
      </w:pPr>
      <w:r>
        <w:rPr>
          <w:rFonts w:hint="eastAsia" w:asciiTheme="majorEastAsia" w:hAnsiTheme="majorEastAsia" w:eastAsiaTheme="majorEastAsia" w:cstheme="majorEastAsia"/>
          <w:color w:val="auto"/>
          <w:kern w:val="10"/>
          <w:szCs w:val="21"/>
          <w:highlight w:val="none"/>
          <w:lang w:val="en-US" w:eastAsia="zh-CN"/>
        </w:rPr>
        <w:t>46</w:t>
      </w:r>
      <w:r>
        <w:rPr>
          <w:rFonts w:hint="eastAsia" w:asciiTheme="majorEastAsia" w:hAnsiTheme="majorEastAsia" w:eastAsiaTheme="majorEastAsia" w:cstheme="majorEastAsia"/>
          <w:color w:val="auto"/>
          <w:kern w:val="10"/>
          <w:szCs w:val="21"/>
          <w:highlight w:val="none"/>
        </w:rPr>
        <w:t>.1</w:t>
      </w:r>
      <w:r>
        <w:rPr>
          <w:rFonts w:hint="eastAsia" w:asciiTheme="majorEastAsia" w:hAnsiTheme="majorEastAsia" w:eastAsiaTheme="majorEastAsia" w:cstheme="majorEastAsia"/>
          <w:color w:val="auto"/>
          <w:kern w:val="10"/>
          <w:szCs w:val="21"/>
          <w:highlight w:val="none"/>
          <w:lang w:eastAsia="zh-CN"/>
        </w:rPr>
        <w:t>谈判小组</w:t>
      </w:r>
      <w:r>
        <w:rPr>
          <w:rFonts w:hint="eastAsia" w:asciiTheme="majorEastAsia" w:hAnsiTheme="majorEastAsia" w:eastAsiaTheme="majorEastAsia" w:cstheme="majorEastAsia"/>
          <w:color w:val="auto"/>
          <w:kern w:val="10"/>
          <w:szCs w:val="21"/>
          <w:highlight w:val="none"/>
        </w:rPr>
        <w:t>成员不得收受他人的财物或者其他好处，不得向他人透漏对投标文件的评审和比较、</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kern w:val="10"/>
          <w:szCs w:val="21"/>
          <w:highlight w:val="none"/>
        </w:rPr>
        <w:t>候选人的推荐情况以及评标有关的其他情况。</w:t>
      </w:r>
    </w:p>
    <w:p w14:paraId="4335C648">
      <w:pPr>
        <w:shd w:val="clear" w:color="auto" w:fill="auto"/>
        <w:adjustRightInd w:val="0"/>
        <w:snapToGrid w:val="0"/>
        <w:spacing w:line="440" w:lineRule="exact"/>
        <w:ind w:firstLine="319" w:firstLineChars="150"/>
        <w:rPr>
          <w:rFonts w:hint="eastAsia" w:asciiTheme="majorEastAsia" w:hAnsiTheme="majorEastAsia" w:eastAsiaTheme="majorEastAsia" w:cstheme="majorEastAsia"/>
          <w:color w:val="auto"/>
          <w:kern w:val="10"/>
          <w:szCs w:val="21"/>
          <w:highlight w:val="none"/>
        </w:rPr>
      </w:pPr>
      <w:r>
        <w:rPr>
          <w:rFonts w:hint="eastAsia" w:asciiTheme="majorEastAsia" w:hAnsiTheme="majorEastAsia" w:eastAsiaTheme="majorEastAsia" w:cstheme="majorEastAsia"/>
          <w:color w:val="auto"/>
          <w:kern w:val="10"/>
          <w:szCs w:val="21"/>
          <w:highlight w:val="none"/>
          <w:lang w:val="en-US" w:eastAsia="zh-CN"/>
        </w:rPr>
        <w:t>46</w:t>
      </w:r>
      <w:r>
        <w:rPr>
          <w:rFonts w:hint="eastAsia" w:asciiTheme="majorEastAsia" w:hAnsiTheme="majorEastAsia" w:eastAsiaTheme="majorEastAsia" w:cstheme="majorEastAsia"/>
          <w:color w:val="auto"/>
          <w:kern w:val="10"/>
          <w:szCs w:val="21"/>
          <w:highlight w:val="none"/>
        </w:rPr>
        <w:t>.2在评标活动中，</w:t>
      </w:r>
      <w:r>
        <w:rPr>
          <w:rFonts w:hint="eastAsia" w:asciiTheme="majorEastAsia" w:hAnsiTheme="majorEastAsia" w:eastAsiaTheme="majorEastAsia" w:cstheme="majorEastAsia"/>
          <w:color w:val="auto"/>
          <w:kern w:val="10"/>
          <w:szCs w:val="21"/>
          <w:highlight w:val="none"/>
          <w:lang w:eastAsia="zh-CN"/>
        </w:rPr>
        <w:t>谈判小组</w:t>
      </w:r>
      <w:r>
        <w:rPr>
          <w:rFonts w:hint="eastAsia" w:asciiTheme="majorEastAsia" w:hAnsiTheme="majorEastAsia" w:eastAsiaTheme="majorEastAsia" w:cstheme="majorEastAsia"/>
          <w:color w:val="auto"/>
          <w:kern w:val="10"/>
          <w:szCs w:val="21"/>
          <w:highlight w:val="none"/>
        </w:rPr>
        <w:t xml:space="preserve">成员不得擅离职守，影响评标程序正常进行，不得使用第三章“评标办法”没有规定的评审因素和标准进行评标。 </w:t>
      </w:r>
    </w:p>
    <w:p w14:paraId="1D8B3E73">
      <w:pPr>
        <w:shd w:val="clear" w:color="auto" w:fill="auto"/>
        <w:adjustRightInd w:val="0"/>
        <w:snapToGrid w:val="0"/>
        <w:spacing w:line="440" w:lineRule="exact"/>
        <w:ind w:firstLine="319" w:firstLineChars="150"/>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lang w:val="en-US" w:eastAsia="zh-CN"/>
        </w:rPr>
        <w:t>47</w:t>
      </w:r>
      <w:r>
        <w:rPr>
          <w:rFonts w:hint="eastAsia" w:asciiTheme="majorEastAsia" w:hAnsiTheme="majorEastAsia" w:eastAsiaTheme="majorEastAsia" w:cstheme="majorEastAsia"/>
          <w:b/>
          <w:color w:val="auto"/>
          <w:szCs w:val="21"/>
          <w:highlight w:val="none"/>
        </w:rPr>
        <w:t xml:space="preserve">. 对与评标活动有关的工作人员的纪律要求 </w:t>
      </w:r>
    </w:p>
    <w:p w14:paraId="1BF9C206">
      <w:pPr>
        <w:shd w:val="clear" w:color="auto" w:fill="auto"/>
        <w:adjustRightInd w:val="0"/>
        <w:snapToGrid w:val="0"/>
        <w:spacing w:line="440" w:lineRule="exact"/>
        <w:ind w:firstLine="319" w:firstLineChars="150"/>
        <w:rPr>
          <w:rFonts w:hint="eastAsia" w:asciiTheme="majorEastAsia" w:hAnsiTheme="majorEastAsia" w:eastAsiaTheme="majorEastAsia" w:cstheme="majorEastAsia"/>
          <w:color w:val="auto"/>
          <w:kern w:val="10"/>
          <w:szCs w:val="21"/>
          <w:highlight w:val="none"/>
        </w:rPr>
      </w:pPr>
      <w:r>
        <w:rPr>
          <w:rFonts w:hint="eastAsia" w:asciiTheme="majorEastAsia" w:hAnsiTheme="majorEastAsia" w:eastAsiaTheme="majorEastAsia" w:cstheme="majorEastAsia"/>
          <w:color w:val="auto"/>
          <w:kern w:val="10"/>
          <w:szCs w:val="21"/>
          <w:highlight w:val="none"/>
        </w:rPr>
        <w:t>4</w:t>
      </w:r>
      <w:r>
        <w:rPr>
          <w:rFonts w:hint="eastAsia" w:asciiTheme="majorEastAsia" w:hAnsiTheme="majorEastAsia" w:eastAsiaTheme="majorEastAsia" w:cstheme="majorEastAsia"/>
          <w:color w:val="auto"/>
          <w:kern w:val="10"/>
          <w:szCs w:val="21"/>
          <w:highlight w:val="none"/>
          <w:lang w:val="en-US" w:eastAsia="zh-CN"/>
        </w:rPr>
        <w:t>7</w:t>
      </w:r>
      <w:r>
        <w:rPr>
          <w:rFonts w:hint="eastAsia" w:asciiTheme="majorEastAsia" w:hAnsiTheme="majorEastAsia" w:eastAsiaTheme="majorEastAsia" w:cstheme="majorEastAsia"/>
          <w:color w:val="auto"/>
          <w:kern w:val="10"/>
          <w:szCs w:val="21"/>
          <w:highlight w:val="none"/>
        </w:rPr>
        <w:t>.1与评标活动有关的工作人员不得收受他人的财物或者其他好处，不得向他人透漏对投标文件的评审和比较、</w:t>
      </w:r>
      <w:r>
        <w:rPr>
          <w:rFonts w:hint="eastAsia" w:asciiTheme="majorEastAsia" w:hAnsiTheme="majorEastAsia" w:eastAsiaTheme="majorEastAsia" w:cstheme="majorEastAsia"/>
          <w:b w:val="0"/>
          <w:bCs w:val="0"/>
          <w:color w:val="auto"/>
          <w:szCs w:val="21"/>
          <w:highlight w:val="none"/>
          <w:lang w:val="en-US" w:eastAsia="zh-CN"/>
        </w:rPr>
        <w:t>成交</w:t>
      </w:r>
      <w:r>
        <w:rPr>
          <w:rFonts w:hint="eastAsia" w:asciiTheme="majorEastAsia" w:hAnsiTheme="majorEastAsia" w:eastAsiaTheme="majorEastAsia" w:cstheme="majorEastAsia"/>
          <w:color w:val="auto"/>
          <w:kern w:val="10"/>
          <w:szCs w:val="21"/>
          <w:highlight w:val="none"/>
        </w:rPr>
        <w:t>候选人的推荐情况以及评标有关的其他情况。在评标活动中，与评标活动有关的工作人员不得擅离职守，影响评标程序正常进行。</w:t>
      </w:r>
    </w:p>
    <w:p w14:paraId="4B90944E">
      <w:pPr>
        <w:shd w:val="clear" w:color="auto" w:fill="auto"/>
        <w:spacing w:before="156" w:beforeLines="50" w:after="156" w:afterLines="50" w:line="500" w:lineRule="exact"/>
        <w:ind w:firstLine="849" w:firstLineChars="300"/>
        <w:jc w:val="center"/>
        <w:rPr>
          <w:rFonts w:hint="eastAsia" w:asciiTheme="majorEastAsia" w:hAnsiTheme="majorEastAsia" w:eastAsiaTheme="majorEastAsia" w:cstheme="majorEastAsia"/>
          <w:b/>
          <w:bCs/>
          <w:color w:val="auto"/>
          <w:sz w:val="28"/>
          <w:szCs w:val="28"/>
          <w:highlight w:val="none"/>
        </w:rPr>
      </w:pPr>
      <w:r>
        <w:rPr>
          <w:rFonts w:hint="eastAsia" w:asciiTheme="majorEastAsia" w:hAnsiTheme="majorEastAsia" w:eastAsiaTheme="majorEastAsia" w:cstheme="majorEastAsia"/>
          <w:b/>
          <w:bCs/>
          <w:color w:val="auto"/>
          <w:sz w:val="28"/>
          <w:szCs w:val="28"/>
          <w:highlight w:val="none"/>
        </w:rPr>
        <w:t>（八）质疑与投诉</w:t>
      </w:r>
    </w:p>
    <w:p w14:paraId="21BEE318">
      <w:pPr>
        <w:shd w:val="clear" w:color="auto" w:fill="auto"/>
        <w:spacing w:line="440" w:lineRule="exact"/>
        <w:ind w:firstLine="312" w:firstLineChars="147"/>
        <w:jc w:val="left"/>
        <w:rPr>
          <w:rFonts w:hint="eastAsia" w:asciiTheme="majorEastAsia" w:hAnsiTheme="majorEastAsia" w:eastAsiaTheme="majorEastAsia" w:cstheme="majorEastAsia"/>
          <w:b/>
          <w:color w:val="auto"/>
          <w:szCs w:val="21"/>
          <w:highlight w:val="none"/>
          <w:lang w:val="en-US" w:eastAsia="zh-CN"/>
        </w:rPr>
      </w:pPr>
      <w:r>
        <w:rPr>
          <w:rFonts w:hint="eastAsia" w:asciiTheme="majorEastAsia" w:hAnsiTheme="majorEastAsia" w:eastAsiaTheme="majorEastAsia" w:cstheme="majorEastAsia"/>
          <w:b/>
          <w:color w:val="auto"/>
          <w:szCs w:val="21"/>
          <w:highlight w:val="none"/>
          <w:lang w:val="en-US" w:eastAsia="zh-CN"/>
        </w:rPr>
        <w:t>48．质疑和投诉</w:t>
      </w:r>
    </w:p>
    <w:p w14:paraId="5BB61C00">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48.1.供应商认为采购文件、采购过程和成交、成交结果使自己的权益受到损害的，可以在知道或者应知其权益受到损害之日起七个工作日内，以书面形式向采购人提出质疑。供应商应当在法定质疑期内一次性提出针对同一采购程序环节的质疑。供应商应知其权益受到损害之日，是指：</w:t>
      </w:r>
    </w:p>
    <w:p w14:paraId="2863249C">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（一）对可以质疑的采购文件提出质疑的，为收到采购文件之日或者采购文件公告期限届满之日；</w:t>
      </w:r>
    </w:p>
    <w:p w14:paraId="42F57752">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（二）对采购过程提出质疑的，为各采购程序环节结束之日；</w:t>
      </w:r>
    </w:p>
    <w:p w14:paraId="3ED1D135">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（三）对成交或者成交结果提出质疑的，为成交或者成交结果公告期限届满之日。</w:t>
      </w:r>
    </w:p>
    <w:p w14:paraId="16275529">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48.2供应商提出质疑应当提交质疑函和必要的证明材料。质疑函应当包括下列内容：供应商的姓名或者名称、地址、邮编、联系人及联系电话；质疑项目的名称、编号；具体、明确的质疑事项和与质疑事项相关的请求；事实依据；必要的法律依据；提出质疑的日期。（具体格式详见附件）</w:t>
      </w:r>
    </w:p>
    <w:p w14:paraId="0C8C0D7B">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供应商为自然人的，应当由本人签字；供应商为法人或者其他组织的，应当由法定代表人、主要负责人，或者其授权代表签字或者盖章，并加盖公章。</w:t>
      </w:r>
    </w:p>
    <w:p w14:paraId="56F4349D">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48.3供应商质疑、投诉应当有明确的请求和必要的证明材料。供应商投诉的事项不得超出已质疑事项的范围。采购人及采购代理机构按《政府采购质疑和投诉办法》进行处理供应商质疑事项。</w:t>
      </w:r>
    </w:p>
    <w:p w14:paraId="12F3366D">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48.4质疑供应商对采购人、采购代理机构的质疑答复不满意，或者采购人、采购代理机构未在规定期限内作出答复的，供应商可以在答复期满后15个工作日内向同级财政部门提起投诉。</w:t>
      </w:r>
    </w:p>
    <w:p w14:paraId="2B5F2412">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48.5供应商有下列情形之一的，采购代理机构上报至</w:t>
      </w:r>
      <w:r>
        <w:rPr>
          <w:rFonts w:hint="eastAsia" w:ascii="宋体" w:hAnsi="宋体" w:eastAsia="宋体" w:cs="宋体"/>
          <w:color w:val="auto"/>
          <w:sz w:val="21"/>
          <w:szCs w:val="21"/>
          <w:highlight w:val="none"/>
          <w:lang w:val="en-US" w:eastAsia="zh-CN"/>
        </w:rPr>
        <w:t>财政局政府采购</w:t>
      </w:r>
      <w:r>
        <w:rPr>
          <w:rFonts w:hint="eastAsia" w:ascii="宋体" w:hAnsi="宋体" w:cs="宋体"/>
          <w:color w:val="auto"/>
          <w:sz w:val="21"/>
          <w:szCs w:val="21"/>
          <w:highlight w:val="none"/>
          <w:lang w:val="en-US" w:eastAsia="zh-CN"/>
        </w:rPr>
        <w:t>服务中心</w:t>
      </w:r>
      <w:r>
        <w:rPr>
          <w:rFonts w:hint="eastAsia" w:asciiTheme="majorEastAsia" w:hAnsiTheme="majorEastAsia" w:eastAsiaTheme="majorEastAsia" w:cstheme="majorEastAsia"/>
          <w:b w:val="0"/>
          <w:bCs w:val="0"/>
          <w:color w:val="auto"/>
          <w:szCs w:val="21"/>
          <w:highlight w:val="none"/>
          <w:lang w:val="en-US" w:eastAsia="zh-CN"/>
        </w:rPr>
        <w:t>，将其列入不良行为记录名单：</w:t>
      </w:r>
    </w:p>
    <w:p w14:paraId="433BDF45">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（一）一年内三次以上质疑均查无实据的；</w:t>
      </w:r>
    </w:p>
    <w:p w14:paraId="742CE8DF">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（二）捏造事实或者提供虚假质疑材料的。</w:t>
      </w:r>
    </w:p>
    <w:p w14:paraId="0572A0CB">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（三）以非法手段取得证明材料。证据来源的合法性存在明显疑问，质疑人无法证明其取得方式合法的，视为以非法手段取得证明材料。</w:t>
      </w:r>
    </w:p>
    <w:p w14:paraId="14A4FE58">
      <w:pPr>
        <w:pStyle w:val="45"/>
        <w:rPr>
          <w:rFonts w:hint="eastAsia" w:asciiTheme="majorEastAsia" w:hAnsiTheme="majorEastAsia" w:eastAsiaTheme="majorEastAsia" w:cstheme="majorEastAsia"/>
          <w:b w:val="0"/>
          <w:bCs w:val="0"/>
          <w:color w:val="auto"/>
          <w:szCs w:val="21"/>
          <w:highlight w:val="none"/>
          <w:lang w:val="en-US" w:eastAsia="zh-CN"/>
        </w:rPr>
      </w:pPr>
    </w:p>
    <w:p w14:paraId="44A1A064">
      <w:pPr>
        <w:pStyle w:val="45"/>
        <w:rPr>
          <w:rFonts w:hint="eastAsia" w:asciiTheme="majorEastAsia" w:hAnsiTheme="majorEastAsia" w:eastAsiaTheme="majorEastAsia" w:cstheme="majorEastAsia"/>
          <w:b w:val="0"/>
          <w:bCs w:val="0"/>
          <w:color w:val="auto"/>
          <w:szCs w:val="21"/>
          <w:highlight w:val="none"/>
          <w:lang w:val="en-US" w:eastAsia="zh-CN"/>
        </w:rPr>
      </w:pPr>
    </w:p>
    <w:p w14:paraId="0D8A8121">
      <w:pPr>
        <w:pStyle w:val="45"/>
        <w:rPr>
          <w:rFonts w:hint="eastAsia" w:asciiTheme="majorEastAsia" w:hAnsiTheme="majorEastAsia" w:eastAsiaTheme="majorEastAsia" w:cstheme="majorEastAsia"/>
          <w:b w:val="0"/>
          <w:bCs w:val="0"/>
          <w:color w:val="auto"/>
          <w:szCs w:val="21"/>
          <w:highlight w:val="none"/>
          <w:lang w:val="en-US" w:eastAsia="zh-CN"/>
        </w:rPr>
      </w:pPr>
    </w:p>
    <w:p w14:paraId="0C7E533D">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033AD200">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7B91B27A">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77DA3CE0">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5BE087BC">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76747397">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3B63D679">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3A402FCD">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70C36088">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0E4CFB2C">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3F60FE34">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3E6EC204">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768DB11D">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35D10725">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565F4922">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759E8B45">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38C94202">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3F09723B">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079B19F8">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3F3849B7">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0D5DBF67">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15009938">
      <w:pPr>
        <w:shd w:val="clear" w:color="auto" w:fill="auto"/>
        <w:jc w:val="left"/>
        <w:rPr>
          <w:rFonts w:hint="eastAsia" w:asciiTheme="majorEastAsia" w:hAnsiTheme="majorEastAsia" w:eastAsiaTheme="majorEastAsia" w:cstheme="majorEastAsia"/>
          <w:b/>
          <w:bCs/>
          <w:color w:val="auto"/>
          <w:sz w:val="21"/>
          <w:szCs w:val="21"/>
          <w:highlight w:val="none"/>
          <w:lang w:eastAsia="zh-CN"/>
        </w:rPr>
      </w:pPr>
    </w:p>
    <w:p w14:paraId="377684D3">
      <w:pPr>
        <w:shd w:val="clear" w:color="auto" w:fill="auto"/>
        <w:spacing w:line="360" w:lineRule="auto"/>
        <w:jc w:val="both"/>
        <w:outlineLvl w:val="0"/>
        <w:rPr>
          <w:rFonts w:hint="eastAsia" w:ascii="宋体" w:hAnsi="宋体" w:eastAsia="宋体" w:cs="宋体"/>
          <w:b/>
          <w:bCs/>
          <w:color w:val="auto"/>
          <w:sz w:val="28"/>
          <w:szCs w:val="28"/>
          <w:highlight w:val="none"/>
          <w:lang w:eastAsia="zh-CN"/>
        </w:rPr>
      </w:pPr>
      <w:bookmarkStart w:id="28" w:name="_Toc17515"/>
      <w:bookmarkStart w:id="29" w:name="_Toc469495731"/>
      <w:r>
        <w:rPr>
          <w:rFonts w:hint="eastAsia" w:ascii="宋体" w:hAnsi="宋体" w:eastAsia="宋体" w:cs="宋体"/>
          <w:b/>
          <w:bCs/>
          <w:color w:val="auto"/>
          <w:sz w:val="28"/>
          <w:szCs w:val="28"/>
          <w:highlight w:val="none"/>
          <w:lang w:eastAsia="zh-CN"/>
        </w:rPr>
        <w:t>附件：</w:t>
      </w:r>
    </w:p>
    <w:p w14:paraId="6A2CCB6E">
      <w:pPr>
        <w:shd w:val="clear" w:color="auto" w:fill="auto"/>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b/>
          <w:bCs/>
          <w:color w:val="auto"/>
          <w:sz w:val="28"/>
          <w:szCs w:val="28"/>
          <w:highlight w:val="none"/>
          <w:lang w:eastAsia="zh-CN"/>
        </w:rPr>
        <w:t>政府采购投诉书（范本）、质疑函范本</w:t>
      </w:r>
    </w:p>
    <w:p w14:paraId="154A04B1">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center"/>
        <w:textAlignment w:val="auto"/>
        <w:rPr>
          <w:rFonts w:hint="eastAsia" w:ascii="宋体" w:hAnsi="宋体" w:eastAsia="宋体" w:cs="宋体"/>
          <w:b/>
          <w:bCs/>
          <w:color w:val="auto"/>
          <w:sz w:val="22"/>
          <w:szCs w:val="22"/>
          <w:highlight w:val="none"/>
          <w:lang w:val="en-US" w:eastAsia="zh-CN"/>
        </w:rPr>
      </w:pPr>
      <w:bookmarkStart w:id="30" w:name="_Toc13447"/>
      <w:bookmarkStart w:id="31" w:name="_Toc29624"/>
      <w:r>
        <w:rPr>
          <w:rFonts w:hint="eastAsia" w:ascii="宋体" w:hAnsi="宋体" w:eastAsia="宋体" w:cs="宋体"/>
          <w:b/>
          <w:bCs/>
          <w:color w:val="auto"/>
          <w:sz w:val="22"/>
          <w:szCs w:val="22"/>
          <w:highlight w:val="none"/>
          <w:lang w:val="en-US" w:eastAsia="zh-CN"/>
        </w:rPr>
        <w:t>投 诉 书</w:t>
      </w:r>
      <w:bookmarkEnd w:id="30"/>
      <w:bookmarkEnd w:id="31"/>
    </w:p>
    <w:p w14:paraId="1FC8E543">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bookmarkStart w:id="32" w:name="_Toc21897"/>
      <w:bookmarkStart w:id="33" w:name="_Toc22042"/>
      <w:bookmarkStart w:id="34" w:name="_Toc30403"/>
      <w:bookmarkStart w:id="35" w:name="_Toc18623"/>
      <w:bookmarkStart w:id="36" w:name="_Toc4730"/>
      <w:r>
        <w:rPr>
          <w:rFonts w:hint="eastAsia" w:ascii="宋体" w:hAnsi="宋体" w:eastAsia="宋体" w:cs="宋体"/>
          <w:color w:val="auto"/>
          <w:sz w:val="21"/>
          <w:szCs w:val="21"/>
          <w:highlight w:val="none"/>
          <w:lang w:val="en-US" w:eastAsia="zh-CN"/>
        </w:rPr>
        <w:t>一、投诉相关主体基本情况</w:t>
      </w:r>
      <w:bookmarkEnd w:id="32"/>
      <w:bookmarkEnd w:id="33"/>
      <w:bookmarkEnd w:id="34"/>
      <w:bookmarkEnd w:id="35"/>
      <w:bookmarkEnd w:id="36"/>
    </w:p>
    <w:p w14:paraId="278E216F">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投诉人：                           </w:t>
      </w:r>
    </w:p>
    <w:p w14:paraId="440D082F">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地  址：                        邮 编：             </w:t>
      </w:r>
    </w:p>
    <w:p w14:paraId="78CED172">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法定代表人/主要负责人：                             </w:t>
      </w:r>
    </w:p>
    <w:p w14:paraId="3F124C36">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联系电话：                                          </w:t>
      </w:r>
    </w:p>
    <w:p w14:paraId="4D8039AC">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地  址：                        邮 编：             </w:t>
      </w:r>
    </w:p>
    <w:p w14:paraId="75826401">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授权代表（如有）：                         </w:t>
      </w:r>
    </w:p>
    <w:p w14:paraId="5160D70A">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联系电话：                                      </w:t>
      </w:r>
    </w:p>
    <w:p w14:paraId="7EB27D40">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地  址：                        邮 编：                  </w:t>
      </w:r>
    </w:p>
    <w:p w14:paraId="20590419">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被投诉人1：                                </w:t>
      </w:r>
    </w:p>
    <w:p w14:paraId="11A6FBD0">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地  址：                        邮 编：             </w:t>
      </w:r>
    </w:p>
    <w:p w14:paraId="0F6DB0C7">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联系人：                        联系电话：               </w:t>
      </w:r>
    </w:p>
    <w:p w14:paraId="1B905A84">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被投诉人2：                                           </w:t>
      </w:r>
    </w:p>
    <w:p w14:paraId="1745F584">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相关供应商（如有）：                                       </w:t>
      </w:r>
    </w:p>
    <w:p w14:paraId="7CD91D21">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地  址：                        邮编：                 </w:t>
      </w:r>
    </w:p>
    <w:p w14:paraId="205C07B8">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联系人：                        联系电话：               </w:t>
      </w:r>
    </w:p>
    <w:p w14:paraId="2FA97A2B">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bookmarkStart w:id="37" w:name="_Toc7437"/>
      <w:bookmarkStart w:id="38" w:name="_Toc18283"/>
      <w:bookmarkStart w:id="39" w:name="_Toc17048"/>
      <w:bookmarkStart w:id="40" w:name="_Toc25214"/>
      <w:bookmarkStart w:id="41" w:name="_Toc10853"/>
      <w:r>
        <w:rPr>
          <w:rFonts w:hint="eastAsia" w:ascii="宋体" w:hAnsi="宋体" w:eastAsia="宋体" w:cs="宋体"/>
          <w:color w:val="auto"/>
          <w:sz w:val="21"/>
          <w:szCs w:val="21"/>
          <w:highlight w:val="none"/>
          <w:lang w:val="en-US" w:eastAsia="zh-CN"/>
        </w:rPr>
        <w:t>二、投诉项目基本情况</w:t>
      </w:r>
      <w:bookmarkEnd w:id="37"/>
      <w:bookmarkEnd w:id="38"/>
      <w:bookmarkEnd w:id="39"/>
      <w:bookmarkEnd w:id="40"/>
      <w:bookmarkEnd w:id="41"/>
    </w:p>
    <w:p w14:paraId="70992ED5">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采购项目名称：</w:t>
      </w:r>
    </w:p>
    <w:p w14:paraId="1291F5F3">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采购项目编号：        包号：</w:t>
      </w:r>
    </w:p>
    <w:p w14:paraId="7704915B">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采购人名称：</w:t>
      </w:r>
    </w:p>
    <w:p w14:paraId="0CA697BA">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代理机构名称：</w:t>
      </w:r>
    </w:p>
    <w:p w14:paraId="79D16589">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采购文件公告：是/否 公告期限：</w:t>
      </w:r>
    </w:p>
    <w:p w14:paraId="38DC1606">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采购结果公告：是/否 公告期限：</w:t>
      </w:r>
    </w:p>
    <w:p w14:paraId="4D083833">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bookmarkStart w:id="42" w:name="_Toc14152"/>
      <w:bookmarkStart w:id="43" w:name="_Toc13582"/>
      <w:bookmarkStart w:id="44" w:name="_Toc13183"/>
      <w:bookmarkStart w:id="45" w:name="_Toc25877"/>
      <w:bookmarkStart w:id="46" w:name="_Toc2182"/>
      <w:r>
        <w:rPr>
          <w:rFonts w:hint="eastAsia" w:ascii="宋体" w:hAnsi="宋体" w:eastAsia="宋体" w:cs="宋体"/>
          <w:color w:val="auto"/>
          <w:sz w:val="21"/>
          <w:szCs w:val="21"/>
          <w:highlight w:val="none"/>
          <w:lang w:val="en-US" w:eastAsia="zh-CN"/>
        </w:rPr>
        <w:t>三、质疑基本情况</w:t>
      </w:r>
      <w:bookmarkEnd w:id="42"/>
      <w:bookmarkEnd w:id="43"/>
      <w:bookmarkEnd w:id="44"/>
      <w:bookmarkEnd w:id="45"/>
      <w:bookmarkEnd w:id="46"/>
    </w:p>
    <w:p w14:paraId="2FFF9492">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投诉人于    年  月  日，向       提出质疑，</w:t>
      </w:r>
    </w:p>
    <w:p w14:paraId="4ED97C11">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质疑事项为：</w:t>
      </w:r>
    </w:p>
    <w:p w14:paraId="35398D44">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采购人/代理机构于    年  月  日，就质疑事项做出了答复/没有在法定期限内做出答复。</w:t>
      </w:r>
    </w:p>
    <w:p w14:paraId="5EF278A5">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default" w:ascii="宋体" w:hAnsi="宋体" w:eastAsia="宋体" w:cs="宋体"/>
          <w:color w:val="auto"/>
          <w:sz w:val="21"/>
          <w:szCs w:val="21"/>
          <w:highlight w:val="none"/>
          <w:lang w:val="en-US" w:eastAsia="zh-CN"/>
        </w:rPr>
      </w:pPr>
      <w:bookmarkStart w:id="47" w:name="_Toc23110"/>
      <w:bookmarkStart w:id="48" w:name="_Toc15203"/>
      <w:bookmarkStart w:id="49" w:name="_Toc3347"/>
      <w:bookmarkStart w:id="50" w:name="_Toc26083"/>
      <w:bookmarkStart w:id="51" w:name="_Toc17256"/>
      <w:r>
        <w:rPr>
          <w:rFonts w:hint="eastAsia" w:ascii="宋体" w:hAnsi="宋体" w:eastAsia="宋体" w:cs="宋体"/>
          <w:color w:val="auto"/>
          <w:sz w:val="21"/>
          <w:szCs w:val="21"/>
          <w:highlight w:val="none"/>
          <w:lang w:val="en-US" w:eastAsia="zh-CN"/>
        </w:rPr>
        <w:t>四、投诉事项具体内容</w:t>
      </w:r>
      <w:bookmarkEnd w:id="47"/>
      <w:bookmarkEnd w:id="48"/>
      <w:bookmarkEnd w:id="49"/>
      <w:bookmarkEnd w:id="50"/>
      <w:bookmarkEnd w:id="51"/>
    </w:p>
    <w:p w14:paraId="368162C2">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投诉事项1：</w:t>
      </w:r>
    </w:p>
    <w:p w14:paraId="622C2116">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事实依据：</w:t>
      </w:r>
    </w:p>
    <w:p w14:paraId="748F8A40">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法律依据1：</w:t>
      </w:r>
    </w:p>
    <w:p w14:paraId="656E8560">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法律依据2：</w:t>
      </w:r>
    </w:p>
    <w:p w14:paraId="3FFBFD52">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p>
    <w:p w14:paraId="52C54D13">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投诉事项2：</w:t>
      </w:r>
    </w:p>
    <w:p w14:paraId="7975368F">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p w14:paraId="7AE862B9">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bookmarkStart w:id="52" w:name="_Toc13424"/>
      <w:bookmarkStart w:id="53" w:name="_Toc16036"/>
      <w:bookmarkStart w:id="54" w:name="_Toc16741"/>
      <w:bookmarkStart w:id="55" w:name="_Toc31495"/>
      <w:bookmarkStart w:id="56" w:name="_Toc32324"/>
      <w:r>
        <w:rPr>
          <w:rFonts w:hint="eastAsia" w:ascii="宋体" w:hAnsi="宋体" w:eastAsia="宋体" w:cs="宋体"/>
          <w:color w:val="auto"/>
          <w:sz w:val="21"/>
          <w:szCs w:val="21"/>
          <w:highlight w:val="none"/>
          <w:lang w:val="en-US" w:eastAsia="zh-CN"/>
        </w:rPr>
        <w:t>五、与投诉事项相关的投诉请求</w:t>
      </w:r>
      <w:bookmarkEnd w:id="52"/>
      <w:bookmarkEnd w:id="53"/>
      <w:bookmarkEnd w:id="54"/>
      <w:bookmarkEnd w:id="55"/>
      <w:bookmarkEnd w:id="56"/>
    </w:p>
    <w:p w14:paraId="00F2E109">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请求：</w:t>
      </w:r>
    </w:p>
    <w:p w14:paraId="399F4BDD">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p>
    <w:p w14:paraId="6DEA669B">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签字（签章）（法人代表或负责人、代理人）：       </w:t>
      </w:r>
    </w:p>
    <w:p w14:paraId="120A5080">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公章（单位）：               </w:t>
      </w:r>
    </w:p>
    <w:p w14:paraId="181E304D">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日期：</w:t>
      </w:r>
    </w:p>
    <w:p w14:paraId="7D26EC84">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bookmarkStart w:id="57" w:name="_Toc7988"/>
      <w:r>
        <w:rPr>
          <w:rFonts w:hint="eastAsia" w:ascii="宋体" w:hAnsi="宋体" w:eastAsia="宋体" w:cs="宋体"/>
          <w:color w:val="auto"/>
          <w:sz w:val="21"/>
          <w:szCs w:val="21"/>
          <w:highlight w:val="none"/>
          <w:lang w:val="en-US" w:eastAsia="zh-CN"/>
        </w:rPr>
        <w:t>附件：质疑及答复材料</w:t>
      </w:r>
    </w:p>
    <w:p w14:paraId="0009CE1E">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bookmarkStart w:id="58" w:name="_Toc20349"/>
      <w:bookmarkStart w:id="59" w:name="_Toc29658"/>
      <w:bookmarkStart w:id="60" w:name="_Toc5781"/>
      <w:bookmarkStart w:id="61" w:name="_Toc31452"/>
      <w:r>
        <w:rPr>
          <w:rFonts w:hint="eastAsia" w:ascii="宋体" w:hAnsi="宋体" w:eastAsia="宋体" w:cs="宋体"/>
          <w:color w:val="auto"/>
          <w:sz w:val="21"/>
          <w:szCs w:val="21"/>
          <w:highlight w:val="none"/>
          <w:lang w:val="en-US" w:eastAsia="zh-CN"/>
        </w:rPr>
        <w:t>投诉书制作说明：</w:t>
      </w:r>
      <w:bookmarkEnd w:id="57"/>
      <w:bookmarkEnd w:id="58"/>
      <w:bookmarkEnd w:id="59"/>
      <w:bookmarkEnd w:id="60"/>
      <w:bookmarkEnd w:id="61"/>
    </w:p>
    <w:p w14:paraId="32CEE2D6">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1.投诉人应当按照</w:t>
      </w:r>
      <w:r>
        <w:rPr>
          <w:rFonts w:hint="default" w:ascii="宋体" w:hAnsi="宋体" w:eastAsia="宋体" w:cs="宋体"/>
          <w:color w:val="auto"/>
          <w:sz w:val="21"/>
          <w:szCs w:val="21"/>
          <w:highlight w:val="none"/>
          <w:lang w:val="en-US" w:eastAsia="zh-CN"/>
        </w:rPr>
        <w:t>《政府采购质疑和投诉办法》</w:t>
      </w:r>
      <w:r>
        <w:rPr>
          <w:rFonts w:hint="eastAsia" w:ascii="宋体" w:hAnsi="宋体" w:eastAsia="宋体" w:cs="宋体"/>
          <w:color w:val="auto"/>
          <w:sz w:val="21"/>
          <w:szCs w:val="21"/>
          <w:highlight w:val="none"/>
          <w:lang w:val="en-US" w:eastAsia="zh-CN"/>
        </w:rPr>
        <w:t>（财政部令第94号）规定提起投诉。</w:t>
      </w:r>
    </w:p>
    <w:p w14:paraId="01FB7EEA">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2.投诉人提起投诉时，应当提交投诉书和必要的证明材料，并按照被投诉人和与投诉事项有关的供应商数量提供投诉书副本。</w:t>
      </w:r>
    </w:p>
    <w:p w14:paraId="7681CF19">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投诉人若委托代理人进行投诉的，投诉书应按照要求列明“授权代表”的有关内容，并在附件中提交由投诉人签署的授权委托书。授权委托书应当载明代理人的姓名或者名称、代理事项、具体权限、期限和相关事项。</w:t>
      </w:r>
    </w:p>
    <w:p w14:paraId="63270E7F">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4.投诉人若对项目的某一分包进行投诉，投诉书应列明具体分包号。</w:t>
      </w:r>
    </w:p>
    <w:p w14:paraId="0C715DBB">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5.投诉书应简要列明质疑事项，质疑函、质疑答复等作为附件材料提供。</w:t>
      </w:r>
    </w:p>
    <w:p w14:paraId="5CD35142">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6.投诉书的投诉事项应具体、明确，并由必要的事实依据和法律依据。</w:t>
      </w:r>
    </w:p>
    <w:p w14:paraId="66D3D686">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7.投诉书的投诉请求应与投诉事项相关。</w:t>
      </w:r>
    </w:p>
    <w:p w14:paraId="6DBAB971">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b/>
          <w:bCs/>
          <w:color w:val="auto"/>
          <w:sz w:val="32"/>
          <w:szCs w:val="32"/>
          <w:highlight w:val="none"/>
        </w:rPr>
      </w:pPr>
      <w:r>
        <w:rPr>
          <w:rFonts w:hint="eastAsia" w:ascii="宋体" w:hAnsi="宋体" w:eastAsia="宋体" w:cs="宋体"/>
          <w:color w:val="auto"/>
          <w:sz w:val="21"/>
          <w:szCs w:val="21"/>
          <w:highlight w:val="none"/>
          <w:lang w:val="en-US" w:eastAsia="zh-CN"/>
        </w:rPr>
        <w:t>8.投诉人为自然人的，投诉书应当由本人签字；投诉书应当由法定代表人、主要负责人，或者其授权代表签字或者盖章，并加盖公章。</w:t>
      </w:r>
    </w:p>
    <w:p w14:paraId="155930CB">
      <w:pPr>
        <w:shd w:val="clear" w:color="auto" w:fill="auto"/>
        <w:spacing w:line="360" w:lineRule="auto"/>
        <w:jc w:val="center"/>
        <w:outlineLvl w:val="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投诉相关说明</w:t>
      </w:r>
      <w:bookmarkEnd w:id="28"/>
    </w:p>
    <w:p w14:paraId="7E385F22">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投诉人应当满足《政府采购法》、《政府采购法实施条例》和《政府采购供应商投诉处理办法》的相关规定。</w:t>
      </w:r>
    </w:p>
    <w:p w14:paraId="1D8EF1AE">
      <w:pPr>
        <w:keepNext w:val="0"/>
        <w:keepLines w:val="0"/>
        <w:pageBreakBefore w:val="0"/>
        <w:numPr>
          <w:ilvl w:val="0"/>
          <w:numId w:val="5"/>
        </w:numPr>
        <w:shd w:val="clear" w:color="auto" w:fill="auto"/>
        <w:kinsoku/>
        <w:wordWrap/>
        <w:overflowPunct/>
        <w:topLinePunct w:val="0"/>
        <w:autoSpaceDE/>
        <w:autoSpaceDN/>
        <w:bidi w:val="0"/>
        <w:adjustRightInd/>
        <w:snapToGrid/>
        <w:spacing w:line="360" w:lineRule="auto"/>
        <w:ind w:left="4055" w:leftChars="304" w:hanging="3408" w:hangingChars="1600"/>
        <w:textAlignment w:val="auto"/>
        <w:outlineLvl w:val="0"/>
        <w:rPr>
          <w:rFonts w:hint="eastAsia" w:ascii="宋体" w:hAnsi="宋体" w:eastAsia="宋体" w:cs="宋体"/>
          <w:b/>
          <w:bCs/>
          <w:color w:val="auto"/>
          <w:sz w:val="21"/>
          <w:szCs w:val="21"/>
          <w:highlight w:val="none"/>
        </w:rPr>
      </w:pPr>
      <w:bookmarkStart w:id="62" w:name="_Toc11499"/>
      <w:r>
        <w:rPr>
          <w:rFonts w:hint="eastAsia" w:ascii="宋体" w:hAnsi="宋体" w:eastAsia="宋体" w:cs="宋体"/>
          <w:b/>
          <w:bCs/>
          <w:color w:val="auto"/>
          <w:sz w:val="21"/>
          <w:szCs w:val="21"/>
          <w:highlight w:val="none"/>
        </w:rPr>
        <w:t>质疑前置及时间要求</w:t>
      </w:r>
      <w:bookmarkEnd w:id="62"/>
    </w:p>
    <w:p w14:paraId="1A2CF4D0">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sz w:val="21"/>
          <w:szCs w:val="21"/>
          <w:highlight w:val="none"/>
        </w:rPr>
        <w:t>《中华人民共和国政府采购法》</w:t>
      </w:r>
      <w:r>
        <w:rPr>
          <w:rFonts w:hint="eastAsia" w:ascii="宋体" w:hAnsi="宋体" w:eastAsia="宋体" w:cs="宋体"/>
          <w:color w:val="auto"/>
          <w:kern w:val="0"/>
          <w:sz w:val="21"/>
          <w:szCs w:val="21"/>
          <w:highlight w:val="none"/>
          <w:shd w:val="clear" w:color="auto" w:fill="FFFFFF"/>
        </w:rPr>
        <w:t>第五十一条：供应商对政府采购活动事项有疑问的，可以向采购人提出询问，采购人应当及时作出答复，但答复的内容不得涉及商业秘密。</w:t>
      </w:r>
    </w:p>
    <w:p w14:paraId="7CFC3974">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shd w:val="clear" w:color="auto" w:fill="FFFFFF"/>
        </w:rPr>
        <w:t xml:space="preserve"> 第五十二条：供应商认为采购文件、采购过程和</w:t>
      </w:r>
      <w:r>
        <w:rPr>
          <w:rFonts w:hint="eastAsia" w:ascii="宋体" w:hAnsi="宋体" w:eastAsia="宋体" w:cs="宋体"/>
          <w:color w:val="auto"/>
          <w:kern w:val="0"/>
          <w:sz w:val="21"/>
          <w:szCs w:val="21"/>
          <w:highlight w:val="none"/>
          <w:shd w:val="clear" w:color="auto" w:fill="FFFFFF"/>
          <w:lang w:eastAsia="zh-CN"/>
        </w:rPr>
        <w:t>成交</w:t>
      </w:r>
      <w:r>
        <w:rPr>
          <w:rFonts w:hint="eastAsia" w:ascii="宋体" w:hAnsi="宋体" w:eastAsia="宋体" w:cs="宋体"/>
          <w:color w:val="auto"/>
          <w:kern w:val="0"/>
          <w:sz w:val="21"/>
          <w:szCs w:val="21"/>
          <w:highlight w:val="none"/>
          <w:shd w:val="clear" w:color="auto" w:fill="FFFFFF"/>
        </w:rPr>
        <w:t>、</w:t>
      </w:r>
      <w:r>
        <w:rPr>
          <w:rFonts w:hint="eastAsia" w:ascii="宋体" w:hAnsi="宋体" w:eastAsia="宋体" w:cs="宋体"/>
          <w:color w:val="auto"/>
          <w:kern w:val="0"/>
          <w:sz w:val="21"/>
          <w:szCs w:val="21"/>
          <w:highlight w:val="none"/>
          <w:shd w:val="clear" w:color="auto" w:fill="FFFFFF"/>
          <w:lang w:eastAsia="zh-CN"/>
        </w:rPr>
        <w:t>成交</w:t>
      </w:r>
      <w:r>
        <w:rPr>
          <w:rFonts w:hint="eastAsia" w:ascii="宋体" w:hAnsi="宋体" w:eastAsia="宋体" w:cs="宋体"/>
          <w:color w:val="auto"/>
          <w:kern w:val="0"/>
          <w:sz w:val="21"/>
          <w:szCs w:val="21"/>
          <w:highlight w:val="none"/>
          <w:shd w:val="clear" w:color="auto" w:fill="FFFFFF"/>
        </w:rPr>
        <w:t>结果使自己的权益受到损害的，可以在知道或者应知其权益受到损害之日起七个工作日内，以书面形式向采购人提出质疑。</w:t>
      </w:r>
    </w:p>
    <w:p w14:paraId="64FC60C0">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 xml:space="preserve"> 第五十三条：采购人应当在收到供应商的书面质疑后七个工作日内作出答复，并以书面形式通知质疑供应商和其他有关供应商，但答复的内容不得涉及商业秘密。</w:t>
      </w:r>
    </w:p>
    <w:p w14:paraId="176E470D">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 xml:space="preserve"> 第五十五条:质疑供应商对采购人、采购代理机构的答复不满意或者采购人、采购代理机构未在规定的时间内作出答复的，可以在答复期满后十五个工作日内向同级政府采购监督管理部门投诉。</w:t>
      </w:r>
    </w:p>
    <w:p w14:paraId="5CBB6CBA">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 xml:space="preserve">  《政府采购实施条例》第五十五条：供应商质疑、投诉应当有明确的请求和必要的证明材料。供应商投诉的事项不得超出质疑事项的范围。</w:t>
      </w:r>
    </w:p>
    <w:p w14:paraId="7AAEC1A0">
      <w:pPr>
        <w:keepNext w:val="0"/>
        <w:keepLines w:val="0"/>
        <w:pageBreakBefore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p>
    <w:p w14:paraId="28508F23">
      <w:pPr>
        <w:keepNext w:val="0"/>
        <w:keepLines w:val="0"/>
        <w:pageBreakBefore w:val="0"/>
        <w:shd w:val="clear" w:color="auto" w:fill="auto"/>
        <w:kinsoku/>
        <w:wordWrap/>
        <w:overflowPunct/>
        <w:topLinePunct w:val="0"/>
        <w:autoSpaceDE/>
        <w:autoSpaceDN/>
        <w:bidi w:val="0"/>
        <w:adjustRightInd/>
        <w:snapToGrid/>
        <w:spacing w:line="360" w:lineRule="auto"/>
        <w:ind w:left="5760" w:hanging="3834" w:hangingChars="18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b/>
          <w:bCs/>
          <w:color w:val="auto"/>
          <w:sz w:val="21"/>
          <w:szCs w:val="21"/>
          <w:highlight w:val="none"/>
        </w:rPr>
        <w:t xml:space="preserve">   </w:t>
      </w:r>
      <w:bookmarkStart w:id="63" w:name="_Toc13508"/>
      <w:r>
        <w:rPr>
          <w:rFonts w:hint="eastAsia" w:ascii="宋体" w:hAnsi="宋体" w:eastAsia="宋体" w:cs="宋体"/>
          <w:b/>
          <w:bCs/>
          <w:color w:val="auto"/>
          <w:sz w:val="21"/>
          <w:szCs w:val="21"/>
          <w:highlight w:val="none"/>
        </w:rPr>
        <w:t>二、书面方式</w:t>
      </w:r>
      <w:bookmarkEnd w:id="63"/>
    </w:p>
    <w:p w14:paraId="44EF8716">
      <w:pPr>
        <w:keepNext w:val="0"/>
        <w:keepLines w:val="0"/>
        <w:pageBreakBefore w:val="0"/>
        <w:shd w:val="clear" w:color="auto" w:fill="auto"/>
        <w:kinsoku/>
        <w:wordWrap/>
        <w:overflowPunct/>
        <w:topLinePunct w:val="0"/>
        <w:autoSpaceDE/>
        <w:autoSpaceDN/>
        <w:bidi w:val="0"/>
        <w:adjustRightInd/>
        <w:snapToGrid/>
        <w:spacing w:line="360" w:lineRule="auto"/>
        <w:ind w:left="5760" w:hanging="3834" w:hangingChars="18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《政府采购供应商投诉处理办法》第八条：投诉人投诉</w:t>
      </w:r>
    </w:p>
    <w:p w14:paraId="4CA58B52">
      <w:pPr>
        <w:keepNext w:val="0"/>
        <w:keepLines w:val="0"/>
        <w:pageBreakBefore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时，应当提交投诉书，并按照被投诉人以及与投诉事项有关的供应商数量提供投诉书的副本。</w:t>
      </w:r>
    </w:p>
    <w:p w14:paraId="14DA9B12">
      <w:pPr>
        <w:keepNext w:val="0"/>
        <w:keepLines w:val="0"/>
        <w:pageBreakBefore w:val="0"/>
        <w:shd w:val="clear" w:color="auto" w:fill="auto"/>
        <w:kinsoku/>
        <w:wordWrap/>
        <w:overflowPunct/>
        <w:topLinePunct w:val="0"/>
        <w:autoSpaceDE/>
        <w:autoSpaceDN/>
        <w:bidi w:val="0"/>
        <w:adjustRightInd/>
        <w:snapToGrid/>
        <w:spacing w:line="360" w:lineRule="auto"/>
        <w:ind w:left="5760" w:hanging="3834" w:hangingChars="18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投诉书应当包括下列主要内容：</w:t>
      </w:r>
    </w:p>
    <w:p w14:paraId="46ADA83C">
      <w:pPr>
        <w:keepNext w:val="0"/>
        <w:keepLines w:val="0"/>
        <w:pageBreakBefore w:val="0"/>
        <w:numPr>
          <w:ilvl w:val="0"/>
          <w:numId w:val="6"/>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投诉人和被投诉人的名称、地址、电话等；</w:t>
      </w:r>
    </w:p>
    <w:p w14:paraId="2B47A314">
      <w:pPr>
        <w:keepNext w:val="0"/>
        <w:keepLines w:val="0"/>
        <w:pageBreakBefore w:val="0"/>
        <w:numPr>
          <w:ilvl w:val="0"/>
          <w:numId w:val="6"/>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具体的投诉事项及事实依据；</w:t>
      </w:r>
    </w:p>
    <w:p w14:paraId="73D83BCD">
      <w:pPr>
        <w:keepNext w:val="0"/>
        <w:keepLines w:val="0"/>
        <w:pageBreakBefore w:val="0"/>
        <w:numPr>
          <w:ilvl w:val="0"/>
          <w:numId w:val="6"/>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质疑和质疑答复情况及相关证明材料；</w:t>
      </w:r>
    </w:p>
    <w:p w14:paraId="68DC701C">
      <w:pPr>
        <w:keepNext w:val="0"/>
        <w:keepLines w:val="0"/>
        <w:pageBreakBefore w:val="0"/>
        <w:numPr>
          <w:ilvl w:val="0"/>
          <w:numId w:val="6"/>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提起投诉的日期。</w:t>
      </w:r>
    </w:p>
    <w:p w14:paraId="7D6AA0F3">
      <w:pPr>
        <w:keepNext w:val="0"/>
        <w:keepLines w:val="0"/>
        <w:pageBreakBefore w:val="0"/>
        <w:shd w:val="clear" w:color="auto" w:fill="auto"/>
        <w:kinsoku/>
        <w:wordWrap/>
        <w:overflowPunct/>
        <w:topLinePunct w:val="0"/>
        <w:autoSpaceDE/>
        <w:autoSpaceDN/>
        <w:bidi w:val="0"/>
        <w:adjustRightInd/>
        <w:snapToGrid/>
        <w:spacing w:line="360" w:lineRule="auto"/>
        <w:ind w:firstLine="645"/>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投诉书应当署名。投诉人为自然人，应当由本人签字；投诉人为法人或者其他组织的，应当由法定代表人或者主要负责人签字并加盖公章。</w:t>
      </w:r>
    </w:p>
    <w:p w14:paraId="5738C2B1">
      <w:pPr>
        <w:keepNext w:val="0"/>
        <w:keepLines w:val="0"/>
        <w:pageBreakBefore w:val="0"/>
        <w:shd w:val="clear" w:color="auto" w:fill="auto"/>
        <w:kinsoku/>
        <w:wordWrap/>
        <w:overflowPunct/>
        <w:topLinePunct w:val="0"/>
        <w:autoSpaceDE/>
        <w:autoSpaceDN/>
        <w:bidi w:val="0"/>
        <w:adjustRightInd/>
        <w:snapToGrid/>
        <w:spacing w:line="360" w:lineRule="auto"/>
        <w:ind w:firstLine="645"/>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政府采购供应商投诉处理办法》第九条：投诉人可以委托代理人办理投诉事务。代理人办理投书事务时，除提交投诉书外，还应当向同级财政部门提交投诉人的授权委托书，授权委托书应当载明委托代理的具体权限和事项。</w:t>
      </w:r>
    </w:p>
    <w:p w14:paraId="49257BCC">
      <w:pPr>
        <w:keepNext w:val="0"/>
        <w:keepLines w:val="0"/>
        <w:pageBreakBefore w:val="0"/>
        <w:shd w:val="clear" w:color="auto" w:fill="auto"/>
        <w:kinsoku/>
        <w:wordWrap/>
        <w:overflowPunct/>
        <w:topLinePunct w:val="0"/>
        <w:autoSpaceDE/>
        <w:autoSpaceDN/>
        <w:bidi w:val="0"/>
        <w:adjustRightInd/>
        <w:snapToGrid/>
        <w:spacing w:line="360" w:lineRule="auto"/>
        <w:ind w:firstLine="645"/>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《政府采购供应商投诉处理办法》第十条：投诉人提起投诉应当符合下列条件：</w:t>
      </w:r>
    </w:p>
    <w:p w14:paraId="6D20B010">
      <w:pPr>
        <w:keepNext w:val="0"/>
        <w:keepLines w:val="0"/>
        <w:pageBreakBefore w:val="0"/>
        <w:numPr>
          <w:ilvl w:val="0"/>
          <w:numId w:val="7"/>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投诉人是参与所投诉政府采购活动的供应商；</w:t>
      </w:r>
    </w:p>
    <w:p w14:paraId="046DC38E">
      <w:pPr>
        <w:keepNext w:val="0"/>
        <w:keepLines w:val="0"/>
        <w:pageBreakBefore w:val="0"/>
        <w:numPr>
          <w:ilvl w:val="0"/>
          <w:numId w:val="7"/>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提起投诉诉前已依法进行质疑；</w:t>
      </w:r>
    </w:p>
    <w:p w14:paraId="31301EA3">
      <w:pPr>
        <w:keepNext w:val="0"/>
        <w:keepLines w:val="0"/>
        <w:pageBreakBefore w:val="0"/>
        <w:numPr>
          <w:ilvl w:val="0"/>
          <w:numId w:val="7"/>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投诉书内容符合本办法的规定；</w:t>
      </w:r>
    </w:p>
    <w:p w14:paraId="010B99EA">
      <w:pPr>
        <w:keepNext w:val="0"/>
        <w:keepLines w:val="0"/>
        <w:pageBreakBefore w:val="0"/>
        <w:numPr>
          <w:ilvl w:val="0"/>
          <w:numId w:val="7"/>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在投诉有效期内提起投诉；</w:t>
      </w:r>
    </w:p>
    <w:p w14:paraId="1B02CB9C">
      <w:pPr>
        <w:keepNext w:val="0"/>
        <w:keepLines w:val="0"/>
        <w:pageBreakBefore w:val="0"/>
        <w:numPr>
          <w:ilvl w:val="0"/>
          <w:numId w:val="7"/>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属于本级财政部门管辖；</w:t>
      </w:r>
    </w:p>
    <w:p w14:paraId="565F1668">
      <w:pPr>
        <w:keepNext w:val="0"/>
        <w:keepLines w:val="0"/>
        <w:pageBreakBefore w:val="0"/>
        <w:numPr>
          <w:ilvl w:val="0"/>
          <w:numId w:val="7"/>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同一投诉事项未经财政部门投诉处理；</w:t>
      </w:r>
    </w:p>
    <w:p w14:paraId="6C0E00FE">
      <w:pPr>
        <w:keepNext w:val="0"/>
        <w:keepLines w:val="0"/>
        <w:pageBreakBefore w:val="0"/>
        <w:numPr>
          <w:ilvl w:val="0"/>
          <w:numId w:val="7"/>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国务院财政部门规定的其他条件。</w:t>
      </w:r>
    </w:p>
    <w:p w14:paraId="1A02C29A">
      <w:pPr>
        <w:keepNext w:val="0"/>
        <w:keepLines w:val="0"/>
        <w:pageBreakBefore w:val="0"/>
        <w:shd w:val="clear" w:color="auto" w:fill="auto"/>
        <w:kinsoku/>
        <w:wordWrap/>
        <w:overflowPunct/>
        <w:topLinePunct w:val="0"/>
        <w:autoSpaceDE/>
        <w:autoSpaceDN/>
        <w:bidi w:val="0"/>
        <w:adjustRightInd/>
        <w:snapToGrid/>
        <w:spacing w:line="360" w:lineRule="auto"/>
        <w:ind w:left="5760" w:hanging="3834" w:hangingChars="18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5F3C7445">
      <w:pPr>
        <w:shd w:val="clear" w:color="auto" w:fill="auto"/>
        <w:spacing w:line="360" w:lineRule="auto"/>
        <w:outlineLvl w:val="0"/>
        <w:rPr>
          <w:rFonts w:hint="eastAsia"/>
          <w:color w:val="auto"/>
          <w:sz w:val="21"/>
          <w:szCs w:val="21"/>
          <w:highlight w:val="none"/>
        </w:rPr>
      </w:pPr>
      <w:r>
        <w:rPr>
          <w:rFonts w:hint="eastAsia"/>
          <w:color w:val="auto"/>
          <w:sz w:val="21"/>
          <w:szCs w:val="21"/>
          <w:highlight w:val="none"/>
        </w:rPr>
        <w:t xml:space="preserve"> </w:t>
      </w:r>
      <w:r>
        <w:rPr>
          <w:rFonts w:hint="eastAsia" w:ascii="宋体" w:hAnsi="宋体" w:eastAsia="宋体" w:cs="宋体"/>
          <w:b/>
          <w:bCs/>
          <w:color w:val="auto"/>
          <w:sz w:val="21"/>
          <w:szCs w:val="21"/>
          <w:highlight w:val="none"/>
        </w:rPr>
        <w:t xml:space="preserve">   </w:t>
      </w:r>
      <w:bookmarkStart w:id="64" w:name="_Toc5978"/>
      <w:r>
        <w:rPr>
          <w:rFonts w:hint="eastAsia" w:ascii="宋体" w:hAnsi="宋体" w:eastAsia="宋体" w:cs="宋体"/>
          <w:b/>
          <w:bCs/>
          <w:color w:val="auto"/>
          <w:sz w:val="21"/>
          <w:szCs w:val="21"/>
          <w:highlight w:val="none"/>
        </w:rPr>
        <w:t>三、虚假、恶意投诉法律责任</w:t>
      </w:r>
      <w:bookmarkEnd w:id="64"/>
    </w:p>
    <w:p w14:paraId="15FBC2E7">
      <w:pPr>
        <w:keepNext w:val="0"/>
        <w:keepLines w:val="0"/>
        <w:pageBreakBefore w:val="0"/>
        <w:shd w:val="clear" w:color="auto" w:fill="auto"/>
        <w:kinsoku/>
        <w:wordWrap/>
        <w:overflowPunct/>
        <w:topLinePunct w:val="0"/>
        <w:autoSpaceDE/>
        <w:autoSpaceDN/>
        <w:bidi w:val="0"/>
        <w:adjustRightInd/>
        <w:snapToGrid/>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第七十三条：供应商捏造实施、提供虚假材料或者以非法手段取得证明材料进行投诉的，由财政部门列入不良行为记录名单，禁止其1至3年内参加政府采购活动。</w:t>
      </w:r>
    </w:p>
    <w:p w14:paraId="1A844765">
      <w:pPr>
        <w:keepNext w:val="0"/>
        <w:keepLines w:val="0"/>
        <w:pageBreakBefore w:val="0"/>
        <w:shd w:val="clear" w:color="auto" w:fill="auto"/>
        <w:kinsoku/>
        <w:wordWrap/>
        <w:overflowPunct/>
        <w:topLinePunct w:val="0"/>
        <w:autoSpaceDE/>
        <w:autoSpaceDN/>
        <w:bidi w:val="0"/>
        <w:adjustRightInd/>
        <w:snapToGrid/>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《政府采购供应商投诉处理办法》第二十六条：投诉人有下列情形之一的，属于虚假、恶意投诉，财政部门应当驳回投诉，将其列入不良行为记录名单，并依法予以处罚：</w:t>
      </w:r>
    </w:p>
    <w:p w14:paraId="429C5C81">
      <w:pPr>
        <w:keepNext w:val="0"/>
        <w:keepLines w:val="0"/>
        <w:pageBreakBefore w:val="0"/>
        <w:shd w:val="clear" w:color="auto" w:fill="auto"/>
        <w:kinsoku/>
        <w:wordWrap/>
        <w:overflowPunct/>
        <w:topLinePunct w:val="0"/>
        <w:autoSpaceDE/>
        <w:autoSpaceDN/>
        <w:bidi w:val="0"/>
        <w:adjustRightInd/>
        <w:snapToGrid/>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（一）1年内3次以上投诉均查无实据的；</w:t>
      </w:r>
    </w:p>
    <w:p w14:paraId="549E2BF0">
      <w:pPr>
        <w:keepNext w:val="0"/>
        <w:keepLines w:val="0"/>
        <w:pageBreakBefore w:val="0"/>
        <w:shd w:val="clear" w:color="auto" w:fill="auto"/>
        <w:kinsoku/>
        <w:wordWrap/>
        <w:overflowPunct/>
        <w:topLinePunct w:val="0"/>
        <w:autoSpaceDE/>
        <w:autoSpaceDN/>
        <w:bidi w:val="0"/>
        <w:adjustRightInd/>
        <w:snapToGrid/>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（二）捏造事实或者提供虚假投诉材料的。</w:t>
      </w:r>
    </w:p>
    <w:p w14:paraId="7B524E03">
      <w:pPr>
        <w:keepNext w:val="0"/>
        <w:keepLines w:val="0"/>
        <w:pageBreakBefore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p>
    <w:p w14:paraId="1F958C07">
      <w:pPr>
        <w:shd w:val="clear" w:color="auto" w:fill="auto"/>
        <w:spacing w:line="360" w:lineRule="auto"/>
        <w:ind w:firstLine="426" w:firstLineChars="20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递交投诉书地址：</w:t>
      </w:r>
      <w:r>
        <w:rPr>
          <w:rFonts w:hint="eastAsia" w:ascii="宋体" w:hAnsi="宋体" w:cs="宋体"/>
          <w:color w:val="auto"/>
          <w:sz w:val="21"/>
          <w:szCs w:val="21"/>
          <w:highlight w:val="none"/>
          <w:lang w:val="en-US" w:eastAsia="zh-CN"/>
        </w:rPr>
        <w:t>克州</w:t>
      </w:r>
      <w:r>
        <w:rPr>
          <w:rFonts w:hint="eastAsia" w:ascii="宋体" w:hAnsi="宋体" w:eastAsia="宋体" w:cs="宋体"/>
          <w:color w:val="auto"/>
          <w:sz w:val="21"/>
          <w:szCs w:val="21"/>
          <w:highlight w:val="none"/>
          <w:lang w:val="en-US" w:eastAsia="zh-CN"/>
        </w:rPr>
        <w:t>财政局政府采购办监管办公室</w:t>
      </w:r>
    </w:p>
    <w:p w14:paraId="679E4AE3">
      <w:pPr>
        <w:shd w:val="clear" w:color="auto" w:fill="auto"/>
        <w:spacing w:line="360" w:lineRule="auto"/>
        <w:jc w:val="both"/>
        <w:rPr>
          <w:rFonts w:hint="eastAsia" w:ascii="宋体" w:hAnsi="宋体" w:eastAsia="宋体" w:cs="宋体"/>
          <w:color w:val="auto"/>
          <w:sz w:val="21"/>
          <w:szCs w:val="21"/>
          <w:highlight w:val="none"/>
        </w:rPr>
      </w:pPr>
    </w:p>
    <w:p w14:paraId="211F1055">
      <w:pPr>
        <w:shd w:val="clear" w:color="auto" w:fill="auto"/>
        <w:spacing w:line="360" w:lineRule="auto"/>
        <w:jc w:val="right"/>
        <w:rPr>
          <w:rFonts w:hint="eastAsia" w:ascii="宋体" w:hAnsi="宋体" w:eastAsia="宋体" w:cs="宋体"/>
          <w:color w:val="auto"/>
          <w:sz w:val="32"/>
          <w:szCs w:val="32"/>
          <w:highlight w:val="none"/>
        </w:rPr>
      </w:pPr>
    </w:p>
    <w:p w14:paraId="20727031">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b/>
          <w:bCs/>
          <w:color w:val="auto"/>
          <w:sz w:val="44"/>
          <w:szCs w:val="44"/>
          <w:highlight w:val="none"/>
        </w:rPr>
      </w:pPr>
    </w:p>
    <w:p w14:paraId="364DFC99">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b/>
          <w:bCs/>
          <w:color w:val="auto"/>
          <w:sz w:val="44"/>
          <w:szCs w:val="44"/>
          <w:highlight w:val="none"/>
        </w:rPr>
      </w:pPr>
    </w:p>
    <w:p w14:paraId="108D3157">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b/>
          <w:bCs/>
          <w:color w:val="auto"/>
          <w:sz w:val="44"/>
          <w:szCs w:val="44"/>
          <w:highlight w:val="none"/>
        </w:rPr>
      </w:pPr>
    </w:p>
    <w:p w14:paraId="5AF0BAF5">
      <w:pPr>
        <w:rPr>
          <w:rFonts w:hint="eastAsia"/>
        </w:rPr>
      </w:pPr>
      <w:bookmarkStart w:id="65" w:name="_Toc1697"/>
    </w:p>
    <w:p w14:paraId="11D99516">
      <w:pPr>
        <w:rPr>
          <w:rFonts w:hint="eastAsia"/>
        </w:rPr>
      </w:pPr>
    </w:p>
    <w:p w14:paraId="04BFE200">
      <w:pPr>
        <w:rPr>
          <w:rFonts w:hint="eastAsia"/>
        </w:rPr>
      </w:pPr>
    </w:p>
    <w:p w14:paraId="742EA01F">
      <w:pPr>
        <w:rPr>
          <w:rFonts w:hint="eastAsia"/>
        </w:rPr>
      </w:pPr>
    </w:p>
    <w:p w14:paraId="18618C2E">
      <w:pPr>
        <w:pStyle w:val="11"/>
        <w:rPr>
          <w:rFonts w:hint="eastAsia"/>
        </w:rPr>
      </w:pPr>
    </w:p>
    <w:bookmarkEnd w:id="65"/>
    <w:p w14:paraId="2177616B">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outlineLvl w:val="0"/>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质疑函范本</w:t>
      </w:r>
    </w:p>
    <w:p w14:paraId="5B978F49">
      <w:pPr>
        <w:keepNext w:val="0"/>
        <w:keepLines w:val="0"/>
        <w:pageBreakBefore w:val="0"/>
        <w:widowControl w:val="0"/>
        <w:shd w:val="clear" w:color="auto" w:fill="auto"/>
        <w:kinsoku/>
        <w:wordWrap/>
        <w:overflowPunct/>
        <w:topLinePunct w:val="0"/>
        <w:autoSpaceDE/>
        <w:autoSpaceDN/>
        <w:bidi w:val="0"/>
        <w:adjustRightInd w:val="0"/>
        <w:snapToGrid w:val="0"/>
        <w:spacing w:beforeLines="100" w:line="360" w:lineRule="auto"/>
        <w:ind w:firstLine="426" w:firstLineChars="200"/>
        <w:textAlignment w:val="auto"/>
        <w:outlineLvl w:val="0"/>
        <w:rPr>
          <w:rFonts w:hint="eastAsia" w:ascii="宋体" w:hAnsi="宋体" w:eastAsia="宋体" w:cs="宋体"/>
          <w:bCs/>
          <w:color w:val="auto"/>
          <w:sz w:val="21"/>
          <w:szCs w:val="21"/>
          <w:highlight w:val="none"/>
        </w:rPr>
      </w:pPr>
      <w:bookmarkStart w:id="66" w:name="_Toc9061"/>
      <w:r>
        <w:rPr>
          <w:rFonts w:hint="eastAsia" w:ascii="宋体" w:hAnsi="宋体" w:eastAsia="宋体" w:cs="宋体"/>
          <w:bCs/>
          <w:color w:val="auto"/>
          <w:sz w:val="21"/>
          <w:szCs w:val="21"/>
          <w:highlight w:val="none"/>
        </w:rPr>
        <w:t>一、质疑供应商基本信息</w:t>
      </w:r>
      <w:bookmarkEnd w:id="66"/>
    </w:p>
    <w:p w14:paraId="2A98D94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u w:val="dotted"/>
        </w:rPr>
      </w:pPr>
      <w:r>
        <w:rPr>
          <w:rFonts w:hint="eastAsia" w:ascii="宋体" w:hAnsi="宋体" w:eastAsia="宋体" w:cs="宋体"/>
          <w:color w:val="auto"/>
          <w:sz w:val="21"/>
          <w:szCs w:val="21"/>
          <w:highlight w:val="none"/>
        </w:rPr>
        <w:t>质疑供应商：</w:t>
      </w:r>
      <w:r>
        <w:rPr>
          <w:rFonts w:hint="eastAsia" w:ascii="宋体" w:hAnsi="宋体" w:eastAsia="宋体" w:cs="宋体"/>
          <w:color w:val="auto"/>
          <w:sz w:val="21"/>
          <w:szCs w:val="21"/>
          <w:highlight w:val="none"/>
          <w:u w:val="dotted"/>
        </w:rPr>
        <w:t xml:space="preserve">                         </w:t>
      </w:r>
    </w:p>
    <w:p w14:paraId="163C718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r>
        <w:rPr>
          <w:rFonts w:hint="eastAsia" w:ascii="宋体" w:hAnsi="宋体" w:eastAsia="宋体" w:cs="宋体"/>
          <w:color w:val="auto"/>
          <w:sz w:val="21"/>
          <w:szCs w:val="21"/>
          <w:highlight w:val="none"/>
          <w:u w:val="dotted"/>
        </w:rPr>
        <w:t xml:space="preserve">                          </w:t>
      </w:r>
      <w:r>
        <w:rPr>
          <w:rFonts w:hint="eastAsia" w:ascii="宋体" w:hAnsi="宋体" w:eastAsia="宋体" w:cs="宋体"/>
          <w:color w:val="auto"/>
          <w:sz w:val="21"/>
          <w:szCs w:val="21"/>
          <w:highlight w:val="none"/>
        </w:rPr>
        <w:t>邮编：</w:t>
      </w:r>
      <w:r>
        <w:rPr>
          <w:rFonts w:hint="eastAsia" w:ascii="宋体" w:hAnsi="宋体" w:eastAsia="宋体" w:cs="宋体"/>
          <w:color w:val="auto"/>
          <w:sz w:val="21"/>
          <w:szCs w:val="21"/>
          <w:highlight w:val="none"/>
          <w:u w:val="dotted"/>
        </w:rPr>
        <w:t xml:space="preserve">            </w:t>
      </w:r>
    </w:p>
    <w:p w14:paraId="03CA90F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联系人：</w:t>
      </w:r>
      <w:r>
        <w:rPr>
          <w:rFonts w:hint="eastAsia" w:ascii="宋体" w:hAnsi="宋体" w:eastAsia="宋体" w:cs="宋体"/>
          <w:color w:val="auto"/>
          <w:sz w:val="21"/>
          <w:szCs w:val="21"/>
          <w:highlight w:val="none"/>
          <w:u w:val="dotted"/>
        </w:rPr>
        <w:t xml:space="preserve">                      </w:t>
      </w: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dotted"/>
        </w:rPr>
        <w:t xml:space="preserve">            </w:t>
      </w:r>
    </w:p>
    <w:p w14:paraId="174FB0F8">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u w:val="dotted"/>
        </w:rPr>
      </w:pPr>
      <w:r>
        <w:rPr>
          <w:rFonts w:hint="eastAsia" w:ascii="宋体" w:hAnsi="宋体" w:eastAsia="宋体" w:cs="宋体"/>
          <w:color w:val="auto"/>
          <w:sz w:val="21"/>
          <w:szCs w:val="21"/>
          <w:highlight w:val="none"/>
        </w:rPr>
        <w:t>授权代表：</w:t>
      </w:r>
      <w:r>
        <w:rPr>
          <w:rFonts w:hint="eastAsia" w:ascii="宋体" w:hAnsi="宋体" w:eastAsia="宋体" w:cs="宋体"/>
          <w:color w:val="auto"/>
          <w:sz w:val="21"/>
          <w:szCs w:val="21"/>
          <w:highlight w:val="none"/>
          <w:u w:val="dotted"/>
        </w:rPr>
        <w:t xml:space="preserve">                                          </w:t>
      </w:r>
    </w:p>
    <w:p w14:paraId="35F8567D">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dotted"/>
        </w:rPr>
        <w:t xml:space="preserve">                                          </w:t>
      </w:r>
    </w:p>
    <w:p w14:paraId="43A11E0B">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r>
        <w:rPr>
          <w:rFonts w:hint="eastAsia" w:ascii="宋体" w:hAnsi="宋体" w:eastAsia="宋体" w:cs="宋体"/>
          <w:color w:val="auto"/>
          <w:sz w:val="21"/>
          <w:szCs w:val="21"/>
          <w:highlight w:val="none"/>
          <w:u w:val="dotted"/>
        </w:rPr>
        <w:t xml:space="preserve">                        </w:t>
      </w:r>
      <w:r>
        <w:rPr>
          <w:rFonts w:hint="eastAsia" w:ascii="宋体" w:hAnsi="宋体" w:eastAsia="宋体" w:cs="宋体"/>
          <w:color w:val="auto"/>
          <w:sz w:val="21"/>
          <w:szCs w:val="21"/>
          <w:highlight w:val="none"/>
        </w:rPr>
        <w:t>邮编：</w:t>
      </w:r>
      <w:r>
        <w:rPr>
          <w:rFonts w:hint="eastAsia" w:ascii="宋体" w:hAnsi="宋体" w:eastAsia="宋体" w:cs="宋体"/>
          <w:color w:val="auto"/>
          <w:sz w:val="21"/>
          <w:szCs w:val="21"/>
          <w:highlight w:val="none"/>
          <w:u w:val="dotted"/>
        </w:rPr>
        <w:t xml:space="preserve">               </w:t>
      </w:r>
    </w:p>
    <w:p w14:paraId="66EA44E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outlineLvl w:val="0"/>
        <w:rPr>
          <w:rFonts w:hint="eastAsia" w:ascii="宋体" w:hAnsi="宋体" w:eastAsia="宋体" w:cs="宋体"/>
          <w:bCs/>
          <w:color w:val="auto"/>
          <w:sz w:val="21"/>
          <w:szCs w:val="21"/>
          <w:highlight w:val="none"/>
        </w:rPr>
      </w:pPr>
      <w:bookmarkStart w:id="67" w:name="_Toc15938"/>
      <w:r>
        <w:rPr>
          <w:rFonts w:hint="eastAsia" w:ascii="宋体" w:hAnsi="宋体" w:eastAsia="宋体" w:cs="宋体"/>
          <w:bCs/>
          <w:color w:val="auto"/>
          <w:sz w:val="21"/>
          <w:szCs w:val="21"/>
          <w:highlight w:val="none"/>
        </w:rPr>
        <w:t>二、质疑项目基本情况</w:t>
      </w:r>
      <w:bookmarkEnd w:id="67"/>
    </w:p>
    <w:p w14:paraId="4F5FFE21">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质疑项目的名称：</w:t>
      </w:r>
      <w:r>
        <w:rPr>
          <w:rFonts w:hint="eastAsia" w:ascii="宋体" w:hAnsi="宋体" w:eastAsia="宋体" w:cs="宋体"/>
          <w:color w:val="auto"/>
          <w:sz w:val="21"/>
          <w:szCs w:val="21"/>
          <w:highlight w:val="none"/>
          <w:u w:val="dotted"/>
        </w:rPr>
        <w:t xml:space="preserve">                                     </w:t>
      </w:r>
    </w:p>
    <w:p w14:paraId="4D2D990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质疑项目的编号：</w:t>
      </w:r>
      <w:r>
        <w:rPr>
          <w:rFonts w:hint="eastAsia" w:ascii="宋体" w:hAnsi="宋体" w:eastAsia="宋体" w:cs="宋体"/>
          <w:color w:val="auto"/>
          <w:sz w:val="21"/>
          <w:szCs w:val="21"/>
          <w:highlight w:val="none"/>
          <w:u w:val="dotted"/>
        </w:rPr>
        <w:t xml:space="preserve">               </w:t>
      </w:r>
      <w:r>
        <w:rPr>
          <w:rFonts w:hint="eastAsia" w:ascii="宋体" w:hAnsi="宋体" w:eastAsia="宋体" w:cs="宋体"/>
          <w:color w:val="auto"/>
          <w:sz w:val="21"/>
          <w:szCs w:val="21"/>
          <w:highlight w:val="none"/>
        </w:rPr>
        <w:t>包号：</w:t>
      </w:r>
      <w:r>
        <w:rPr>
          <w:rFonts w:hint="eastAsia" w:ascii="宋体" w:hAnsi="宋体" w:eastAsia="宋体" w:cs="宋体"/>
          <w:color w:val="auto"/>
          <w:sz w:val="21"/>
          <w:szCs w:val="21"/>
          <w:highlight w:val="none"/>
          <w:u w:val="dotted"/>
        </w:rPr>
        <w:t xml:space="preserve">                </w:t>
      </w:r>
    </w:p>
    <w:p w14:paraId="20E26F2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u w:val="dotted"/>
        </w:rPr>
      </w:pPr>
      <w:r>
        <w:rPr>
          <w:rFonts w:hint="eastAsia" w:ascii="宋体" w:hAnsi="宋体" w:eastAsia="宋体" w:cs="宋体"/>
          <w:color w:val="auto"/>
          <w:sz w:val="21"/>
          <w:szCs w:val="21"/>
          <w:highlight w:val="none"/>
        </w:rPr>
        <w:t>采购人名称：</w:t>
      </w:r>
      <w:r>
        <w:rPr>
          <w:rFonts w:hint="eastAsia" w:ascii="宋体" w:hAnsi="宋体" w:eastAsia="宋体" w:cs="宋体"/>
          <w:color w:val="auto"/>
          <w:sz w:val="21"/>
          <w:szCs w:val="21"/>
          <w:highlight w:val="none"/>
          <w:u w:val="dotted"/>
        </w:rPr>
        <w:t xml:space="preserve">                                         </w:t>
      </w:r>
    </w:p>
    <w:p w14:paraId="0C4932B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采购文件获取日期：</w:t>
      </w:r>
      <w:r>
        <w:rPr>
          <w:rFonts w:hint="eastAsia" w:ascii="宋体" w:hAnsi="宋体" w:eastAsia="宋体" w:cs="宋体"/>
          <w:color w:val="auto"/>
          <w:sz w:val="21"/>
          <w:szCs w:val="21"/>
          <w:highlight w:val="none"/>
          <w:u w:val="dotted"/>
        </w:rPr>
        <w:t xml:space="preserve">                                   </w:t>
      </w:r>
    </w:p>
    <w:p w14:paraId="343158F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outlineLvl w:val="0"/>
        <w:rPr>
          <w:rFonts w:hint="eastAsia" w:ascii="宋体" w:hAnsi="宋体" w:eastAsia="宋体" w:cs="宋体"/>
          <w:bCs/>
          <w:color w:val="auto"/>
          <w:sz w:val="21"/>
          <w:szCs w:val="21"/>
          <w:highlight w:val="none"/>
        </w:rPr>
      </w:pPr>
      <w:bookmarkStart w:id="68" w:name="_Toc18271"/>
      <w:r>
        <w:rPr>
          <w:rFonts w:hint="eastAsia" w:ascii="宋体" w:hAnsi="宋体" w:eastAsia="宋体" w:cs="宋体"/>
          <w:bCs/>
          <w:color w:val="auto"/>
          <w:sz w:val="21"/>
          <w:szCs w:val="21"/>
          <w:highlight w:val="none"/>
        </w:rPr>
        <w:t>三、质疑事项具体内容</w:t>
      </w:r>
      <w:bookmarkEnd w:id="68"/>
    </w:p>
    <w:p w14:paraId="3851BDED">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u w:val="dotted"/>
        </w:rPr>
      </w:pPr>
      <w:r>
        <w:rPr>
          <w:rFonts w:hint="eastAsia" w:ascii="宋体" w:hAnsi="宋体" w:eastAsia="宋体" w:cs="宋体"/>
          <w:color w:val="auto"/>
          <w:sz w:val="21"/>
          <w:szCs w:val="21"/>
          <w:highlight w:val="none"/>
        </w:rPr>
        <w:t>质疑事项1：</w:t>
      </w:r>
      <w:r>
        <w:rPr>
          <w:rFonts w:hint="eastAsia" w:ascii="宋体" w:hAnsi="宋体" w:eastAsia="宋体" w:cs="宋体"/>
          <w:color w:val="auto"/>
          <w:sz w:val="21"/>
          <w:szCs w:val="21"/>
          <w:highlight w:val="none"/>
          <w:u w:val="dotted"/>
        </w:rPr>
        <w:t xml:space="preserve">                                         </w:t>
      </w:r>
    </w:p>
    <w:p w14:paraId="700EA8E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事实依据：</w:t>
      </w:r>
      <w:r>
        <w:rPr>
          <w:rFonts w:hint="eastAsia" w:ascii="宋体" w:hAnsi="宋体" w:eastAsia="宋体" w:cs="宋体"/>
          <w:color w:val="auto"/>
          <w:sz w:val="21"/>
          <w:szCs w:val="21"/>
          <w:highlight w:val="none"/>
          <w:u w:val="dotted"/>
        </w:rPr>
        <w:t xml:space="preserve">                                           </w:t>
      </w:r>
    </w:p>
    <w:p w14:paraId="4D33071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u w:val="dotted"/>
        </w:rPr>
      </w:pPr>
      <w:r>
        <w:rPr>
          <w:rFonts w:hint="eastAsia" w:ascii="宋体" w:hAnsi="宋体" w:eastAsia="宋体" w:cs="宋体"/>
          <w:color w:val="auto"/>
          <w:sz w:val="21"/>
          <w:szCs w:val="21"/>
          <w:highlight w:val="none"/>
        </w:rPr>
        <w:t>法律依据：</w:t>
      </w:r>
      <w:r>
        <w:rPr>
          <w:rFonts w:hint="eastAsia" w:ascii="宋体" w:hAnsi="宋体" w:eastAsia="宋体" w:cs="宋体"/>
          <w:color w:val="auto"/>
          <w:sz w:val="21"/>
          <w:szCs w:val="21"/>
          <w:highlight w:val="none"/>
          <w:u w:val="dotted"/>
        </w:rPr>
        <w:t xml:space="preserve">                                           </w:t>
      </w:r>
    </w:p>
    <w:p w14:paraId="4475179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u w:val="dotted"/>
        </w:rPr>
      </w:pPr>
      <w:r>
        <w:rPr>
          <w:rFonts w:hint="eastAsia" w:ascii="宋体" w:hAnsi="宋体" w:eastAsia="宋体" w:cs="宋体"/>
          <w:color w:val="auto"/>
          <w:sz w:val="21"/>
          <w:szCs w:val="21"/>
          <w:highlight w:val="none"/>
        </w:rPr>
        <w:t>质疑事项2</w:t>
      </w:r>
    </w:p>
    <w:p w14:paraId="0EB7EBE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p w14:paraId="7B27ED3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outlineLvl w:val="0"/>
        <w:rPr>
          <w:rFonts w:hint="eastAsia" w:ascii="宋体" w:hAnsi="宋体" w:eastAsia="宋体" w:cs="宋体"/>
          <w:bCs/>
          <w:color w:val="auto"/>
          <w:sz w:val="21"/>
          <w:szCs w:val="21"/>
          <w:highlight w:val="none"/>
        </w:rPr>
      </w:pPr>
      <w:bookmarkStart w:id="69" w:name="_Toc22365"/>
      <w:r>
        <w:rPr>
          <w:rFonts w:hint="eastAsia" w:ascii="宋体" w:hAnsi="宋体" w:eastAsia="宋体" w:cs="宋体"/>
          <w:bCs/>
          <w:color w:val="auto"/>
          <w:sz w:val="21"/>
          <w:szCs w:val="21"/>
          <w:highlight w:val="none"/>
        </w:rPr>
        <w:t>四、与质疑事项相关的质疑请求</w:t>
      </w:r>
      <w:bookmarkEnd w:id="69"/>
    </w:p>
    <w:p w14:paraId="23B8C5F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6" w:firstLineChars="200"/>
        <w:textAlignment w:val="auto"/>
        <w:rPr>
          <w:rFonts w:hint="eastAsia" w:ascii="宋体" w:hAnsi="宋体" w:eastAsia="宋体" w:cs="宋体"/>
          <w:color w:val="auto"/>
          <w:sz w:val="21"/>
          <w:szCs w:val="21"/>
          <w:highlight w:val="none"/>
          <w:u w:val="dotted"/>
        </w:rPr>
      </w:pPr>
      <w:r>
        <w:rPr>
          <w:rFonts w:hint="eastAsia" w:ascii="宋体" w:hAnsi="宋体" w:eastAsia="宋体" w:cs="宋体"/>
          <w:color w:val="auto"/>
          <w:sz w:val="21"/>
          <w:szCs w:val="21"/>
          <w:highlight w:val="none"/>
        </w:rPr>
        <w:t>请求：</w:t>
      </w:r>
      <w:r>
        <w:rPr>
          <w:rFonts w:hint="eastAsia" w:ascii="宋体" w:hAnsi="宋体" w:eastAsia="宋体" w:cs="宋体"/>
          <w:color w:val="auto"/>
          <w:sz w:val="21"/>
          <w:szCs w:val="21"/>
          <w:highlight w:val="none"/>
          <w:u w:val="dotted"/>
        </w:rPr>
        <w:t xml:space="preserve">                                               </w:t>
      </w:r>
    </w:p>
    <w:p w14:paraId="6D823225">
      <w:pPr>
        <w:keepNext w:val="0"/>
        <w:keepLines w:val="0"/>
        <w:pageBreakBefore w:val="0"/>
        <w:widowControl w:val="0"/>
        <w:shd w:val="clear" w:color="auto" w:fill="auto"/>
        <w:kinsoku/>
        <w:wordWrap/>
        <w:overflowPunct/>
        <w:topLinePunct w:val="0"/>
        <w:autoSpaceDE/>
        <w:autoSpaceDN/>
        <w:bidi w:val="0"/>
        <w:spacing w:line="360" w:lineRule="auto"/>
        <w:ind w:firstLine="426"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签字(签章)：                   公章：                      </w:t>
      </w:r>
    </w:p>
    <w:p w14:paraId="0EF7971C">
      <w:pPr>
        <w:keepNext w:val="0"/>
        <w:keepLines w:val="0"/>
        <w:pageBreakBefore w:val="0"/>
        <w:widowControl w:val="0"/>
        <w:shd w:val="clear" w:color="auto" w:fill="auto"/>
        <w:kinsoku/>
        <w:wordWrap/>
        <w:overflowPunct/>
        <w:topLinePunct w:val="0"/>
        <w:autoSpaceDE/>
        <w:autoSpaceDN/>
        <w:bidi w:val="0"/>
        <w:spacing w:line="360" w:lineRule="auto"/>
        <w:ind w:firstLine="426"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 xml:space="preserve">日期：    </w:t>
      </w:r>
    </w:p>
    <w:p w14:paraId="0D1873C4">
      <w:pPr>
        <w:shd w:val="clear" w:color="auto" w:fill="auto"/>
        <w:spacing w:line="360" w:lineRule="auto"/>
        <w:jc w:val="center"/>
        <w:outlineLvl w:val="0"/>
        <w:rPr>
          <w:rFonts w:hint="eastAsia" w:ascii="宋体" w:hAnsi="宋体" w:eastAsia="宋体" w:cs="宋体"/>
          <w:b/>
          <w:bCs/>
          <w:color w:val="auto"/>
          <w:sz w:val="21"/>
          <w:szCs w:val="21"/>
          <w:highlight w:val="none"/>
          <w:lang w:eastAsia="zh-CN"/>
        </w:rPr>
      </w:pPr>
    </w:p>
    <w:p w14:paraId="7DDB49D5">
      <w:pPr>
        <w:pageBreakBefore/>
        <w:shd w:val="clear" w:color="auto" w:fill="auto"/>
        <w:spacing w:line="440" w:lineRule="exact"/>
        <w:jc w:val="center"/>
        <w:outlineLvl w:val="0"/>
        <w:rPr>
          <w:rFonts w:hint="eastAsia" w:asciiTheme="majorEastAsia" w:hAnsiTheme="majorEastAsia" w:eastAsiaTheme="majorEastAsia" w:cstheme="majorEastAsia"/>
          <w:b/>
          <w:bCs/>
          <w:color w:val="auto"/>
          <w:sz w:val="32"/>
          <w:szCs w:val="32"/>
          <w:highlight w:val="none"/>
        </w:rPr>
      </w:pPr>
      <w:r>
        <w:rPr>
          <w:rFonts w:hint="eastAsia" w:asciiTheme="majorEastAsia" w:hAnsiTheme="majorEastAsia" w:eastAsiaTheme="majorEastAsia" w:cstheme="majorEastAsia"/>
          <w:b/>
          <w:bCs/>
          <w:color w:val="auto"/>
          <w:sz w:val="32"/>
          <w:szCs w:val="32"/>
          <w:highlight w:val="none"/>
        </w:rPr>
        <w:t>第三章  评标办法</w:t>
      </w:r>
      <w:bookmarkEnd w:id="29"/>
    </w:p>
    <w:p w14:paraId="1793E8D1">
      <w:pPr>
        <w:pStyle w:val="15"/>
        <w:spacing w:line="440" w:lineRule="exact"/>
        <w:jc w:val="center"/>
        <w:rPr>
          <w:rFonts w:hint="eastAsia" w:asciiTheme="majorEastAsia" w:hAnsiTheme="majorEastAsia" w:eastAsiaTheme="majorEastAsia" w:cstheme="majorEastAsia"/>
          <w:b/>
          <w:sz w:val="28"/>
          <w:szCs w:val="28"/>
          <w:highlight w:val="none"/>
        </w:rPr>
      </w:pPr>
      <w:bookmarkStart w:id="70" w:name="_Toc469495733"/>
      <w:bookmarkStart w:id="71" w:name="_Toc362983802"/>
      <w:bookmarkStart w:id="72" w:name="_Toc267320058"/>
      <w:bookmarkStart w:id="73" w:name="_Toc363135205"/>
      <w:r>
        <w:rPr>
          <w:rFonts w:hint="eastAsia" w:asciiTheme="majorEastAsia" w:hAnsiTheme="majorEastAsia" w:eastAsiaTheme="majorEastAsia" w:cstheme="majorEastAsia"/>
          <w:b/>
          <w:sz w:val="28"/>
          <w:szCs w:val="28"/>
          <w:highlight w:val="none"/>
          <w:lang w:val="en-US" w:eastAsia="zh-CN"/>
        </w:rPr>
        <w:t>一、</w:t>
      </w:r>
      <w:r>
        <w:rPr>
          <w:rFonts w:hint="eastAsia" w:asciiTheme="majorEastAsia" w:hAnsiTheme="majorEastAsia" w:eastAsiaTheme="majorEastAsia" w:cstheme="majorEastAsia"/>
          <w:b/>
          <w:sz w:val="28"/>
          <w:szCs w:val="28"/>
          <w:highlight w:val="none"/>
        </w:rPr>
        <w:t>评定成交标准</w:t>
      </w:r>
    </w:p>
    <w:p w14:paraId="573822C1">
      <w:pPr>
        <w:pStyle w:val="15"/>
        <w:spacing w:line="360" w:lineRule="exact"/>
        <w:rPr>
          <w:rFonts w:hint="eastAsia" w:asciiTheme="majorEastAsia" w:hAnsiTheme="majorEastAsia" w:eastAsiaTheme="majorEastAsia" w:cstheme="majorEastAsia"/>
          <w:b/>
          <w:bCs/>
          <w:sz w:val="24"/>
          <w:highlight w:val="none"/>
        </w:rPr>
      </w:pPr>
      <w:r>
        <w:rPr>
          <w:rFonts w:hint="eastAsia" w:asciiTheme="majorEastAsia" w:hAnsiTheme="majorEastAsia" w:eastAsiaTheme="majorEastAsia" w:cstheme="majorEastAsia"/>
          <w:b/>
          <w:bCs/>
          <w:sz w:val="24"/>
          <w:highlight w:val="none"/>
        </w:rPr>
        <w:t>一、评标原则</w:t>
      </w:r>
    </w:p>
    <w:p w14:paraId="2607D5F8">
      <w:pPr>
        <w:pStyle w:val="15"/>
        <w:spacing w:line="360" w:lineRule="exact"/>
        <w:ind w:firstLine="426" w:firstLineChars="200"/>
        <w:rPr>
          <w:rFonts w:hint="eastAsia" w:asciiTheme="majorEastAsia" w:hAnsiTheme="majorEastAsia" w:eastAsiaTheme="majorEastAsia" w:cstheme="majorEastAsia"/>
          <w:bCs/>
          <w:highlight w:val="none"/>
        </w:rPr>
      </w:pPr>
      <w:r>
        <w:rPr>
          <w:rFonts w:hint="eastAsia" w:asciiTheme="majorEastAsia" w:hAnsiTheme="majorEastAsia" w:eastAsiaTheme="majorEastAsia" w:cstheme="majorEastAsia"/>
          <w:bCs/>
          <w:highlight w:val="none"/>
        </w:rPr>
        <w:t>(一)谈判小组构成：本项目的谈判小组由采购人代表和有关技术、经济等方面的专家组成。成员人数应当为</w:t>
      </w:r>
      <w:r>
        <w:rPr>
          <w:rFonts w:hint="eastAsia" w:asciiTheme="majorEastAsia" w:hAnsiTheme="majorEastAsia" w:eastAsiaTheme="majorEastAsia" w:cstheme="majorEastAsia"/>
          <w:bCs/>
          <w:highlight w:val="none"/>
          <w:lang w:val="en-US" w:eastAsia="zh-CN"/>
        </w:rPr>
        <w:t>3</w:t>
      </w:r>
      <w:r>
        <w:rPr>
          <w:rFonts w:hint="eastAsia" w:asciiTheme="majorEastAsia" w:hAnsiTheme="majorEastAsia" w:eastAsiaTheme="majorEastAsia" w:cstheme="majorEastAsia"/>
          <w:bCs/>
          <w:highlight w:val="none"/>
        </w:rPr>
        <w:t>人单数。</w:t>
      </w:r>
    </w:p>
    <w:p w14:paraId="31096FA0">
      <w:pPr>
        <w:pStyle w:val="15"/>
        <w:spacing w:line="360" w:lineRule="exact"/>
        <w:ind w:firstLine="426" w:firstLineChars="200"/>
        <w:rPr>
          <w:rFonts w:hint="eastAsia" w:asciiTheme="majorEastAsia" w:hAnsiTheme="majorEastAsia" w:eastAsiaTheme="majorEastAsia" w:cstheme="majorEastAsia"/>
          <w:bCs/>
          <w:highlight w:val="none"/>
        </w:rPr>
      </w:pPr>
      <w:r>
        <w:rPr>
          <w:rFonts w:hint="eastAsia" w:asciiTheme="majorEastAsia" w:hAnsiTheme="majorEastAsia" w:eastAsiaTheme="majorEastAsia" w:cstheme="majorEastAsia"/>
          <w:bCs/>
          <w:highlight w:val="none"/>
        </w:rPr>
        <w:t>(二)评标依据：谈判小组将以竞争性谈判采购文件和投标文件为评定依据进行评审。</w:t>
      </w:r>
    </w:p>
    <w:p w14:paraId="403C4332">
      <w:pPr>
        <w:pStyle w:val="15"/>
        <w:spacing w:line="360" w:lineRule="exact"/>
        <w:ind w:firstLine="416" w:firstLineChars="196"/>
        <w:rPr>
          <w:rFonts w:hint="eastAsia" w:asciiTheme="majorEastAsia" w:hAnsiTheme="majorEastAsia" w:eastAsiaTheme="majorEastAsia" w:cstheme="majorEastAsia"/>
          <w:bCs/>
          <w:highlight w:val="none"/>
        </w:rPr>
      </w:pPr>
      <w:r>
        <w:rPr>
          <w:rFonts w:hint="eastAsia" w:asciiTheme="majorEastAsia" w:hAnsiTheme="majorEastAsia" w:eastAsiaTheme="majorEastAsia" w:cstheme="majorEastAsia"/>
          <w:bCs/>
          <w:highlight w:val="none"/>
        </w:rPr>
        <w:t>(三)评标方法：最低评标价法。</w:t>
      </w:r>
    </w:p>
    <w:p w14:paraId="6DA16E3A">
      <w:pPr>
        <w:pStyle w:val="15"/>
        <w:spacing w:line="360" w:lineRule="exact"/>
        <w:rPr>
          <w:rFonts w:hint="eastAsia" w:asciiTheme="majorEastAsia" w:hAnsiTheme="majorEastAsia" w:eastAsiaTheme="majorEastAsia" w:cstheme="majorEastAsia"/>
          <w:b/>
          <w:bCs/>
          <w:sz w:val="24"/>
          <w:highlight w:val="none"/>
        </w:rPr>
      </w:pPr>
      <w:r>
        <w:rPr>
          <w:rFonts w:hint="eastAsia" w:asciiTheme="majorEastAsia" w:hAnsiTheme="majorEastAsia" w:eastAsiaTheme="majorEastAsia" w:cstheme="majorEastAsia"/>
          <w:b/>
          <w:bCs/>
          <w:sz w:val="24"/>
          <w:highlight w:val="none"/>
        </w:rPr>
        <w:t>二、评标方法</w:t>
      </w:r>
    </w:p>
    <w:p w14:paraId="1FA277E6">
      <w:pPr>
        <w:pStyle w:val="15"/>
        <w:spacing w:line="360" w:lineRule="exact"/>
        <w:ind w:firstLine="426" w:firstLineChars="200"/>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谈判小组将以采购文件、投标文件为评定依据，对资格性和符合性审查合格的投标文件，依据统一的价格要素评定评标价，在符合采购需求的前提下，以报价最低的供应商作为成交供应商。</w:t>
      </w:r>
    </w:p>
    <w:p w14:paraId="68009119">
      <w:pPr>
        <w:pStyle w:val="15"/>
        <w:spacing w:line="360" w:lineRule="exact"/>
        <w:rPr>
          <w:rFonts w:hint="eastAsia" w:asciiTheme="majorEastAsia" w:hAnsiTheme="majorEastAsia" w:eastAsiaTheme="majorEastAsia" w:cstheme="majorEastAsia"/>
          <w:b/>
          <w:bCs/>
          <w:sz w:val="24"/>
          <w:highlight w:val="none"/>
        </w:rPr>
      </w:pPr>
      <w:r>
        <w:rPr>
          <w:rFonts w:hint="eastAsia" w:asciiTheme="majorEastAsia" w:hAnsiTheme="majorEastAsia" w:eastAsiaTheme="majorEastAsia" w:cstheme="majorEastAsia"/>
          <w:b/>
          <w:bCs/>
          <w:sz w:val="24"/>
          <w:highlight w:val="none"/>
        </w:rPr>
        <w:t>三、谈判</w:t>
      </w:r>
    </w:p>
    <w:p w14:paraId="3400942A">
      <w:pPr>
        <w:pStyle w:val="15"/>
        <w:spacing w:line="360" w:lineRule="exact"/>
        <w:rPr>
          <w:rFonts w:hint="eastAsia" w:asciiTheme="majorEastAsia" w:hAnsiTheme="majorEastAsia" w:eastAsiaTheme="majorEastAsia" w:cstheme="majorEastAsia"/>
          <w:b/>
          <w:szCs w:val="21"/>
          <w:highlight w:val="none"/>
          <w:shd w:val="clear" w:color="auto" w:fill="FFFFFF"/>
        </w:rPr>
      </w:pPr>
      <w:r>
        <w:rPr>
          <w:rFonts w:hint="eastAsia" w:asciiTheme="majorEastAsia" w:hAnsiTheme="majorEastAsia" w:eastAsiaTheme="majorEastAsia" w:cstheme="majorEastAsia"/>
          <w:b/>
          <w:bCs/>
          <w:sz w:val="24"/>
          <w:highlight w:val="none"/>
        </w:rPr>
        <w:t xml:space="preserve">   （一</w:t>
      </w:r>
      <w:r>
        <w:rPr>
          <w:rFonts w:hint="eastAsia" w:asciiTheme="majorEastAsia" w:hAnsiTheme="majorEastAsia" w:eastAsiaTheme="majorEastAsia" w:cstheme="majorEastAsia"/>
          <w:b/>
          <w:szCs w:val="21"/>
          <w:highlight w:val="none"/>
          <w:shd w:val="clear" w:color="auto" w:fill="FFFFFF"/>
        </w:rPr>
        <w:t>）第一轮谈判</w:t>
      </w:r>
    </w:p>
    <w:p w14:paraId="6D9EE182">
      <w:pPr>
        <w:pStyle w:val="15"/>
        <w:spacing w:line="360" w:lineRule="exact"/>
        <w:rPr>
          <w:rFonts w:hint="eastAsia" w:asciiTheme="majorEastAsia" w:hAnsiTheme="majorEastAsia" w:eastAsiaTheme="majorEastAsia" w:cstheme="majorEastAsia"/>
          <w:bCs/>
          <w:szCs w:val="21"/>
          <w:highlight w:val="none"/>
          <w:shd w:val="clear" w:color="auto" w:fill="FFFFFF"/>
        </w:rPr>
      </w:pPr>
      <w:r>
        <w:rPr>
          <w:rFonts w:hint="eastAsia" w:asciiTheme="majorEastAsia" w:hAnsiTheme="majorEastAsia" w:eastAsiaTheme="majorEastAsia" w:cstheme="majorEastAsia"/>
          <w:b/>
          <w:szCs w:val="21"/>
          <w:highlight w:val="none"/>
          <w:shd w:val="clear" w:color="auto" w:fill="FFFFFF"/>
        </w:rPr>
        <w:t xml:space="preserve">     </w:t>
      </w:r>
      <w:r>
        <w:rPr>
          <w:rFonts w:hint="eastAsia" w:asciiTheme="majorEastAsia" w:hAnsiTheme="majorEastAsia" w:eastAsiaTheme="majorEastAsia" w:cstheme="majorEastAsia"/>
          <w:bCs/>
          <w:szCs w:val="21"/>
          <w:highlight w:val="none"/>
          <w:shd w:val="clear" w:color="auto" w:fill="FFFFFF"/>
        </w:rPr>
        <w:t>1、谈判小组根据采购项目的特点及投标人商务技术谈判响应文件，认真审核以下内容：</w:t>
      </w:r>
    </w:p>
    <w:p w14:paraId="63072068">
      <w:pPr>
        <w:pStyle w:val="25"/>
        <w:spacing w:before="0" w:beforeAutospacing="0" w:after="0" w:afterAutospacing="0" w:line="320" w:lineRule="exact"/>
        <w:rPr>
          <w:rFonts w:hint="eastAsia" w:asciiTheme="majorEastAsia" w:hAnsiTheme="majorEastAsia" w:eastAsiaTheme="majorEastAsia" w:cstheme="majorEastAsia"/>
          <w:sz w:val="21"/>
          <w:szCs w:val="21"/>
          <w:highlight w:val="none"/>
          <w:shd w:val="clear" w:color="auto" w:fill="FFFFFF"/>
        </w:rPr>
      </w:pPr>
      <w:r>
        <w:rPr>
          <w:rFonts w:hint="eastAsia" w:asciiTheme="majorEastAsia" w:hAnsiTheme="majorEastAsia" w:eastAsiaTheme="majorEastAsia" w:cstheme="majorEastAsia"/>
          <w:sz w:val="21"/>
          <w:szCs w:val="21"/>
          <w:highlight w:val="none"/>
          <w:shd w:val="clear" w:color="auto" w:fill="FFFFFF"/>
        </w:rPr>
        <w:t xml:space="preserve">     </w:t>
      </w:r>
      <w:r>
        <w:rPr>
          <w:rFonts w:hint="eastAsia" w:asciiTheme="majorEastAsia" w:hAnsiTheme="majorEastAsia" w:eastAsiaTheme="majorEastAsia" w:cstheme="majorEastAsia"/>
          <w:sz w:val="21"/>
          <w:szCs w:val="21"/>
          <w:highlight w:val="none"/>
          <w:shd w:val="clear" w:color="auto" w:fill="FFFFFF"/>
          <w:lang w:eastAsia="zh-CN"/>
        </w:rPr>
        <w:t>谈判文件</w:t>
      </w:r>
      <w:r>
        <w:rPr>
          <w:rFonts w:hint="eastAsia" w:asciiTheme="majorEastAsia" w:hAnsiTheme="majorEastAsia" w:eastAsiaTheme="majorEastAsia" w:cstheme="majorEastAsia"/>
          <w:sz w:val="21"/>
          <w:szCs w:val="21"/>
          <w:highlight w:val="none"/>
          <w:shd w:val="clear" w:color="auto" w:fill="FFFFFF"/>
        </w:rPr>
        <w:t>技术要求的响应、对</w:t>
      </w:r>
      <w:r>
        <w:rPr>
          <w:rFonts w:hint="eastAsia" w:asciiTheme="majorEastAsia" w:hAnsiTheme="majorEastAsia" w:eastAsiaTheme="majorEastAsia" w:cstheme="majorEastAsia"/>
          <w:sz w:val="21"/>
          <w:szCs w:val="21"/>
          <w:highlight w:val="none"/>
          <w:shd w:val="clear" w:color="auto" w:fill="FFFFFF"/>
          <w:lang w:eastAsia="zh-CN"/>
        </w:rPr>
        <w:t>谈判文件</w:t>
      </w:r>
      <w:r>
        <w:rPr>
          <w:rFonts w:hint="eastAsia" w:asciiTheme="majorEastAsia" w:hAnsiTheme="majorEastAsia" w:eastAsiaTheme="majorEastAsia" w:cstheme="majorEastAsia"/>
          <w:sz w:val="21"/>
          <w:szCs w:val="21"/>
          <w:highlight w:val="none"/>
          <w:shd w:val="clear" w:color="auto" w:fill="FFFFFF"/>
        </w:rPr>
        <w:t>商务条款的响应。</w:t>
      </w:r>
    </w:p>
    <w:p w14:paraId="10CB92E1">
      <w:pPr>
        <w:pStyle w:val="25"/>
        <w:spacing w:before="0" w:beforeAutospacing="0" w:after="0" w:afterAutospacing="0" w:line="340" w:lineRule="exact"/>
        <w:rPr>
          <w:rFonts w:hint="eastAsia" w:asciiTheme="majorEastAsia" w:hAnsiTheme="majorEastAsia" w:eastAsiaTheme="majorEastAsia" w:cstheme="majorEastAsia"/>
          <w:bCs/>
          <w:sz w:val="21"/>
          <w:szCs w:val="21"/>
          <w:highlight w:val="none"/>
          <w:shd w:val="clear" w:color="auto" w:fill="FFFFFF"/>
        </w:rPr>
      </w:pPr>
      <w:r>
        <w:rPr>
          <w:rFonts w:hint="eastAsia" w:asciiTheme="majorEastAsia" w:hAnsiTheme="majorEastAsia" w:eastAsiaTheme="majorEastAsia" w:cstheme="majorEastAsia"/>
          <w:bCs/>
          <w:sz w:val="21"/>
          <w:szCs w:val="21"/>
          <w:highlight w:val="none"/>
          <w:shd w:val="clear" w:color="auto" w:fill="FFFFFF"/>
        </w:rPr>
        <w:t xml:space="preserve">     2、在本轮谈判过程中，谈判小组认为，参与谈判的投标人满足谈判文件的要求，通知所有投标人在规定的时间内，进行最终报价，谈判小组对投标报价进行审核，若发现</w:t>
      </w:r>
      <w:r>
        <w:rPr>
          <w:rFonts w:hint="eastAsia" w:asciiTheme="majorEastAsia" w:hAnsiTheme="majorEastAsia" w:eastAsiaTheme="majorEastAsia" w:cstheme="majorEastAsia"/>
          <w:sz w:val="21"/>
          <w:szCs w:val="21"/>
          <w:highlight w:val="none"/>
          <w:shd w:val="clear" w:color="auto" w:fill="FFFFFF"/>
        </w:rPr>
        <w:t>投标报价中，单价与总价不相符，大、小写不相符，谈判小组应提请投标人当场修正。</w:t>
      </w:r>
      <w:r>
        <w:rPr>
          <w:rFonts w:hint="eastAsia" w:asciiTheme="majorEastAsia" w:hAnsiTheme="majorEastAsia" w:eastAsiaTheme="majorEastAsia" w:cstheme="majorEastAsia"/>
          <w:bCs/>
          <w:sz w:val="21"/>
          <w:szCs w:val="21"/>
          <w:highlight w:val="none"/>
          <w:shd w:val="clear" w:color="auto" w:fill="FFFFFF"/>
        </w:rPr>
        <w:t>最终报价一旦报出，谈判小组不再要求投标人再次报价。由各评审专家依据最低评标价法，</w:t>
      </w:r>
      <w:r>
        <w:rPr>
          <w:rFonts w:hint="eastAsia" w:asciiTheme="majorEastAsia" w:hAnsiTheme="majorEastAsia" w:eastAsiaTheme="majorEastAsia" w:cstheme="majorEastAsia"/>
          <w:b/>
          <w:sz w:val="21"/>
          <w:szCs w:val="21"/>
          <w:highlight w:val="none"/>
          <w:shd w:val="clear" w:color="auto" w:fill="FFFFFF"/>
        </w:rPr>
        <w:t>在满足</w:t>
      </w:r>
      <w:r>
        <w:rPr>
          <w:rFonts w:hint="eastAsia" w:asciiTheme="majorEastAsia" w:hAnsiTheme="majorEastAsia" w:eastAsiaTheme="majorEastAsia" w:cstheme="majorEastAsia"/>
          <w:b/>
          <w:sz w:val="21"/>
          <w:szCs w:val="21"/>
          <w:highlight w:val="none"/>
          <w:shd w:val="clear" w:color="auto" w:fill="FFFFFF"/>
          <w:lang w:eastAsia="zh-CN"/>
        </w:rPr>
        <w:t>谈判文件</w:t>
      </w:r>
      <w:r>
        <w:rPr>
          <w:rFonts w:hint="eastAsia" w:asciiTheme="majorEastAsia" w:hAnsiTheme="majorEastAsia" w:eastAsiaTheme="majorEastAsia" w:cstheme="majorEastAsia"/>
          <w:b/>
          <w:sz w:val="21"/>
          <w:szCs w:val="21"/>
          <w:highlight w:val="none"/>
          <w:shd w:val="clear" w:color="auto" w:fill="FFFFFF"/>
        </w:rPr>
        <w:t>实质性要求前提下,按照</w:t>
      </w:r>
      <w:r>
        <w:rPr>
          <w:rFonts w:hint="eastAsia" w:asciiTheme="majorEastAsia" w:hAnsiTheme="majorEastAsia" w:eastAsiaTheme="majorEastAsia" w:cstheme="majorEastAsia"/>
          <w:b/>
          <w:sz w:val="21"/>
          <w:szCs w:val="21"/>
          <w:highlight w:val="none"/>
          <w:shd w:val="clear" w:color="auto" w:fill="FFFFFF"/>
          <w:lang w:eastAsia="zh-CN"/>
        </w:rPr>
        <w:t>谈判文件</w:t>
      </w:r>
      <w:r>
        <w:rPr>
          <w:rFonts w:hint="eastAsia" w:asciiTheme="majorEastAsia" w:hAnsiTheme="majorEastAsia" w:eastAsiaTheme="majorEastAsia" w:cstheme="majorEastAsia"/>
          <w:b/>
          <w:sz w:val="21"/>
          <w:szCs w:val="21"/>
          <w:highlight w:val="none"/>
          <w:shd w:val="clear" w:color="auto" w:fill="FFFFFF"/>
        </w:rPr>
        <w:t>中规定的各项因素进行评审后,以报价最低的投标人作为成交候选投标人或者成交投标人，</w:t>
      </w:r>
      <w:r>
        <w:rPr>
          <w:rFonts w:hint="eastAsia" w:asciiTheme="majorEastAsia" w:hAnsiTheme="majorEastAsia" w:eastAsiaTheme="majorEastAsia" w:cstheme="majorEastAsia"/>
          <w:sz w:val="21"/>
          <w:szCs w:val="21"/>
          <w:highlight w:val="none"/>
          <w:shd w:val="clear" w:color="auto" w:fill="FFFFFF"/>
        </w:rPr>
        <w:t>第一轮</w:t>
      </w:r>
      <w:r>
        <w:rPr>
          <w:rFonts w:hint="eastAsia" w:asciiTheme="majorEastAsia" w:hAnsiTheme="majorEastAsia" w:eastAsiaTheme="majorEastAsia" w:cstheme="majorEastAsia"/>
          <w:bCs/>
          <w:sz w:val="21"/>
          <w:szCs w:val="21"/>
          <w:highlight w:val="none"/>
          <w:shd w:val="clear" w:color="auto" w:fill="FFFFFF"/>
        </w:rPr>
        <w:t xml:space="preserve">谈判结束。   </w:t>
      </w:r>
    </w:p>
    <w:p w14:paraId="3C075413">
      <w:pPr>
        <w:pStyle w:val="25"/>
        <w:spacing w:before="0" w:beforeAutospacing="0" w:after="0" w:afterAutospacing="0" w:line="340" w:lineRule="exact"/>
        <w:ind w:firstLine="426" w:firstLineChars="200"/>
        <w:rPr>
          <w:rFonts w:hint="eastAsia" w:asciiTheme="majorEastAsia" w:hAnsiTheme="majorEastAsia" w:eastAsiaTheme="majorEastAsia" w:cstheme="majorEastAsia"/>
          <w:b/>
          <w:sz w:val="21"/>
          <w:szCs w:val="21"/>
          <w:highlight w:val="none"/>
          <w:shd w:val="clear" w:color="auto" w:fill="FFFFFF"/>
        </w:rPr>
      </w:pPr>
      <w:r>
        <w:rPr>
          <w:rFonts w:hint="eastAsia" w:asciiTheme="majorEastAsia" w:hAnsiTheme="majorEastAsia" w:eastAsiaTheme="majorEastAsia" w:cstheme="majorEastAsia"/>
          <w:b/>
          <w:sz w:val="21"/>
          <w:szCs w:val="21"/>
          <w:highlight w:val="none"/>
          <w:shd w:val="clear" w:color="auto" w:fill="FFFFFF"/>
        </w:rPr>
        <w:t>（二）谈判文件的修改</w:t>
      </w:r>
    </w:p>
    <w:p w14:paraId="6945603B">
      <w:pPr>
        <w:pStyle w:val="25"/>
        <w:spacing w:before="0" w:beforeAutospacing="0" w:after="0" w:afterAutospacing="0" w:line="340" w:lineRule="exact"/>
        <w:ind w:firstLine="426" w:firstLineChars="200"/>
        <w:rPr>
          <w:rFonts w:hint="eastAsia" w:asciiTheme="majorEastAsia" w:hAnsiTheme="majorEastAsia" w:eastAsiaTheme="majorEastAsia" w:cstheme="majorEastAsia"/>
          <w:bCs/>
          <w:sz w:val="21"/>
          <w:szCs w:val="21"/>
          <w:highlight w:val="none"/>
          <w:shd w:val="clear" w:color="auto" w:fill="FFFFFF"/>
        </w:rPr>
      </w:pPr>
      <w:r>
        <w:rPr>
          <w:rFonts w:hint="eastAsia" w:asciiTheme="majorEastAsia" w:hAnsiTheme="majorEastAsia" w:eastAsiaTheme="majorEastAsia" w:cstheme="majorEastAsia"/>
          <w:bCs/>
          <w:sz w:val="21"/>
          <w:szCs w:val="21"/>
          <w:highlight w:val="none"/>
          <w:shd w:val="clear" w:color="auto" w:fill="FFFFFF"/>
        </w:rPr>
        <w:t>在第一轮谈判过程中，不能确定成交结果的，经采购人同意，谈判小组可以修改谈判文件，优化采购方案，进行第二轮谈判。谈判文件修改，应经谈判小组集体讨论，且以书面形式通知所有参加第一轮谈判的投标人，并征求投标人的意见，确定投标人修正原响应文件所需的时间，要求投标人签收修改后的谈判文件。</w:t>
      </w:r>
    </w:p>
    <w:p w14:paraId="7239C7DD">
      <w:pPr>
        <w:pStyle w:val="25"/>
        <w:spacing w:before="0" w:beforeAutospacing="0" w:after="0" w:afterAutospacing="0" w:line="320" w:lineRule="exact"/>
        <w:rPr>
          <w:rFonts w:hint="eastAsia" w:asciiTheme="majorEastAsia" w:hAnsiTheme="majorEastAsia" w:eastAsiaTheme="majorEastAsia" w:cstheme="majorEastAsia"/>
          <w:b/>
          <w:sz w:val="21"/>
          <w:szCs w:val="21"/>
          <w:highlight w:val="none"/>
          <w:shd w:val="clear" w:color="auto" w:fill="FFFFFF"/>
        </w:rPr>
      </w:pPr>
      <w:r>
        <w:rPr>
          <w:rFonts w:hint="eastAsia" w:asciiTheme="majorEastAsia" w:hAnsiTheme="majorEastAsia" w:eastAsiaTheme="majorEastAsia" w:cstheme="majorEastAsia"/>
          <w:b/>
          <w:sz w:val="21"/>
          <w:szCs w:val="21"/>
          <w:highlight w:val="none"/>
          <w:shd w:val="clear" w:color="auto" w:fill="FFFFFF"/>
        </w:rPr>
        <w:t xml:space="preserve">    （三）第二轮谈判</w:t>
      </w:r>
    </w:p>
    <w:p w14:paraId="11E2942C">
      <w:pPr>
        <w:pStyle w:val="25"/>
        <w:spacing w:before="0" w:beforeAutospacing="0" w:after="0" w:afterAutospacing="0" w:line="320" w:lineRule="exact"/>
        <w:ind w:firstLine="420"/>
        <w:rPr>
          <w:rFonts w:hint="eastAsia" w:asciiTheme="majorEastAsia" w:hAnsiTheme="majorEastAsia" w:eastAsiaTheme="majorEastAsia" w:cstheme="majorEastAsia"/>
          <w:b/>
          <w:bCs w:val="0"/>
          <w:color w:val="0000FF"/>
          <w:sz w:val="28"/>
          <w:szCs w:val="28"/>
          <w:highlight w:val="none"/>
          <w:shd w:val="clear" w:color="auto" w:fill="FFFFFF"/>
          <w:lang w:val="en-US" w:eastAsia="zh-CN"/>
        </w:rPr>
      </w:pPr>
      <w:r>
        <w:rPr>
          <w:rFonts w:hint="eastAsia" w:asciiTheme="majorEastAsia" w:hAnsiTheme="majorEastAsia" w:eastAsiaTheme="majorEastAsia" w:cstheme="majorEastAsia"/>
          <w:bCs/>
          <w:sz w:val="21"/>
          <w:szCs w:val="21"/>
          <w:highlight w:val="none"/>
          <w:shd w:val="clear" w:color="auto" w:fill="FFFFFF"/>
        </w:rPr>
        <w:t>1、参与第一轮谈判的投标人递交修正后的商务技术谈判响应文件及报价文件，并由授权代表签字（盖章）后递交给谈判小组，修正后的响应文件同样具有法律效力。在规定时间内未递交的，视同放弃谈判。</w:t>
      </w:r>
    </w:p>
    <w:p w14:paraId="7F39135E">
      <w:pPr>
        <w:pStyle w:val="25"/>
        <w:spacing w:before="0" w:beforeAutospacing="0" w:after="0" w:afterAutospacing="0" w:line="320" w:lineRule="exact"/>
        <w:rPr>
          <w:rFonts w:hint="eastAsia" w:asciiTheme="majorEastAsia" w:hAnsiTheme="majorEastAsia" w:eastAsiaTheme="majorEastAsia" w:cstheme="majorEastAsia"/>
          <w:bCs/>
          <w:sz w:val="21"/>
          <w:szCs w:val="21"/>
          <w:highlight w:val="none"/>
          <w:shd w:val="clear" w:color="auto" w:fill="FFFFFF"/>
        </w:rPr>
      </w:pPr>
      <w:r>
        <w:rPr>
          <w:rFonts w:hint="eastAsia" w:asciiTheme="majorEastAsia" w:hAnsiTheme="majorEastAsia" w:eastAsiaTheme="majorEastAsia" w:cstheme="majorEastAsia"/>
          <w:bCs/>
          <w:sz w:val="21"/>
          <w:szCs w:val="21"/>
          <w:highlight w:val="none"/>
          <w:shd w:val="clear" w:color="auto" w:fill="FFFFFF"/>
        </w:rPr>
        <w:t xml:space="preserve">   </w:t>
      </w:r>
      <w:r>
        <w:rPr>
          <w:rFonts w:hint="eastAsia" w:asciiTheme="majorEastAsia" w:hAnsiTheme="majorEastAsia" w:eastAsiaTheme="majorEastAsia" w:cstheme="majorEastAsia"/>
          <w:bCs/>
          <w:sz w:val="21"/>
          <w:szCs w:val="21"/>
          <w:highlight w:val="none"/>
          <w:shd w:val="clear" w:color="auto" w:fill="FFFFFF"/>
          <w:lang w:val="en-US" w:eastAsia="zh-CN"/>
        </w:rPr>
        <w:t xml:space="preserve"> 2</w:t>
      </w:r>
      <w:r>
        <w:rPr>
          <w:rFonts w:hint="eastAsia" w:asciiTheme="majorEastAsia" w:hAnsiTheme="majorEastAsia" w:eastAsiaTheme="majorEastAsia" w:cstheme="majorEastAsia"/>
          <w:bCs/>
          <w:sz w:val="21"/>
          <w:szCs w:val="21"/>
          <w:highlight w:val="none"/>
          <w:shd w:val="clear" w:color="auto" w:fill="FFFFFF"/>
        </w:rPr>
        <w:t>、谈判小组依据修改后的谈判文件及投标人修正后的商务技术响应文件进行谈判。</w:t>
      </w:r>
    </w:p>
    <w:p w14:paraId="02274E7B">
      <w:pPr>
        <w:pStyle w:val="25"/>
        <w:spacing w:before="0" w:beforeAutospacing="0" w:after="0" w:afterAutospacing="0" w:line="320" w:lineRule="exact"/>
        <w:rPr>
          <w:rFonts w:hint="eastAsia" w:asciiTheme="majorEastAsia" w:hAnsiTheme="majorEastAsia" w:eastAsiaTheme="majorEastAsia" w:cstheme="majorEastAsia"/>
          <w:bCs/>
          <w:sz w:val="21"/>
          <w:szCs w:val="21"/>
          <w:highlight w:val="none"/>
          <w:shd w:val="clear" w:color="auto" w:fill="FFFFFF"/>
        </w:rPr>
      </w:pPr>
      <w:r>
        <w:rPr>
          <w:rFonts w:hint="eastAsia" w:asciiTheme="majorEastAsia" w:hAnsiTheme="majorEastAsia" w:eastAsiaTheme="majorEastAsia" w:cstheme="majorEastAsia"/>
          <w:bCs/>
          <w:sz w:val="21"/>
          <w:szCs w:val="21"/>
          <w:highlight w:val="none"/>
          <w:shd w:val="clear" w:color="auto" w:fill="FFFFFF"/>
        </w:rPr>
        <w:t xml:space="preserve">  </w:t>
      </w:r>
      <w:r>
        <w:rPr>
          <w:rFonts w:hint="eastAsia" w:asciiTheme="majorEastAsia" w:hAnsiTheme="majorEastAsia" w:eastAsiaTheme="majorEastAsia" w:cstheme="majorEastAsia"/>
          <w:bCs/>
          <w:sz w:val="21"/>
          <w:szCs w:val="21"/>
          <w:highlight w:val="none"/>
          <w:shd w:val="clear" w:color="auto" w:fill="FFFFFF"/>
          <w:lang w:val="en-US" w:eastAsia="zh-CN"/>
        </w:rPr>
        <w:t xml:space="preserve"> </w:t>
      </w:r>
      <w:r>
        <w:rPr>
          <w:rFonts w:hint="eastAsia" w:asciiTheme="majorEastAsia" w:hAnsiTheme="majorEastAsia" w:eastAsiaTheme="majorEastAsia" w:cstheme="majorEastAsia"/>
          <w:bCs/>
          <w:sz w:val="21"/>
          <w:szCs w:val="21"/>
          <w:highlight w:val="none"/>
          <w:shd w:val="clear" w:color="auto" w:fill="FFFFFF"/>
        </w:rPr>
        <w:t xml:space="preserve"> </w:t>
      </w:r>
      <w:r>
        <w:rPr>
          <w:rFonts w:hint="eastAsia" w:asciiTheme="majorEastAsia" w:hAnsiTheme="majorEastAsia" w:eastAsiaTheme="majorEastAsia" w:cstheme="majorEastAsia"/>
          <w:bCs/>
          <w:sz w:val="21"/>
          <w:szCs w:val="21"/>
          <w:highlight w:val="none"/>
          <w:shd w:val="clear" w:color="auto" w:fill="FFFFFF"/>
          <w:lang w:val="en-US" w:eastAsia="zh-CN"/>
        </w:rPr>
        <w:t>3</w:t>
      </w:r>
      <w:r>
        <w:rPr>
          <w:rFonts w:hint="eastAsia" w:asciiTheme="majorEastAsia" w:hAnsiTheme="majorEastAsia" w:eastAsiaTheme="majorEastAsia" w:cstheme="majorEastAsia"/>
          <w:bCs/>
          <w:sz w:val="21"/>
          <w:szCs w:val="21"/>
          <w:highlight w:val="none"/>
          <w:shd w:val="clear" w:color="auto" w:fill="FFFFFF"/>
        </w:rPr>
        <w:t>、谈判小组确认投标人的谈判响应文件满足谈判文件的要求，通知所有投标人在规定的时间内，进行分次报价和最终报价。由各评审专家依据最低评标价法，</w:t>
      </w:r>
      <w:r>
        <w:rPr>
          <w:rFonts w:hint="eastAsia" w:asciiTheme="majorEastAsia" w:hAnsiTheme="majorEastAsia" w:eastAsiaTheme="majorEastAsia" w:cstheme="majorEastAsia"/>
          <w:b/>
          <w:sz w:val="21"/>
          <w:szCs w:val="21"/>
          <w:highlight w:val="none"/>
          <w:shd w:val="clear" w:color="auto" w:fill="FFFFFF"/>
        </w:rPr>
        <w:t>在满足</w:t>
      </w:r>
      <w:r>
        <w:rPr>
          <w:rFonts w:hint="eastAsia" w:asciiTheme="majorEastAsia" w:hAnsiTheme="majorEastAsia" w:eastAsiaTheme="majorEastAsia" w:cstheme="majorEastAsia"/>
          <w:b/>
          <w:sz w:val="21"/>
          <w:szCs w:val="21"/>
          <w:highlight w:val="none"/>
          <w:shd w:val="clear" w:color="auto" w:fill="FFFFFF"/>
          <w:lang w:eastAsia="zh-CN"/>
        </w:rPr>
        <w:t>谈判文件</w:t>
      </w:r>
      <w:r>
        <w:rPr>
          <w:rFonts w:hint="eastAsia" w:asciiTheme="majorEastAsia" w:hAnsiTheme="majorEastAsia" w:eastAsiaTheme="majorEastAsia" w:cstheme="majorEastAsia"/>
          <w:b/>
          <w:sz w:val="21"/>
          <w:szCs w:val="21"/>
          <w:highlight w:val="none"/>
          <w:shd w:val="clear" w:color="auto" w:fill="FFFFFF"/>
        </w:rPr>
        <w:t>实质性要求前提下,按照</w:t>
      </w:r>
      <w:r>
        <w:rPr>
          <w:rFonts w:hint="eastAsia" w:asciiTheme="majorEastAsia" w:hAnsiTheme="majorEastAsia" w:eastAsiaTheme="majorEastAsia" w:cstheme="majorEastAsia"/>
          <w:b/>
          <w:sz w:val="21"/>
          <w:szCs w:val="21"/>
          <w:highlight w:val="none"/>
          <w:shd w:val="clear" w:color="auto" w:fill="FFFFFF"/>
          <w:lang w:eastAsia="zh-CN"/>
        </w:rPr>
        <w:t>谈判文件</w:t>
      </w:r>
      <w:r>
        <w:rPr>
          <w:rFonts w:hint="eastAsia" w:asciiTheme="majorEastAsia" w:hAnsiTheme="majorEastAsia" w:eastAsiaTheme="majorEastAsia" w:cstheme="majorEastAsia"/>
          <w:b/>
          <w:sz w:val="21"/>
          <w:szCs w:val="21"/>
          <w:highlight w:val="none"/>
          <w:shd w:val="clear" w:color="auto" w:fill="FFFFFF"/>
        </w:rPr>
        <w:t>中规定的各项因素进行评审后,以报价最低的投标人作为成交候选投标人或者成交投标人，</w:t>
      </w:r>
      <w:r>
        <w:rPr>
          <w:rFonts w:hint="eastAsia" w:asciiTheme="majorEastAsia" w:hAnsiTheme="majorEastAsia" w:eastAsiaTheme="majorEastAsia" w:cstheme="majorEastAsia"/>
          <w:bCs/>
          <w:sz w:val="21"/>
          <w:szCs w:val="21"/>
          <w:highlight w:val="none"/>
          <w:shd w:val="clear" w:color="auto" w:fill="FFFFFF"/>
        </w:rPr>
        <w:t>谈判结束。</w:t>
      </w:r>
    </w:p>
    <w:p w14:paraId="4867CAF5">
      <w:pPr>
        <w:pStyle w:val="25"/>
        <w:spacing w:before="0" w:beforeAutospacing="0" w:after="0" w:afterAutospacing="0" w:line="375" w:lineRule="atLeast"/>
        <w:rPr>
          <w:rFonts w:hint="eastAsia" w:asciiTheme="majorEastAsia" w:hAnsiTheme="majorEastAsia" w:eastAsiaTheme="majorEastAsia" w:cstheme="majorEastAsia"/>
          <w:kern w:val="2"/>
          <w:sz w:val="21"/>
          <w:szCs w:val="20"/>
          <w:highlight w:val="none"/>
        </w:rPr>
      </w:pPr>
      <w:r>
        <w:rPr>
          <w:rFonts w:hint="eastAsia" w:asciiTheme="majorEastAsia" w:hAnsiTheme="majorEastAsia" w:eastAsiaTheme="majorEastAsia" w:cstheme="majorEastAsia"/>
          <w:kern w:val="2"/>
          <w:sz w:val="21"/>
          <w:szCs w:val="20"/>
          <w:highlight w:val="none"/>
        </w:rPr>
        <w:t xml:space="preserve">    16．7 谈判中止</w:t>
      </w:r>
    </w:p>
    <w:p w14:paraId="291158D6">
      <w:pPr>
        <w:pStyle w:val="25"/>
        <w:spacing w:before="0" w:beforeAutospacing="0" w:after="0" w:afterAutospacing="0" w:line="375" w:lineRule="atLeast"/>
        <w:ind w:firstLine="426" w:firstLineChars="200"/>
        <w:rPr>
          <w:rFonts w:hint="eastAsia" w:asciiTheme="majorEastAsia" w:hAnsiTheme="majorEastAsia" w:eastAsiaTheme="majorEastAsia" w:cstheme="majorEastAsia"/>
          <w:kern w:val="2"/>
          <w:sz w:val="21"/>
          <w:szCs w:val="20"/>
          <w:highlight w:val="none"/>
        </w:rPr>
      </w:pPr>
      <w:r>
        <w:rPr>
          <w:rFonts w:hint="eastAsia" w:asciiTheme="majorEastAsia" w:hAnsiTheme="majorEastAsia" w:eastAsiaTheme="majorEastAsia" w:cstheme="majorEastAsia"/>
          <w:kern w:val="2"/>
          <w:sz w:val="21"/>
          <w:szCs w:val="20"/>
          <w:highlight w:val="none"/>
        </w:rPr>
        <w:t>1、谈判时，遇到下列情况之一时，谈判应当终止：</w:t>
      </w:r>
    </w:p>
    <w:p w14:paraId="481EE8E1">
      <w:pPr>
        <w:pStyle w:val="25"/>
        <w:spacing w:before="0" w:beforeAutospacing="0" w:after="0" w:afterAutospacing="0" w:line="375" w:lineRule="atLeast"/>
        <w:ind w:firstLine="426" w:firstLineChars="200"/>
        <w:rPr>
          <w:rFonts w:hint="eastAsia" w:asciiTheme="majorEastAsia" w:hAnsiTheme="majorEastAsia" w:eastAsiaTheme="majorEastAsia" w:cstheme="majorEastAsia"/>
          <w:color w:val="auto"/>
          <w:kern w:val="2"/>
          <w:sz w:val="21"/>
          <w:szCs w:val="21"/>
          <w:highlight w:val="none"/>
          <w:u w:val="none" w:color="000000"/>
          <w:lang w:val="en-US" w:eastAsia="zh-CN" w:bidi="ar-SA"/>
        </w:rPr>
      </w:pPr>
      <w:r>
        <w:rPr>
          <w:rFonts w:hint="eastAsia" w:asciiTheme="majorEastAsia" w:hAnsiTheme="majorEastAsia" w:eastAsiaTheme="majorEastAsia" w:cstheme="majorEastAsia"/>
          <w:color w:val="auto"/>
          <w:kern w:val="2"/>
          <w:sz w:val="21"/>
          <w:szCs w:val="21"/>
          <w:highlight w:val="none"/>
          <w:u w:val="none" w:color="000000"/>
          <w:lang w:val="en-US" w:eastAsia="zh-CN" w:bidi="ar-SA"/>
        </w:rPr>
        <w:t>（1）出现影响采购公正的违法、违规行为的；</w:t>
      </w:r>
    </w:p>
    <w:p w14:paraId="0EEE85BF">
      <w:pPr>
        <w:widowControl/>
        <w:spacing w:line="0" w:lineRule="atLeast"/>
        <w:jc w:val="left"/>
        <w:rPr>
          <w:rFonts w:hint="eastAsia" w:asciiTheme="majorEastAsia" w:hAnsiTheme="majorEastAsia" w:eastAsiaTheme="majorEastAsia" w:cstheme="majorEastAsia"/>
          <w:color w:val="auto"/>
          <w:kern w:val="2"/>
          <w:sz w:val="21"/>
          <w:szCs w:val="21"/>
          <w:highlight w:val="none"/>
          <w:u w:val="none" w:color="000000"/>
          <w:lang w:val="en-US" w:eastAsia="zh-CN" w:bidi="ar-SA"/>
        </w:rPr>
      </w:pPr>
      <w:r>
        <w:rPr>
          <w:rFonts w:hint="eastAsia" w:asciiTheme="majorEastAsia" w:hAnsiTheme="majorEastAsia" w:eastAsiaTheme="majorEastAsia" w:cstheme="majorEastAsia"/>
          <w:color w:val="auto"/>
          <w:kern w:val="2"/>
          <w:sz w:val="21"/>
          <w:szCs w:val="21"/>
          <w:highlight w:val="none"/>
          <w:u w:val="none" w:color="000000"/>
          <w:lang w:val="en-US" w:eastAsia="zh-CN" w:bidi="ar-SA"/>
        </w:rPr>
        <w:t xml:space="preserve">    （2）投标人的最终报价超过最高限价的，采购人不能支付的；</w:t>
      </w:r>
    </w:p>
    <w:p w14:paraId="4B0FF4C7">
      <w:pPr>
        <w:pStyle w:val="25"/>
        <w:spacing w:before="0" w:beforeAutospacing="0" w:after="0" w:afterAutospacing="0" w:line="375" w:lineRule="atLeast"/>
        <w:rPr>
          <w:rFonts w:hint="eastAsia" w:asciiTheme="majorEastAsia" w:hAnsiTheme="majorEastAsia" w:eastAsiaTheme="majorEastAsia" w:cstheme="majorEastAsia"/>
          <w:color w:val="auto"/>
          <w:kern w:val="2"/>
          <w:sz w:val="21"/>
          <w:szCs w:val="21"/>
          <w:highlight w:val="none"/>
          <w:u w:val="none" w:color="000000"/>
          <w:lang w:val="en-US" w:eastAsia="zh-CN" w:bidi="ar-SA"/>
        </w:rPr>
      </w:pPr>
      <w:r>
        <w:rPr>
          <w:rFonts w:hint="eastAsia" w:asciiTheme="majorEastAsia" w:hAnsiTheme="majorEastAsia" w:eastAsiaTheme="majorEastAsia" w:cstheme="majorEastAsia"/>
          <w:color w:val="auto"/>
          <w:kern w:val="2"/>
          <w:sz w:val="21"/>
          <w:szCs w:val="21"/>
          <w:highlight w:val="none"/>
          <w:u w:val="none" w:color="000000"/>
          <w:lang w:val="en-US" w:eastAsia="zh-CN" w:bidi="ar-SA"/>
        </w:rPr>
        <w:t xml:space="preserve">    （3）因重大变故，采购任务取消。</w:t>
      </w:r>
    </w:p>
    <w:p w14:paraId="5802AFA6">
      <w:pPr>
        <w:pStyle w:val="25"/>
        <w:spacing w:before="0" w:beforeAutospacing="0" w:after="0" w:afterAutospacing="0" w:line="375" w:lineRule="atLeast"/>
        <w:rPr>
          <w:rFonts w:hint="eastAsia" w:asciiTheme="majorEastAsia" w:hAnsiTheme="majorEastAsia" w:eastAsiaTheme="majorEastAsia" w:cstheme="majorEastAsia"/>
          <w:color w:val="auto"/>
          <w:kern w:val="2"/>
          <w:sz w:val="21"/>
          <w:szCs w:val="21"/>
          <w:highlight w:val="none"/>
          <w:u w:val="none" w:color="000000"/>
          <w:lang w:val="en-US" w:eastAsia="zh-CN" w:bidi="ar-SA"/>
        </w:rPr>
      </w:pPr>
      <w:r>
        <w:rPr>
          <w:rFonts w:hint="eastAsia" w:asciiTheme="majorEastAsia" w:hAnsiTheme="majorEastAsia" w:eastAsiaTheme="majorEastAsia" w:cstheme="majorEastAsia"/>
          <w:color w:val="auto"/>
          <w:kern w:val="2"/>
          <w:sz w:val="21"/>
          <w:szCs w:val="21"/>
          <w:highlight w:val="none"/>
          <w:u w:val="none" w:color="000000"/>
          <w:lang w:val="en-US" w:eastAsia="zh-CN" w:bidi="ar-SA"/>
        </w:rPr>
        <w:t xml:space="preserve">    2、谈判小组将谈判终止理由通知所有参与谈判的投标人。</w:t>
      </w:r>
    </w:p>
    <w:p w14:paraId="421A5F36">
      <w:pPr>
        <w:pStyle w:val="15"/>
        <w:spacing w:line="400" w:lineRule="exact"/>
        <w:rPr>
          <w:rFonts w:hint="eastAsia" w:asciiTheme="majorEastAsia" w:hAnsiTheme="majorEastAsia" w:eastAsiaTheme="majorEastAsia" w:cstheme="majorEastAsia"/>
          <w:b/>
          <w:bCs/>
          <w:sz w:val="24"/>
          <w:highlight w:val="none"/>
        </w:rPr>
      </w:pPr>
      <w:r>
        <w:rPr>
          <w:rFonts w:hint="eastAsia" w:asciiTheme="majorEastAsia" w:hAnsiTheme="majorEastAsia" w:eastAsiaTheme="majorEastAsia" w:cstheme="majorEastAsia"/>
          <w:b/>
          <w:bCs/>
          <w:sz w:val="24"/>
          <w:highlight w:val="none"/>
        </w:rPr>
        <w:t>四、成交候选供应商推荐原则</w:t>
      </w:r>
    </w:p>
    <w:p w14:paraId="11F69BB5">
      <w:pPr>
        <w:pStyle w:val="15"/>
        <w:spacing w:line="400" w:lineRule="exact"/>
        <w:ind w:firstLine="106" w:firstLineChars="50"/>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（一）“谈判小组”</w:t>
      </w:r>
      <w:r>
        <w:rPr>
          <w:rFonts w:hint="eastAsia" w:asciiTheme="majorEastAsia" w:hAnsiTheme="majorEastAsia" w:eastAsiaTheme="majorEastAsia" w:cstheme="majorEastAsia"/>
          <w:bCs/>
          <w:highlight w:val="none"/>
        </w:rPr>
        <w:t>将根据评标价由低到高排列次序（</w:t>
      </w:r>
      <w:r>
        <w:rPr>
          <w:rFonts w:hint="eastAsia" w:asciiTheme="majorEastAsia" w:hAnsiTheme="majorEastAsia" w:eastAsiaTheme="majorEastAsia" w:cstheme="majorEastAsia"/>
          <w:color w:val="auto"/>
          <w:szCs w:val="21"/>
          <w:highlight w:val="none"/>
        </w:rPr>
        <w:t>若出现最低评标价相同时,按投标报价由低到高的方式确定</w:t>
      </w:r>
      <w:r>
        <w:rPr>
          <w:rFonts w:hint="eastAsia" w:asciiTheme="majorEastAsia" w:hAnsiTheme="majorEastAsia" w:eastAsiaTheme="majorEastAsia" w:cstheme="majorEastAsia"/>
          <w:color w:val="auto"/>
          <w:szCs w:val="21"/>
          <w:highlight w:val="none"/>
          <w:lang w:eastAsia="zh-CN"/>
        </w:rPr>
        <w:t>成交</w:t>
      </w:r>
      <w:r>
        <w:rPr>
          <w:rFonts w:hint="eastAsia" w:asciiTheme="majorEastAsia" w:hAnsiTheme="majorEastAsia" w:eastAsiaTheme="majorEastAsia" w:cstheme="majorEastAsia"/>
          <w:color w:val="auto"/>
          <w:szCs w:val="21"/>
          <w:highlight w:val="none"/>
        </w:rPr>
        <w:t>候选人排序</w:t>
      </w: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rPr>
        <w:t>如果评标价相同且最低最终报价也相同，根据技术指标优劣顺序确定</w:t>
      </w:r>
      <w:r>
        <w:rPr>
          <w:rFonts w:hint="eastAsia" w:asciiTheme="majorEastAsia" w:hAnsiTheme="majorEastAsia" w:eastAsiaTheme="majorEastAsia" w:cstheme="majorEastAsia"/>
          <w:color w:val="auto"/>
          <w:szCs w:val="21"/>
          <w:highlight w:val="none"/>
          <w:lang w:eastAsia="zh-CN"/>
        </w:rPr>
        <w:t>成交</w:t>
      </w:r>
      <w:r>
        <w:rPr>
          <w:rFonts w:hint="eastAsia" w:asciiTheme="majorEastAsia" w:hAnsiTheme="majorEastAsia" w:eastAsiaTheme="majorEastAsia" w:cstheme="majorEastAsia"/>
          <w:color w:val="auto"/>
          <w:szCs w:val="21"/>
          <w:highlight w:val="none"/>
        </w:rPr>
        <w:t>候选人‌</w:t>
      </w: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rPr>
        <w:t>如果技术指标也相同，评标委员会应按照少数服从多数的原则进行投票表决，确定</w:t>
      </w:r>
      <w:r>
        <w:rPr>
          <w:rFonts w:hint="eastAsia" w:asciiTheme="majorEastAsia" w:hAnsiTheme="majorEastAsia" w:eastAsiaTheme="majorEastAsia" w:cstheme="majorEastAsia"/>
          <w:color w:val="auto"/>
          <w:szCs w:val="21"/>
          <w:highlight w:val="none"/>
          <w:lang w:eastAsia="zh-CN"/>
        </w:rPr>
        <w:t>成交</w:t>
      </w:r>
      <w:r>
        <w:rPr>
          <w:rFonts w:hint="eastAsia" w:asciiTheme="majorEastAsia" w:hAnsiTheme="majorEastAsia" w:eastAsiaTheme="majorEastAsia" w:cstheme="majorEastAsia"/>
          <w:color w:val="auto"/>
          <w:szCs w:val="21"/>
          <w:highlight w:val="none"/>
        </w:rPr>
        <w:t>候选人</w:t>
      </w: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bCs/>
          <w:highlight w:val="none"/>
        </w:rPr>
        <w:t>）并推荐</w:t>
      </w:r>
      <w:r>
        <w:rPr>
          <w:rFonts w:hint="eastAsia" w:asciiTheme="majorEastAsia" w:hAnsiTheme="majorEastAsia" w:eastAsiaTheme="majorEastAsia" w:cstheme="majorEastAsia"/>
          <w:highlight w:val="none"/>
        </w:rPr>
        <w:t>成交</w:t>
      </w:r>
      <w:r>
        <w:rPr>
          <w:rFonts w:hint="eastAsia" w:asciiTheme="majorEastAsia" w:hAnsiTheme="majorEastAsia" w:eastAsiaTheme="majorEastAsia" w:cstheme="majorEastAsia"/>
          <w:bCs/>
          <w:highlight w:val="none"/>
        </w:rPr>
        <w:t>候选供应商名单</w:t>
      </w:r>
      <w:r>
        <w:rPr>
          <w:rFonts w:hint="eastAsia" w:asciiTheme="majorEastAsia" w:hAnsiTheme="majorEastAsia" w:eastAsiaTheme="majorEastAsia" w:cstheme="majorEastAsia"/>
          <w:highlight w:val="none"/>
        </w:rPr>
        <w:t>，可推荐前三名为成交候选供应商，排名第一者为成交供应商，排名第二、第三者为成交候选供应商；</w:t>
      </w:r>
    </w:p>
    <w:p w14:paraId="614C2D28">
      <w:pPr>
        <w:pStyle w:val="15"/>
        <w:spacing w:line="400" w:lineRule="exact"/>
        <w:ind w:firstLine="426" w:firstLineChars="200"/>
        <w:rPr>
          <w:rFonts w:hint="eastAsia" w:asciiTheme="majorEastAsia" w:hAnsiTheme="majorEastAsia" w:eastAsiaTheme="majorEastAsia" w:cstheme="majorEastAsia"/>
          <w:bCs/>
          <w:highlight w:val="none"/>
        </w:rPr>
      </w:pPr>
      <w:r>
        <w:rPr>
          <w:rFonts w:hint="eastAsia" w:asciiTheme="majorEastAsia" w:hAnsiTheme="majorEastAsia" w:eastAsiaTheme="majorEastAsia" w:cstheme="majorEastAsia"/>
          <w:bCs/>
          <w:highlight w:val="none"/>
        </w:rPr>
        <w:t>1、第一</w:t>
      </w:r>
      <w:r>
        <w:rPr>
          <w:rFonts w:hint="eastAsia" w:asciiTheme="majorEastAsia" w:hAnsiTheme="majorEastAsia" w:eastAsiaTheme="majorEastAsia" w:cstheme="majorEastAsia"/>
          <w:bCs/>
          <w:highlight w:val="none"/>
          <w:lang w:eastAsia="zh-CN"/>
        </w:rPr>
        <w:t>成交</w:t>
      </w:r>
      <w:r>
        <w:rPr>
          <w:rFonts w:hint="eastAsia" w:asciiTheme="majorEastAsia" w:hAnsiTheme="majorEastAsia" w:eastAsiaTheme="majorEastAsia" w:cstheme="majorEastAsia"/>
          <w:bCs/>
          <w:highlight w:val="none"/>
        </w:rPr>
        <w:t>候选供应商确定为</w:t>
      </w:r>
      <w:r>
        <w:rPr>
          <w:rFonts w:hint="eastAsia" w:asciiTheme="majorEastAsia" w:hAnsiTheme="majorEastAsia" w:eastAsiaTheme="majorEastAsia" w:cstheme="majorEastAsia"/>
          <w:highlight w:val="none"/>
        </w:rPr>
        <w:t>成交</w:t>
      </w:r>
      <w:r>
        <w:rPr>
          <w:rFonts w:hint="eastAsia" w:asciiTheme="majorEastAsia" w:hAnsiTheme="majorEastAsia" w:eastAsiaTheme="majorEastAsia" w:cstheme="majorEastAsia"/>
          <w:bCs/>
          <w:highlight w:val="none"/>
        </w:rPr>
        <w:t>供应商，如第一</w:t>
      </w:r>
      <w:r>
        <w:rPr>
          <w:rFonts w:hint="eastAsia" w:asciiTheme="majorEastAsia" w:hAnsiTheme="majorEastAsia" w:eastAsiaTheme="majorEastAsia" w:cstheme="majorEastAsia"/>
          <w:highlight w:val="none"/>
        </w:rPr>
        <w:t>成交</w:t>
      </w:r>
      <w:r>
        <w:rPr>
          <w:rFonts w:hint="eastAsia" w:asciiTheme="majorEastAsia" w:hAnsiTheme="majorEastAsia" w:eastAsiaTheme="majorEastAsia" w:cstheme="majorEastAsia"/>
          <w:bCs/>
          <w:highlight w:val="none"/>
        </w:rPr>
        <w:t>候选供应商放弃</w:t>
      </w:r>
      <w:r>
        <w:rPr>
          <w:rFonts w:hint="eastAsia" w:asciiTheme="majorEastAsia" w:hAnsiTheme="majorEastAsia" w:eastAsiaTheme="majorEastAsia" w:cstheme="majorEastAsia"/>
          <w:bCs/>
          <w:highlight w:val="none"/>
          <w:lang w:eastAsia="zh-CN"/>
        </w:rPr>
        <w:t>成交</w:t>
      </w:r>
      <w:r>
        <w:rPr>
          <w:rFonts w:hint="eastAsia" w:asciiTheme="majorEastAsia" w:hAnsiTheme="majorEastAsia" w:eastAsiaTheme="majorEastAsia" w:cstheme="majorEastAsia"/>
          <w:bCs/>
          <w:highlight w:val="none"/>
        </w:rPr>
        <w:t>、或因不可抗力提出不能履行合同，或竞争性谈判采购文件规定应当提交履约保证金而在规定的期限内未能提交的，采购人可确定排名第二的</w:t>
      </w:r>
      <w:r>
        <w:rPr>
          <w:rFonts w:hint="eastAsia" w:asciiTheme="majorEastAsia" w:hAnsiTheme="majorEastAsia" w:eastAsiaTheme="majorEastAsia" w:cstheme="majorEastAsia"/>
          <w:highlight w:val="none"/>
        </w:rPr>
        <w:t>成交</w:t>
      </w:r>
      <w:r>
        <w:rPr>
          <w:rFonts w:hint="eastAsia" w:asciiTheme="majorEastAsia" w:hAnsiTheme="majorEastAsia" w:eastAsiaTheme="majorEastAsia" w:cstheme="majorEastAsia"/>
          <w:bCs/>
          <w:highlight w:val="none"/>
        </w:rPr>
        <w:t>候选供应商为</w:t>
      </w:r>
      <w:r>
        <w:rPr>
          <w:rFonts w:hint="eastAsia" w:asciiTheme="majorEastAsia" w:hAnsiTheme="majorEastAsia" w:eastAsiaTheme="majorEastAsia" w:cstheme="majorEastAsia"/>
          <w:highlight w:val="none"/>
        </w:rPr>
        <w:t>成交</w:t>
      </w:r>
      <w:r>
        <w:rPr>
          <w:rFonts w:hint="eastAsia" w:asciiTheme="majorEastAsia" w:hAnsiTheme="majorEastAsia" w:eastAsiaTheme="majorEastAsia" w:cstheme="majorEastAsia"/>
          <w:bCs/>
          <w:highlight w:val="none"/>
        </w:rPr>
        <w:t>供应商</w:t>
      </w:r>
      <w:r>
        <w:rPr>
          <w:rFonts w:hint="eastAsia" w:asciiTheme="majorEastAsia" w:hAnsiTheme="majorEastAsia" w:eastAsiaTheme="majorEastAsia" w:cstheme="majorEastAsia"/>
          <w:bCs/>
          <w:highlight w:val="none"/>
          <w:lang w:val="en-US" w:eastAsia="zh-CN"/>
        </w:rPr>
        <w:t>或重新组织采购活动</w:t>
      </w:r>
      <w:r>
        <w:rPr>
          <w:rFonts w:hint="eastAsia" w:asciiTheme="majorEastAsia" w:hAnsiTheme="majorEastAsia" w:eastAsiaTheme="majorEastAsia" w:cstheme="majorEastAsia"/>
          <w:bCs/>
          <w:highlight w:val="none"/>
        </w:rPr>
        <w:t>。</w:t>
      </w:r>
    </w:p>
    <w:p w14:paraId="1FB45E00">
      <w:pPr>
        <w:pStyle w:val="15"/>
        <w:spacing w:line="400" w:lineRule="exact"/>
        <w:ind w:firstLine="426" w:firstLineChars="200"/>
        <w:rPr>
          <w:rFonts w:hint="eastAsia" w:asciiTheme="majorEastAsia" w:hAnsiTheme="majorEastAsia" w:eastAsiaTheme="majorEastAsia" w:cstheme="majorEastAsia"/>
          <w:bCs/>
          <w:highlight w:val="none"/>
        </w:rPr>
      </w:pPr>
      <w:r>
        <w:rPr>
          <w:rFonts w:hint="eastAsia" w:asciiTheme="majorEastAsia" w:hAnsiTheme="majorEastAsia" w:eastAsiaTheme="majorEastAsia" w:cstheme="majorEastAsia"/>
          <w:bCs/>
          <w:highlight w:val="none"/>
        </w:rPr>
        <w:t>2、第二</w:t>
      </w:r>
      <w:r>
        <w:rPr>
          <w:rFonts w:hint="eastAsia" w:asciiTheme="majorEastAsia" w:hAnsiTheme="majorEastAsia" w:eastAsiaTheme="majorEastAsia" w:cstheme="majorEastAsia"/>
          <w:bCs/>
          <w:highlight w:val="none"/>
          <w:lang w:eastAsia="zh-CN"/>
        </w:rPr>
        <w:t>成交</w:t>
      </w:r>
      <w:r>
        <w:rPr>
          <w:rFonts w:hint="eastAsia" w:asciiTheme="majorEastAsia" w:hAnsiTheme="majorEastAsia" w:eastAsiaTheme="majorEastAsia" w:cstheme="majorEastAsia"/>
          <w:bCs/>
          <w:highlight w:val="none"/>
        </w:rPr>
        <w:t>候选供应商因前款规定的同样原因不能签订合同的，可确定第三</w:t>
      </w:r>
      <w:r>
        <w:rPr>
          <w:rFonts w:hint="eastAsia" w:asciiTheme="majorEastAsia" w:hAnsiTheme="majorEastAsia" w:eastAsiaTheme="majorEastAsia" w:cstheme="majorEastAsia"/>
          <w:highlight w:val="none"/>
        </w:rPr>
        <w:t>成交</w:t>
      </w:r>
      <w:r>
        <w:rPr>
          <w:rFonts w:hint="eastAsia" w:asciiTheme="majorEastAsia" w:hAnsiTheme="majorEastAsia" w:eastAsiaTheme="majorEastAsia" w:cstheme="majorEastAsia"/>
          <w:bCs/>
          <w:highlight w:val="none"/>
        </w:rPr>
        <w:t>候选供应商为</w:t>
      </w:r>
      <w:r>
        <w:rPr>
          <w:rFonts w:hint="eastAsia" w:asciiTheme="majorEastAsia" w:hAnsiTheme="majorEastAsia" w:eastAsiaTheme="majorEastAsia" w:cstheme="majorEastAsia"/>
          <w:highlight w:val="none"/>
        </w:rPr>
        <w:t>成交</w:t>
      </w:r>
      <w:r>
        <w:rPr>
          <w:rFonts w:hint="eastAsia" w:asciiTheme="majorEastAsia" w:hAnsiTheme="majorEastAsia" w:eastAsiaTheme="majorEastAsia" w:cstheme="majorEastAsia"/>
          <w:bCs/>
          <w:highlight w:val="none"/>
        </w:rPr>
        <w:t>候应商</w:t>
      </w:r>
      <w:r>
        <w:rPr>
          <w:rFonts w:hint="eastAsia" w:asciiTheme="majorEastAsia" w:hAnsiTheme="majorEastAsia" w:eastAsiaTheme="majorEastAsia" w:cstheme="majorEastAsia"/>
          <w:bCs/>
          <w:highlight w:val="none"/>
          <w:lang w:val="en-US" w:eastAsia="zh-CN"/>
        </w:rPr>
        <w:t>或重新组织采购活动</w:t>
      </w:r>
      <w:r>
        <w:rPr>
          <w:rFonts w:hint="eastAsia" w:asciiTheme="majorEastAsia" w:hAnsiTheme="majorEastAsia" w:eastAsiaTheme="majorEastAsia" w:cstheme="majorEastAsia"/>
          <w:bCs/>
          <w:highlight w:val="none"/>
        </w:rPr>
        <w:t>。</w:t>
      </w:r>
    </w:p>
    <w:p w14:paraId="21A83B28">
      <w:pPr>
        <w:pStyle w:val="15"/>
        <w:spacing w:line="400" w:lineRule="exact"/>
        <w:rPr>
          <w:rFonts w:hint="eastAsia" w:asciiTheme="majorEastAsia" w:hAnsiTheme="majorEastAsia" w:eastAsiaTheme="majorEastAsia" w:cstheme="majorEastAsia"/>
          <w:bCs/>
          <w:highlight w:val="none"/>
        </w:rPr>
      </w:pPr>
      <w:r>
        <w:rPr>
          <w:rFonts w:hint="eastAsia" w:asciiTheme="majorEastAsia" w:hAnsiTheme="majorEastAsia" w:eastAsiaTheme="majorEastAsia" w:cstheme="majorEastAsia"/>
          <w:highlight w:val="none"/>
        </w:rPr>
        <w:t>（</w:t>
      </w:r>
      <w:r>
        <w:rPr>
          <w:rFonts w:hint="eastAsia" w:asciiTheme="majorEastAsia" w:hAnsiTheme="majorEastAsia" w:eastAsiaTheme="majorEastAsia" w:cstheme="majorEastAsia"/>
          <w:bCs/>
          <w:highlight w:val="none"/>
        </w:rPr>
        <w:t>二）</w:t>
      </w:r>
      <w:r>
        <w:rPr>
          <w:rFonts w:hint="eastAsia" w:asciiTheme="majorEastAsia" w:hAnsiTheme="majorEastAsia" w:eastAsiaTheme="majorEastAsia" w:cstheme="majorEastAsia"/>
          <w:highlight w:val="none"/>
        </w:rPr>
        <w:t>成交</w:t>
      </w:r>
      <w:r>
        <w:rPr>
          <w:rFonts w:hint="eastAsia" w:asciiTheme="majorEastAsia" w:hAnsiTheme="majorEastAsia" w:eastAsiaTheme="majorEastAsia" w:cstheme="majorEastAsia"/>
          <w:bCs/>
          <w:highlight w:val="none"/>
        </w:rPr>
        <w:t>候选供应商中所投标商品为同一品牌、性能配置相同时，则以最终报价最低者</w:t>
      </w:r>
      <w:r>
        <w:rPr>
          <w:rFonts w:hint="eastAsia" w:asciiTheme="majorEastAsia" w:hAnsiTheme="majorEastAsia" w:eastAsiaTheme="majorEastAsia" w:cstheme="majorEastAsia"/>
          <w:highlight w:val="none"/>
        </w:rPr>
        <w:t>成交</w:t>
      </w:r>
      <w:r>
        <w:rPr>
          <w:rFonts w:hint="eastAsia" w:asciiTheme="majorEastAsia" w:hAnsiTheme="majorEastAsia" w:eastAsiaTheme="majorEastAsia" w:cstheme="majorEastAsia"/>
          <w:bCs/>
          <w:highlight w:val="none"/>
        </w:rPr>
        <w:t>。</w:t>
      </w:r>
    </w:p>
    <w:p w14:paraId="43E3A956">
      <w:pPr>
        <w:pStyle w:val="15"/>
        <w:spacing w:line="400" w:lineRule="exact"/>
        <w:rPr>
          <w:rFonts w:hint="eastAsia" w:asciiTheme="majorEastAsia" w:hAnsiTheme="majorEastAsia" w:eastAsiaTheme="majorEastAsia" w:cstheme="majorEastAsia"/>
          <w:bCs/>
          <w:highlight w:val="none"/>
        </w:rPr>
      </w:pPr>
      <w:r>
        <w:rPr>
          <w:rFonts w:hint="eastAsia" w:asciiTheme="majorEastAsia" w:hAnsiTheme="majorEastAsia" w:eastAsiaTheme="majorEastAsia" w:cstheme="majorEastAsia"/>
          <w:highlight w:val="none"/>
        </w:rPr>
        <w:t>（</w:t>
      </w:r>
      <w:r>
        <w:rPr>
          <w:rFonts w:hint="eastAsia" w:asciiTheme="majorEastAsia" w:hAnsiTheme="majorEastAsia" w:eastAsiaTheme="majorEastAsia" w:cstheme="majorEastAsia"/>
          <w:bCs/>
          <w:highlight w:val="none"/>
        </w:rPr>
        <w:t>三）谈判小组认为，某投标人的有效报价明显不合理或者低于成本，有可能影响商品质量和不能诚信履约的，应要求其在规定的期限内提供书面文件予以解释说明，并提交相关证明材料，否则，谈判小组可以取消该投标人的</w:t>
      </w:r>
      <w:r>
        <w:rPr>
          <w:rFonts w:hint="eastAsia" w:asciiTheme="majorEastAsia" w:hAnsiTheme="majorEastAsia" w:eastAsiaTheme="majorEastAsia" w:cstheme="majorEastAsia"/>
          <w:highlight w:val="none"/>
        </w:rPr>
        <w:t>成交</w:t>
      </w:r>
      <w:r>
        <w:rPr>
          <w:rFonts w:hint="eastAsia" w:asciiTheme="majorEastAsia" w:hAnsiTheme="majorEastAsia" w:eastAsiaTheme="majorEastAsia" w:cstheme="majorEastAsia"/>
          <w:bCs/>
          <w:highlight w:val="none"/>
        </w:rPr>
        <w:t>候选资格，按顺序由排在后面的</w:t>
      </w:r>
      <w:r>
        <w:rPr>
          <w:rFonts w:hint="eastAsia" w:asciiTheme="majorEastAsia" w:hAnsiTheme="majorEastAsia" w:eastAsiaTheme="majorEastAsia" w:cstheme="majorEastAsia"/>
          <w:highlight w:val="none"/>
        </w:rPr>
        <w:t>成交</w:t>
      </w:r>
      <w:r>
        <w:rPr>
          <w:rFonts w:hint="eastAsia" w:asciiTheme="majorEastAsia" w:hAnsiTheme="majorEastAsia" w:eastAsiaTheme="majorEastAsia" w:cstheme="majorEastAsia"/>
          <w:bCs/>
          <w:highlight w:val="none"/>
        </w:rPr>
        <w:t>候选供应商递补，以此类推。</w:t>
      </w:r>
    </w:p>
    <w:p w14:paraId="515CA49B">
      <w:pPr>
        <w:shd w:val="clear" w:color="auto" w:fill="auto"/>
        <w:jc w:val="center"/>
        <w:outlineLvl w:val="1"/>
        <w:rPr>
          <w:rFonts w:hint="eastAsia" w:asciiTheme="majorEastAsia" w:hAnsiTheme="majorEastAsia" w:eastAsiaTheme="majorEastAsia" w:cstheme="majorEastAsia"/>
          <w:b/>
          <w:color w:val="auto"/>
          <w:sz w:val="28"/>
          <w:szCs w:val="28"/>
          <w:highlight w:val="none"/>
        </w:rPr>
      </w:pPr>
    </w:p>
    <w:p w14:paraId="7BB6D511">
      <w:pPr>
        <w:shd w:val="clear" w:color="auto" w:fill="auto"/>
        <w:jc w:val="center"/>
        <w:outlineLvl w:val="1"/>
        <w:rPr>
          <w:rFonts w:hint="eastAsia" w:asciiTheme="majorEastAsia" w:hAnsiTheme="majorEastAsia" w:eastAsiaTheme="majorEastAsia" w:cstheme="majorEastAsia"/>
          <w:b/>
          <w:color w:val="auto"/>
          <w:sz w:val="28"/>
          <w:szCs w:val="28"/>
          <w:highlight w:val="none"/>
        </w:rPr>
      </w:pPr>
      <w:r>
        <w:rPr>
          <w:rFonts w:hint="eastAsia" w:asciiTheme="majorEastAsia" w:hAnsiTheme="majorEastAsia" w:eastAsiaTheme="majorEastAsia" w:cstheme="majorEastAsia"/>
          <w:b/>
          <w:color w:val="auto"/>
          <w:sz w:val="28"/>
          <w:szCs w:val="28"/>
          <w:highlight w:val="none"/>
        </w:rPr>
        <w:t>二  投标文件初审</w:t>
      </w:r>
      <w:bookmarkEnd w:id="70"/>
      <w:bookmarkEnd w:id="71"/>
    </w:p>
    <w:p w14:paraId="69154C81">
      <w:pPr>
        <w:shd w:val="clear" w:color="auto" w:fill="auto"/>
        <w:spacing w:line="400" w:lineRule="exact"/>
        <w:ind w:firstLine="312" w:firstLineChars="147"/>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lang w:val="en-US" w:eastAsia="zh-CN"/>
        </w:rPr>
        <w:t>6</w:t>
      </w:r>
      <w:r>
        <w:rPr>
          <w:rFonts w:hint="eastAsia" w:asciiTheme="majorEastAsia" w:hAnsiTheme="majorEastAsia" w:eastAsiaTheme="majorEastAsia" w:cstheme="majorEastAsia"/>
          <w:b/>
          <w:color w:val="auto"/>
          <w:szCs w:val="21"/>
          <w:highlight w:val="none"/>
        </w:rPr>
        <w:t>.资格性审查:</w:t>
      </w:r>
    </w:p>
    <w:p w14:paraId="5A130AFC">
      <w:pPr>
        <w:shd w:val="clear" w:color="auto" w:fill="auto"/>
        <w:spacing w:line="400" w:lineRule="exact"/>
        <w:ind w:firstLine="312" w:firstLineChars="147"/>
        <w:rPr>
          <w:rFonts w:hint="default" w:eastAsia="宋体"/>
          <w:color w:val="auto"/>
          <w:szCs w:val="21"/>
          <w:highlight w:val="none"/>
          <w:lang w:val="en-US" w:eastAsia="zh-CN"/>
        </w:rPr>
      </w:pPr>
      <w:r>
        <w:rPr>
          <w:rFonts w:hint="eastAsia" w:ascii="宋体"/>
          <w:color w:val="auto"/>
          <w:szCs w:val="21"/>
          <w:highlight w:val="none"/>
          <w:lang w:val="en-US" w:eastAsia="zh-CN"/>
        </w:rPr>
        <w:t>6</w:t>
      </w:r>
      <w:r>
        <w:rPr>
          <w:rFonts w:hint="eastAsia" w:ascii="宋体"/>
          <w:color w:val="auto"/>
          <w:szCs w:val="21"/>
          <w:highlight w:val="none"/>
        </w:rPr>
        <w:t>.1</w:t>
      </w:r>
      <w:r>
        <w:rPr>
          <w:rFonts w:hint="eastAsia"/>
          <w:color w:val="auto"/>
          <w:szCs w:val="21"/>
          <w:highlight w:val="none"/>
        </w:rPr>
        <w:t>评审细则</w:t>
      </w:r>
      <w:r>
        <w:rPr>
          <w:rFonts w:hint="eastAsia"/>
          <w:color w:val="auto"/>
          <w:szCs w:val="21"/>
          <w:highlight w:val="none"/>
          <w:lang w:val="en-US" w:eastAsia="zh-CN"/>
        </w:rPr>
        <w:t xml:space="preserve">  标项1，</w:t>
      </w:r>
    </w:p>
    <w:tbl>
      <w:tblPr>
        <w:tblStyle w:val="28"/>
        <w:tblW w:w="89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
        <w:gridCol w:w="425"/>
        <w:gridCol w:w="6837"/>
        <w:gridCol w:w="600"/>
        <w:gridCol w:w="543"/>
      </w:tblGrid>
      <w:tr w14:paraId="73E3B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586" w:type="dxa"/>
            <w:vMerge w:val="restart"/>
            <w:noWrap w:val="0"/>
            <w:vAlign w:val="center"/>
          </w:tcPr>
          <w:p w14:paraId="6E4CD53F">
            <w:pPr>
              <w:shd w:val="clear" w:color="auto" w:fill="auto"/>
              <w:spacing w:line="36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w:t>
            </w:r>
          </w:p>
        </w:tc>
        <w:tc>
          <w:tcPr>
            <w:tcW w:w="7262" w:type="dxa"/>
            <w:gridSpan w:val="2"/>
            <w:vMerge w:val="restart"/>
            <w:noWrap w:val="0"/>
            <w:vAlign w:val="center"/>
          </w:tcPr>
          <w:p w14:paraId="30F3AB9E">
            <w:pPr>
              <w:shd w:val="clear" w:color="auto" w:fill="auto"/>
              <w:spacing w:line="36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评审内容</w:t>
            </w:r>
          </w:p>
        </w:tc>
        <w:tc>
          <w:tcPr>
            <w:tcW w:w="1143" w:type="dxa"/>
            <w:gridSpan w:val="2"/>
            <w:noWrap w:val="0"/>
            <w:vAlign w:val="center"/>
          </w:tcPr>
          <w:p w14:paraId="1D6B9ADC">
            <w:pPr>
              <w:shd w:val="clear" w:color="auto" w:fill="auto"/>
              <w:spacing w:line="36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评审意见</w:t>
            </w:r>
          </w:p>
        </w:tc>
      </w:tr>
      <w:tr w14:paraId="295C3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586" w:type="dxa"/>
            <w:vMerge w:val="continue"/>
            <w:noWrap w:val="0"/>
            <w:vAlign w:val="center"/>
          </w:tcPr>
          <w:p w14:paraId="5A0B87CB">
            <w:pPr>
              <w:shd w:val="clear" w:color="auto" w:fill="auto"/>
              <w:spacing w:line="360" w:lineRule="auto"/>
              <w:rPr>
                <w:rFonts w:hint="eastAsia" w:ascii="宋体" w:hAnsi="宋体" w:eastAsia="宋体" w:cs="宋体"/>
                <w:color w:val="auto"/>
                <w:sz w:val="18"/>
                <w:szCs w:val="21"/>
                <w:highlight w:val="none"/>
              </w:rPr>
            </w:pPr>
          </w:p>
        </w:tc>
        <w:tc>
          <w:tcPr>
            <w:tcW w:w="7262" w:type="dxa"/>
            <w:gridSpan w:val="2"/>
            <w:vMerge w:val="continue"/>
            <w:noWrap w:val="0"/>
            <w:vAlign w:val="top"/>
          </w:tcPr>
          <w:p w14:paraId="6FDE7B2E">
            <w:pPr>
              <w:shd w:val="clear" w:color="auto" w:fill="auto"/>
              <w:spacing w:line="360" w:lineRule="auto"/>
              <w:rPr>
                <w:rFonts w:hint="eastAsia" w:ascii="宋体" w:hAnsi="宋体" w:eastAsia="宋体" w:cs="宋体"/>
                <w:color w:val="auto"/>
                <w:sz w:val="18"/>
                <w:szCs w:val="21"/>
                <w:highlight w:val="none"/>
              </w:rPr>
            </w:pPr>
          </w:p>
        </w:tc>
        <w:tc>
          <w:tcPr>
            <w:tcW w:w="600" w:type="dxa"/>
            <w:noWrap w:val="0"/>
            <w:vAlign w:val="center"/>
          </w:tcPr>
          <w:p w14:paraId="145C58DD">
            <w:pPr>
              <w:shd w:val="clear" w:color="auto" w:fill="auto"/>
              <w:spacing w:line="36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是</w:t>
            </w:r>
          </w:p>
        </w:tc>
        <w:tc>
          <w:tcPr>
            <w:tcW w:w="543" w:type="dxa"/>
            <w:noWrap w:val="0"/>
            <w:vAlign w:val="center"/>
          </w:tcPr>
          <w:p w14:paraId="4A3D6589">
            <w:pPr>
              <w:shd w:val="clear" w:color="auto" w:fill="auto"/>
              <w:spacing w:line="36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否</w:t>
            </w:r>
          </w:p>
        </w:tc>
      </w:tr>
      <w:tr w14:paraId="10604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586" w:type="dxa"/>
            <w:vMerge w:val="restart"/>
            <w:noWrap w:val="0"/>
            <w:vAlign w:val="center"/>
          </w:tcPr>
          <w:p w14:paraId="4EFFD43A">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审</w:t>
            </w:r>
          </w:p>
          <w:p w14:paraId="38D5C368">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查</w:t>
            </w:r>
          </w:p>
          <w:p w14:paraId="727970E8">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标</w:t>
            </w:r>
          </w:p>
          <w:p w14:paraId="2C067055">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准</w:t>
            </w:r>
          </w:p>
          <w:p w14:paraId="14909830">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(适</w:t>
            </w:r>
          </w:p>
          <w:p w14:paraId="077E53B0">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用</w:t>
            </w:r>
          </w:p>
          <w:p w14:paraId="0BB7A255">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于</w:t>
            </w:r>
          </w:p>
          <w:p w14:paraId="0219AA74">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w:t>
            </w:r>
          </w:p>
          <w:p w14:paraId="0B494699">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格</w:t>
            </w:r>
          </w:p>
          <w:p w14:paraId="2BB600B7">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后</w:t>
            </w:r>
          </w:p>
          <w:p w14:paraId="714DFE16">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审)</w:t>
            </w:r>
          </w:p>
        </w:tc>
        <w:tc>
          <w:tcPr>
            <w:tcW w:w="425" w:type="dxa"/>
            <w:noWrap w:val="0"/>
            <w:vAlign w:val="center"/>
          </w:tcPr>
          <w:p w14:paraId="762468A6">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6837" w:type="dxa"/>
            <w:noWrap w:val="0"/>
            <w:vAlign w:val="center"/>
          </w:tcPr>
          <w:p w14:paraId="5BAC964F">
            <w:pPr>
              <w:tabs>
                <w:tab w:val="left" w:pos="720"/>
              </w:tabs>
              <w:spacing w:line="360" w:lineRule="auto"/>
              <w:jc w:val="left"/>
              <w:rPr>
                <w:rFonts w:hint="eastAsia" w:ascii="宋体" w:hAnsi="宋体" w:eastAsia="宋体" w:cs="宋体"/>
                <w:szCs w:val="21"/>
              </w:rPr>
            </w:pPr>
            <w:r>
              <w:rPr>
                <w:rFonts w:hint="eastAsia" w:ascii="仿宋" w:hAnsi="仿宋" w:eastAsia="仿宋" w:cs="仿宋"/>
                <w:i w:val="0"/>
                <w:iCs w:val="0"/>
                <w:caps w:val="0"/>
                <w:color w:val="000000"/>
                <w:spacing w:val="0"/>
                <w:sz w:val="22"/>
                <w:szCs w:val="22"/>
                <w:lang w:val="en-US" w:eastAsia="zh-CN"/>
              </w:rPr>
              <w:t>具有合格有效的营业执照</w:t>
            </w:r>
            <w:r>
              <w:rPr>
                <w:rFonts w:hint="eastAsia" w:ascii="宋体" w:hAnsi="宋体" w:eastAsia="宋体" w:cs="宋体"/>
                <w:i w:val="0"/>
                <w:iCs w:val="0"/>
                <w:color w:val="auto"/>
                <w:sz w:val="21"/>
                <w:szCs w:val="21"/>
                <w:lang w:val="en-US" w:eastAsia="zh-CN"/>
              </w:rPr>
              <w:t>。</w:t>
            </w:r>
          </w:p>
        </w:tc>
        <w:tc>
          <w:tcPr>
            <w:tcW w:w="600" w:type="dxa"/>
            <w:noWrap w:val="0"/>
            <w:vAlign w:val="top"/>
          </w:tcPr>
          <w:p w14:paraId="7D40C4B7">
            <w:pPr>
              <w:shd w:val="clear" w:color="auto" w:fill="auto"/>
              <w:spacing w:line="360" w:lineRule="auto"/>
              <w:rPr>
                <w:rFonts w:hint="eastAsia" w:ascii="宋体" w:hAnsi="宋体" w:eastAsia="宋体" w:cs="宋体"/>
                <w:color w:val="auto"/>
                <w:szCs w:val="21"/>
                <w:highlight w:val="none"/>
              </w:rPr>
            </w:pPr>
          </w:p>
        </w:tc>
        <w:tc>
          <w:tcPr>
            <w:tcW w:w="543" w:type="dxa"/>
            <w:noWrap w:val="0"/>
            <w:vAlign w:val="top"/>
          </w:tcPr>
          <w:p w14:paraId="4887C250">
            <w:pPr>
              <w:shd w:val="clear" w:color="auto" w:fill="auto"/>
              <w:spacing w:line="360" w:lineRule="auto"/>
              <w:rPr>
                <w:rFonts w:hint="eastAsia" w:ascii="宋体" w:hAnsi="宋体" w:eastAsia="宋体" w:cs="宋体"/>
                <w:color w:val="auto"/>
                <w:szCs w:val="21"/>
                <w:highlight w:val="none"/>
              </w:rPr>
            </w:pPr>
          </w:p>
        </w:tc>
      </w:tr>
      <w:tr w14:paraId="3F4C0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586" w:type="dxa"/>
            <w:vMerge w:val="continue"/>
            <w:noWrap w:val="0"/>
            <w:vAlign w:val="center"/>
          </w:tcPr>
          <w:p w14:paraId="78FF725E">
            <w:pPr>
              <w:shd w:val="clear" w:color="auto" w:fill="auto"/>
              <w:spacing w:line="360" w:lineRule="auto"/>
              <w:rPr>
                <w:rFonts w:hint="eastAsia" w:ascii="宋体" w:hAnsi="宋体" w:eastAsia="宋体" w:cs="宋体"/>
                <w:color w:val="auto"/>
                <w:highlight w:val="none"/>
              </w:rPr>
            </w:pPr>
          </w:p>
        </w:tc>
        <w:tc>
          <w:tcPr>
            <w:tcW w:w="425" w:type="dxa"/>
            <w:noWrap w:val="0"/>
            <w:vAlign w:val="center"/>
          </w:tcPr>
          <w:p w14:paraId="6731B9C7">
            <w:pPr>
              <w:tabs>
                <w:tab w:val="left" w:pos="720"/>
              </w:tabs>
              <w:spacing w:line="360" w:lineRule="auto"/>
              <w:jc w:val="left"/>
              <w:rPr>
                <w:rFonts w:hint="eastAsia" w:ascii="Times New Roman" w:hAnsi="Times New Roman" w:cs="宋体"/>
                <w:i w:val="0"/>
                <w:iCs w:val="0"/>
                <w:color w:val="auto"/>
                <w:sz w:val="21"/>
                <w:szCs w:val="21"/>
                <w:lang w:val="en-US" w:eastAsia="zh-CN"/>
              </w:rPr>
            </w:pPr>
            <w:r>
              <w:rPr>
                <w:rFonts w:hint="eastAsia" w:ascii="Times New Roman" w:hAnsi="Times New Roman" w:cs="宋体"/>
                <w:i w:val="0"/>
                <w:iCs w:val="0"/>
                <w:color w:val="auto"/>
                <w:sz w:val="21"/>
                <w:szCs w:val="21"/>
                <w:lang w:val="en-US" w:eastAsia="zh-CN"/>
              </w:rPr>
              <w:t>2</w:t>
            </w:r>
          </w:p>
        </w:tc>
        <w:tc>
          <w:tcPr>
            <w:tcW w:w="6837" w:type="dxa"/>
            <w:noWrap w:val="0"/>
            <w:vAlign w:val="center"/>
          </w:tcPr>
          <w:p w14:paraId="30E0C3F2">
            <w:pPr>
              <w:tabs>
                <w:tab w:val="left" w:pos="720"/>
              </w:tabs>
              <w:spacing w:line="360" w:lineRule="auto"/>
              <w:jc w:val="left"/>
              <w:rPr>
                <w:rFonts w:hint="eastAsia" w:ascii="Times New Roman" w:hAnsi="Times New Roman" w:cs="宋体"/>
                <w:i w:val="0"/>
                <w:iCs w:val="0"/>
                <w:color w:val="auto"/>
                <w:sz w:val="21"/>
                <w:szCs w:val="21"/>
                <w:lang w:val="en-US" w:eastAsia="zh-CN"/>
              </w:rPr>
            </w:pPr>
            <w:r>
              <w:rPr>
                <w:rFonts w:hint="eastAsia" w:ascii="仿宋" w:hAnsi="仿宋" w:eastAsia="仿宋" w:cs="仿宋"/>
                <w:i w:val="0"/>
                <w:iCs w:val="0"/>
                <w:caps w:val="0"/>
                <w:color w:val="000000"/>
                <w:spacing w:val="0"/>
                <w:sz w:val="22"/>
                <w:szCs w:val="22"/>
                <w:lang w:val="en-US" w:eastAsia="zh-CN"/>
              </w:rPr>
              <w:t>法定代表人投标需提供法定代表人资格证明书，委托代理人投标需提供法定代表人授权委托书及被授权在职人员近6个月内任意1个月有效的社保证明</w:t>
            </w:r>
            <w:r>
              <w:rPr>
                <w:rFonts w:hint="eastAsia" w:ascii="Times New Roman" w:hAnsi="Times New Roman" w:cs="宋体"/>
                <w:i w:val="0"/>
                <w:iCs w:val="0"/>
                <w:color w:val="auto"/>
                <w:sz w:val="21"/>
                <w:szCs w:val="21"/>
                <w:lang w:val="en-US" w:eastAsia="zh-CN"/>
              </w:rPr>
              <w:t>。</w:t>
            </w:r>
          </w:p>
        </w:tc>
        <w:tc>
          <w:tcPr>
            <w:tcW w:w="600" w:type="dxa"/>
            <w:noWrap w:val="0"/>
            <w:vAlign w:val="top"/>
          </w:tcPr>
          <w:p w14:paraId="1B90061D">
            <w:pPr>
              <w:shd w:val="clear" w:color="auto" w:fill="auto"/>
              <w:spacing w:line="360" w:lineRule="auto"/>
              <w:rPr>
                <w:rFonts w:hint="eastAsia" w:ascii="宋体" w:hAnsi="宋体" w:eastAsia="宋体" w:cs="宋体"/>
                <w:color w:val="auto"/>
                <w:szCs w:val="21"/>
                <w:highlight w:val="none"/>
              </w:rPr>
            </w:pPr>
          </w:p>
        </w:tc>
        <w:tc>
          <w:tcPr>
            <w:tcW w:w="543" w:type="dxa"/>
            <w:noWrap w:val="0"/>
            <w:vAlign w:val="top"/>
          </w:tcPr>
          <w:p w14:paraId="18E75777">
            <w:pPr>
              <w:shd w:val="clear" w:color="auto" w:fill="auto"/>
              <w:spacing w:line="360" w:lineRule="auto"/>
              <w:rPr>
                <w:rFonts w:hint="eastAsia" w:ascii="宋体" w:hAnsi="宋体" w:eastAsia="宋体" w:cs="宋体"/>
                <w:color w:val="auto"/>
                <w:szCs w:val="21"/>
                <w:highlight w:val="none"/>
              </w:rPr>
            </w:pPr>
          </w:p>
        </w:tc>
      </w:tr>
      <w:tr w14:paraId="77C92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586" w:type="dxa"/>
            <w:vMerge w:val="continue"/>
            <w:noWrap w:val="0"/>
            <w:vAlign w:val="center"/>
          </w:tcPr>
          <w:p w14:paraId="295D68DF">
            <w:pPr>
              <w:shd w:val="clear" w:color="auto" w:fill="auto"/>
              <w:spacing w:line="360" w:lineRule="auto"/>
              <w:rPr>
                <w:rFonts w:hint="eastAsia" w:ascii="宋体" w:hAnsi="宋体" w:eastAsia="宋体" w:cs="宋体"/>
                <w:color w:val="auto"/>
                <w:highlight w:val="none"/>
              </w:rPr>
            </w:pPr>
          </w:p>
        </w:tc>
        <w:tc>
          <w:tcPr>
            <w:tcW w:w="425" w:type="dxa"/>
            <w:noWrap w:val="0"/>
            <w:vAlign w:val="center"/>
          </w:tcPr>
          <w:p w14:paraId="517CCF64">
            <w:pPr>
              <w:tabs>
                <w:tab w:val="left" w:pos="720"/>
              </w:tabs>
              <w:spacing w:line="360" w:lineRule="auto"/>
              <w:jc w:val="left"/>
              <w:rPr>
                <w:rFonts w:hint="eastAsia" w:ascii="Times New Roman" w:hAnsi="Times New Roman" w:cs="宋体"/>
                <w:i w:val="0"/>
                <w:iCs w:val="0"/>
                <w:color w:val="auto"/>
                <w:sz w:val="21"/>
                <w:szCs w:val="21"/>
                <w:lang w:val="en-US" w:eastAsia="zh-CN"/>
              </w:rPr>
            </w:pPr>
            <w:r>
              <w:rPr>
                <w:rFonts w:hint="eastAsia" w:ascii="Times New Roman" w:hAnsi="Times New Roman" w:cs="宋体"/>
                <w:i w:val="0"/>
                <w:iCs w:val="0"/>
                <w:color w:val="auto"/>
                <w:sz w:val="21"/>
                <w:szCs w:val="21"/>
                <w:lang w:val="en-US" w:eastAsia="zh-CN"/>
              </w:rPr>
              <w:t>3</w:t>
            </w:r>
          </w:p>
        </w:tc>
        <w:tc>
          <w:tcPr>
            <w:tcW w:w="6837" w:type="dxa"/>
            <w:noWrap w:val="0"/>
            <w:vAlign w:val="center"/>
          </w:tcPr>
          <w:p w14:paraId="372F9A63">
            <w:pPr>
              <w:tabs>
                <w:tab w:val="left" w:pos="720"/>
              </w:tabs>
              <w:spacing w:line="360" w:lineRule="auto"/>
              <w:jc w:val="left"/>
              <w:rPr>
                <w:rFonts w:hint="eastAsia" w:ascii="宋体" w:hAnsi="宋体" w:eastAsia="宋体" w:cs="宋体"/>
                <w:bCs/>
                <w:i w:val="0"/>
                <w:iCs w:val="0"/>
                <w:color w:val="auto"/>
                <w:kern w:val="2"/>
                <w:sz w:val="21"/>
                <w:szCs w:val="21"/>
                <w:lang w:val="en-US" w:eastAsia="zh-CN" w:bidi="ar-SA"/>
              </w:rPr>
            </w:pPr>
            <w:r>
              <w:rPr>
                <w:rFonts w:hint="eastAsia" w:ascii="仿宋" w:hAnsi="仿宋" w:eastAsia="仿宋" w:cs="仿宋"/>
                <w:i w:val="0"/>
                <w:iCs w:val="0"/>
                <w:caps w:val="0"/>
                <w:color w:val="000000"/>
                <w:spacing w:val="0"/>
                <w:sz w:val="22"/>
                <w:szCs w:val="22"/>
                <w:lang w:val="en-US" w:eastAsia="zh-CN"/>
              </w:rPr>
              <w:t>在“信用中国”及“中国政府采购网”网站上未被列入失信被执行人、重大税收违法案件当事人名单以及政府采购严重违法失信行为记录名单的投标企业</w:t>
            </w:r>
            <w:r>
              <w:rPr>
                <w:rFonts w:hint="eastAsia" w:ascii="宋体" w:hAnsi="宋体" w:eastAsia="宋体" w:cs="宋体"/>
                <w:bCs/>
                <w:i w:val="0"/>
                <w:iCs w:val="0"/>
                <w:color w:val="auto"/>
                <w:kern w:val="2"/>
                <w:sz w:val="21"/>
                <w:szCs w:val="21"/>
                <w:lang w:val="en-US" w:eastAsia="zh-CN" w:bidi="ar-SA"/>
              </w:rPr>
              <w:t>。</w:t>
            </w:r>
          </w:p>
        </w:tc>
        <w:tc>
          <w:tcPr>
            <w:tcW w:w="600" w:type="dxa"/>
            <w:noWrap w:val="0"/>
            <w:vAlign w:val="top"/>
          </w:tcPr>
          <w:p w14:paraId="6FF9B842">
            <w:pPr>
              <w:shd w:val="clear" w:color="auto" w:fill="auto"/>
              <w:spacing w:line="360" w:lineRule="auto"/>
              <w:rPr>
                <w:rFonts w:hint="eastAsia" w:ascii="宋体" w:hAnsi="宋体" w:eastAsia="宋体" w:cs="宋体"/>
                <w:color w:val="auto"/>
                <w:szCs w:val="21"/>
                <w:highlight w:val="none"/>
              </w:rPr>
            </w:pPr>
          </w:p>
        </w:tc>
        <w:tc>
          <w:tcPr>
            <w:tcW w:w="543" w:type="dxa"/>
            <w:noWrap w:val="0"/>
            <w:vAlign w:val="top"/>
          </w:tcPr>
          <w:p w14:paraId="47425F4E">
            <w:pPr>
              <w:shd w:val="clear" w:color="auto" w:fill="auto"/>
              <w:spacing w:line="360" w:lineRule="auto"/>
              <w:rPr>
                <w:rFonts w:hint="eastAsia" w:ascii="宋体" w:hAnsi="宋体" w:eastAsia="宋体" w:cs="宋体"/>
                <w:color w:val="auto"/>
                <w:szCs w:val="21"/>
                <w:highlight w:val="none"/>
              </w:rPr>
            </w:pPr>
          </w:p>
        </w:tc>
      </w:tr>
      <w:tr w14:paraId="5B6A1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86" w:type="dxa"/>
            <w:vMerge w:val="continue"/>
            <w:noWrap w:val="0"/>
            <w:vAlign w:val="center"/>
          </w:tcPr>
          <w:p w14:paraId="0A69DC43">
            <w:pPr>
              <w:shd w:val="clear" w:color="auto" w:fill="auto"/>
              <w:spacing w:line="360" w:lineRule="auto"/>
              <w:jc w:val="center"/>
              <w:rPr>
                <w:rFonts w:hint="eastAsia" w:ascii="宋体" w:hAnsi="宋体" w:eastAsia="宋体" w:cs="宋体"/>
                <w:color w:val="auto"/>
                <w:szCs w:val="21"/>
                <w:highlight w:val="none"/>
              </w:rPr>
            </w:pPr>
          </w:p>
        </w:tc>
        <w:tc>
          <w:tcPr>
            <w:tcW w:w="425" w:type="dxa"/>
            <w:noWrap w:val="0"/>
            <w:vAlign w:val="top"/>
          </w:tcPr>
          <w:p w14:paraId="7D57E76B">
            <w:pPr>
              <w:shd w:val="clear" w:color="auto" w:fill="auto"/>
              <w:spacing w:line="360" w:lineRule="auto"/>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p>
        </w:tc>
        <w:tc>
          <w:tcPr>
            <w:tcW w:w="6837" w:type="dxa"/>
            <w:noWrap w:val="0"/>
            <w:vAlign w:val="top"/>
          </w:tcPr>
          <w:p w14:paraId="7E007B45">
            <w:pPr>
              <w:pStyle w:val="25"/>
              <w:keepNext w:val="0"/>
              <w:keepLines w:val="0"/>
              <w:pageBreakBefore w:val="0"/>
              <w:widowControl/>
              <w:suppressLineNumbers w:val="0"/>
              <w:kinsoku/>
              <w:wordWrap/>
              <w:overflowPunct/>
              <w:topLinePunct w:val="0"/>
              <w:autoSpaceDE/>
              <w:autoSpaceDN/>
              <w:bidi w:val="0"/>
              <w:adjustRightInd/>
              <w:snapToGrid/>
              <w:spacing w:before="204" w:beforeAutospacing="0" w:after="204" w:afterAutospacing="0" w:line="440" w:lineRule="exact"/>
              <w:ind w:right="0"/>
              <w:jc w:val="both"/>
              <w:textAlignment w:val="auto"/>
              <w:rPr>
                <w:rFonts w:hint="eastAsia" w:ascii="宋体" w:hAnsi="宋体" w:eastAsia="宋体" w:cs="宋体"/>
                <w:bCs/>
                <w:i w:val="0"/>
                <w:iCs w:val="0"/>
                <w:color w:val="auto"/>
                <w:kern w:val="2"/>
                <w:sz w:val="21"/>
                <w:szCs w:val="21"/>
                <w:lang w:val="en-US" w:eastAsia="zh-CN" w:bidi="ar-SA"/>
              </w:rPr>
            </w:pPr>
            <w:r>
              <w:rPr>
                <w:rFonts w:hint="eastAsia" w:ascii="仿宋" w:hAnsi="仿宋" w:eastAsia="仿宋" w:cs="仿宋"/>
                <w:i w:val="0"/>
                <w:iCs w:val="0"/>
                <w:caps w:val="0"/>
                <w:color w:val="000000"/>
                <w:spacing w:val="0"/>
                <w:sz w:val="22"/>
                <w:szCs w:val="22"/>
                <w:lang w:val="en-US" w:eastAsia="zh-CN"/>
              </w:rPr>
              <w:t>供应商须同时具有《劳务派遣经营许可证》和《人力资源服务许可证》</w:t>
            </w:r>
          </w:p>
        </w:tc>
        <w:tc>
          <w:tcPr>
            <w:tcW w:w="600" w:type="dxa"/>
            <w:noWrap w:val="0"/>
            <w:vAlign w:val="top"/>
          </w:tcPr>
          <w:p w14:paraId="6C89FCF5">
            <w:pPr>
              <w:shd w:val="clear" w:color="auto" w:fill="auto"/>
              <w:spacing w:line="360" w:lineRule="auto"/>
              <w:rPr>
                <w:rFonts w:hint="eastAsia" w:ascii="宋体" w:hAnsi="宋体" w:eastAsia="宋体" w:cs="宋体"/>
                <w:color w:val="auto"/>
                <w:szCs w:val="21"/>
                <w:highlight w:val="none"/>
              </w:rPr>
            </w:pPr>
          </w:p>
        </w:tc>
        <w:tc>
          <w:tcPr>
            <w:tcW w:w="543" w:type="dxa"/>
            <w:noWrap w:val="0"/>
            <w:vAlign w:val="top"/>
          </w:tcPr>
          <w:p w14:paraId="51F9C563">
            <w:pPr>
              <w:shd w:val="clear" w:color="auto" w:fill="auto"/>
              <w:spacing w:line="360" w:lineRule="auto"/>
              <w:rPr>
                <w:rFonts w:hint="eastAsia" w:ascii="宋体" w:hAnsi="宋体" w:eastAsia="宋体" w:cs="宋体"/>
                <w:color w:val="auto"/>
                <w:szCs w:val="21"/>
                <w:highlight w:val="none"/>
              </w:rPr>
            </w:pPr>
          </w:p>
        </w:tc>
      </w:tr>
      <w:tr w14:paraId="3DE2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86" w:type="dxa"/>
            <w:vMerge w:val="continue"/>
            <w:noWrap w:val="0"/>
            <w:vAlign w:val="center"/>
          </w:tcPr>
          <w:p w14:paraId="1ED6BDE9">
            <w:pPr>
              <w:shd w:val="clear" w:color="auto" w:fill="auto"/>
              <w:spacing w:line="360" w:lineRule="auto"/>
              <w:jc w:val="center"/>
              <w:rPr>
                <w:rFonts w:hint="eastAsia" w:ascii="宋体" w:hAnsi="宋体" w:eastAsia="宋体" w:cs="宋体"/>
                <w:color w:val="auto"/>
                <w:szCs w:val="21"/>
                <w:highlight w:val="none"/>
              </w:rPr>
            </w:pPr>
          </w:p>
        </w:tc>
        <w:tc>
          <w:tcPr>
            <w:tcW w:w="425" w:type="dxa"/>
            <w:noWrap w:val="0"/>
            <w:vAlign w:val="top"/>
          </w:tcPr>
          <w:p w14:paraId="75C16DB5">
            <w:pPr>
              <w:shd w:val="clear" w:color="auto" w:fill="auto"/>
              <w:spacing w:line="360" w:lineRule="auto"/>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5</w:t>
            </w:r>
          </w:p>
        </w:tc>
        <w:tc>
          <w:tcPr>
            <w:tcW w:w="6837" w:type="dxa"/>
            <w:noWrap w:val="0"/>
            <w:vAlign w:val="top"/>
          </w:tcPr>
          <w:p w14:paraId="1C8CDBB9">
            <w:pPr>
              <w:tabs>
                <w:tab w:val="left" w:pos="720"/>
              </w:tabs>
              <w:spacing w:line="360" w:lineRule="auto"/>
              <w:jc w:val="left"/>
              <w:rPr>
                <w:rFonts w:hint="eastAsia" w:ascii="仿宋" w:hAnsi="仿宋" w:eastAsia="仿宋" w:cs="仿宋"/>
                <w:i w:val="0"/>
                <w:iCs w:val="0"/>
                <w:caps w:val="0"/>
                <w:color w:val="000000"/>
                <w:spacing w:val="0"/>
                <w:kern w:val="0"/>
                <w:sz w:val="22"/>
                <w:szCs w:val="22"/>
                <w:lang w:val="en-US" w:eastAsia="zh-CN" w:bidi="ar-SA"/>
              </w:rPr>
            </w:pPr>
            <w:r>
              <w:rPr>
                <w:rFonts w:hint="eastAsia" w:ascii="仿宋" w:hAnsi="仿宋" w:eastAsia="仿宋" w:cs="仿宋"/>
                <w:i w:val="0"/>
                <w:iCs w:val="0"/>
                <w:caps w:val="0"/>
                <w:color w:val="000000"/>
                <w:spacing w:val="0"/>
                <w:kern w:val="0"/>
                <w:sz w:val="22"/>
                <w:szCs w:val="22"/>
                <w:lang w:val="en-US" w:eastAsia="zh-CN" w:bidi="ar-SA"/>
              </w:rPr>
              <w:t>投标保证金汇款凭证或保函等票据</w:t>
            </w:r>
          </w:p>
        </w:tc>
        <w:tc>
          <w:tcPr>
            <w:tcW w:w="600" w:type="dxa"/>
            <w:noWrap w:val="0"/>
            <w:vAlign w:val="top"/>
          </w:tcPr>
          <w:p w14:paraId="1CB97C49">
            <w:pPr>
              <w:shd w:val="clear" w:color="auto" w:fill="auto"/>
              <w:spacing w:line="360" w:lineRule="auto"/>
              <w:rPr>
                <w:rFonts w:hint="eastAsia" w:ascii="宋体" w:hAnsi="宋体" w:eastAsia="宋体" w:cs="宋体"/>
                <w:color w:val="auto"/>
                <w:szCs w:val="21"/>
                <w:highlight w:val="none"/>
              </w:rPr>
            </w:pPr>
          </w:p>
        </w:tc>
        <w:tc>
          <w:tcPr>
            <w:tcW w:w="543" w:type="dxa"/>
            <w:noWrap w:val="0"/>
            <w:vAlign w:val="top"/>
          </w:tcPr>
          <w:p w14:paraId="2F286519">
            <w:pPr>
              <w:shd w:val="clear" w:color="auto" w:fill="auto"/>
              <w:spacing w:line="360" w:lineRule="auto"/>
              <w:rPr>
                <w:rFonts w:hint="eastAsia" w:ascii="宋体" w:hAnsi="宋体" w:eastAsia="宋体" w:cs="宋体"/>
                <w:color w:val="auto"/>
                <w:szCs w:val="21"/>
                <w:highlight w:val="none"/>
              </w:rPr>
            </w:pPr>
          </w:p>
        </w:tc>
      </w:tr>
      <w:tr w14:paraId="67D28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86" w:type="dxa"/>
            <w:vMerge w:val="continue"/>
            <w:noWrap w:val="0"/>
            <w:vAlign w:val="center"/>
          </w:tcPr>
          <w:p w14:paraId="4FC58827">
            <w:pPr>
              <w:shd w:val="clear" w:color="auto" w:fill="auto"/>
              <w:spacing w:line="360" w:lineRule="auto"/>
              <w:jc w:val="center"/>
              <w:rPr>
                <w:rFonts w:hint="eastAsia" w:ascii="宋体" w:hAnsi="宋体" w:eastAsia="宋体" w:cs="宋体"/>
                <w:color w:val="auto"/>
                <w:szCs w:val="21"/>
                <w:highlight w:val="none"/>
              </w:rPr>
            </w:pPr>
          </w:p>
        </w:tc>
        <w:tc>
          <w:tcPr>
            <w:tcW w:w="425" w:type="dxa"/>
            <w:noWrap w:val="0"/>
            <w:vAlign w:val="top"/>
          </w:tcPr>
          <w:p w14:paraId="52E12AD9">
            <w:pPr>
              <w:shd w:val="clear" w:color="auto" w:fill="auto"/>
              <w:spacing w:line="360" w:lineRule="auto"/>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6</w:t>
            </w:r>
          </w:p>
        </w:tc>
        <w:tc>
          <w:tcPr>
            <w:tcW w:w="6837" w:type="dxa"/>
            <w:noWrap w:val="0"/>
            <w:vAlign w:val="top"/>
          </w:tcPr>
          <w:p w14:paraId="354E093B">
            <w:pPr>
              <w:tabs>
                <w:tab w:val="left" w:pos="720"/>
              </w:tabs>
              <w:spacing w:line="360" w:lineRule="auto"/>
              <w:jc w:val="left"/>
              <w:rPr>
                <w:rFonts w:hint="eastAsia" w:ascii="仿宋" w:hAnsi="仿宋" w:eastAsia="仿宋" w:cs="仿宋"/>
                <w:i w:val="0"/>
                <w:iCs w:val="0"/>
                <w:caps w:val="0"/>
                <w:color w:val="000000"/>
                <w:spacing w:val="0"/>
                <w:kern w:val="0"/>
                <w:sz w:val="22"/>
                <w:szCs w:val="22"/>
                <w:lang w:val="en-US" w:eastAsia="zh-CN" w:bidi="ar-SA"/>
              </w:rPr>
            </w:pPr>
            <w:r>
              <w:rPr>
                <w:rFonts w:hint="eastAsia" w:ascii="仿宋" w:hAnsi="仿宋" w:eastAsia="仿宋" w:cs="仿宋"/>
                <w:i w:val="0"/>
                <w:iCs w:val="0"/>
                <w:caps w:val="0"/>
                <w:color w:val="000000"/>
                <w:spacing w:val="0"/>
                <w:kern w:val="0"/>
                <w:sz w:val="22"/>
                <w:szCs w:val="22"/>
                <w:lang w:val="en-US" w:eastAsia="zh-CN" w:bidi="ar-SA"/>
              </w:rPr>
              <w:t>提供本次投标中小企业的《中小企业声明函》</w:t>
            </w:r>
          </w:p>
        </w:tc>
        <w:tc>
          <w:tcPr>
            <w:tcW w:w="1143" w:type="dxa"/>
            <w:gridSpan w:val="2"/>
            <w:noWrap w:val="0"/>
            <w:vAlign w:val="top"/>
          </w:tcPr>
          <w:p w14:paraId="41C3364F">
            <w:pPr>
              <w:shd w:val="clear" w:color="auto" w:fill="auto"/>
              <w:spacing w:line="360" w:lineRule="auto"/>
              <w:rPr>
                <w:rFonts w:hint="eastAsia" w:ascii="宋体" w:hAnsi="宋体" w:eastAsia="宋体" w:cs="宋体"/>
                <w:color w:val="auto"/>
                <w:szCs w:val="21"/>
                <w:highlight w:val="none"/>
              </w:rPr>
            </w:pPr>
          </w:p>
        </w:tc>
      </w:tr>
      <w:tr w14:paraId="7BBD5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86" w:type="dxa"/>
            <w:noWrap w:val="0"/>
            <w:vAlign w:val="center"/>
          </w:tcPr>
          <w:p w14:paraId="28F5B1B8">
            <w:pPr>
              <w:shd w:val="clear" w:color="auto" w:fill="auto"/>
              <w:spacing w:line="360" w:lineRule="auto"/>
              <w:jc w:val="center"/>
              <w:rPr>
                <w:rFonts w:hint="eastAsia" w:ascii="宋体" w:hAnsi="宋体" w:eastAsia="宋体" w:cs="宋体"/>
                <w:color w:val="auto"/>
                <w:szCs w:val="21"/>
                <w:highlight w:val="none"/>
              </w:rPr>
            </w:pPr>
          </w:p>
        </w:tc>
        <w:tc>
          <w:tcPr>
            <w:tcW w:w="425" w:type="dxa"/>
            <w:noWrap w:val="0"/>
            <w:vAlign w:val="top"/>
          </w:tcPr>
          <w:p w14:paraId="08B828A1">
            <w:pPr>
              <w:shd w:val="clear" w:color="auto" w:fill="auto"/>
              <w:spacing w:line="360" w:lineRule="auto"/>
              <w:rPr>
                <w:rFonts w:hint="eastAsia" w:ascii="宋体" w:hAnsi="宋体" w:eastAsia="宋体" w:cs="宋体"/>
                <w:color w:val="auto"/>
                <w:szCs w:val="21"/>
                <w:highlight w:val="none"/>
              </w:rPr>
            </w:pPr>
          </w:p>
        </w:tc>
        <w:tc>
          <w:tcPr>
            <w:tcW w:w="6837" w:type="dxa"/>
            <w:noWrap w:val="0"/>
            <w:vAlign w:val="top"/>
          </w:tcPr>
          <w:p w14:paraId="7D29DF06">
            <w:pPr>
              <w:tabs>
                <w:tab w:val="left" w:pos="720"/>
              </w:tabs>
              <w:spacing w:line="360" w:lineRule="auto"/>
              <w:jc w:val="left"/>
              <w:rPr>
                <w:rFonts w:hint="eastAsia" w:ascii="仿宋" w:hAnsi="仿宋" w:eastAsia="仿宋" w:cs="仿宋"/>
                <w:i w:val="0"/>
                <w:iCs w:val="0"/>
                <w:caps w:val="0"/>
                <w:color w:val="000000"/>
                <w:spacing w:val="0"/>
                <w:kern w:val="0"/>
                <w:sz w:val="22"/>
                <w:szCs w:val="22"/>
                <w:lang w:val="en-US" w:eastAsia="zh-CN" w:bidi="ar-SA"/>
              </w:rPr>
            </w:pPr>
            <w:r>
              <w:rPr>
                <w:rFonts w:hint="eastAsia" w:ascii="仿宋" w:hAnsi="仿宋" w:eastAsia="仿宋" w:cs="仿宋"/>
                <w:i w:val="0"/>
                <w:iCs w:val="0"/>
                <w:caps w:val="0"/>
                <w:color w:val="000000"/>
                <w:spacing w:val="0"/>
                <w:kern w:val="0"/>
                <w:sz w:val="22"/>
                <w:szCs w:val="22"/>
                <w:lang w:val="en-US" w:eastAsia="zh-CN" w:bidi="ar-SA"/>
              </w:rPr>
              <w:t>结论：是否通过评审（须填写通过或不通过）</w:t>
            </w:r>
          </w:p>
          <w:p w14:paraId="665E3320">
            <w:pPr>
              <w:tabs>
                <w:tab w:val="left" w:pos="720"/>
              </w:tabs>
              <w:spacing w:line="360" w:lineRule="auto"/>
              <w:jc w:val="left"/>
              <w:rPr>
                <w:rFonts w:hint="eastAsia" w:ascii="仿宋" w:hAnsi="仿宋" w:eastAsia="仿宋" w:cs="仿宋"/>
                <w:i w:val="0"/>
                <w:iCs w:val="0"/>
                <w:caps w:val="0"/>
                <w:color w:val="000000"/>
                <w:spacing w:val="0"/>
                <w:kern w:val="0"/>
                <w:sz w:val="22"/>
                <w:szCs w:val="22"/>
                <w:lang w:val="en-US" w:eastAsia="zh-CN" w:bidi="ar-SA"/>
              </w:rPr>
            </w:pPr>
            <w:r>
              <w:rPr>
                <w:rFonts w:hint="eastAsia" w:ascii="仿宋" w:hAnsi="仿宋" w:eastAsia="仿宋" w:cs="仿宋"/>
                <w:i w:val="0"/>
                <w:iCs w:val="0"/>
                <w:caps w:val="0"/>
                <w:color w:val="000000"/>
                <w:spacing w:val="0"/>
                <w:kern w:val="0"/>
                <w:sz w:val="22"/>
                <w:szCs w:val="22"/>
                <w:lang w:val="en-US" w:eastAsia="zh-CN" w:bidi="ar-SA"/>
              </w:rPr>
              <w:t>注：如有一项不合格，作废标处理。</w:t>
            </w:r>
          </w:p>
        </w:tc>
        <w:tc>
          <w:tcPr>
            <w:tcW w:w="1143" w:type="dxa"/>
            <w:gridSpan w:val="2"/>
            <w:noWrap w:val="0"/>
            <w:vAlign w:val="top"/>
          </w:tcPr>
          <w:p w14:paraId="4322CB09">
            <w:pPr>
              <w:shd w:val="clear" w:color="auto" w:fill="auto"/>
              <w:spacing w:line="360" w:lineRule="auto"/>
              <w:rPr>
                <w:rFonts w:hint="eastAsia" w:ascii="宋体" w:hAnsi="宋体" w:eastAsia="宋体" w:cs="宋体"/>
                <w:color w:val="auto"/>
                <w:szCs w:val="21"/>
                <w:highlight w:val="none"/>
              </w:rPr>
            </w:pPr>
          </w:p>
        </w:tc>
      </w:tr>
    </w:tbl>
    <w:p w14:paraId="1F5F24BE">
      <w:pPr>
        <w:shd w:val="clear" w:color="auto" w:fill="auto"/>
        <w:spacing w:before="156" w:beforeLines="50" w:line="440" w:lineRule="exact"/>
        <w:ind w:firstLine="283" w:firstLineChars="100"/>
        <w:rPr>
          <w:rFonts w:hint="eastAsia" w:ascii="宋体" w:hAnsi="宋体"/>
          <w:b/>
          <w:color w:val="auto"/>
          <w:szCs w:val="21"/>
          <w:highlight w:val="none"/>
        </w:rPr>
      </w:pPr>
      <w:r>
        <w:rPr>
          <w:rFonts w:hint="eastAsia" w:ascii="宋体" w:hAnsi="宋体"/>
          <w:b/>
          <w:color w:val="auto"/>
          <w:sz w:val="28"/>
          <w:szCs w:val="28"/>
          <w:highlight w:val="none"/>
          <w:lang w:val="en-US" w:eastAsia="zh-CN"/>
        </w:rPr>
        <w:t>6</w:t>
      </w:r>
      <w:r>
        <w:rPr>
          <w:rFonts w:hint="eastAsia" w:ascii="宋体" w:hAnsi="宋体"/>
          <w:b/>
          <w:color w:val="auto"/>
          <w:sz w:val="28"/>
          <w:szCs w:val="28"/>
          <w:highlight w:val="none"/>
        </w:rPr>
        <w:t>.2</w:t>
      </w:r>
      <w:r>
        <w:rPr>
          <w:rFonts w:hint="eastAsia" w:ascii="宋体" w:hAnsi="宋体" w:cs="宋体"/>
          <w:b/>
          <w:color w:val="0000FF"/>
          <w:sz w:val="28"/>
          <w:szCs w:val="28"/>
          <w:highlight w:val="none"/>
          <w:lang w:val="en-US" w:eastAsia="zh-CN"/>
        </w:rPr>
        <w:t>注意：资格证明文件上传过程中，请投标人按照上述要求逐一上传资格性证明文件，</w:t>
      </w:r>
      <w:r>
        <w:rPr>
          <w:rFonts w:hint="eastAsia" w:ascii="宋体" w:hAnsi="宋体" w:eastAsia="宋体" w:cs="宋体"/>
          <w:b/>
          <w:color w:val="0000FF"/>
          <w:sz w:val="28"/>
          <w:szCs w:val="28"/>
          <w:highlight w:val="none"/>
        </w:rPr>
        <w:t>如</w:t>
      </w:r>
      <w:r>
        <w:rPr>
          <w:rFonts w:hint="eastAsia" w:ascii="宋体" w:hAnsi="宋体" w:cs="宋体"/>
          <w:b/>
          <w:color w:val="0000FF"/>
          <w:sz w:val="28"/>
          <w:szCs w:val="28"/>
          <w:highlight w:val="none"/>
          <w:lang w:val="en-US" w:eastAsia="zh-CN"/>
        </w:rPr>
        <w:t>资格审查小组</w:t>
      </w:r>
      <w:r>
        <w:rPr>
          <w:rFonts w:hint="eastAsia" w:ascii="宋体" w:hAnsi="宋体" w:eastAsia="宋体" w:cs="宋体"/>
          <w:b/>
          <w:color w:val="0000FF"/>
          <w:sz w:val="28"/>
          <w:szCs w:val="28"/>
          <w:highlight w:val="none"/>
        </w:rPr>
        <w:t>在检验电子标书</w:t>
      </w:r>
      <w:r>
        <w:rPr>
          <w:rFonts w:hint="eastAsia" w:ascii="宋体" w:hAnsi="宋体" w:cs="宋体"/>
          <w:b/>
          <w:color w:val="0000FF"/>
          <w:sz w:val="28"/>
          <w:szCs w:val="28"/>
          <w:highlight w:val="none"/>
          <w:lang w:eastAsia="zh-CN"/>
        </w:rPr>
        <w:t>（</w:t>
      </w:r>
      <w:r>
        <w:rPr>
          <w:rFonts w:hint="eastAsia" w:ascii="宋体" w:hAnsi="宋体" w:cs="宋体"/>
          <w:b/>
          <w:color w:val="0000FF"/>
          <w:sz w:val="28"/>
          <w:szCs w:val="28"/>
          <w:highlight w:val="none"/>
          <w:lang w:val="en-US" w:eastAsia="zh-CN"/>
        </w:rPr>
        <w:t>资格性审查</w:t>
      </w:r>
      <w:r>
        <w:rPr>
          <w:rFonts w:hint="eastAsia" w:ascii="宋体" w:hAnsi="宋体" w:cs="宋体"/>
          <w:b/>
          <w:color w:val="0000FF"/>
          <w:sz w:val="28"/>
          <w:szCs w:val="28"/>
          <w:highlight w:val="none"/>
          <w:lang w:eastAsia="zh-CN"/>
        </w:rPr>
        <w:t>）</w:t>
      </w:r>
      <w:r>
        <w:rPr>
          <w:rFonts w:hint="eastAsia" w:ascii="宋体" w:hAnsi="宋体" w:eastAsia="宋体" w:cs="宋体"/>
          <w:b/>
          <w:color w:val="0000FF"/>
          <w:sz w:val="28"/>
          <w:szCs w:val="28"/>
          <w:highlight w:val="none"/>
        </w:rPr>
        <w:t>过程中，由于投标人自身原因导致</w:t>
      </w:r>
      <w:r>
        <w:rPr>
          <w:rFonts w:hint="eastAsia" w:ascii="宋体" w:hAnsi="宋体" w:cs="宋体"/>
          <w:b/>
          <w:color w:val="0000FF"/>
          <w:sz w:val="28"/>
          <w:szCs w:val="28"/>
          <w:highlight w:val="none"/>
          <w:lang w:val="en-US" w:eastAsia="zh-CN"/>
        </w:rPr>
        <w:t>资格审查小组</w:t>
      </w:r>
      <w:r>
        <w:rPr>
          <w:rFonts w:hint="eastAsia" w:ascii="宋体" w:hAnsi="宋体" w:eastAsia="宋体" w:cs="宋体"/>
          <w:b/>
          <w:color w:val="0000FF"/>
          <w:sz w:val="28"/>
          <w:szCs w:val="28"/>
          <w:highlight w:val="none"/>
        </w:rPr>
        <w:t>无法查看并检验电子标书中以上相关资料的，否决其投标。</w:t>
      </w:r>
    </w:p>
    <w:p w14:paraId="22A848D6">
      <w:pPr>
        <w:shd w:val="clear" w:color="auto" w:fill="auto"/>
        <w:spacing w:before="156" w:beforeLines="50" w:line="440" w:lineRule="exact"/>
        <w:ind w:firstLine="213" w:firstLineChars="100"/>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lang w:val="en-US" w:eastAsia="zh-CN"/>
        </w:rPr>
        <w:t>7</w:t>
      </w:r>
      <w:r>
        <w:rPr>
          <w:rFonts w:hint="eastAsia" w:asciiTheme="majorEastAsia" w:hAnsiTheme="majorEastAsia" w:eastAsiaTheme="majorEastAsia" w:cstheme="majorEastAsia"/>
          <w:b/>
          <w:color w:val="auto"/>
          <w:szCs w:val="21"/>
          <w:highlight w:val="none"/>
        </w:rPr>
        <w:t>.符合性审查</w:t>
      </w:r>
    </w:p>
    <w:p w14:paraId="620CD758">
      <w:pPr>
        <w:shd w:val="clear" w:color="auto" w:fill="auto"/>
        <w:spacing w:line="440" w:lineRule="exact"/>
        <w:ind w:firstLine="213" w:firstLineChars="100"/>
        <w:rPr>
          <w:rFonts w:hint="default" w:eastAsia="宋体"/>
          <w:lang w:val="en-US" w:eastAsia="zh-CN"/>
        </w:rPr>
      </w:pPr>
      <w:r>
        <w:rPr>
          <w:rFonts w:hint="eastAsia" w:ascii="宋体"/>
          <w:color w:val="auto"/>
          <w:szCs w:val="21"/>
          <w:highlight w:val="none"/>
          <w:lang w:val="en-US" w:eastAsia="zh-CN"/>
        </w:rPr>
        <w:t>7</w:t>
      </w:r>
      <w:r>
        <w:rPr>
          <w:rFonts w:hint="eastAsia" w:ascii="宋体"/>
          <w:color w:val="auto"/>
          <w:szCs w:val="21"/>
          <w:highlight w:val="none"/>
        </w:rPr>
        <w:t>．1评审细则</w:t>
      </w:r>
      <w:r>
        <w:rPr>
          <w:rFonts w:hint="eastAsia" w:ascii="宋体"/>
          <w:color w:val="auto"/>
          <w:szCs w:val="21"/>
          <w:highlight w:val="none"/>
          <w:lang w:val="en-US" w:eastAsia="zh-CN"/>
        </w:rPr>
        <w:t xml:space="preserve">  </w:t>
      </w:r>
      <w:r>
        <w:rPr>
          <w:rFonts w:hint="eastAsia"/>
          <w:color w:val="auto"/>
          <w:szCs w:val="21"/>
          <w:highlight w:val="none"/>
          <w:lang w:val="en-US" w:eastAsia="zh-CN"/>
        </w:rPr>
        <w:t>标项1，</w:t>
      </w:r>
    </w:p>
    <w:tbl>
      <w:tblPr>
        <w:tblStyle w:val="28"/>
        <w:tblpPr w:leftFromText="180" w:rightFromText="180" w:vertAnchor="text" w:horzAnchor="page" w:tblpXSpec="center" w:tblpY="262"/>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7174"/>
        <w:gridCol w:w="1292"/>
      </w:tblGrid>
      <w:tr w14:paraId="4065C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022" w:type="dxa"/>
            <w:gridSpan w:val="2"/>
            <w:noWrap w:val="0"/>
            <w:vAlign w:val="center"/>
          </w:tcPr>
          <w:p w14:paraId="40E10663">
            <w:pPr>
              <w:spacing w:line="300" w:lineRule="auto"/>
              <w:jc w:val="center"/>
              <w:rPr>
                <w:rFonts w:hint="eastAsia" w:ascii="仿宋" w:hAnsi="仿宋" w:eastAsia="仿宋" w:cs="仿宋"/>
                <w:b/>
                <w:color w:val="auto"/>
                <w:spacing w:val="-2"/>
                <w:sz w:val="24"/>
              </w:rPr>
            </w:pPr>
            <w:r>
              <w:rPr>
                <w:rFonts w:hint="eastAsia" w:ascii="仿宋" w:hAnsi="仿宋" w:eastAsia="仿宋" w:cs="仿宋"/>
                <w:b/>
                <w:color w:val="auto"/>
                <w:spacing w:val="-2"/>
                <w:sz w:val="24"/>
              </w:rPr>
              <w:t>评审内容</w:t>
            </w:r>
          </w:p>
        </w:tc>
        <w:tc>
          <w:tcPr>
            <w:tcW w:w="1292" w:type="dxa"/>
            <w:noWrap w:val="0"/>
            <w:vAlign w:val="center"/>
          </w:tcPr>
          <w:p w14:paraId="5A6FBBA2">
            <w:pPr>
              <w:spacing w:line="300" w:lineRule="auto"/>
              <w:jc w:val="center"/>
              <w:rPr>
                <w:rFonts w:hint="eastAsia" w:ascii="仿宋" w:hAnsi="仿宋" w:eastAsia="仿宋" w:cs="仿宋"/>
                <w:color w:val="auto"/>
                <w:spacing w:val="-2"/>
                <w:sz w:val="24"/>
              </w:rPr>
            </w:pPr>
            <w:r>
              <w:rPr>
                <w:rFonts w:hint="eastAsia" w:ascii="仿宋" w:hAnsi="仿宋" w:eastAsia="仿宋" w:cs="仿宋"/>
                <w:b/>
                <w:color w:val="auto"/>
                <w:sz w:val="24"/>
              </w:rPr>
              <w:t>评审意见</w:t>
            </w:r>
          </w:p>
        </w:tc>
      </w:tr>
      <w:tr w14:paraId="25DC6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8" w:type="dxa"/>
            <w:noWrap w:val="0"/>
            <w:vAlign w:val="center"/>
          </w:tcPr>
          <w:p w14:paraId="54BFA791">
            <w:pPr>
              <w:spacing w:line="300" w:lineRule="auto"/>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7174" w:type="dxa"/>
            <w:noWrap w:val="0"/>
            <w:vAlign w:val="center"/>
          </w:tcPr>
          <w:p w14:paraId="05828E2A">
            <w:pPr>
              <w:spacing w:line="300" w:lineRule="auto"/>
              <w:rPr>
                <w:rFonts w:hint="eastAsia" w:ascii="仿宋" w:hAnsi="仿宋" w:eastAsia="仿宋" w:cs="仿宋"/>
                <w:color w:val="auto"/>
                <w:spacing w:val="-2"/>
                <w:sz w:val="24"/>
              </w:rPr>
            </w:pPr>
          </w:p>
        </w:tc>
        <w:tc>
          <w:tcPr>
            <w:tcW w:w="1292" w:type="dxa"/>
            <w:noWrap w:val="0"/>
            <w:vAlign w:val="center"/>
          </w:tcPr>
          <w:p w14:paraId="3F192CCA">
            <w:pPr>
              <w:spacing w:line="300" w:lineRule="auto"/>
              <w:jc w:val="center"/>
              <w:rPr>
                <w:rFonts w:hint="eastAsia" w:ascii="仿宋" w:hAnsi="仿宋" w:eastAsia="仿宋" w:cs="仿宋"/>
                <w:color w:val="auto"/>
                <w:spacing w:val="-2"/>
                <w:sz w:val="24"/>
              </w:rPr>
            </w:pPr>
            <w:r>
              <w:rPr>
                <w:rFonts w:hint="eastAsia" w:ascii="仿宋" w:hAnsi="仿宋" w:eastAsia="仿宋" w:cs="仿宋"/>
                <w:color w:val="auto"/>
                <w:spacing w:val="-2"/>
                <w:sz w:val="24"/>
              </w:rPr>
              <w:t>是否合格</w:t>
            </w:r>
          </w:p>
        </w:tc>
      </w:tr>
      <w:tr w14:paraId="61DD1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48" w:type="dxa"/>
            <w:noWrap w:val="0"/>
            <w:vAlign w:val="center"/>
          </w:tcPr>
          <w:p w14:paraId="4BAC5CB3">
            <w:pPr>
              <w:spacing w:line="300" w:lineRule="auto"/>
              <w:jc w:val="center"/>
              <w:rPr>
                <w:rFonts w:hint="eastAsia" w:ascii="仿宋" w:hAnsi="仿宋" w:eastAsia="仿宋" w:cs="仿宋"/>
                <w:color w:val="auto"/>
                <w:sz w:val="24"/>
              </w:rPr>
            </w:pPr>
            <w:r>
              <w:rPr>
                <w:rFonts w:hint="eastAsia" w:ascii="仿宋" w:hAnsi="仿宋" w:eastAsia="仿宋" w:cs="仿宋"/>
                <w:color w:val="auto"/>
                <w:sz w:val="24"/>
              </w:rPr>
              <w:t>1</w:t>
            </w:r>
          </w:p>
        </w:tc>
        <w:tc>
          <w:tcPr>
            <w:tcW w:w="7174" w:type="dxa"/>
            <w:noWrap w:val="0"/>
            <w:vAlign w:val="center"/>
          </w:tcPr>
          <w:p w14:paraId="4A4F7C14">
            <w:pPr>
              <w:widowControl/>
              <w:spacing w:line="300" w:lineRule="auto"/>
              <w:jc w:val="left"/>
              <w:textAlignment w:val="center"/>
              <w:rPr>
                <w:rFonts w:hint="eastAsia" w:ascii="仿宋" w:hAnsi="仿宋" w:eastAsia="仿宋" w:cs="仿宋"/>
                <w:color w:val="auto"/>
                <w:spacing w:val="-2"/>
                <w:sz w:val="24"/>
              </w:rPr>
            </w:pPr>
            <w:r>
              <w:rPr>
                <w:rFonts w:hint="eastAsia" w:ascii="仿宋" w:hAnsi="仿宋" w:eastAsia="仿宋" w:cs="仿宋"/>
                <w:color w:val="auto"/>
                <w:kern w:val="0"/>
                <w:sz w:val="24"/>
                <w:lang w:bidi="ar"/>
              </w:rPr>
              <w:t>投标报价高于预算金额；</w:t>
            </w:r>
          </w:p>
        </w:tc>
        <w:tc>
          <w:tcPr>
            <w:tcW w:w="1292" w:type="dxa"/>
            <w:noWrap w:val="0"/>
            <w:vAlign w:val="center"/>
          </w:tcPr>
          <w:p w14:paraId="61F17C16">
            <w:pPr>
              <w:spacing w:line="300" w:lineRule="auto"/>
              <w:rPr>
                <w:rFonts w:hint="eastAsia" w:ascii="仿宋" w:hAnsi="仿宋" w:eastAsia="仿宋" w:cs="仿宋"/>
                <w:color w:val="auto"/>
                <w:spacing w:val="-2"/>
                <w:sz w:val="24"/>
              </w:rPr>
            </w:pPr>
          </w:p>
        </w:tc>
      </w:tr>
      <w:tr w14:paraId="147B8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48" w:type="dxa"/>
            <w:noWrap w:val="0"/>
            <w:vAlign w:val="center"/>
          </w:tcPr>
          <w:p w14:paraId="7E6175EB">
            <w:pPr>
              <w:spacing w:line="300" w:lineRule="auto"/>
              <w:jc w:val="center"/>
              <w:rPr>
                <w:rFonts w:hint="eastAsia" w:ascii="仿宋" w:hAnsi="仿宋" w:eastAsia="仿宋" w:cs="仿宋"/>
                <w:color w:val="auto"/>
                <w:sz w:val="24"/>
              </w:rPr>
            </w:pPr>
            <w:r>
              <w:rPr>
                <w:rFonts w:hint="eastAsia" w:ascii="仿宋" w:hAnsi="仿宋" w:eastAsia="仿宋" w:cs="仿宋"/>
                <w:color w:val="auto"/>
                <w:sz w:val="24"/>
              </w:rPr>
              <w:t>2</w:t>
            </w:r>
          </w:p>
        </w:tc>
        <w:tc>
          <w:tcPr>
            <w:tcW w:w="7174" w:type="dxa"/>
            <w:noWrap w:val="0"/>
            <w:vAlign w:val="center"/>
          </w:tcPr>
          <w:p w14:paraId="716328E2">
            <w:pPr>
              <w:widowControl/>
              <w:spacing w:line="300" w:lineRule="auto"/>
              <w:jc w:val="left"/>
              <w:textAlignment w:val="center"/>
              <w:rPr>
                <w:rFonts w:hint="eastAsia" w:ascii="仿宋" w:hAnsi="仿宋" w:eastAsia="仿宋" w:cs="仿宋"/>
                <w:color w:val="auto"/>
                <w:spacing w:val="-2"/>
                <w:sz w:val="24"/>
              </w:rPr>
            </w:pPr>
            <w:r>
              <w:rPr>
                <w:rFonts w:hint="eastAsia" w:ascii="仿宋" w:hAnsi="仿宋" w:eastAsia="仿宋" w:cs="仿宋"/>
                <w:color w:val="auto"/>
                <w:kern w:val="0"/>
                <w:sz w:val="24"/>
                <w:lang w:eastAsia="zh-CN" w:bidi="ar"/>
              </w:rPr>
              <w:t>供应商之间或者供应商与采购人串通投标的；</w:t>
            </w:r>
          </w:p>
        </w:tc>
        <w:tc>
          <w:tcPr>
            <w:tcW w:w="1292" w:type="dxa"/>
            <w:noWrap w:val="0"/>
            <w:vAlign w:val="center"/>
          </w:tcPr>
          <w:p w14:paraId="4B760256">
            <w:pPr>
              <w:spacing w:line="300" w:lineRule="auto"/>
              <w:rPr>
                <w:rFonts w:hint="eastAsia" w:ascii="仿宋" w:hAnsi="仿宋" w:eastAsia="仿宋" w:cs="仿宋"/>
                <w:color w:val="auto"/>
                <w:spacing w:val="-2"/>
                <w:sz w:val="24"/>
              </w:rPr>
            </w:pPr>
          </w:p>
        </w:tc>
      </w:tr>
      <w:tr w14:paraId="11433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8" w:type="dxa"/>
            <w:noWrap w:val="0"/>
            <w:vAlign w:val="center"/>
          </w:tcPr>
          <w:p w14:paraId="044ED315">
            <w:pPr>
              <w:spacing w:line="300" w:lineRule="auto"/>
              <w:jc w:val="center"/>
              <w:rPr>
                <w:rFonts w:hint="eastAsia" w:ascii="仿宋" w:hAnsi="仿宋" w:eastAsia="仿宋" w:cs="仿宋"/>
                <w:color w:val="auto"/>
                <w:sz w:val="24"/>
              </w:rPr>
            </w:pPr>
            <w:r>
              <w:rPr>
                <w:rFonts w:hint="eastAsia" w:ascii="仿宋" w:hAnsi="仿宋" w:eastAsia="仿宋" w:cs="仿宋"/>
                <w:color w:val="auto"/>
                <w:sz w:val="24"/>
              </w:rPr>
              <w:t>3</w:t>
            </w:r>
          </w:p>
        </w:tc>
        <w:tc>
          <w:tcPr>
            <w:tcW w:w="7174" w:type="dxa"/>
            <w:noWrap w:val="0"/>
            <w:vAlign w:val="center"/>
          </w:tcPr>
          <w:p w14:paraId="6B6ED8B7">
            <w:pPr>
              <w:widowControl/>
              <w:spacing w:line="300" w:lineRule="auto"/>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以行贿手段谋取中标或者以其他弄虚作假方式投标的；</w:t>
            </w:r>
          </w:p>
        </w:tc>
        <w:tc>
          <w:tcPr>
            <w:tcW w:w="1292" w:type="dxa"/>
            <w:noWrap w:val="0"/>
            <w:vAlign w:val="center"/>
          </w:tcPr>
          <w:p w14:paraId="3C22E05D">
            <w:pPr>
              <w:spacing w:line="300" w:lineRule="auto"/>
              <w:rPr>
                <w:rFonts w:hint="eastAsia" w:ascii="仿宋" w:hAnsi="仿宋" w:eastAsia="仿宋" w:cs="仿宋"/>
                <w:color w:val="auto"/>
                <w:sz w:val="24"/>
              </w:rPr>
            </w:pPr>
          </w:p>
        </w:tc>
      </w:tr>
      <w:tr w14:paraId="188CA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48" w:type="dxa"/>
            <w:noWrap w:val="0"/>
            <w:vAlign w:val="center"/>
          </w:tcPr>
          <w:p w14:paraId="13F37A90">
            <w:pPr>
              <w:spacing w:line="300" w:lineRule="auto"/>
              <w:jc w:val="center"/>
              <w:rPr>
                <w:rFonts w:hint="eastAsia" w:ascii="仿宋" w:hAnsi="仿宋" w:eastAsia="仿宋" w:cs="仿宋"/>
                <w:color w:val="auto"/>
                <w:sz w:val="24"/>
              </w:rPr>
            </w:pPr>
            <w:r>
              <w:rPr>
                <w:rFonts w:hint="eastAsia" w:ascii="仿宋" w:hAnsi="仿宋" w:eastAsia="仿宋" w:cs="仿宋"/>
                <w:color w:val="auto"/>
                <w:sz w:val="24"/>
              </w:rPr>
              <w:t>4</w:t>
            </w:r>
          </w:p>
        </w:tc>
        <w:tc>
          <w:tcPr>
            <w:tcW w:w="7174" w:type="dxa"/>
            <w:noWrap w:val="0"/>
            <w:vAlign w:val="center"/>
          </w:tcPr>
          <w:p w14:paraId="332166B1">
            <w:pPr>
              <w:widowControl/>
              <w:spacing w:line="300" w:lineRule="auto"/>
              <w:jc w:val="left"/>
              <w:textAlignment w:val="center"/>
              <w:rPr>
                <w:rFonts w:hint="eastAsia" w:ascii="仿宋" w:hAnsi="仿宋" w:eastAsia="仿宋" w:cs="仿宋"/>
                <w:color w:val="auto"/>
                <w:spacing w:val="-2"/>
                <w:sz w:val="24"/>
              </w:rPr>
            </w:pPr>
            <w:r>
              <w:rPr>
                <w:rFonts w:hint="eastAsia" w:ascii="仿宋" w:hAnsi="仿宋" w:eastAsia="仿宋" w:cs="仿宋"/>
                <w:color w:val="auto"/>
                <w:kern w:val="0"/>
                <w:sz w:val="24"/>
                <w:lang w:bidi="ar"/>
              </w:rPr>
              <w:t>评</w:t>
            </w:r>
            <w:r>
              <w:rPr>
                <w:rFonts w:hint="eastAsia" w:ascii="仿宋" w:hAnsi="仿宋" w:eastAsia="仿宋" w:cs="仿宋"/>
                <w:color w:val="auto"/>
                <w:kern w:val="0"/>
                <w:sz w:val="24"/>
                <w:lang w:eastAsia="zh-CN" w:bidi="ar"/>
              </w:rPr>
              <w:t>审</w:t>
            </w:r>
            <w:r>
              <w:rPr>
                <w:rFonts w:hint="eastAsia" w:ascii="仿宋" w:hAnsi="仿宋" w:eastAsia="仿宋" w:cs="仿宋"/>
                <w:color w:val="auto"/>
                <w:kern w:val="0"/>
                <w:sz w:val="24"/>
                <w:lang w:bidi="ar"/>
              </w:rPr>
              <w:t>委员会共同确定有实质上不响应</w:t>
            </w:r>
            <w:r>
              <w:rPr>
                <w:rFonts w:hint="eastAsia" w:ascii="仿宋" w:hAnsi="仿宋" w:eastAsia="仿宋" w:cs="仿宋"/>
                <w:color w:val="auto"/>
                <w:kern w:val="0"/>
                <w:sz w:val="24"/>
                <w:lang w:eastAsia="zh-CN" w:bidi="ar"/>
              </w:rPr>
              <w:t>磋商文件</w:t>
            </w:r>
            <w:r>
              <w:rPr>
                <w:rFonts w:hint="eastAsia" w:ascii="仿宋" w:hAnsi="仿宋" w:eastAsia="仿宋" w:cs="仿宋"/>
                <w:color w:val="auto"/>
                <w:kern w:val="0"/>
                <w:sz w:val="24"/>
                <w:lang w:bidi="ar"/>
              </w:rPr>
              <w:t>要求的；</w:t>
            </w:r>
          </w:p>
        </w:tc>
        <w:tc>
          <w:tcPr>
            <w:tcW w:w="1292" w:type="dxa"/>
            <w:noWrap w:val="0"/>
            <w:vAlign w:val="center"/>
          </w:tcPr>
          <w:p w14:paraId="707EA6FF">
            <w:pPr>
              <w:spacing w:line="300" w:lineRule="auto"/>
              <w:rPr>
                <w:rFonts w:hint="eastAsia" w:ascii="仿宋" w:hAnsi="仿宋" w:eastAsia="仿宋" w:cs="仿宋"/>
                <w:color w:val="auto"/>
                <w:spacing w:val="-2"/>
                <w:sz w:val="24"/>
              </w:rPr>
            </w:pPr>
          </w:p>
        </w:tc>
      </w:tr>
      <w:tr w14:paraId="153E3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848" w:type="dxa"/>
            <w:noWrap w:val="0"/>
            <w:vAlign w:val="center"/>
          </w:tcPr>
          <w:p w14:paraId="2087E21A">
            <w:pPr>
              <w:spacing w:line="300" w:lineRule="auto"/>
              <w:jc w:val="center"/>
              <w:rPr>
                <w:rFonts w:hint="eastAsia" w:ascii="仿宋" w:hAnsi="仿宋" w:eastAsia="仿宋" w:cs="仿宋"/>
                <w:color w:val="auto"/>
                <w:sz w:val="24"/>
              </w:rPr>
            </w:pPr>
            <w:r>
              <w:rPr>
                <w:rFonts w:hint="eastAsia" w:ascii="仿宋" w:hAnsi="仿宋" w:eastAsia="仿宋" w:cs="仿宋"/>
                <w:color w:val="auto"/>
                <w:sz w:val="24"/>
              </w:rPr>
              <w:t>5</w:t>
            </w:r>
          </w:p>
        </w:tc>
        <w:tc>
          <w:tcPr>
            <w:tcW w:w="7174" w:type="dxa"/>
            <w:noWrap w:val="0"/>
            <w:vAlign w:val="center"/>
          </w:tcPr>
          <w:p w14:paraId="4F6B3A68">
            <w:pPr>
              <w:widowControl/>
              <w:spacing w:line="300" w:lineRule="auto"/>
              <w:jc w:val="left"/>
              <w:textAlignment w:val="center"/>
              <w:rPr>
                <w:rFonts w:hint="eastAsia" w:ascii="仿宋" w:hAnsi="仿宋" w:eastAsia="仿宋" w:cs="仿宋"/>
                <w:color w:val="auto"/>
                <w:spacing w:val="-2"/>
                <w:sz w:val="24"/>
              </w:rPr>
            </w:pPr>
            <w:r>
              <w:rPr>
                <w:rFonts w:hint="eastAsia" w:ascii="仿宋" w:hAnsi="仿宋" w:eastAsia="仿宋" w:cs="仿宋"/>
                <w:color w:val="auto"/>
                <w:kern w:val="0"/>
                <w:sz w:val="24"/>
                <w:lang w:eastAsia="zh-CN" w:bidi="ar"/>
              </w:rPr>
              <w:t>响应文件</w:t>
            </w:r>
            <w:r>
              <w:rPr>
                <w:rFonts w:hint="eastAsia" w:ascii="仿宋" w:hAnsi="仿宋" w:eastAsia="仿宋" w:cs="仿宋"/>
                <w:color w:val="auto"/>
                <w:kern w:val="0"/>
                <w:sz w:val="24"/>
                <w:lang w:bidi="ar"/>
              </w:rPr>
              <w:t>有</w:t>
            </w:r>
            <w:r>
              <w:rPr>
                <w:rFonts w:hint="eastAsia" w:ascii="仿宋" w:hAnsi="仿宋" w:eastAsia="仿宋" w:cs="仿宋"/>
                <w:color w:val="auto"/>
                <w:kern w:val="0"/>
                <w:sz w:val="24"/>
                <w:lang w:eastAsia="zh-CN" w:bidi="ar"/>
              </w:rPr>
              <w:t>供应商</w:t>
            </w:r>
            <w:r>
              <w:rPr>
                <w:rFonts w:hint="eastAsia" w:ascii="仿宋" w:hAnsi="仿宋" w:eastAsia="仿宋" w:cs="仿宋"/>
                <w:color w:val="auto"/>
                <w:kern w:val="0"/>
                <w:sz w:val="24"/>
                <w:lang w:bidi="ar"/>
              </w:rPr>
              <w:t>法定代表人或其授权代表签字（章）和加盖</w:t>
            </w:r>
            <w:r>
              <w:rPr>
                <w:rFonts w:hint="eastAsia" w:ascii="仿宋" w:hAnsi="仿宋" w:eastAsia="仿宋" w:cs="仿宋"/>
                <w:color w:val="auto"/>
                <w:kern w:val="0"/>
                <w:sz w:val="24"/>
                <w:lang w:eastAsia="zh-CN" w:bidi="ar"/>
              </w:rPr>
              <w:t>供应商单位</w:t>
            </w:r>
            <w:r>
              <w:rPr>
                <w:rFonts w:hint="eastAsia" w:ascii="仿宋" w:hAnsi="仿宋" w:eastAsia="仿宋" w:cs="仿宋"/>
                <w:color w:val="auto"/>
                <w:kern w:val="0"/>
                <w:sz w:val="24"/>
                <w:lang w:bidi="ar"/>
              </w:rPr>
              <w:t>公章的；</w:t>
            </w:r>
          </w:p>
        </w:tc>
        <w:tc>
          <w:tcPr>
            <w:tcW w:w="1292" w:type="dxa"/>
            <w:noWrap w:val="0"/>
            <w:vAlign w:val="center"/>
          </w:tcPr>
          <w:p w14:paraId="1C5DC50A">
            <w:pPr>
              <w:spacing w:line="300" w:lineRule="auto"/>
              <w:rPr>
                <w:rFonts w:hint="eastAsia" w:ascii="仿宋" w:hAnsi="仿宋" w:eastAsia="仿宋" w:cs="仿宋"/>
                <w:color w:val="auto"/>
                <w:spacing w:val="-2"/>
                <w:sz w:val="24"/>
              </w:rPr>
            </w:pPr>
          </w:p>
        </w:tc>
      </w:tr>
      <w:tr w14:paraId="24E7C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848" w:type="dxa"/>
            <w:noWrap w:val="0"/>
            <w:vAlign w:val="center"/>
          </w:tcPr>
          <w:p w14:paraId="7BA68E16">
            <w:pPr>
              <w:spacing w:line="300" w:lineRule="auto"/>
              <w:jc w:val="center"/>
              <w:rPr>
                <w:rFonts w:hint="eastAsia" w:ascii="仿宋" w:hAnsi="仿宋" w:eastAsia="仿宋" w:cs="仿宋"/>
                <w:color w:val="auto"/>
                <w:sz w:val="24"/>
              </w:rPr>
            </w:pPr>
            <w:r>
              <w:rPr>
                <w:rFonts w:hint="eastAsia" w:ascii="仿宋" w:hAnsi="仿宋" w:eastAsia="仿宋" w:cs="仿宋"/>
                <w:color w:val="auto"/>
                <w:sz w:val="24"/>
              </w:rPr>
              <w:t>6</w:t>
            </w:r>
          </w:p>
        </w:tc>
        <w:tc>
          <w:tcPr>
            <w:tcW w:w="7174" w:type="dxa"/>
            <w:noWrap w:val="0"/>
            <w:vAlign w:val="center"/>
          </w:tcPr>
          <w:p w14:paraId="65176B69">
            <w:pPr>
              <w:widowControl/>
              <w:spacing w:line="300" w:lineRule="auto"/>
              <w:jc w:val="left"/>
              <w:textAlignment w:val="center"/>
              <w:rPr>
                <w:rFonts w:hint="eastAsia" w:ascii="仿宋" w:hAnsi="仿宋" w:eastAsia="仿宋" w:cs="仿宋"/>
                <w:color w:val="auto"/>
                <w:spacing w:val="-2"/>
                <w:sz w:val="24"/>
              </w:rPr>
            </w:pPr>
            <w:r>
              <w:rPr>
                <w:rFonts w:hint="eastAsia" w:ascii="仿宋" w:hAnsi="仿宋" w:eastAsia="仿宋" w:cs="仿宋"/>
                <w:color w:val="auto"/>
                <w:kern w:val="0"/>
                <w:sz w:val="24"/>
                <w:lang w:bidi="ar"/>
              </w:rPr>
              <w:t>投标的政府采购项目完成期限超过</w:t>
            </w:r>
            <w:r>
              <w:rPr>
                <w:rFonts w:hint="eastAsia" w:ascii="仿宋" w:hAnsi="仿宋" w:eastAsia="仿宋" w:cs="仿宋"/>
                <w:color w:val="auto"/>
                <w:kern w:val="0"/>
                <w:sz w:val="24"/>
                <w:lang w:eastAsia="zh-CN" w:bidi="ar"/>
              </w:rPr>
              <w:t>磋商文件</w:t>
            </w:r>
            <w:r>
              <w:rPr>
                <w:rFonts w:hint="eastAsia" w:ascii="仿宋" w:hAnsi="仿宋" w:eastAsia="仿宋" w:cs="仿宋"/>
                <w:color w:val="auto"/>
                <w:kern w:val="0"/>
                <w:sz w:val="24"/>
                <w:lang w:bidi="ar"/>
              </w:rPr>
              <w:t>规定期限的；</w:t>
            </w:r>
          </w:p>
        </w:tc>
        <w:tc>
          <w:tcPr>
            <w:tcW w:w="1292" w:type="dxa"/>
            <w:noWrap w:val="0"/>
            <w:vAlign w:val="center"/>
          </w:tcPr>
          <w:p w14:paraId="48730934">
            <w:pPr>
              <w:spacing w:line="300" w:lineRule="auto"/>
              <w:rPr>
                <w:rFonts w:hint="eastAsia" w:ascii="仿宋" w:hAnsi="仿宋" w:eastAsia="仿宋" w:cs="仿宋"/>
                <w:color w:val="auto"/>
                <w:spacing w:val="-2"/>
                <w:sz w:val="24"/>
              </w:rPr>
            </w:pPr>
          </w:p>
        </w:tc>
      </w:tr>
      <w:tr w14:paraId="2912E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848" w:type="dxa"/>
            <w:noWrap w:val="0"/>
            <w:vAlign w:val="center"/>
          </w:tcPr>
          <w:p w14:paraId="73449E4C">
            <w:pPr>
              <w:spacing w:line="300" w:lineRule="auto"/>
              <w:jc w:val="center"/>
              <w:rPr>
                <w:rFonts w:hint="eastAsia" w:ascii="仿宋" w:hAnsi="仿宋" w:eastAsia="仿宋" w:cs="仿宋"/>
                <w:color w:val="auto"/>
                <w:sz w:val="24"/>
              </w:rPr>
            </w:pPr>
            <w:r>
              <w:rPr>
                <w:rFonts w:hint="eastAsia" w:ascii="仿宋" w:hAnsi="仿宋" w:eastAsia="仿宋" w:cs="仿宋"/>
                <w:color w:val="auto"/>
                <w:sz w:val="24"/>
              </w:rPr>
              <w:t>7</w:t>
            </w:r>
          </w:p>
        </w:tc>
        <w:tc>
          <w:tcPr>
            <w:tcW w:w="7174" w:type="dxa"/>
            <w:noWrap w:val="0"/>
            <w:vAlign w:val="center"/>
          </w:tcPr>
          <w:p w14:paraId="6B982A80">
            <w:pPr>
              <w:widowControl/>
              <w:spacing w:line="300" w:lineRule="auto"/>
              <w:jc w:val="left"/>
              <w:textAlignment w:val="center"/>
              <w:rPr>
                <w:rFonts w:hint="eastAsia" w:ascii="仿宋" w:hAnsi="仿宋" w:eastAsia="仿宋" w:cs="仿宋"/>
                <w:color w:val="auto"/>
                <w:spacing w:val="-2"/>
                <w:sz w:val="24"/>
              </w:rPr>
            </w:pPr>
            <w:r>
              <w:rPr>
                <w:rFonts w:hint="eastAsia" w:ascii="仿宋" w:hAnsi="仿宋" w:eastAsia="仿宋" w:cs="仿宋"/>
                <w:color w:val="auto"/>
                <w:kern w:val="0"/>
                <w:sz w:val="24"/>
                <w:lang w:val="en-US" w:eastAsia="zh-CN" w:bidi="ar"/>
              </w:rPr>
              <w:t>不</w:t>
            </w:r>
            <w:r>
              <w:rPr>
                <w:rFonts w:hint="eastAsia" w:ascii="仿宋" w:hAnsi="仿宋" w:eastAsia="仿宋" w:cs="仿宋"/>
                <w:color w:val="auto"/>
                <w:kern w:val="0"/>
                <w:sz w:val="24"/>
                <w:lang w:eastAsia="zh-CN" w:bidi="ar"/>
              </w:rPr>
              <w:t>符合磋商文件中规定的实质性要求</w:t>
            </w:r>
            <w:r>
              <w:rPr>
                <w:rFonts w:hint="eastAsia" w:ascii="仿宋" w:hAnsi="仿宋" w:eastAsia="仿宋" w:cs="仿宋"/>
                <w:color w:val="auto"/>
                <w:kern w:val="0"/>
                <w:sz w:val="24"/>
                <w:lang w:bidi="ar"/>
              </w:rPr>
              <w:t>；</w:t>
            </w:r>
          </w:p>
        </w:tc>
        <w:tc>
          <w:tcPr>
            <w:tcW w:w="1292" w:type="dxa"/>
            <w:noWrap w:val="0"/>
            <w:vAlign w:val="center"/>
          </w:tcPr>
          <w:p w14:paraId="75E27313">
            <w:pPr>
              <w:spacing w:line="300" w:lineRule="auto"/>
              <w:rPr>
                <w:rFonts w:hint="eastAsia" w:ascii="仿宋" w:hAnsi="仿宋" w:eastAsia="仿宋" w:cs="仿宋"/>
                <w:color w:val="auto"/>
                <w:spacing w:val="-2"/>
                <w:sz w:val="24"/>
              </w:rPr>
            </w:pPr>
          </w:p>
        </w:tc>
      </w:tr>
      <w:tr w14:paraId="404C5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48" w:type="dxa"/>
            <w:noWrap w:val="0"/>
            <w:vAlign w:val="center"/>
          </w:tcPr>
          <w:p w14:paraId="366CDCF1">
            <w:pPr>
              <w:spacing w:line="300" w:lineRule="auto"/>
              <w:jc w:val="center"/>
              <w:rPr>
                <w:rFonts w:hint="eastAsia" w:ascii="仿宋" w:hAnsi="仿宋" w:eastAsia="仿宋" w:cs="仿宋"/>
                <w:color w:val="auto"/>
                <w:sz w:val="24"/>
              </w:rPr>
            </w:pPr>
            <w:r>
              <w:rPr>
                <w:rFonts w:hint="eastAsia" w:ascii="仿宋" w:hAnsi="仿宋" w:eastAsia="仿宋" w:cs="仿宋"/>
                <w:color w:val="auto"/>
                <w:sz w:val="24"/>
              </w:rPr>
              <w:t>8</w:t>
            </w:r>
          </w:p>
        </w:tc>
        <w:tc>
          <w:tcPr>
            <w:tcW w:w="7174" w:type="dxa"/>
            <w:noWrap w:val="0"/>
            <w:vAlign w:val="center"/>
          </w:tcPr>
          <w:p w14:paraId="124A18B0">
            <w:pPr>
              <w:widowControl/>
              <w:spacing w:line="300" w:lineRule="auto"/>
              <w:textAlignment w:val="center"/>
              <w:rPr>
                <w:rFonts w:hint="eastAsia" w:ascii="仿宋" w:hAnsi="仿宋" w:eastAsia="仿宋" w:cs="仿宋"/>
                <w:color w:val="auto"/>
                <w:sz w:val="24"/>
              </w:rPr>
            </w:pPr>
            <w:r>
              <w:rPr>
                <w:rFonts w:hint="eastAsia" w:ascii="仿宋" w:hAnsi="仿宋" w:eastAsia="仿宋" w:cs="仿宋"/>
                <w:color w:val="auto"/>
                <w:kern w:val="0"/>
                <w:sz w:val="24"/>
                <w:lang w:eastAsia="zh-CN" w:bidi="ar"/>
              </w:rPr>
              <w:t>响应文件</w:t>
            </w:r>
            <w:r>
              <w:rPr>
                <w:rFonts w:hint="eastAsia" w:ascii="仿宋" w:hAnsi="仿宋" w:eastAsia="仿宋" w:cs="仿宋"/>
                <w:color w:val="auto"/>
                <w:kern w:val="0"/>
                <w:sz w:val="24"/>
                <w:lang w:bidi="ar"/>
              </w:rPr>
              <w:t>附有采购人不能接受条件的；</w:t>
            </w:r>
          </w:p>
        </w:tc>
        <w:tc>
          <w:tcPr>
            <w:tcW w:w="1292" w:type="dxa"/>
            <w:noWrap w:val="0"/>
            <w:vAlign w:val="center"/>
          </w:tcPr>
          <w:p w14:paraId="39063564">
            <w:pPr>
              <w:spacing w:line="300" w:lineRule="auto"/>
              <w:rPr>
                <w:rFonts w:hint="eastAsia" w:ascii="仿宋" w:hAnsi="仿宋" w:eastAsia="仿宋" w:cs="仿宋"/>
                <w:color w:val="auto"/>
                <w:sz w:val="24"/>
              </w:rPr>
            </w:pPr>
          </w:p>
        </w:tc>
      </w:tr>
      <w:tr w14:paraId="000B0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848" w:type="dxa"/>
            <w:noWrap w:val="0"/>
            <w:vAlign w:val="center"/>
          </w:tcPr>
          <w:p w14:paraId="4A4233B2">
            <w:pPr>
              <w:spacing w:line="300" w:lineRule="auto"/>
              <w:jc w:val="center"/>
              <w:rPr>
                <w:rFonts w:hint="eastAsia" w:ascii="仿宋" w:hAnsi="仿宋" w:eastAsia="仿宋" w:cs="仿宋"/>
                <w:color w:val="auto"/>
                <w:sz w:val="24"/>
              </w:rPr>
            </w:pPr>
            <w:r>
              <w:rPr>
                <w:rFonts w:hint="eastAsia" w:ascii="仿宋" w:hAnsi="仿宋" w:eastAsia="仿宋" w:cs="仿宋"/>
                <w:color w:val="auto"/>
                <w:sz w:val="24"/>
              </w:rPr>
              <w:t>9</w:t>
            </w:r>
          </w:p>
        </w:tc>
        <w:tc>
          <w:tcPr>
            <w:tcW w:w="7174" w:type="dxa"/>
            <w:noWrap w:val="0"/>
            <w:vAlign w:val="center"/>
          </w:tcPr>
          <w:p w14:paraId="0E936336">
            <w:pPr>
              <w:widowControl/>
              <w:spacing w:line="300" w:lineRule="auto"/>
              <w:jc w:val="left"/>
              <w:textAlignment w:val="center"/>
              <w:rPr>
                <w:rFonts w:hint="eastAsia" w:ascii="仿宋" w:hAnsi="仿宋" w:eastAsia="仿宋" w:cs="仿宋"/>
                <w:color w:val="auto"/>
                <w:spacing w:val="-2"/>
                <w:sz w:val="24"/>
                <w:lang w:eastAsia="zh-CN"/>
              </w:rPr>
            </w:pPr>
            <w:r>
              <w:rPr>
                <w:rFonts w:hint="eastAsia" w:ascii="仿宋" w:hAnsi="仿宋" w:eastAsia="仿宋" w:cs="仿宋"/>
                <w:color w:val="auto"/>
                <w:kern w:val="0"/>
                <w:sz w:val="24"/>
                <w:lang w:bidi="ar"/>
              </w:rPr>
              <w:t>不满足</w:t>
            </w:r>
            <w:r>
              <w:rPr>
                <w:rFonts w:hint="eastAsia" w:ascii="仿宋" w:hAnsi="仿宋" w:eastAsia="仿宋" w:cs="仿宋"/>
                <w:color w:val="auto"/>
                <w:kern w:val="0"/>
                <w:sz w:val="24"/>
                <w:lang w:eastAsia="zh-CN" w:bidi="ar"/>
              </w:rPr>
              <w:t>磋商文件</w:t>
            </w:r>
            <w:r>
              <w:rPr>
                <w:rFonts w:hint="eastAsia" w:ascii="仿宋" w:hAnsi="仿宋" w:eastAsia="仿宋" w:cs="仿宋"/>
                <w:color w:val="auto"/>
                <w:kern w:val="0"/>
                <w:sz w:val="24"/>
                <w:lang w:bidi="ar"/>
              </w:rPr>
              <w:t>实质性要求的其他情形</w:t>
            </w:r>
            <w:r>
              <w:rPr>
                <w:rFonts w:hint="eastAsia" w:ascii="仿宋" w:hAnsi="仿宋" w:eastAsia="仿宋" w:cs="仿宋"/>
                <w:color w:val="auto"/>
                <w:kern w:val="0"/>
                <w:sz w:val="24"/>
                <w:lang w:eastAsia="zh-CN" w:bidi="ar"/>
              </w:rPr>
              <w:t>；</w:t>
            </w:r>
          </w:p>
        </w:tc>
        <w:tc>
          <w:tcPr>
            <w:tcW w:w="1292" w:type="dxa"/>
            <w:noWrap w:val="0"/>
            <w:vAlign w:val="center"/>
          </w:tcPr>
          <w:p w14:paraId="75E33D67">
            <w:pPr>
              <w:spacing w:line="300" w:lineRule="auto"/>
              <w:rPr>
                <w:rFonts w:hint="eastAsia" w:ascii="仿宋" w:hAnsi="仿宋" w:eastAsia="仿宋" w:cs="仿宋"/>
                <w:color w:val="auto"/>
                <w:spacing w:val="-2"/>
                <w:sz w:val="24"/>
              </w:rPr>
            </w:pPr>
          </w:p>
        </w:tc>
      </w:tr>
      <w:tr w14:paraId="3A40C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022" w:type="dxa"/>
            <w:gridSpan w:val="2"/>
            <w:noWrap w:val="0"/>
            <w:vAlign w:val="center"/>
          </w:tcPr>
          <w:p w14:paraId="248A4000">
            <w:pPr>
              <w:spacing w:line="300" w:lineRule="auto"/>
              <w:ind w:firstLine="429" w:firstLineChars="180"/>
              <w:rPr>
                <w:rFonts w:hint="eastAsia" w:ascii="仿宋" w:hAnsi="仿宋" w:eastAsia="仿宋" w:cs="仿宋"/>
                <w:color w:val="auto"/>
                <w:spacing w:val="-2"/>
                <w:sz w:val="24"/>
              </w:rPr>
            </w:pPr>
            <w:r>
              <w:rPr>
                <w:rFonts w:hint="eastAsia" w:ascii="仿宋" w:hAnsi="仿宋" w:eastAsia="仿宋" w:cs="仿宋"/>
                <w:color w:val="auto"/>
                <w:spacing w:val="-2"/>
                <w:sz w:val="24"/>
              </w:rPr>
              <w:t>结论：通过评审打“√”，未通过评审打“×”</w:t>
            </w:r>
          </w:p>
        </w:tc>
        <w:tc>
          <w:tcPr>
            <w:tcW w:w="1292" w:type="dxa"/>
            <w:noWrap w:val="0"/>
            <w:vAlign w:val="center"/>
          </w:tcPr>
          <w:p w14:paraId="001527D3">
            <w:pPr>
              <w:spacing w:line="300" w:lineRule="auto"/>
              <w:ind w:firstLine="429" w:firstLineChars="180"/>
              <w:rPr>
                <w:rFonts w:hint="eastAsia" w:ascii="仿宋" w:hAnsi="仿宋" w:eastAsia="仿宋" w:cs="仿宋"/>
                <w:color w:val="auto"/>
                <w:spacing w:val="-2"/>
                <w:sz w:val="24"/>
              </w:rPr>
            </w:pPr>
          </w:p>
        </w:tc>
      </w:tr>
    </w:tbl>
    <w:p w14:paraId="1E9B51E9">
      <w:pPr>
        <w:shd w:val="clear" w:color="auto" w:fill="auto"/>
        <w:spacing w:line="400" w:lineRule="exact"/>
        <w:rPr>
          <w:rFonts w:hint="eastAsia" w:asciiTheme="majorEastAsia" w:hAnsiTheme="majorEastAsia" w:eastAsiaTheme="majorEastAsia" w:cstheme="majorEastAsia"/>
          <w:color w:val="auto"/>
          <w:szCs w:val="21"/>
          <w:highlight w:val="none"/>
          <w:lang w:val="en-US" w:eastAsia="zh-CN"/>
        </w:rPr>
      </w:pPr>
    </w:p>
    <w:p w14:paraId="2D234952">
      <w:pPr>
        <w:shd w:val="clear" w:color="auto" w:fill="auto"/>
        <w:spacing w:line="400" w:lineRule="exact"/>
        <w:ind w:firstLine="513" w:firstLineChars="241"/>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7</w:t>
      </w:r>
      <w:r>
        <w:rPr>
          <w:rFonts w:hint="eastAsia" w:asciiTheme="majorEastAsia" w:hAnsiTheme="majorEastAsia" w:eastAsiaTheme="majorEastAsia" w:cstheme="majorEastAsia"/>
          <w:color w:val="auto"/>
          <w:szCs w:val="21"/>
          <w:highlight w:val="none"/>
        </w:rPr>
        <w:t>.2评委会判定投标文件的响应性只根据投标文件本身的内容，而不寻求外部的证据，但投标有不真实不正确的内容时除外。</w:t>
      </w:r>
    </w:p>
    <w:p w14:paraId="1EB7703E">
      <w:pPr>
        <w:shd w:val="clear" w:color="auto" w:fill="auto"/>
        <w:spacing w:line="400" w:lineRule="exact"/>
        <w:ind w:firstLine="513" w:firstLineChars="241"/>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7</w:t>
      </w:r>
      <w:r>
        <w:rPr>
          <w:rFonts w:hint="eastAsia" w:asciiTheme="majorEastAsia" w:hAnsiTheme="majorEastAsia" w:eastAsiaTheme="majorEastAsia" w:cstheme="majorEastAsia"/>
          <w:color w:val="auto"/>
          <w:szCs w:val="21"/>
          <w:highlight w:val="none"/>
        </w:rPr>
        <w:t>.3如果投标文件实质上没有响应</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的要求，评委会将予以拒绝，投标人不得通过修正或撤销不符合要求的偏离或保留，而使其投标成为实质上响应的投标。</w:t>
      </w:r>
    </w:p>
    <w:p w14:paraId="43DF2144">
      <w:pPr>
        <w:shd w:val="clear" w:color="auto" w:fill="auto"/>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 xml:space="preserve"> </w:t>
      </w:r>
      <w:r>
        <w:rPr>
          <w:rFonts w:hint="eastAsia" w:asciiTheme="majorEastAsia" w:hAnsiTheme="majorEastAsia" w:eastAsiaTheme="majorEastAsia" w:cstheme="majorEastAsia"/>
          <w:color w:val="auto"/>
          <w:szCs w:val="21"/>
          <w:highlight w:val="none"/>
          <w:lang w:val="en-US" w:eastAsia="zh-CN"/>
        </w:rPr>
        <w:t>7</w:t>
      </w:r>
      <w:r>
        <w:rPr>
          <w:rFonts w:hint="eastAsia" w:asciiTheme="majorEastAsia" w:hAnsiTheme="majorEastAsia" w:eastAsiaTheme="majorEastAsia" w:cstheme="majorEastAsia"/>
          <w:color w:val="auto"/>
          <w:szCs w:val="21"/>
          <w:highlight w:val="none"/>
        </w:rPr>
        <w:t>.4投标人可在现场20分钟内对</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的评审结论提出异议，</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根据</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及有关规定对投标人的异议进行复议</w:t>
      </w:r>
    </w:p>
    <w:p w14:paraId="45EB56F5">
      <w:pPr>
        <w:shd w:val="clear" w:color="auto" w:fill="auto"/>
        <w:spacing w:line="400" w:lineRule="exact"/>
        <w:ind w:firstLine="532" w:firstLineChars="25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7</w:t>
      </w:r>
      <w:r>
        <w:rPr>
          <w:rFonts w:hint="eastAsia" w:asciiTheme="majorEastAsia" w:hAnsiTheme="majorEastAsia" w:eastAsiaTheme="majorEastAsia" w:cstheme="majorEastAsia"/>
          <w:color w:val="auto"/>
          <w:szCs w:val="21"/>
          <w:highlight w:val="none"/>
        </w:rPr>
        <w:t>.5只有通过初审的投标人才能进入下一步评标程序。</w:t>
      </w:r>
    </w:p>
    <w:p w14:paraId="58C803CF">
      <w:pPr>
        <w:shd w:val="clear" w:color="auto" w:fill="auto"/>
        <w:spacing w:line="400" w:lineRule="exact"/>
        <w:ind w:firstLine="446" w:firstLineChars="200"/>
        <w:rPr>
          <w:rFonts w:hint="eastAsia" w:asciiTheme="majorEastAsia" w:hAnsiTheme="majorEastAsia" w:eastAsiaTheme="majorEastAsia" w:cstheme="majorEastAsia"/>
          <w:b/>
          <w:color w:val="auto"/>
          <w:sz w:val="32"/>
          <w:szCs w:val="32"/>
          <w:highlight w:val="yellow"/>
        </w:rPr>
      </w:pPr>
      <w:r>
        <w:rPr>
          <w:rFonts w:hint="eastAsia" w:asciiTheme="majorEastAsia" w:hAnsiTheme="majorEastAsia" w:eastAsiaTheme="majorEastAsia" w:cstheme="majorEastAsia"/>
          <w:b/>
          <w:color w:val="auto"/>
          <w:sz w:val="22"/>
          <w:szCs w:val="22"/>
          <w:highlight w:val="yellow"/>
        </w:rPr>
        <w:t>温馨提示：投标文件资料请精心准备,如评标专家在检验电子标书过程中，如果由于投标人自身原因导致评标专家无法查看并检验电子标书中以上相关资料的，按无效投标处理。即使投标单位将原件携带至现场的，同样按无效投标处理。</w:t>
      </w:r>
      <w:bookmarkStart w:id="74" w:name="_Toc362983803"/>
      <w:bookmarkStart w:id="75" w:name="_Toc469495734"/>
    </w:p>
    <w:p w14:paraId="0D23D792">
      <w:pPr>
        <w:shd w:val="clear" w:color="auto" w:fill="auto"/>
        <w:spacing w:line="400" w:lineRule="exact"/>
        <w:ind w:firstLine="3113" w:firstLineChars="1100"/>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8"/>
          <w:szCs w:val="28"/>
          <w:highlight w:val="none"/>
        </w:rPr>
        <w:t>三  投标文件的澄清和补正</w:t>
      </w:r>
      <w:bookmarkEnd w:id="74"/>
      <w:bookmarkEnd w:id="75"/>
    </w:p>
    <w:p w14:paraId="751FDFF4">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8．澄清、说明或补正的形式</w:t>
      </w:r>
    </w:p>
    <w:p w14:paraId="38F088BA">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8.1对于投标文件中含义不明确、同类问题表述不一致或者有明显文字和计算错误的内容，谈判小组将通过“政府采购云平台”在线询标的方式要求投标供应商在规定的时间内作出必要的澄清、说明或者补正，投标供应商澄清、说明或补正时间为20分钟。</w:t>
      </w:r>
    </w:p>
    <w:p w14:paraId="0659F068">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8.2投标供应商的澄清、说明或者补正应当通过“政府采购云平台”在线答复的方式提交，并加盖公章（电子印章），或者由法定代表人或其授权的代表签字。投标供应商的澄清、说明或者补正不得超出投标文件的范围或者改变投标文件的实质性内容，不接受投标供应商主动对投标文件的澄清、说明或者补正。</w:t>
      </w:r>
    </w:p>
    <w:p w14:paraId="424EF1A2">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8.3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3B752455">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9．错误修正的原则</w:t>
      </w:r>
    </w:p>
    <w:p w14:paraId="13DC0BBA">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电子交易平台客户端里开标一览表录入的投标报价或优惠率与扫描上传的报价文件信息不一致的，以扫描上传的报价文件信息为准进行修正。</w:t>
      </w:r>
    </w:p>
    <w:p w14:paraId="036B366E">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投标文件报价出现前后不一致的，除采购文件另有规定外，按照下列规定修正：</w:t>
      </w:r>
    </w:p>
    <w:p w14:paraId="1C91A2BD">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9.1 投标函中表述的内容与报价表中不一致的，以报价表为准；报价表中的内容与报价明细表不一致的，以报价表为准；</w:t>
      </w:r>
    </w:p>
    <w:p w14:paraId="47D421FC">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9.2 投标文件中的大写金额和小写金额不一致的，以大写金额为准；</w:t>
      </w:r>
    </w:p>
    <w:p w14:paraId="5849E285">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9.3 单价金额小数点或者百分比有明显错位的，以开标一览表的总价为准，并修改单价；</w:t>
      </w:r>
    </w:p>
    <w:p w14:paraId="3D16F427">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9.4 总价金额与按单价汇总金额不一致的，以单价金额计算结果为准；</w:t>
      </w:r>
    </w:p>
    <w:p w14:paraId="5C71FCBF">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9.5 若用文字表示的数值与用数字表示的数值不一致，以文字表示的数值为准；</w:t>
      </w:r>
    </w:p>
    <w:p w14:paraId="6B8B9BF0">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9.6 如有多报（指数量超出采购文件需求）、重报（指同一货物重复报价），其投标总价在评标过程中不予调整，如其成交，其合同价按其投标单价予以调整；</w:t>
      </w:r>
    </w:p>
    <w:p w14:paraId="445ABC6B">
      <w:pPr>
        <w:shd w:val="clear" w:color="auto" w:fill="auto"/>
        <w:spacing w:line="440" w:lineRule="exact"/>
        <w:ind w:firstLine="213" w:firstLineChars="100"/>
        <w:jc w:val="left"/>
        <w:rPr>
          <w:rFonts w:hint="eastAsia" w:asciiTheme="majorEastAsia" w:hAnsiTheme="majorEastAsia" w:eastAsiaTheme="majorEastAsia" w:cstheme="majorEastAsia"/>
          <w:b w:val="0"/>
          <w:bCs w:val="0"/>
          <w:color w:val="auto"/>
          <w:szCs w:val="21"/>
          <w:highlight w:val="none"/>
          <w:lang w:val="en-US" w:eastAsia="zh-CN"/>
        </w:rPr>
      </w:pPr>
      <w:r>
        <w:rPr>
          <w:rFonts w:hint="eastAsia" w:asciiTheme="majorEastAsia" w:hAnsiTheme="majorEastAsia" w:eastAsiaTheme="majorEastAsia" w:cstheme="majorEastAsia"/>
          <w:b w:val="0"/>
          <w:bCs w:val="0"/>
          <w:color w:val="auto"/>
          <w:szCs w:val="21"/>
          <w:highlight w:val="none"/>
          <w:lang w:val="en-US" w:eastAsia="zh-CN"/>
        </w:rPr>
        <w:t>9.7 对不同文字文本投标文件的解释发生异议的，以中文文本为准；</w:t>
      </w:r>
    </w:p>
    <w:p w14:paraId="005F3B9E">
      <w:pPr>
        <w:shd w:val="clear" w:color="auto" w:fill="auto"/>
        <w:spacing w:line="440" w:lineRule="exact"/>
        <w:ind w:firstLine="213" w:firstLineChars="100"/>
        <w:jc w:val="left"/>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b w:val="0"/>
          <w:bCs w:val="0"/>
          <w:color w:val="auto"/>
          <w:szCs w:val="21"/>
          <w:highlight w:val="none"/>
          <w:lang w:val="en-US" w:eastAsia="zh-CN"/>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修正应当采用电子询标的形式，并加盖公章（电子印章）。</w:t>
      </w:r>
    </w:p>
    <w:p w14:paraId="71DB552A">
      <w:pPr>
        <w:shd w:val="clear" w:color="auto" w:fill="auto"/>
        <w:spacing w:before="156" w:beforeLines="50" w:line="400" w:lineRule="exact"/>
        <w:jc w:val="center"/>
        <w:outlineLvl w:val="1"/>
        <w:rPr>
          <w:rFonts w:hint="eastAsia" w:asciiTheme="majorEastAsia" w:hAnsiTheme="majorEastAsia" w:eastAsiaTheme="majorEastAsia" w:cstheme="majorEastAsia"/>
          <w:b/>
          <w:color w:val="auto"/>
          <w:sz w:val="24"/>
          <w:highlight w:val="none"/>
        </w:rPr>
      </w:pPr>
      <w:bookmarkStart w:id="76" w:name="_Toc469495736"/>
      <w:bookmarkStart w:id="77" w:name="_Toc362983805"/>
      <w:r>
        <w:rPr>
          <w:rFonts w:hint="eastAsia" w:asciiTheme="majorEastAsia" w:hAnsiTheme="majorEastAsia" w:eastAsiaTheme="majorEastAsia" w:cstheme="majorEastAsia"/>
          <w:b/>
          <w:color w:val="auto"/>
          <w:sz w:val="24"/>
          <w:highlight w:val="none"/>
          <w:lang w:val="en-US" w:eastAsia="zh-CN"/>
        </w:rPr>
        <w:t>四</w:t>
      </w:r>
      <w:r>
        <w:rPr>
          <w:rFonts w:hint="eastAsia" w:asciiTheme="majorEastAsia" w:hAnsiTheme="majorEastAsia" w:eastAsiaTheme="majorEastAsia" w:cstheme="majorEastAsia"/>
          <w:b/>
          <w:color w:val="auto"/>
          <w:sz w:val="24"/>
          <w:highlight w:val="none"/>
          <w:lang w:eastAsia="zh-CN"/>
        </w:rPr>
        <w:t>、</w:t>
      </w:r>
      <w:r>
        <w:rPr>
          <w:rFonts w:hint="eastAsia" w:asciiTheme="majorEastAsia" w:hAnsiTheme="majorEastAsia" w:eastAsiaTheme="majorEastAsia" w:cstheme="majorEastAsia"/>
          <w:b/>
          <w:color w:val="auto"/>
          <w:sz w:val="24"/>
          <w:highlight w:val="none"/>
        </w:rPr>
        <w:t>推荐</w:t>
      </w:r>
      <w:r>
        <w:rPr>
          <w:rFonts w:hint="eastAsia" w:asciiTheme="majorEastAsia" w:hAnsiTheme="majorEastAsia" w:eastAsiaTheme="majorEastAsia" w:cstheme="majorEastAsia"/>
          <w:b/>
          <w:color w:val="auto"/>
          <w:sz w:val="24"/>
          <w:highlight w:val="none"/>
          <w:lang w:val="en-US" w:eastAsia="zh-CN"/>
        </w:rPr>
        <w:t>成交</w:t>
      </w:r>
      <w:r>
        <w:rPr>
          <w:rFonts w:hint="eastAsia" w:asciiTheme="majorEastAsia" w:hAnsiTheme="majorEastAsia" w:eastAsiaTheme="majorEastAsia" w:cstheme="majorEastAsia"/>
          <w:b/>
          <w:color w:val="auto"/>
          <w:sz w:val="24"/>
          <w:highlight w:val="none"/>
        </w:rPr>
        <w:t>候选人</w:t>
      </w:r>
    </w:p>
    <w:p w14:paraId="38454C5F">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11.1</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推荐</w:t>
      </w:r>
      <w:r>
        <w:rPr>
          <w:rFonts w:hint="eastAsia" w:asciiTheme="majorEastAsia" w:hAnsiTheme="majorEastAsia" w:eastAsiaTheme="majorEastAsia" w:cstheme="majorEastAsia"/>
          <w:color w:val="auto"/>
          <w:szCs w:val="21"/>
          <w:highlight w:val="none"/>
          <w:lang w:val="en-US" w:eastAsia="zh-CN"/>
        </w:rPr>
        <w:t>3</w:t>
      </w:r>
      <w:r>
        <w:rPr>
          <w:rFonts w:hint="eastAsia" w:asciiTheme="majorEastAsia" w:hAnsiTheme="majorEastAsia" w:eastAsiaTheme="majorEastAsia" w:cstheme="majorEastAsia"/>
          <w:color w:val="auto"/>
          <w:szCs w:val="21"/>
          <w:highlight w:val="none"/>
        </w:rPr>
        <w:t>名</w:t>
      </w:r>
      <w:r>
        <w:rPr>
          <w:rFonts w:hint="eastAsia" w:asciiTheme="majorEastAsia" w:hAnsiTheme="majorEastAsia" w:eastAsiaTheme="majorEastAsia" w:cstheme="majorEastAsia"/>
          <w:color w:val="auto"/>
          <w:szCs w:val="21"/>
          <w:highlight w:val="none"/>
          <w:lang w:val="en-US" w:eastAsia="zh-CN"/>
        </w:rPr>
        <w:t>成交</w:t>
      </w:r>
      <w:r>
        <w:rPr>
          <w:rFonts w:hint="eastAsia" w:asciiTheme="majorEastAsia" w:hAnsiTheme="majorEastAsia" w:eastAsiaTheme="majorEastAsia" w:cstheme="majorEastAsia"/>
          <w:color w:val="auto"/>
          <w:szCs w:val="21"/>
          <w:highlight w:val="none"/>
        </w:rPr>
        <w:t>候选人，并标明排序。</w:t>
      </w:r>
    </w:p>
    <w:p w14:paraId="7B01461A">
      <w:pPr>
        <w:shd w:val="clear" w:color="auto" w:fill="auto"/>
        <w:snapToGrid w:val="0"/>
        <w:spacing w:line="400" w:lineRule="exact"/>
        <w:ind w:firstLine="426" w:firstLineChars="200"/>
        <w:rPr>
          <w:rFonts w:hint="eastAsia" w:eastAsia="宋体" w:asciiTheme="majorEastAsia" w:hAnsiTheme="majorEastAsia" w:cstheme="majorEastAsia"/>
          <w:color w:val="auto"/>
          <w:szCs w:val="21"/>
          <w:highlight w:val="none"/>
          <w:lang w:val="en-US" w:eastAsia="zh-CN"/>
        </w:rPr>
      </w:pPr>
      <w:r>
        <w:rPr>
          <w:rFonts w:hint="eastAsia" w:asciiTheme="majorEastAsia" w:hAnsiTheme="majorEastAsia" w:eastAsiaTheme="majorEastAsia" w:cstheme="majorEastAsia"/>
          <w:color w:val="auto"/>
          <w:szCs w:val="21"/>
          <w:highlight w:val="none"/>
          <w:lang w:val="en-US" w:eastAsia="zh-CN"/>
        </w:rPr>
        <w:t>11.2</w:t>
      </w:r>
      <w:r>
        <w:rPr>
          <w:rFonts w:hint="eastAsia" w:asciiTheme="majorEastAsia" w:hAnsiTheme="majorEastAsia" w:eastAsiaTheme="majorEastAsia" w:cstheme="majorEastAsia"/>
          <w:color w:val="auto"/>
          <w:szCs w:val="21"/>
          <w:highlight w:val="none"/>
        </w:rPr>
        <w:t>若出现最低评标价相同时,按投标报价由低到高的方式确定</w:t>
      </w:r>
      <w:r>
        <w:rPr>
          <w:rFonts w:hint="eastAsia" w:asciiTheme="majorEastAsia" w:hAnsiTheme="majorEastAsia" w:eastAsiaTheme="majorEastAsia" w:cstheme="majorEastAsia"/>
          <w:color w:val="auto"/>
          <w:szCs w:val="21"/>
          <w:highlight w:val="none"/>
          <w:lang w:eastAsia="zh-CN"/>
        </w:rPr>
        <w:t>成交</w:t>
      </w:r>
      <w:r>
        <w:rPr>
          <w:rFonts w:hint="eastAsia" w:asciiTheme="majorEastAsia" w:hAnsiTheme="majorEastAsia" w:eastAsiaTheme="majorEastAsia" w:cstheme="majorEastAsia"/>
          <w:color w:val="auto"/>
          <w:szCs w:val="21"/>
          <w:highlight w:val="none"/>
        </w:rPr>
        <w:t>候选人排序</w:t>
      </w: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rPr>
        <w:t>如果评标价相同且最低最终报价也相同，根据技术指标优劣顺序确定</w:t>
      </w:r>
      <w:r>
        <w:rPr>
          <w:rFonts w:hint="eastAsia" w:asciiTheme="majorEastAsia" w:hAnsiTheme="majorEastAsia" w:eastAsiaTheme="majorEastAsia" w:cstheme="majorEastAsia"/>
          <w:color w:val="auto"/>
          <w:szCs w:val="21"/>
          <w:highlight w:val="none"/>
          <w:lang w:eastAsia="zh-CN"/>
        </w:rPr>
        <w:t>成交</w:t>
      </w:r>
      <w:r>
        <w:rPr>
          <w:rFonts w:hint="eastAsia" w:asciiTheme="majorEastAsia" w:hAnsiTheme="majorEastAsia" w:eastAsiaTheme="majorEastAsia" w:cstheme="majorEastAsia"/>
          <w:color w:val="auto"/>
          <w:szCs w:val="21"/>
          <w:highlight w:val="none"/>
        </w:rPr>
        <w:t>候选人‌</w:t>
      </w: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rPr>
        <w:t>如果技术指标也相同，评标委员会应按照少数服从多数的原则进行投票表决，确定</w:t>
      </w:r>
      <w:r>
        <w:rPr>
          <w:rFonts w:hint="eastAsia" w:asciiTheme="majorEastAsia" w:hAnsiTheme="majorEastAsia" w:eastAsiaTheme="majorEastAsia" w:cstheme="majorEastAsia"/>
          <w:color w:val="auto"/>
          <w:szCs w:val="21"/>
          <w:highlight w:val="none"/>
          <w:lang w:eastAsia="zh-CN"/>
        </w:rPr>
        <w:t>成交</w:t>
      </w:r>
      <w:r>
        <w:rPr>
          <w:rFonts w:hint="eastAsia" w:asciiTheme="majorEastAsia" w:hAnsiTheme="majorEastAsia" w:eastAsiaTheme="majorEastAsia" w:cstheme="majorEastAsia"/>
          <w:color w:val="auto"/>
          <w:szCs w:val="21"/>
          <w:highlight w:val="none"/>
        </w:rPr>
        <w:t>候选人</w:t>
      </w:r>
      <w:r>
        <w:rPr>
          <w:rFonts w:hint="eastAsia" w:asciiTheme="majorEastAsia" w:hAnsiTheme="majorEastAsia" w:eastAsiaTheme="majorEastAsia" w:cstheme="majorEastAsia"/>
          <w:color w:val="auto"/>
          <w:szCs w:val="21"/>
          <w:highlight w:val="none"/>
          <w:lang w:eastAsia="zh-CN"/>
        </w:rPr>
        <w:t>。</w:t>
      </w:r>
      <w:r>
        <w:rPr>
          <w:rFonts w:ascii="Arial" w:hAnsi="Arial" w:eastAsia="Arial" w:cs="Arial"/>
          <w:i w:val="0"/>
          <w:iCs w:val="0"/>
          <w:caps w:val="0"/>
          <w:color w:val="333333"/>
          <w:spacing w:val="0"/>
          <w:sz w:val="14"/>
          <w:szCs w:val="14"/>
          <w:shd w:val="clear" w:fill="FFFFFF"/>
        </w:rPr>
        <w:t>‌</w:t>
      </w:r>
    </w:p>
    <w:p w14:paraId="292F4908">
      <w:pPr>
        <w:shd w:val="clear" w:color="auto" w:fill="auto"/>
        <w:snapToGrid w:val="0"/>
        <w:spacing w:line="400" w:lineRule="exact"/>
        <w:ind w:firstLine="426" w:firstLineChars="200"/>
        <w:rPr>
          <w:rFonts w:hint="eastAsia" w:asciiTheme="majorEastAsia" w:hAnsiTheme="majorEastAsia" w:eastAsiaTheme="majorEastAsia" w:cstheme="majorEastAsia"/>
          <w:b/>
          <w:color w:val="auto"/>
          <w:szCs w:val="21"/>
          <w:highlight w:val="none"/>
        </w:rPr>
      </w:pPr>
      <w:r>
        <w:rPr>
          <w:rFonts w:hint="eastAsia" w:asciiTheme="majorEastAsia" w:hAnsiTheme="majorEastAsia" w:eastAsiaTheme="majorEastAsia" w:cstheme="majorEastAsia"/>
          <w:b/>
          <w:color w:val="auto"/>
          <w:szCs w:val="21"/>
          <w:highlight w:val="none"/>
          <w:lang w:val="en-US" w:eastAsia="zh-CN"/>
        </w:rPr>
        <w:t>12.</w:t>
      </w:r>
      <w:r>
        <w:rPr>
          <w:rFonts w:hint="eastAsia" w:asciiTheme="majorEastAsia" w:hAnsiTheme="majorEastAsia" w:eastAsiaTheme="majorEastAsia" w:cstheme="majorEastAsia"/>
          <w:b/>
          <w:color w:val="auto"/>
          <w:szCs w:val="21"/>
          <w:highlight w:val="none"/>
        </w:rPr>
        <w:t>无效投标条款</w:t>
      </w:r>
    </w:p>
    <w:p w14:paraId="78463705">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12</w:t>
      </w:r>
      <w:r>
        <w:rPr>
          <w:rFonts w:hint="eastAsia" w:asciiTheme="majorEastAsia" w:hAnsiTheme="majorEastAsia" w:eastAsiaTheme="majorEastAsia" w:cstheme="majorEastAsia"/>
          <w:color w:val="auto"/>
          <w:szCs w:val="21"/>
          <w:highlight w:val="none"/>
        </w:rPr>
        <w:t>.1投标文件有下列情形之一的,其投标文件拒收:</w:t>
      </w:r>
    </w:p>
    <w:p w14:paraId="22457BC2">
      <w:pPr>
        <w:shd w:val="clear" w:color="auto" w:fill="auto"/>
        <w:snapToGrid w:val="0"/>
        <w:spacing w:line="400" w:lineRule="exact"/>
        <w:ind w:firstLine="426" w:firstLineChars="200"/>
        <w:jc w:val="left"/>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lang w:eastAsia="zh-CN"/>
        </w:rPr>
        <w:t>（</w:t>
      </w:r>
      <w:r>
        <w:rPr>
          <w:rFonts w:hint="eastAsia" w:asciiTheme="majorEastAsia" w:hAnsiTheme="majorEastAsia" w:eastAsiaTheme="majorEastAsia" w:cstheme="majorEastAsia"/>
          <w:b/>
          <w:bCs/>
          <w:color w:val="auto"/>
          <w:szCs w:val="21"/>
          <w:highlight w:val="none"/>
          <w:lang w:val="en-US" w:eastAsia="zh-CN"/>
        </w:rPr>
        <w:t>1</w:t>
      </w:r>
      <w:r>
        <w:rPr>
          <w:rFonts w:hint="eastAsia" w:asciiTheme="majorEastAsia" w:hAnsiTheme="majorEastAsia" w:eastAsiaTheme="majorEastAsia" w:cstheme="majorEastAsia"/>
          <w:b/>
          <w:bCs/>
          <w:color w:val="auto"/>
          <w:szCs w:val="21"/>
          <w:highlight w:val="none"/>
          <w:lang w:eastAsia="zh-CN"/>
        </w:rPr>
        <w:t>）</w:t>
      </w:r>
      <w:r>
        <w:rPr>
          <w:rFonts w:hint="eastAsia" w:asciiTheme="majorEastAsia" w:hAnsiTheme="majorEastAsia" w:eastAsiaTheme="majorEastAsia" w:cstheme="majorEastAsia"/>
          <w:b/>
          <w:bCs/>
          <w:color w:val="auto"/>
          <w:szCs w:val="21"/>
          <w:highlight w:val="none"/>
        </w:rPr>
        <w:t>未在开标截止时间前通过网上招标投标系统递交有效电子投标文件的，开标系统不予接收。</w:t>
      </w:r>
    </w:p>
    <w:p w14:paraId="1F03C986">
      <w:pPr>
        <w:shd w:val="clear" w:color="auto" w:fill="auto"/>
        <w:snapToGrid w:val="0"/>
        <w:spacing w:line="400" w:lineRule="exact"/>
        <w:ind w:firstLine="426" w:firstLineChars="200"/>
        <w:jc w:val="left"/>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rPr>
        <w:t>（2）</w:t>
      </w:r>
      <w:r>
        <w:rPr>
          <w:rFonts w:hint="eastAsia" w:asciiTheme="majorEastAsia" w:hAnsiTheme="majorEastAsia" w:eastAsiaTheme="majorEastAsia" w:cstheme="majorEastAsia"/>
          <w:b/>
          <w:color w:val="auto"/>
          <w:szCs w:val="21"/>
          <w:highlight w:val="none"/>
        </w:rPr>
        <w:t>所有投标人应在规定时间里完成投标文件的解密工作</w:t>
      </w:r>
      <w:r>
        <w:rPr>
          <w:rFonts w:hint="eastAsia" w:asciiTheme="majorEastAsia" w:hAnsiTheme="majorEastAsia" w:eastAsiaTheme="majorEastAsia" w:cstheme="majorEastAsia"/>
          <w:b/>
          <w:bCs/>
          <w:color w:val="auto"/>
          <w:szCs w:val="21"/>
          <w:highlight w:val="none"/>
        </w:rPr>
        <w:t>【投标人</w:t>
      </w:r>
      <w:r>
        <w:rPr>
          <w:rFonts w:hint="eastAsia" w:asciiTheme="majorEastAsia" w:hAnsiTheme="majorEastAsia" w:eastAsiaTheme="majorEastAsia" w:cstheme="majorEastAsia"/>
          <w:b/>
          <w:bCs/>
          <w:color w:val="auto"/>
          <w:szCs w:val="21"/>
          <w:highlight w:val="none"/>
          <w:lang w:eastAsia="zh-CN"/>
        </w:rPr>
        <w:t>使用</w:t>
      </w:r>
      <w:r>
        <w:rPr>
          <w:rFonts w:hint="eastAsia" w:asciiTheme="majorEastAsia" w:hAnsiTheme="majorEastAsia" w:eastAsiaTheme="majorEastAsia" w:cstheme="majorEastAsia"/>
          <w:b/>
          <w:bCs/>
          <w:color w:val="auto"/>
          <w:szCs w:val="21"/>
          <w:highlight w:val="none"/>
        </w:rPr>
        <w:t>其有效加密</w:t>
      </w:r>
    </w:p>
    <w:p w14:paraId="1928317D">
      <w:pPr>
        <w:shd w:val="clear" w:color="auto" w:fill="auto"/>
        <w:snapToGrid w:val="0"/>
        <w:spacing w:line="400" w:lineRule="exact"/>
        <w:jc w:val="left"/>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rPr>
        <w:t>锁（CA锁）</w:t>
      </w:r>
      <w:r>
        <w:rPr>
          <w:rFonts w:hint="eastAsia" w:asciiTheme="majorEastAsia" w:hAnsiTheme="majorEastAsia" w:eastAsiaTheme="majorEastAsia" w:cstheme="majorEastAsia"/>
          <w:b/>
          <w:bCs/>
          <w:color w:val="auto"/>
          <w:szCs w:val="21"/>
          <w:highlight w:val="none"/>
          <w:lang w:eastAsia="zh-CN"/>
        </w:rPr>
        <w:t>进行</w:t>
      </w:r>
      <w:r>
        <w:rPr>
          <w:rFonts w:hint="eastAsia" w:asciiTheme="majorEastAsia" w:hAnsiTheme="majorEastAsia" w:eastAsiaTheme="majorEastAsia" w:cstheme="majorEastAsia"/>
          <w:b/>
          <w:bCs/>
          <w:color w:val="auto"/>
          <w:szCs w:val="21"/>
          <w:highlight w:val="none"/>
        </w:rPr>
        <w:t>解密（因投标人原因未能提供有效CA锁对其投标文件进行解密的，其投标文件按无效标处理），以网上招投标系统解密倒计时为准】</w:t>
      </w:r>
      <w:r>
        <w:rPr>
          <w:rFonts w:hint="eastAsia" w:asciiTheme="majorEastAsia" w:hAnsiTheme="majorEastAsia" w:eastAsiaTheme="majorEastAsia" w:cstheme="majorEastAsia"/>
          <w:b/>
          <w:color w:val="auto"/>
          <w:szCs w:val="21"/>
          <w:highlight w:val="none"/>
        </w:rPr>
        <w:t>，因系统原因未能成功解密的投标文件，可导入</w:t>
      </w:r>
      <w:r>
        <w:rPr>
          <w:rFonts w:hint="eastAsia" w:asciiTheme="majorEastAsia" w:hAnsiTheme="majorEastAsia" w:eastAsiaTheme="majorEastAsia" w:cstheme="majorEastAsia"/>
          <w:b/>
          <w:color w:val="auto"/>
          <w:szCs w:val="21"/>
          <w:highlight w:val="none"/>
          <w:lang w:eastAsia="zh-CN"/>
        </w:rPr>
        <w:t>备份投标文件</w:t>
      </w:r>
      <w:r>
        <w:rPr>
          <w:rFonts w:hint="eastAsia" w:asciiTheme="majorEastAsia" w:hAnsiTheme="majorEastAsia" w:eastAsiaTheme="majorEastAsia" w:cstheme="majorEastAsia"/>
          <w:b/>
          <w:color w:val="auto"/>
          <w:szCs w:val="21"/>
          <w:highlight w:val="none"/>
        </w:rPr>
        <w:t>。</w:t>
      </w:r>
      <w:r>
        <w:rPr>
          <w:rFonts w:hint="eastAsia" w:asciiTheme="majorEastAsia" w:hAnsiTheme="majorEastAsia" w:eastAsiaTheme="majorEastAsia" w:cstheme="majorEastAsia"/>
          <w:b/>
          <w:color w:val="auto"/>
          <w:szCs w:val="21"/>
          <w:highlight w:val="none"/>
          <w:lang w:eastAsia="zh-CN"/>
        </w:rPr>
        <w:t>备份投标文件</w:t>
      </w:r>
      <w:r>
        <w:rPr>
          <w:rFonts w:hint="eastAsia" w:asciiTheme="majorEastAsia" w:hAnsiTheme="majorEastAsia" w:eastAsiaTheme="majorEastAsia" w:cstheme="majorEastAsia"/>
          <w:b/>
          <w:color w:val="auto"/>
          <w:szCs w:val="21"/>
          <w:highlight w:val="none"/>
        </w:rPr>
        <w:t>也无法导入的，则投标文件被否决。</w:t>
      </w:r>
    </w:p>
    <w:p w14:paraId="1BF6E37D">
      <w:pPr>
        <w:shd w:val="clear" w:color="auto" w:fill="auto"/>
        <w:snapToGrid w:val="0"/>
        <w:spacing w:line="400" w:lineRule="exact"/>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 xml:space="preserve">  </w:t>
      </w:r>
      <w:r>
        <w:rPr>
          <w:rFonts w:hint="eastAsia" w:asciiTheme="majorEastAsia" w:hAnsiTheme="majorEastAsia" w:eastAsiaTheme="majorEastAsia" w:cstheme="majorEastAsia"/>
          <w:color w:val="auto"/>
          <w:szCs w:val="21"/>
          <w:highlight w:val="none"/>
          <w:lang w:val="en-US" w:eastAsia="zh-CN"/>
        </w:rPr>
        <w:t>12</w:t>
      </w:r>
      <w:r>
        <w:rPr>
          <w:rFonts w:hint="eastAsia" w:asciiTheme="majorEastAsia" w:hAnsiTheme="majorEastAsia" w:eastAsiaTheme="majorEastAsia" w:cstheme="majorEastAsia"/>
          <w:color w:val="auto"/>
          <w:szCs w:val="21"/>
          <w:highlight w:val="none"/>
        </w:rPr>
        <w:t>.2投标人有下列情形之一的,资格审查后其投标作无效投标处理：</w:t>
      </w:r>
    </w:p>
    <w:p w14:paraId="106B7BA7">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(1)投标人为本项目提供招标代理服务的；</w:t>
      </w:r>
    </w:p>
    <w:p w14:paraId="425B0053">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w:t>
      </w:r>
      <w:r>
        <w:rPr>
          <w:rFonts w:hint="eastAsia" w:asciiTheme="majorEastAsia" w:hAnsiTheme="majorEastAsia" w:eastAsiaTheme="majorEastAsia" w:cstheme="majorEastAsia"/>
          <w:color w:val="auto"/>
          <w:szCs w:val="21"/>
          <w:highlight w:val="none"/>
          <w:lang w:val="en-US" w:eastAsia="zh-CN"/>
        </w:rPr>
        <w:t>2</w:t>
      </w:r>
      <w:r>
        <w:rPr>
          <w:rFonts w:hint="eastAsia" w:asciiTheme="majorEastAsia" w:hAnsiTheme="majorEastAsia" w:eastAsiaTheme="majorEastAsia" w:cstheme="majorEastAsia"/>
          <w:color w:val="auto"/>
          <w:szCs w:val="21"/>
          <w:highlight w:val="none"/>
        </w:rPr>
        <w:t>)投标人与在本项目代理机构存在相互任职或工作的；</w:t>
      </w:r>
    </w:p>
    <w:p w14:paraId="74DF3F4E">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w:t>
      </w:r>
      <w:r>
        <w:rPr>
          <w:rFonts w:hint="eastAsia" w:asciiTheme="majorEastAsia" w:hAnsiTheme="majorEastAsia" w:eastAsiaTheme="majorEastAsia" w:cstheme="majorEastAsia"/>
          <w:color w:val="auto"/>
          <w:szCs w:val="21"/>
          <w:highlight w:val="none"/>
          <w:lang w:val="en-US" w:eastAsia="zh-CN"/>
        </w:rPr>
        <w:t>3</w:t>
      </w:r>
      <w:r>
        <w:rPr>
          <w:rFonts w:hint="eastAsia" w:asciiTheme="majorEastAsia" w:hAnsiTheme="majorEastAsia" w:eastAsiaTheme="majorEastAsia" w:cstheme="majorEastAsia"/>
          <w:color w:val="auto"/>
          <w:szCs w:val="21"/>
          <w:highlight w:val="none"/>
        </w:rPr>
        <w:t>)投标保证金未按规定要求缴纳的；</w:t>
      </w:r>
    </w:p>
    <w:p w14:paraId="1469667B">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w:t>
      </w:r>
      <w:r>
        <w:rPr>
          <w:rFonts w:hint="eastAsia" w:asciiTheme="majorEastAsia" w:hAnsiTheme="majorEastAsia" w:eastAsiaTheme="majorEastAsia" w:cstheme="majorEastAsia"/>
          <w:color w:val="auto"/>
          <w:szCs w:val="21"/>
          <w:highlight w:val="none"/>
          <w:lang w:val="en-US" w:eastAsia="zh-CN"/>
        </w:rPr>
        <w:t>4</w:t>
      </w:r>
      <w:r>
        <w:rPr>
          <w:rFonts w:hint="eastAsia" w:asciiTheme="majorEastAsia" w:hAnsiTheme="majorEastAsia" w:eastAsiaTheme="majorEastAsia" w:cstheme="majorEastAsia"/>
          <w:color w:val="auto"/>
          <w:szCs w:val="21"/>
          <w:highlight w:val="none"/>
        </w:rPr>
        <w:t>)评标专家无法查看并检验电子标书中相关资料的；</w:t>
      </w:r>
    </w:p>
    <w:p w14:paraId="20603129">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w:t>
      </w:r>
      <w:r>
        <w:rPr>
          <w:rFonts w:hint="eastAsia" w:asciiTheme="majorEastAsia" w:hAnsiTheme="majorEastAsia" w:eastAsiaTheme="majorEastAsia" w:cstheme="majorEastAsia"/>
          <w:color w:val="auto"/>
          <w:szCs w:val="21"/>
          <w:highlight w:val="none"/>
          <w:lang w:val="en-US" w:eastAsia="zh-CN"/>
        </w:rPr>
        <w:t>5</w:t>
      </w:r>
      <w:r>
        <w:rPr>
          <w:rFonts w:hint="eastAsia" w:asciiTheme="majorEastAsia" w:hAnsiTheme="majorEastAsia" w:eastAsiaTheme="majorEastAsia" w:cstheme="majorEastAsia"/>
          <w:color w:val="auto"/>
          <w:szCs w:val="21"/>
          <w:highlight w:val="none"/>
        </w:rPr>
        <w:t>)联合体投标未提交联合体协议的；</w:t>
      </w:r>
    </w:p>
    <w:p w14:paraId="15DD5295">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w:t>
      </w:r>
      <w:r>
        <w:rPr>
          <w:rFonts w:hint="eastAsia" w:asciiTheme="majorEastAsia" w:hAnsiTheme="majorEastAsia" w:eastAsiaTheme="majorEastAsia" w:cstheme="majorEastAsia"/>
          <w:color w:val="auto"/>
          <w:szCs w:val="21"/>
          <w:highlight w:val="none"/>
          <w:lang w:val="en-US" w:eastAsia="zh-CN"/>
        </w:rPr>
        <w:t>6</w:t>
      </w:r>
      <w:r>
        <w:rPr>
          <w:rFonts w:hint="eastAsia" w:asciiTheme="majorEastAsia" w:hAnsiTheme="majorEastAsia" w:eastAsiaTheme="majorEastAsia" w:cstheme="majorEastAsia"/>
          <w:color w:val="auto"/>
          <w:szCs w:val="21"/>
          <w:highlight w:val="none"/>
        </w:rPr>
        <w:t>)被暂停营业的；</w:t>
      </w:r>
    </w:p>
    <w:p w14:paraId="4230C910">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w:t>
      </w:r>
      <w:r>
        <w:rPr>
          <w:rFonts w:hint="eastAsia" w:asciiTheme="majorEastAsia" w:hAnsiTheme="majorEastAsia" w:eastAsiaTheme="majorEastAsia" w:cstheme="majorEastAsia"/>
          <w:color w:val="auto"/>
          <w:szCs w:val="21"/>
          <w:highlight w:val="none"/>
          <w:lang w:val="en-US" w:eastAsia="zh-CN"/>
        </w:rPr>
        <w:t>7</w:t>
      </w:r>
      <w:r>
        <w:rPr>
          <w:rFonts w:hint="eastAsia" w:asciiTheme="majorEastAsia" w:hAnsiTheme="majorEastAsia" w:eastAsiaTheme="majorEastAsia" w:cstheme="majorEastAsia"/>
          <w:color w:val="auto"/>
          <w:szCs w:val="21"/>
          <w:highlight w:val="none"/>
        </w:rPr>
        <w:t>)被暂停或取消投标资格的；</w:t>
      </w:r>
    </w:p>
    <w:p w14:paraId="7602201D">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w:t>
      </w:r>
      <w:r>
        <w:rPr>
          <w:rFonts w:hint="eastAsia" w:asciiTheme="majorEastAsia" w:hAnsiTheme="majorEastAsia" w:eastAsiaTheme="majorEastAsia" w:cstheme="majorEastAsia"/>
          <w:color w:val="auto"/>
          <w:szCs w:val="21"/>
          <w:highlight w:val="none"/>
          <w:lang w:val="en-US" w:eastAsia="zh-CN"/>
        </w:rPr>
        <w:t>8</w:t>
      </w:r>
      <w:r>
        <w:rPr>
          <w:rFonts w:hint="eastAsia" w:asciiTheme="majorEastAsia" w:hAnsiTheme="majorEastAsia" w:eastAsiaTheme="majorEastAsia" w:cstheme="majorEastAsia"/>
          <w:color w:val="auto"/>
          <w:szCs w:val="21"/>
          <w:highlight w:val="none"/>
        </w:rPr>
        <w:t>)财产被接管或冻结的；</w:t>
      </w:r>
    </w:p>
    <w:p w14:paraId="0E822C86">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lang w:val="en-US" w:eastAsia="zh-CN"/>
        </w:rPr>
        <w:t>9</w:t>
      </w:r>
      <w:r>
        <w:rPr>
          <w:rFonts w:hint="eastAsia" w:asciiTheme="majorEastAsia" w:hAnsiTheme="majorEastAsia" w:eastAsiaTheme="majorEastAsia" w:cstheme="majorEastAsia"/>
          <w:color w:val="auto"/>
          <w:szCs w:val="21"/>
          <w:highlight w:val="none"/>
        </w:rPr>
        <w:t>)投标人单位负责人为同一人或者存在控股、管理关系的不同单位的；</w:t>
      </w:r>
    </w:p>
    <w:p w14:paraId="1D356B60">
      <w:pPr>
        <w:shd w:val="clear" w:color="auto" w:fill="auto"/>
        <w:snapToGrid w:val="0"/>
        <w:spacing w:line="400" w:lineRule="exact"/>
        <w:ind w:firstLine="319" w:firstLineChars="150"/>
        <w:jc w:val="left"/>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lang w:val="en-US" w:eastAsia="zh-CN"/>
        </w:rPr>
        <w:t>10</w:t>
      </w: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rPr>
        <w:t>投标人基本资格条件和特定资格条件中有一项及以上不符合要求的；</w:t>
      </w:r>
    </w:p>
    <w:p w14:paraId="0F46BD70">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（1</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rPr>
        <w:t>）投标人使用相同的MAC地址进行报名的；</w:t>
      </w:r>
    </w:p>
    <w:p w14:paraId="40A4C904">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（1</w:t>
      </w:r>
      <w:r>
        <w:rPr>
          <w:rFonts w:hint="eastAsia" w:asciiTheme="majorEastAsia" w:hAnsiTheme="majorEastAsia" w:eastAsiaTheme="majorEastAsia" w:cstheme="majorEastAsia"/>
          <w:color w:val="auto"/>
          <w:szCs w:val="21"/>
          <w:highlight w:val="none"/>
          <w:lang w:val="en-US" w:eastAsia="zh-CN"/>
        </w:rPr>
        <w:t>2</w:t>
      </w:r>
      <w:r>
        <w:rPr>
          <w:rFonts w:hint="eastAsia" w:asciiTheme="majorEastAsia" w:hAnsiTheme="majorEastAsia" w:eastAsiaTheme="majorEastAsia" w:cstheme="majorEastAsia"/>
          <w:color w:val="auto"/>
          <w:szCs w:val="21"/>
          <w:highlight w:val="none"/>
        </w:rPr>
        <w:t>）其它情形，经</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委提出按无效投标处理，并经监督部门核准的；</w:t>
      </w:r>
    </w:p>
    <w:p w14:paraId="4ECD27FD">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（1</w:t>
      </w:r>
      <w:r>
        <w:rPr>
          <w:rFonts w:hint="eastAsia" w:asciiTheme="majorEastAsia" w:hAnsiTheme="majorEastAsia" w:eastAsiaTheme="majorEastAsia" w:cstheme="majorEastAsia"/>
          <w:color w:val="auto"/>
          <w:szCs w:val="21"/>
          <w:highlight w:val="none"/>
          <w:lang w:val="en-US" w:eastAsia="zh-CN"/>
        </w:rPr>
        <w:t>3</w:t>
      </w:r>
      <w:r>
        <w:rPr>
          <w:rFonts w:hint="eastAsia" w:asciiTheme="majorEastAsia" w:hAnsiTheme="majorEastAsia" w:eastAsiaTheme="majorEastAsia" w:cstheme="majorEastAsia"/>
          <w:color w:val="auto"/>
          <w:szCs w:val="21"/>
          <w:highlight w:val="none"/>
        </w:rPr>
        <w:t>）投标人使用相同IP地址报名的，一经发现，监管部门将进一步核实，查实后按串通投标处理；</w:t>
      </w:r>
    </w:p>
    <w:p w14:paraId="10AA76ED">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（1</w:t>
      </w:r>
      <w:r>
        <w:rPr>
          <w:rFonts w:hint="eastAsia" w:asciiTheme="majorEastAsia" w:hAnsiTheme="majorEastAsia" w:eastAsiaTheme="majorEastAsia" w:cstheme="majorEastAsia"/>
          <w:color w:val="auto"/>
          <w:szCs w:val="21"/>
          <w:highlight w:val="none"/>
          <w:lang w:val="en-US" w:eastAsia="zh-CN"/>
        </w:rPr>
        <w:t>4</w:t>
      </w:r>
      <w:r>
        <w:rPr>
          <w:rFonts w:hint="eastAsia" w:asciiTheme="majorEastAsia" w:hAnsiTheme="majorEastAsia" w:eastAsiaTheme="majorEastAsia" w:cstheme="majorEastAsia"/>
          <w:color w:val="auto"/>
          <w:szCs w:val="21"/>
          <w:highlight w:val="none"/>
        </w:rPr>
        <w:t>）</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规定的其它无效投标情形。</w:t>
      </w:r>
    </w:p>
    <w:p w14:paraId="0A8EF346">
      <w:pPr>
        <w:shd w:val="clear" w:color="auto" w:fill="auto"/>
        <w:snapToGrid w:val="0"/>
        <w:spacing w:line="400" w:lineRule="exact"/>
        <w:ind w:firstLine="426" w:firstLineChars="200"/>
        <w:jc w:val="left"/>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lang w:val="en-US" w:eastAsia="zh-CN"/>
        </w:rPr>
        <w:t>12</w:t>
      </w:r>
      <w:r>
        <w:rPr>
          <w:rFonts w:hint="eastAsia" w:asciiTheme="majorEastAsia" w:hAnsiTheme="majorEastAsia" w:eastAsiaTheme="majorEastAsia" w:cstheme="majorEastAsia"/>
          <w:b/>
          <w:bCs/>
          <w:color w:val="auto"/>
          <w:szCs w:val="21"/>
          <w:highlight w:val="none"/>
        </w:rPr>
        <w:t>.3 投标人有下列情形之一的,符合性审查后其投标按无效投标处理：</w:t>
      </w:r>
    </w:p>
    <w:p w14:paraId="1B7D0F11">
      <w:pPr>
        <w:shd w:val="clear" w:color="auto" w:fill="auto"/>
        <w:snapToGrid w:val="0"/>
        <w:spacing w:line="400" w:lineRule="exact"/>
        <w:ind w:firstLine="426" w:firstLineChars="200"/>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rPr>
        <w:t>(1)投标文件签字、盖章不全，经</w:t>
      </w:r>
      <w:r>
        <w:rPr>
          <w:rFonts w:hint="eastAsia" w:asciiTheme="majorEastAsia" w:hAnsiTheme="majorEastAsia" w:eastAsiaTheme="majorEastAsia" w:cstheme="majorEastAsia"/>
          <w:b/>
          <w:bCs/>
          <w:color w:val="auto"/>
          <w:szCs w:val="21"/>
          <w:highlight w:val="none"/>
          <w:lang w:eastAsia="zh-CN"/>
        </w:rPr>
        <w:t>谈判小组</w:t>
      </w:r>
      <w:r>
        <w:rPr>
          <w:rFonts w:hint="eastAsia" w:asciiTheme="majorEastAsia" w:hAnsiTheme="majorEastAsia" w:eastAsiaTheme="majorEastAsia" w:cstheme="majorEastAsia"/>
          <w:b/>
          <w:bCs/>
          <w:color w:val="auto"/>
          <w:szCs w:val="21"/>
          <w:highlight w:val="none"/>
        </w:rPr>
        <w:t>一致认定对开评标内容有实质性影响并经监督部门核准的；</w:t>
      </w:r>
    </w:p>
    <w:p w14:paraId="743608AB">
      <w:pPr>
        <w:shd w:val="clear" w:color="auto" w:fill="auto"/>
        <w:snapToGrid w:val="0"/>
        <w:spacing w:line="400" w:lineRule="exact"/>
        <w:ind w:firstLine="426" w:firstLineChars="200"/>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rPr>
        <w:t>(</w:t>
      </w:r>
      <w:r>
        <w:rPr>
          <w:rFonts w:hint="eastAsia" w:asciiTheme="majorEastAsia" w:hAnsiTheme="majorEastAsia" w:eastAsiaTheme="majorEastAsia" w:cstheme="majorEastAsia"/>
          <w:b/>
          <w:bCs/>
          <w:color w:val="auto"/>
          <w:szCs w:val="21"/>
          <w:highlight w:val="none"/>
          <w:lang w:val="en-US" w:eastAsia="zh-CN"/>
        </w:rPr>
        <w:t>2</w:t>
      </w:r>
      <w:r>
        <w:rPr>
          <w:rFonts w:hint="eastAsia" w:asciiTheme="majorEastAsia" w:hAnsiTheme="majorEastAsia" w:eastAsiaTheme="majorEastAsia" w:cstheme="majorEastAsia"/>
          <w:b/>
          <w:bCs/>
          <w:color w:val="auto"/>
          <w:szCs w:val="21"/>
          <w:highlight w:val="none"/>
        </w:rPr>
        <w:t>)未按规定的格式填写，实质性内容不全或关键字迹模糊、无法辨认; 经监督部门核准的；</w:t>
      </w:r>
    </w:p>
    <w:p w14:paraId="75073743">
      <w:pPr>
        <w:shd w:val="clear" w:color="auto" w:fill="auto"/>
        <w:snapToGrid w:val="0"/>
        <w:spacing w:line="400" w:lineRule="exact"/>
        <w:ind w:firstLine="426" w:firstLineChars="200"/>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rPr>
        <w:t>(</w:t>
      </w:r>
      <w:r>
        <w:rPr>
          <w:rFonts w:hint="eastAsia" w:asciiTheme="majorEastAsia" w:hAnsiTheme="majorEastAsia" w:eastAsiaTheme="majorEastAsia" w:cstheme="majorEastAsia"/>
          <w:b/>
          <w:bCs/>
          <w:color w:val="auto"/>
          <w:szCs w:val="21"/>
          <w:highlight w:val="none"/>
          <w:lang w:val="en-US" w:eastAsia="zh-CN"/>
        </w:rPr>
        <w:t>3</w:t>
      </w:r>
      <w:r>
        <w:rPr>
          <w:rFonts w:hint="eastAsia" w:asciiTheme="majorEastAsia" w:hAnsiTheme="majorEastAsia" w:eastAsiaTheme="majorEastAsia" w:cstheme="majorEastAsia"/>
          <w:b/>
          <w:bCs/>
          <w:color w:val="auto"/>
          <w:szCs w:val="21"/>
          <w:highlight w:val="none"/>
        </w:rPr>
        <w:t>)同一投标人提交两个以上不同的投标文件或者投标报价，但</w:t>
      </w:r>
      <w:r>
        <w:rPr>
          <w:rFonts w:hint="eastAsia" w:asciiTheme="majorEastAsia" w:hAnsiTheme="majorEastAsia" w:eastAsiaTheme="majorEastAsia" w:cstheme="majorEastAsia"/>
          <w:b/>
          <w:bCs/>
          <w:color w:val="auto"/>
          <w:szCs w:val="21"/>
          <w:highlight w:val="none"/>
          <w:lang w:eastAsia="zh-CN"/>
        </w:rPr>
        <w:t>采购文件</w:t>
      </w:r>
      <w:r>
        <w:rPr>
          <w:rFonts w:hint="eastAsia" w:asciiTheme="majorEastAsia" w:hAnsiTheme="majorEastAsia" w:eastAsiaTheme="majorEastAsia" w:cstheme="majorEastAsia"/>
          <w:b/>
          <w:bCs/>
          <w:color w:val="auto"/>
          <w:szCs w:val="21"/>
          <w:highlight w:val="none"/>
        </w:rPr>
        <w:t>规定提交备选方案的除外；</w:t>
      </w:r>
    </w:p>
    <w:p w14:paraId="3C972339">
      <w:pPr>
        <w:shd w:val="clear" w:color="auto" w:fill="auto"/>
        <w:snapToGrid w:val="0"/>
        <w:spacing w:line="400" w:lineRule="exact"/>
        <w:ind w:firstLine="426" w:firstLineChars="200"/>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rPr>
        <w:t>(</w:t>
      </w:r>
      <w:r>
        <w:rPr>
          <w:rFonts w:hint="eastAsia" w:asciiTheme="majorEastAsia" w:hAnsiTheme="majorEastAsia" w:eastAsiaTheme="majorEastAsia" w:cstheme="majorEastAsia"/>
          <w:b/>
          <w:bCs/>
          <w:color w:val="auto"/>
          <w:szCs w:val="21"/>
          <w:highlight w:val="none"/>
          <w:lang w:val="en-US" w:eastAsia="zh-CN"/>
        </w:rPr>
        <w:t>4</w:t>
      </w:r>
      <w:r>
        <w:rPr>
          <w:rFonts w:hint="eastAsia" w:asciiTheme="majorEastAsia" w:hAnsiTheme="majorEastAsia" w:eastAsiaTheme="majorEastAsia" w:cstheme="majorEastAsia"/>
          <w:b/>
          <w:bCs/>
          <w:color w:val="auto"/>
          <w:szCs w:val="21"/>
          <w:highlight w:val="none"/>
        </w:rPr>
        <w:t>)投标文件没有对</w:t>
      </w:r>
      <w:r>
        <w:rPr>
          <w:rFonts w:hint="eastAsia" w:asciiTheme="majorEastAsia" w:hAnsiTheme="majorEastAsia" w:eastAsiaTheme="majorEastAsia" w:cstheme="majorEastAsia"/>
          <w:b/>
          <w:bCs/>
          <w:color w:val="auto"/>
          <w:szCs w:val="21"/>
          <w:highlight w:val="none"/>
          <w:lang w:eastAsia="zh-CN"/>
        </w:rPr>
        <w:t>采购文件</w:t>
      </w:r>
      <w:r>
        <w:rPr>
          <w:rFonts w:hint="eastAsia" w:asciiTheme="majorEastAsia" w:hAnsiTheme="majorEastAsia" w:eastAsiaTheme="majorEastAsia" w:cstheme="majorEastAsia"/>
          <w:b/>
          <w:bCs/>
          <w:color w:val="auto"/>
          <w:szCs w:val="21"/>
          <w:highlight w:val="none"/>
        </w:rPr>
        <w:t>的实质性要求和条件作出响应;</w:t>
      </w:r>
    </w:p>
    <w:p w14:paraId="3D488CEC">
      <w:pPr>
        <w:shd w:val="clear" w:color="auto" w:fill="auto"/>
        <w:snapToGrid w:val="0"/>
        <w:spacing w:line="400" w:lineRule="exact"/>
        <w:ind w:firstLine="426" w:firstLineChars="200"/>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rPr>
        <w:t>(</w:t>
      </w:r>
      <w:r>
        <w:rPr>
          <w:rFonts w:hint="eastAsia" w:asciiTheme="majorEastAsia" w:hAnsiTheme="majorEastAsia" w:eastAsiaTheme="majorEastAsia" w:cstheme="majorEastAsia"/>
          <w:b/>
          <w:bCs/>
          <w:color w:val="auto"/>
          <w:szCs w:val="21"/>
          <w:highlight w:val="none"/>
          <w:lang w:val="en-US" w:eastAsia="zh-CN"/>
        </w:rPr>
        <w:t>5</w:t>
      </w:r>
      <w:r>
        <w:rPr>
          <w:rFonts w:hint="eastAsia" w:asciiTheme="majorEastAsia" w:hAnsiTheme="majorEastAsia" w:eastAsiaTheme="majorEastAsia" w:cstheme="majorEastAsia"/>
          <w:b/>
          <w:bCs/>
          <w:color w:val="auto"/>
          <w:szCs w:val="21"/>
          <w:highlight w:val="none"/>
        </w:rPr>
        <w:t>)投标报价超出规定的投标限价的；</w:t>
      </w:r>
    </w:p>
    <w:p w14:paraId="5CD2B2FC">
      <w:pPr>
        <w:shd w:val="clear" w:color="auto" w:fill="auto"/>
        <w:snapToGrid w:val="0"/>
        <w:spacing w:line="400" w:lineRule="exact"/>
        <w:ind w:firstLine="426" w:firstLineChars="200"/>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rPr>
        <w:t>(</w:t>
      </w:r>
      <w:r>
        <w:rPr>
          <w:rFonts w:hint="eastAsia" w:asciiTheme="majorEastAsia" w:hAnsiTheme="majorEastAsia" w:eastAsiaTheme="majorEastAsia" w:cstheme="majorEastAsia"/>
          <w:b/>
          <w:bCs/>
          <w:color w:val="auto"/>
          <w:szCs w:val="21"/>
          <w:highlight w:val="none"/>
          <w:lang w:val="en-US" w:eastAsia="zh-CN"/>
        </w:rPr>
        <w:t>6</w:t>
      </w:r>
      <w:r>
        <w:rPr>
          <w:rFonts w:hint="eastAsia" w:asciiTheme="majorEastAsia" w:hAnsiTheme="majorEastAsia" w:eastAsiaTheme="majorEastAsia" w:cstheme="majorEastAsia"/>
          <w:b/>
          <w:bCs/>
          <w:color w:val="auto"/>
          <w:szCs w:val="21"/>
          <w:highlight w:val="none"/>
        </w:rPr>
        <w:t>)不按</w:t>
      </w:r>
      <w:r>
        <w:rPr>
          <w:rFonts w:hint="eastAsia" w:asciiTheme="majorEastAsia" w:hAnsiTheme="majorEastAsia" w:eastAsiaTheme="majorEastAsia" w:cstheme="majorEastAsia"/>
          <w:b/>
          <w:bCs/>
          <w:color w:val="auto"/>
          <w:szCs w:val="21"/>
          <w:highlight w:val="none"/>
          <w:lang w:eastAsia="zh-CN"/>
        </w:rPr>
        <w:t>谈判小组</w:t>
      </w:r>
      <w:r>
        <w:rPr>
          <w:rFonts w:hint="eastAsia" w:asciiTheme="majorEastAsia" w:hAnsiTheme="majorEastAsia" w:eastAsiaTheme="majorEastAsia" w:cstheme="majorEastAsia"/>
          <w:b/>
          <w:bCs/>
          <w:color w:val="auto"/>
          <w:szCs w:val="21"/>
          <w:highlight w:val="none"/>
        </w:rPr>
        <w:t>要求澄清、说明或补正的，或者</w:t>
      </w:r>
      <w:r>
        <w:rPr>
          <w:rFonts w:hint="eastAsia" w:asciiTheme="majorEastAsia" w:hAnsiTheme="majorEastAsia" w:eastAsiaTheme="majorEastAsia" w:cstheme="majorEastAsia"/>
          <w:b/>
          <w:bCs/>
          <w:color w:val="auto"/>
          <w:szCs w:val="21"/>
          <w:highlight w:val="none"/>
          <w:lang w:eastAsia="zh-CN"/>
        </w:rPr>
        <w:t>谈判小组</w:t>
      </w:r>
      <w:r>
        <w:rPr>
          <w:rFonts w:hint="eastAsia" w:asciiTheme="majorEastAsia" w:hAnsiTheme="majorEastAsia" w:eastAsiaTheme="majorEastAsia" w:cstheme="majorEastAsia"/>
          <w:b/>
          <w:bCs/>
          <w:color w:val="auto"/>
          <w:szCs w:val="21"/>
          <w:highlight w:val="none"/>
        </w:rPr>
        <w:t>根据</w:t>
      </w:r>
      <w:r>
        <w:rPr>
          <w:rFonts w:hint="eastAsia" w:asciiTheme="majorEastAsia" w:hAnsiTheme="majorEastAsia" w:eastAsiaTheme="majorEastAsia" w:cstheme="majorEastAsia"/>
          <w:b/>
          <w:bCs/>
          <w:color w:val="auto"/>
          <w:szCs w:val="21"/>
          <w:highlight w:val="none"/>
          <w:lang w:eastAsia="zh-CN"/>
        </w:rPr>
        <w:t>采购文件</w:t>
      </w:r>
      <w:r>
        <w:rPr>
          <w:rFonts w:hint="eastAsia" w:asciiTheme="majorEastAsia" w:hAnsiTheme="majorEastAsia" w:eastAsiaTheme="majorEastAsia" w:cstheme="majorEastAsia"/>
          <w:b/>
          <w:bCs/>
          <w:color w:val="auto"/>
          <w:szCs w:val="21"/>
          <w:highlight w:val="none"/>
        </w:rPr>
        <w:t>的规定对</w:t>
      </w:r>
      <w:r>
        <w:rPr>
          <w:rFonts w:hint="eastAsia" w:asciiTheme="majorEastAsia" w:hAnsiTheme="majorEastAsia" w:eastAsiaTheme="majorEastAsia" w:cstheme="majorEastAsia"/>
          <w:b/>
          <w:bCs/>
          <w:color w:val="auto"/>
          <w:szCs w:val="21"/>
          <w:highlight w:val="none"/>
          <w:lang w:eastAsia="zh-CN"/>
        </w:rPr>
        <w:t>采购文件</w:t>
      </w:r>
      <w:r>
        <w:rPr>
          <w:rFonts w:hint="eastAsia" w:asciiTheme="majorEastAsia" w:hAnsiTheme="majorEastAsia" w:eastAsiaTheme="majorEastAsia" w:cstheme="majorEastAsia"/>
          <w:b/>
          <w:bCs/>
          <w:color w:val="auto"/>
          <w:szCs w:val="21"/>
          <w:highlight w:val="none"/>
        </w:rPr>
        <w:t>的计算错误进行修正后，投标人不接受修正的投标报价的。</w:t>
      </w:r>
    </w:p>
    <w:p w14:paraId="5CCF5201">
      <w:pPr>
        <w:shd w:val="clear" w:color="auto" w:fill="auto"/>
        <w:kinsoku/>
        <w:topLinePunct w:val="0"/>
        <w:bidi w:val="0"/>
        <w:snapToGrid w:val="0"/>
        <w:spacing w:line="38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b/>
          <w:bCs/>
          <w:color w:val="auto"/>
          <w:szCs w:val="21"/>
          <w:highlight w:val="none"/>
        </w:rPr>
        <w:t>（</w:t>
      </w:r>
      <w:r>
        <w:rPr>
          <w:rFonts w:hint="eastAsia" w:asciiTheme="majorEastAsia" w:hAnsiTheme="majorEastAsia" w:eastAsiaTheme="majorEastAsia" w:cstheme="majorEastAsia"/>
          <w:b/>
          <w:bCs/>
          <w:color w:val="auto"/>
          <w:szCs w:val="21"/>
          <w:highlight w:val="none"/>
          <w:lang w:val="en-US" w:eastAsia="zh-CN"/>
        </w:rPr>
        <w:t>7</w:t>
      </w:r>
      <w:r>
        <w:rPr>
          <w:rFonts w:hint="eastAsia" w:asciiTheme="majorEastAsia" w:hAnsiTheme="majorEastAsia" w:eastAsiaTheme="majorEastAsia" w:cstheme="majorEastAsia"/>
          <w:b/>
          <w:bCs/>
          <w:color w:val="auto"/>
          <w:szCs w:val="21"/>
          <w:highlight w:val="none"/>
        </w:rPr>
        <w:t>）其它情形，经</w:t>
      </w:r>
      <w:r>
        <w:rPr>
          <w:rFonts w:hint="eastAsia" w:asciiTheme="majorEastAsia" w:hAnsiTheme="majorEastAsia" w:eastAsiaTheme="majorEastAsia" w:cstheme="majorEastAsia"/>
          <w:b/>
          <w:bCs/>
          <w:color w:val="auto"/>
          <w:szCs w:val="21"/>
          <w:highlight w:val="none"/>
          <w:lang w:eastAsia="zh-CN"/>
        </w:rPr>
        <w:t>谈判小组</w:t>
      </w:r>
      <w:r>
        <w:rPr>
          <w:rFonts w:hint="eastAsia" w:asciiTheme="majorEastAsia" w:hAnsiTheme="majorEastAsia" w:eastAsiaTheme="majorEastAsia" w:cstheme="majorEastAsia"/>
          <w:b/>
          <w:bCs/>
          <w:color w:val="auto"/>
          <w:szCs w:val="21"/>
          <w:highlight w:val="none"/>
        </w:rPr>
        <w:t>委提出按无效投标处理，并经监督部门核准的；</w:t>
      </w:r>
    </w:p>
    <w:p w14:paraId="2975632A">
      <w:pPr>
        <w:shd w:val="clear" w:color="auto" w:fill="auto"/>
        <w:snapToGrid w:val="0"/>
        <w:spacing w:line="400" w:lineRule="exact"/>
        <w:ind w:firstLine="426" w:firstLineChars="200"/>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rPr>
        <w:t>（</w:t>
      </w:r>
      <w:r>
        <w:rPr>
          <w:rFonts w:hint="eastAsia" w:asciiTheme="majorEastAsia" w:hAnsiTheme="majorEastAsia" w:eastAsiaTheme="majorEastAsia" w:cstheme="majorEastAsia"/>
          <w:b/>
          <w:bCs/>
          <w:color w:val="auto"/>
          <w:szCs w:val="21"/>
          <w:highlight w:val="none"/>
          <w:lang w:val="en-US" w:eastAsia="zh-CN"/>
        </w:rPr>
        <w:t>8</w:t>
      </w:r>
      <w:r>
        <w:rPr>
          <w:rFonts w:hint="eastAsia" w:asciiTheme="majorEastAsia" w:hAnsiTheme="majorEastAsia" w:eastAsiaTheme="majorEastAsia" w:cstheme="majorEastAsia"/>
          <w:b/>
          <w:bCs/>
          <w:color w:val="auto"/>
          <w:szCs w:val="21"/>
          <w:highlight w:val="none"/>
        </w:rPr>
        <w:t>）未按照</w:t>
      </w:r>
      <w:r>
        <w:rPr>
          <w:rFonts w:hint="eastAsia" w:asciiTheme="majorEastAsia" w:hAnsiTheme="majorEastAsia" w:eastAsiaTheme="majorEastAsia" w:cstheme="majorEastAsia"/>
          <w:b/>
          <w:bCs/>
          <w:color w:val="auto"/>
          <w:szCs w:val="21"/>
          <w:highlight w:val="none"/>
          <w:lang w:eastAsia="zh-CN"/>
        </w:rPr>
        <w:t>谈判文件</w:t>
      </w:r>
      <w:r>
        <w:rPr>
          <w:rFonts w:hint="eastAsia" w:asciiTheme="majorEastAsia" w:hAnsiTheme="majorEastAsia" w:eastAsiaTheme="majorEastAsia" w:cstheme="majorEastAsia"/>
          <w:b/>
          <w:bCs/>
          <w:color w:val="auto"/>
          <w:szCs w:val="21"/>
          <w:highlight w:val="none"/>
        </w:rPr>
        <w:t>的规定提交投标保证金的；</w:t>
      </w:r>
    </w:p>
    <w:p w14:paraId="4A03CD46">
      <w:pPr>
        <w:shd w:val="clear" w:color="auto" w:fill="auto"/>
        <w:snapToGrid w:val="0"/>
        <w:spacing w:line="400" w:lineRule="exact"/>
        <w:ind w:firstLine="426" w:firstLineChars="200"/>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rPr>
        <w:t>（</w:t>
      </w:r>
      <w:r>
        <w:rPr>
          <w:rFonts w:hint="eastAsia" w:asciiTheme="majorEastAsia" w:hAnsiTheme="majorEastAsia" w:eastAsiaTheme="majorEastAsia" w:cstheme="majorEastAsia"/>
          <w:b/>
          <w:bCs/>
          <w:color w:val="auto"/>
          <w:szCs w:val="21"/>
          <w:highlight w:val="none"/>
          <w:lang w:val="en-US" w:eastAsia="zh-CN"/>
        </w:rPr>
        <w:t>9</w:t>
      </w:r>
      <w:r>
        <w:rPr>
          <w:rFonts w:hint="eastAsia" w:asciiTheme="majorEastAsia" w:hAnsiTheme="majorEastAsia" w:eastAsiaTheme="majorEastAsia" w:cstheme="majorEastAsia"/>
          <w:b/>
          <w:bCs/>
          <w:color w:val="auto"/>
          <w:szCs w:val="21"/>
          <w:highlight w:val="none"/>
        </w:rPr>
        <w:t>）投标文件含有采购人不能接受的附加条件的;</w:t>
      </w:r>
    </w:p>
    <w:p w14:paraId="36F2D663">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b/>
          <w:bCs/>
          <w:color w:val="auto"/>
          <w:szCs w:val="21"/>
          <w:highlight w:val="none"/>
        </w:rPr>
        <w:t>（</w:t>
      </w:r>
      <w:r>
        <w:rPr>
          <w:rFonts w:hint="eastAsia" w:asciiTheme="majorEastAsia" w:hAnsiTheme="majorEastAsia" w:eastAsiaTheme="majorEastAsia" w:cstheme="majorEastAsia"/>
          <w:b/>
          <w:bCs/>
          <w:color w:val="auto"/>
          <w:szCs w:val="21"/>
          <w:highlight w:val="none"/>
          <w:lang w:val="en-US" w:eastAsia="zh-CN"/>
        </w:rPr>
        <w:t>10</w:t>
      </w:r>
      <w:r>
        <w:rPr>
          <w:rFonts w:hint="eastAsia" w:asciiTheme="majorEastAsia" w:hAnsiTheme="majorEastAsia" w:eastAsiaTheme="majorEastAsia" w:cstheme="majorEastAsia"/>
          <w:b/>
          <w:bCs/>
          <w:color w:val="auto"/>
          <w:szCs w:val="21"/>
          <w:highlight w:val="none"/>
        </w:rPr>
        <w:t>）</w:t>
      </w:r>
      <w:r>
        <w:rPr>
          <w:rFonts w:hint="eastAsia" w:asciiTheme="majorEastAsia" w:hAnsiTheme="majorEastAsia" w:eastAsiaTheme="majorEastAsia" w:cstheme="majorEastAsia"/>
          <w:b/>
          <w:bCs/>
          <w:color w:val="auto"/>
          <w:szCs w:val="21"/>
          <w:highlight w:val="none"/>
          <w:lang w:eastAsia="zh-CN"/>
        </w:rPr>
        <w:t>采购文件</w:t>
      </w:r>
      <w:r>
        <w:rPr>
          <w:rFonts w:hint="eastAsia" w:asciiTheme="majorEastAsia" w:hAnsiTheme="majorEastAsia" w:eastAsiaTheme="majorEastAsia" w:cstheme="majorEastAsia"/>
          <w:b/>
          <w:bCs/>
          <w:color w:val="auto"/>
          <w:szCs w:val="21"/>
          <w:highlight w:val="none"/>
        </w:rPr>
        <w:t>规定的其它无效投标情形。</w:t>
      </w:r>
    </w:p>
    <w:p w14:paraId="4B24D597">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val="en-US" w:eastAsia="zh-CN"/>
        </w:rPr>
        <w:t>12</w:t>
      </w:r>
      <w:r>
        <w:rPr>
          <w:rFonts w:hint="eastAsia" w:asciiTheme="majorEastAsia" w:hAnsiTheme="majorEastAsia" w:eastAsiaTheme="majorEastAsia" w:cstheme="majorEastAsia"/>
          <w:color w:val="auto"/>
          <w:szCs w:val="21"/>
          <w:highlight w:val="none"/>
        </w:rPr>
        <w:t>.4 投标人有下列情形之一的, 详细评审后其投标按无效投标处理：</w:t>
      </w:r>
    </w:p>
    <w:p w14:paraId="36D0A85C">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lang w:val="en-US" w:eastAsia="zh-CN"/>
        </w:rPr>
        <w:t>1</w:t>
      </w: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rPr>
        <w:t>投标产品不符合必须强制执行的国家标准的；</w:t>
      </w:r>
    </w:p>
    <w:p w14:paraId="51167976">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lang w:val="en-US" w:eastAsia="zh-CN"/>
        </w:rPr>
        <w:t>2</w:t>
      </w: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rPr>
        <w:t>投标人有串通投标、弄虚作假、行贿等违法行为；</w:t>
      </w:r>
    </w:p>
    <w:p w14:paraId="3D8C9FA7">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lang w:val="en-US" w:eastAsia="zh-CN"/>
        </w:rPr>
        <w:t>3</w:t>
      </w: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rPr>
        <w:t>投标文件含有违反国家法律、法规的内容，或附有招标人不能接受的条件的；</w:t>
      </w:r>
    </w:p>
    <w:p w14:paraId="1AD62196">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lang w:val="en-US" w:eastAsia="zh-CN"/>
        </w:rPr>
        <w:t>4</w:t>
      </w: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rPr>
        <w:t>在同一项目（或同一标段）中有多个投标人有效投标报价接近最高限价，且</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认为报价出现异常的，可以宣布其投标无效；</w:t>
      </w:r>
    </w:p>
    <w:p w14:paraId="4236CFA9">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（5）报价明显低于其他投标人，且不能证明报价合理性的投标无效；</w:t>
      </w:r>
    </w:p>
    <w:p w14:paraId="2B75719D">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（6）拒不确认</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评审修正的投标无效；</w:t>
      </w:r>
    </w:p>
    <w:p w14:paraId="7E7F477D">
      <w:pPr>
        <w:shd w:val="clear" w:color="auto" w:fill="auto"/>
        <w:snapToGrid w:val="0"/>
        <w:spacing w:line="400" w:lineRule="exact"/>
        <w:ind w:firstLine="426" w:firstLineChars="2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（7）其它情形，经</w:t>
      </w:r>
      <w:r>
        <w:rPr>
          <w:rFonts w:hint="eastAsia" w:asciiTheme="majorEastAsia" w:hAnsiTheme="majorEastAsia" w:eastAsiaTheme="majorEastAsia" w:cstheme="majorEastAsia"/>
          <w:color w:val="auto"/>
          <w:szCs w:val="21"/>
          <w:highlight w:val="none"/>
          <w:lang w:eastAsia="zh-CN"/>
        </w:rPr>
        <w:t>谈判小组</w:t>
      </w:r>
      <w:r>
        <w:rPr>
          <w:rFonts w:hint="eastAsia" w:asciiTheme="majorEastAsia" w:hAnsiTheme="majorEastAsia" w:eastAsiaTheme="majorEastAsia" w:cstheme="majorEastAsia"/>
          <w:color w:val="auto"/>
          <w:szCs w:val="21"/>
          <w:highlight w:val="none"/>
        </w:rPr>
        <w:t>委提出按无效投标处理，并经监督部门核准的；</w:t>
      </w:r>
    </w:p>
    <w:p w14:paraId="20A7C519">
      <w:pPr>
        <w:shd w:val="clear" w:color="auto" w:fill="auto"/>
        <w:snapToGrid w:val="0"/>
        <w:spacing w:line="400" w:lineRule="exact"/>
        <w:ind w:firstLine="426" w:firstLineChars="200"/>
        <w:rPr>
          <w:rFonts w:hint="eastAsia" w:asciiTheme="majorEastAsia" w:hAnsiTheme="majorEastAsia" w:eastAsiaTheme="majorEastAsia" w:cstheme="majorEastAsia"/>
          <w:b/>
          <w:bCs/>
          <w:kern w:val="2"/>
          <w:sz w:val="30"/>
          <w:szCs w:val="30"/>
          <w:highlight w:val="none"/>
          <w:lang w:val="en-US" w:eastAsia="zh-CN" w:bidi="ar-SA"/>
        </w:rPr>
      </w:pPr>
      <w:r>
        <w:rPr>
          <w:rFonts w:hint="eastAsia" w:asciiTheme="majorEastAsia" w:hAnsiTheme="majorEastAsia" w:eastAsiaTheme="majorEastAsia" w:cstheme="majorEastAsia"/>
          <w:color w:val="auto"/>
          <w:szCs w:val="21"/>
          <w:highlight w:val="none"/>
        </w:rPr>
        <w:t>（8）</w:t>
      </w:r>
      <w:r>
        <w:rPr>
          <w:rFonts w:hint="eastAsia" w:asciiTheme="majorEastAsia" w:hAnsiTheme="majorEastAsia" w:eastAsiaTheme="majorEastAsia" w:cstheme="majorEastAsia"/>
          <w:color w:val="auto"/>
          <w:szCs w:val="21"/>
          <w:highlight w:val="none"/>
          <w:lang w:eastAsia="zh-CN"/>
        </w:rPr>
        <w:t>采购文件</w:t>
      </w:r>
      <w:r>
        <w:rPr>
          <w:rFonts w:hint="eastAsia" w:asciiTheme="majorEastAsia" w:hAnsiTheme="majorEastAsia" w:eastAsiaTheme="majorEastAsia" w:cstheme="majorEastAsia"/>
          <w:color w:val="auto"/>
          <w:szCs w:val="21"/>
          <w:highlight w:val="none"/>
        </w:rPr>
        <w:t>规定的其它无效投标情形。</w:t>
      </w:r>
      <w:bookmarkEnd w:id="72"/>
      <w:bookmarkEnd w:id="73"/>
      <w:bookmarkEnd w:id="76"/>
      <w:bookmarkEnd w:id="77"/>
    </w:p>
    <w:p w14:paraId="6035BD25">
      <w:pPr>
        <w:rPr>
          <w:rFonts w:hint="eastAsia" w:asciiTheme="majorEastAsia" w:hAnsiTheme="majorEastAsia" w:eastAsiaTheme="majorEastAsia" w:cstheme="majorEastAsia"/>
          <w:b/>
          <w:bCs/>
          <w:sz w:val="22"/>
          <w:szCs w:val="28"/>
          <w:highlight w:val="none"/>
          <w:lang w:val="en-US" w:eastAsia="zh-CN"/>
        </w:rPr>
      </w:pPr>
    </w:p>
    <w:bookmarkEnd w:id="2"/>
    <w:p w14:paraId="2A0C0771">
      <w:pPr>
        <w:numPr>
          <w:ilvl w:val="0"/>
          <w:numId w:val="0"/>
        </w:numPr>
        <w:jc w:val="center"/>
        <w:rPr>
          <w:rFonts w:hint="eastAsia" w:asciiTheme="majorEastAsia" w:hAnsiTheme="majorEastAsia" w:eastAsiaTheme="majorEastAsia" w:cstheme="majorEastAsia"/>
          <w:b/>
          <w:bCs/>
          <w:sz w:val="32"/>
          <w:szCs w:val="40"/>
          <w:highlight w:val="none"/>
          <w:lang w:val="en-US" w:eastAsia="zh-CN"/>
        </w:rPr>
      </w:pPr>
      <w:bookmarkStart w:id="78" w:name="_Toc469495740"/>
      <w:r>
        <w:rPr>
          <w:rFonts w:hint="eastAsia" w:asciiTheme="majorEastAsia" w:hAnsiTheme="majorEastAsia" w:eastAsiaTheme="majorEastAsia" w:cstheme="majorEastAsia"/>
          <w:b/>
          <w:bCs/>
          <w:kern w:val="2"/>
          <w:sz w:val="32"/>
          <w:szCs w:val="40"/>
          <w:lang w:val="en-US" w:eastAsia="zh-CN" w:bidi="ar-SA"/>
        </w:rPr>
        <w:t>第四章、</w:t>
      </w:r>
      <w:r>
        <w:rPr>
          <w:rFonts w:hint="eastAsia" w:asciiTheme="majorEastAsia" w:hAnsiTheme="majorEastAsia" w:eastAsiaTheme="majorEastAsia" w:cstheme="majorEastAsia"/>
          <w:b/>
          <w:bCs/>
          <w:sz w:val="32"/>
          <w:szCs w:val="40"/>
          <w:highlight w:val="none"/>
          <w:lang w:val="en-US" w:eastAsia="zh-CN"/>
        </w:rPr>
        <w:t>采购内容（技术）及商务要求</w:t>
      </w:r>
    </w:p>
    <w:p w14:paraId="39F93DFD">
      <w:pPr>
        <w:pStyle w:val="11"/>
        <w:keepNext w:val="0"/>
        <w:keepLines w:val="0"/>
        <w:pageBreakBefore w:val="0"/>
        <w:widowControl w:val="0"/>
        <w:shd w:val="clear" w:color="auto" w:fill="auto"/>
        <w:kinsoku/>
        <w:wordWrap/>
        <w:overflowPunct/>
        <w:topLinePunct w:val="0"/>
        <w:autoSpaceDE/>
        <w:autoSpaceDN/>
        <w:bidi w:val="0"/>
        <w:adjustRightInd/>
        <w:snapToGrid/>
        <w:spacing w:after="0" w:line="440" w:lineRule="exact"/>
        <w:ind w:firstLine="486"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服务要求：</w:t>
      </w:r>
    </w:p>
    <w:p w14:paraId="706831A6">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（一）</w:t>
      </w:r>
      <w:r>
        <w:rPr>
          <w:rFonts w:hint="eastAsia" w:hAnsi="宋体" w:cs="宋体"/>
          <w:b w:val="0"/>
          <w:bCs/>
          <w:color w:val="auto"/>
          <w:sz w:val="24"/>
          <w:szCs w:val="24"/>
          <w:highlight w:val="none"/>
          <w:lang w:val="en-US" w:eastAsia="zh-CN"/>
        </w:rPr>
        <w:t>采购人</w:t>
      </w:r>
      <w:r>
        <w:rPr>
          <w:rFonts w:hint="eastAsia" w:hAnsi="宋体" w:cs="宋体"/>
          <w:b w:val="0"/>
          <w:bCs/>
          <w:color w:val="auto"/>
          <w:sz w:val="24"/>
          <w:szCs w:val="24"/>
          <w:highlight w:val="none"/>
        </w:rPr>
        <w:t>的权利</w:t>
      </w:r>
    </w:p>
    <w:p w14:paraId="25B3FFAE">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w:t>
      </w:r>
      <w:r>
        <w:rPr>
          <w:rFonts w:hint="eastAsia" w:hAnsi="宋体" w:cs="宋体"/>
          <w:b w:val="0"/>
          <w:bCs/>
          <w:color w:val="auto"/>
          <w:sz w:val="24"/>
          <w:szCs w:val="24"/>
          <w:highlight w:val="none"/>
          <w:lang w:val="en-US" w:eastAsia="zh-CN"/>
        </w:rPr>
        <w:t>采购人</w:t>
      </w:r>
      <w:r>
        <w:rPr>
          <w:rFonts w:hint="eastAsia" w:hAnsi="宋体" w:cs="宋体"/>
          <w:b w:val="0"/>
          <w:bCs/>
          <w:color w:val="auto"/>
          <w:sz w:val="24"/>
          <w:szCs w:val="24"/>
          <w:highlight w:val="none"/>
        </w:rPr>
        <w:t>为劳务</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人员安排工作岗位，并可根据工作需要，调整其工作岗位。自被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劳动者至</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报到之日起，</w:t>
      </w:r>
      <w:r>
        <w:rPr>
          <w:rFonts w:hint="eastAsia" w:hAnsi="宋体" w:cs="宋体"/>
          <w:b w:val="0"/>
          <w:bCs/>
          <w:color w:val="auto"/>
          <w:sz w:val="24"/>
          <w:szCs w:val="24"/>
          <w:highlight w:val="none"/>
          <w:lang w:val="en-US" w:eastAsia="zh-CN"/>
        </w:rPr>
        <w:t>采购人</w:t>
      </w:r>
      <w:r>
        <w:rPr>
          <w:rFonts w:hint="eastAsia" w:hAnsi="宋体" w:cs="宋体"/>
          <w:b w:val="0"/>
          <w:bCs/>
          <w:color w:val="auto"/>
          <w:sz w:val="24"/>
          <w:szCs w:val="24"/>
          <w:highlight w:val="none"/>
        </w:rPr>
        <w:t>按国家法律和</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的规章制度对被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劳动者实施用工管理。管理内容包括但不限于考勤管理、工作分配、日常管理、安全防范等项目。</w:t>
      </w:r>
    </w:p>
    <w:p w14:paraId="17A14E49">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2.确定</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人员的工作岗位、待遇和应具备的条件；</w:t>
      </w:r>
      <w:r>
        <w:rPr>
          <w:rFonts w:hint="eastAsia" w:hAnsi="宋体" w:cs="宋体"/>
          <w:b w:val="0"/>
          <w:bCs/>
          <w:color w:val="auto"/>
          <w:sz w:val="24"/>
          <w:szCs w:val="24"/>
          <w:highlight w:val="none"/>
          <w:lang w:val="en-US" w:eastAsia="zh-CN"/>
        </w:rPr>
        <w:t>采购人</w:t>
      </w:r>
      <w:r>
        <w:rPr>
          <w:rFonts w:hint="eastAsia" w:hAnsi="宋体" w:cs="宋体"/>
          <w:b w:val="0"/>
          <w:bCs/>
          <w:color w:val="auto"/>
          <w:sz w:val="24"/>
          <w:szCs w:val="24"/>
          <w:highlight w:val="none"/>
        </w:rPr>
        <w:t>可以根据确定的用工期限，要求</w:t>
      </w:r>
      <w:r>
        <w:rPr>
          <w:rFonts w:hint="eastAsia" w:hAnsi="宋体" w:cs="宋体"/>
          <w:b w:val="0"/>
          <w:bCs/>
          <w:color w:val="auto"/>
          <w:sz w:val="24"/>
          <w:szCs w:val="24"/>
          <w:highlight w:val="none"/>
          <w:lang w:val="en-US" w:eastAsia="zh-CN"/>
        </w:rPr>
        <w:t>供应商</w:t>
      </w:r>
      <w:r>
        <w:rPr>
          <w:rFonts w:hint="eastAsia" w:hAnsi="宋体" w:cs="宋体"/>
          <w:b w:val="0"/>
          <w:bCs/>
          <w:color w:val="auto"/>
          <w:sz w:val="24"/>
          <w:szCs w:val="24"/>
          <w:highlight w:val="none"/>
        </w:rPr>
        <w:t>依法与首次被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劳动者约定试用期。试用期期限按照《</w:t>
      </w:r>
      <w:r>
        <w:rPr>
          <w:rFonts w:hint="eastAsia" w:hAnsi="宋体" w:cs="宋体"/>
          <w:b w:val="0"/>
          <w:bCs/>
          <w:color w:val="auto"/>
          <w:sz w:val="24"/>
          <w:szCs w:val="24"/>
          <w:highlight w:val="none"/>
          <w:lang w:val="en-US" w:eastAsia="zh-CN"/>
        </w:rPr>
        <w:t>中华人民共和国民法典</w:t>
      </w:r>
      <w:r>
        <w:rPr>
          <w:rFonts w:hint="eastAsia" w:hAnsi="宋体" w:cs="宋体"/>
          <w:b w:val="0"/>
          <w:bCs/>
          <w:color w:val="auto"/>
          <w:sz w:val="24"/>
          <w:szCs w:val="24"/>
          <w:highlight w:val="none"/>
        </w:rPr>
        <w:t>》</w:t>
      </w:r>
      <w:r>
        <w:rPr>
          <w:rFonts w:hint="eastAsia" w:hAnsi="宋体" w:cs="宋体"/>
          <w:b w:val="0"/>
          <w:bCs/>
          <w:color w:val="auto"/>
          <w:sz w:val="24"/>
          <w:szCs w:val="24"/>
          <w:highlight w:val="none"/>
          <w:lang w:eastAsia="zh-CN"/>
        </w:rPr>
        <w:t>（</w:t>
      </w:r>
      <w:r>
        <w:rPr>
          <w:rFonts w:hint="eastAsia" w:hAnsi="宋体" w:cs="宋体"/>
          <w:b w:val="0"/>
          <w:bCs/>
          <w:color w:val="auto"/>
          <w:sz w:val="24"/>
          <w:szCs w:val="24"/>
          <w:highlight w:val="none"/>
          <w:lang w:val="en-US" w:eastAsia="zh-CN"/>
        </w:rPr>
        <w:t>合同篇</w:t>
      </w:r>
      <w:r>
        <w:rPr>
          <w:rFonts w:hint="eastAsia" w:hAnsi="宋体" w:cs="宋体"/>
          <w:b w:val="0"/>
          <w:bCs/>
          <w:color w:val="auto"/>
          <w:sz w:val="24"/>
          <w:szCs w:val="24"/>
          <w:highlight w:val="none"/>
          <w:lang w:eastAsia="zh-CN"/>
        </w:rPr>
        <w:t>）</w:t>
      </w:r>
      <w:r>
        <w:rPr>
          <w:rFonts w:hint="eastAsia" w:hAnsi="宋体" w:cs="宋体"/>
          <w:b w:val="0"/>
          <w:bCs/>
          <w:color w:val="auto"/>
          <w:sz w:val="24"/>
          <w:szCs w:val="24"/>
          <w:highlight w:val="none"/>
        </w:rPr>
        <w:t>的规定执行。</w:t>
      </w:r>
    </w:p>
    <w:p w14:paraId="0199A240">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3.</w:t>
      </w:r>
      <w:r>
        <w:rPr>
          <w:rFonts w:hint="eastAsia" w:hAnsi="宋体" w:cs="宋体"/>
          <w:b w:val="0"/>
          <w:bCs/>
          <w:color w:val="auto"/>
          <w:sz w:val="24"/>
          <w:szCs w:val="24"/>
          <w:highlight w:val="none"/>
          <w:lang w:val="en-US" w:eastAsia="zh-CN"/>
        </w:rPr>
        <w:t>采购人</w:t>
      </w:r>
      <w:r>
        <w:rPr>
          <w:rFonts w:hint="eastAsia" w:hAnsi="宋体" w:cs="宋体"/>
          <w:b w:val="0"/>
          <w:bCs/>
          <w:color w:val="auto"/>
          <w:sz w:val="24"/>
          <w:szCs w:val="24"/>
          <w:highlight w:val="none"/>
        </w:rPr>
        <w:t>有权要求</w:t>
      </w:r>
      <w:r>
        <w:rPr>
          <w:rFonts w:hint="eastAsia" w:hAnsi="宋体" w:cs="宋体"/>
          <w:b w:val="0"/>
          <w:bCs/>
          <w:color w:val="auto"/>
          <w:sz w:val="24"/>
          <w:szCs w:val="24"/>
          <w:highlight w:val="none"/>
          <w:lang w:val="en-US" w:eastAsia="zh-CN"/>
        </w:rPr>
        <w:t>供应商</w:t>
      </w:r>
      <w:r>
        <w:rPr>
          <w:rFonts w:hint="eastAsia" w:hAnsi="宋体" w:cs="宋体"/>
          <w:b w:val="0"/>
          <w:bCs/>
          <w:color w:val="auto"/>
          <w:sz w:val="24"/>
          <w:szCs w:val="24"/>
          <w:highlight w:val="none"/>
        </w:rPr>
        <w:t>提供与</w:t>
      </w:r>
      <w:r>
        <w:rPr>
          <w:rFonts w:hint="eastAsia" w:hAnsi="宋体" w:cs="宋体"/>
          <w:b w:val="0"/>
          <w:bCs/>
          <w:color w:val="auto"/>
          <w:sz w:val="24"/>
          <w:szCs w:val="24"/>
          <w:highlight w:val="none"/>
          <w:lang w:val="en-US" w:eastAsia="zh-CN"/>
        </w:rPr>
        <w:t>供应商</w:t>
      </w:r>
      <w:r>
        <w:rPr>
          <w:rFonts w:hint="eastAsia" w:hAnsi="宋体" w:cs="宋体"/>
          <w:b w:val="0"/>
          <w:bCs/>
          <w:color w:val="auto"/>
          <w:sz w:val="24"/>
          <w:szCs w:val="24"/>
          <w:highlight w:val="none"/>
        </w:rPr>
        <w:t>及</w:t>
      </w:r>
      <w:r>
        <w:rPr>
          <w:rFonts w:hint="eastAsia" w:hAnsi="宋体" w:cs="宋体"/>
          <w:b w:val="0"/>
          <w:bCs/>
          <w:color w:val="auto"/>
          <w:sz w:val="24"/>
          <w:szCs w:val="24"/>
          <w:highlight w:val="none"/>
          <w:lang w:val="en-US" w:eastAsia="zh-CN"/>
        </w:rPr>
        <w:t>供应商</w:t>
      </w:r>
      <w:r>
        <w:rPr>
          <w:rFonts w:hint="eastAsia" w:hAnsi="宋体" w:cs="宋体"/>
          <w:b w:val="0"/>
          <w:bCs/>
          <w:color w:val="auto"/>
          <w:sz w:val="24"/>
          <w:szCs w:val="24"/>
          <w:highlight w:val="none"/>
        </w:rPr>
        <w:t>外包服务人员相关的资料或文件，包括但不限于</w:t>
      </w:r>
      <w:r>
        <w:rPr>
          <w:rFonts w:hint="eastAsia" w:hAnsi="宋体" w:cs="宋体"/>
          <w:b w:val="0"/>
          <w:bCs/>
          <w:color w:val="auto"/>
          <w:sz w:val="24"/>
          <w:szCs w:val="24"/>
          <w:highlight w:val="none"/>
          <w:lang w:val="en-US" w:eastAsia="zh-CN"/>
        </w:rPr>
        <w:t>供应商</w:t>
      </w:r>
      <w:r>
        <w:rPr>
          <w:rFonts w:hint="eastAsia" w:hAnsi="宋体" w:cs="宋体"/>
          <w:b w:val="0"/>
          <w:bCs/>
          <w:color w:val="auto"/>
          <w:sz w:val="24"/>
          <w:szCs w:val="24"/>
          <w:highlight w:val="none"/>
        </w:rPr>
        <w:t>所有的公司证照、资质文件以及</w:t>
      </w:r>
      <w:r>
        <w:rPr>
          <w:rFonts w:hint="eastAsia" w:hAnsi="宋体" w:cs="宋体"/>
          <w:b w:val="0"/>
          <w:bCs/>
          <w:color w:val="auto"/>
          <w:sz w:val="24"/>
          <w:szCs w:val="24"/>
          <w:highlight w:val="none"/>
          <w:lang w:val="en-US" w:eastAsia="zh-CN"/>
        </w:rPr>
        <w:t>供应商</w:t>
      </w:r>
      <w:r>
        <w:rPr>
          <w:rFonts w:hint="eastAsia" w:hAnsi="宋体" w:cs="宋体"/>
          <w:b w:val="0"/>
          <w:bCs/>
          <w:color w:val="auto"/>
          <w:sz w:val="24"/>
          <w:szCs w:val="24"/>
          <w:highlight w:val="none"/>
        </w:rPr>
        <w:t>外包服务人员的健康证、劳务合同、社会保险证明、学历证明、身份证明等。</w:t>
      </w:r>
      <w:r>
        <w:rPr>
          <w:rFonts w:hint="eastAsia" w:hAnsi="宋体" w:cs="宋体"/>
          <w:b w:val="0"/>
          <w:bCs/>
          <w:color w:val="auto"/>
          <w:sz w:val="24"/>
          <w:szCs w:val="24"/>
          <w:highlight w:val="none"/>
          <w:lang w:val="en-US" w:eastAsia="zh-CN"/>
        </w:rPr>
        <w:t>供应商</w:t>
      </w:r>
      <w:r>
        <w:rPr>
          <w:rFonts w:hint="eastAsia" w:hAnsi="宋体" w:cs="宋体"/>
          <w:b w:val="0"/>
          <w:bCs/>
          <w:color w:val="auto"/>
          <w:sz w:val="24"/>
          <w:szCs w:val="24"/>
          <w:highlight w:val="none"/>
        </w:rPr>
        <w:t>有义务提供前述资料或文件，并确保以上资料或文件真实、合法、有效。</w:t>
      </w:r>
    </w:p>
    <w:p w14:paraId="7FB64731">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4.</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认为</w:t>
      </w:r>
      <w:r>
        <w:rPr>
          <w:rFonts w:hint="eastAsia" w:hAnsi="宋体" w:cs="宋体"/>
          <w:b w:val="0"/>
          <w:bCs/>
          <w:color w:val="auto"/>
          <w:sz w:val="24"/>
          <w:szCs w:val="24"/>
          <w:highlight w:val="none"/>
          <w:lang w:val="en-US" w:eastAsia="zh-CN"/>
        </w:rPr>
        <w:t>供应商</w:t>
      </w:r>
      <w:r>
        <w:rPr>
          <w:rFonts w:hint="eastAsia" w:hAnsi="宋体" w:cs="宋体"/>
          <w:b w:val="0"/>
          <w:bCs/>
          <w:color w:val="auto"/>
          <w:sz w:val="24"/>
          <w:szCs w:val="24"/>
          <w:highlight w:val="none"/>
        </w:rPr>
        <w:t>有任何违反或可能违反本协议的行为，</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有权提出书面意见，要求</w:t>
      </w:r>
      <w:r>
        <w:rPr>
          <w:rFonts w:hint="eastAsia" w:hAnsi="宋体" w:cs="宋体"/>
          <w:b w:val="0"/>
          <w:bCs/>
          <w:color w:val="auto"/>
          <w:sz w:val="24"/>
          <w:szCs w:val="24"/>
          <w:highlight w:val="none"/>
          <w:lang w:val="en-US" w:eastAsia="zh-CN"/>
        </w:rPr>
        <w:t>供应商</w:t>
      </w:r>
      <w:r>
        <w:rPr>
          <w:rFonts w:hint="eastAsia" w:hAnsi="宋体" w:cs="宋体"/>
          <w:b w:val="0"/>
          <w:bCs/>
          <w:color w:val="auto"/>
          <w:sz w:val="24"/>
          <w:szCs w:val="24"/>
          <w:highlight w:val="none"/>
        </w:rPr>
        <w:t>限期整改。</w:t>
      </w:r>
      <w:r>
        <w:rPr>
          <w:rFonts w:hint="eastAsia" w:hAnsi="宋体" w:cs="宋体"/>
          <w:b w:val="0"/>
          <w:bCs/>
          <w:color w:val="auto"/>
          <w:sz w:val="24"/>
          <w:szCs w:val="24"/>
          <w:highlight w:val="none"/>
          <w:lang w:val="en-US" w:eastAsia="zh-CN"/>
        </w:rPr>
        <w:t>供应商</w:t>
      </w:r>
      <w:r>
        <w:rPr>
          <w:rFonts w:hint="eastAsia" w:hAnsi="宋体" w:cs="宋体"/>
          <w:b w:val="0"/>
          <w:bCs/>
          <w:color w:val="auto"/>
          <w:sz w:val="24"/>
          <w:szCs w:val="24"/>
          <w:highlight w:val="none"/>
        </w:rPr>
        <w:t>应在收到</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的书面意见后三个工作日内，以书面形式将其整改的结果或整改措施回复</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。如</w:t>
      </w:r>
      <w:r>
        <w:rPr>
          <w:rFonts w:hint="eastAsia" w:hAnsi="宋体" w:cs="宋体"/>
          <w:b w:val="0"/>
          <w:bCs/>
          <w:color w:val="auto"/>
          <w:sz w:val="24"/>
          <w:szCs w:val="24"/>
          <w:highlight w:val="none"/>
          <w:lang w:val="en-US" w:eastAsia="zh-CN"/>
        </w:rPr>
        <w:t>供应商</w:t>
      </w:r>
      <w:r>
        <w:rPr>
          <w:rFonts w:hint="eastAsia" w:hAnsi="宋体" w:cs="宋体"/>
          <w:b w:val="0"/>
          <w:bCs/>
          <w:color w:val="auto"/>
          <w:sz w:val="24"/>
          <w:szCs w:val="24"/>
          <w:highlight w:val="none"/>
        </w:rPr>
        <w:t>未能在收到</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书面意见后三个工作日内进行令</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满意的整改，</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有权终止本协议并要求</w:t>
      </w:r>
      <w:r>
        <w:rPr>
          <w:rFonts w:hint="eastAsia" w:hAnsi="宋体" w:cs="宋体"/>
          <w:b w:val="0"/>
          <w:bCs/>
          <w:color w:val="auto"/>
          <w:sz w:val="24"/>
          <w:szCs w:val="24"/>
          <w:highlight w:val="none"/>
          <w:lang w:val="en-US" w:eastAsia="zh-CN"/>
        </w:rPr>
        <w:t>供应商</w:t>
      </w:r>
      <w:r>
        <w:rPr>
          <w:rFonts w:hint="eastAsia" w:hAnsi="宋体" w:cs="宋体"/>
          <w:b w:val="0"/>
          <w:bCs/>
          <w:color w:val="auto"/>
          <w:sz w:val="24"/>
          <w:szCs w:val="24"/>
          <w:highlight w:val="none"/>
        </w:rPr>
        <w:t>赔偿由此产生的损失。</w:t>
      </w:r>
    </w:p>
    <w:p w14:paraId="223BCC2B">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5.有下列情形之一者，</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有权将</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人员退回，要求</w:t>
      </w:r>
      <w:r>
        <w:rPr>
          <w:rFonts w:hint="eastAsia" w:hAnsi="宋体" w:cs="宋体"/>
          <w:b w:val="0"/>
          <w:bCs/>
          <w:color w:val="auto"/>
          <w:sz w:val="24"/>
          <w:szCs w:val="24"/>
          <w:highlight w:val="none"/>
          <w:lang w:val="en-US" w:eastAsia="zh-CN"/>
        </w:rPr>
        <w:t>供应商</w:t>
      </w:r>
      <w:r>
        <w:rPr>
          <w:rFonts w:hint="eastAsia" w:hAnsi="宋体" w:cs="宋体"/>
          <w:b w:val="0"/>
          <w:bCs/>
          <w:color w:val="auto"/>
          <w:sz w:val="24"/>
          <w:szCs w:val="24"/>
          <w:highlight w:val="none"/>
        </w:rPr>
        <w:t>及时更换，并不支付有下列情形</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人员的经济补偿金：</w:t>
      </w:r>
    </w:p>
    <w:p w14:paraId="6147421D">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（1）在试用期内被证明不符合录用条件的；</w:t>
      </w:r>
    </w:p>
    <w:p w14:paraId="0F48990B">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（2）对不胜任工作、经过培训或调整工作岗位仍不能胜任的</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w:t>
      </w:r>
    </w:p>
    <w:p w14:paraId="4A2C94D9">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（3）严重违反</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规章制度、操作规程的；</w:t>
      </w:r>
    </w:p>
    <w:p w14:paraId="06ED543D">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（4）失职、渎职、营私舞弊，给</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造成重大损失的；</w:t>
      </w:r>
    </w:p>
    <w:p w14:paraId="31568D8D">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（5）未递交辞职报告或递交辞职报告后不满30日提前离岗人员，连续3天旷工不发当月工资，连续15天旷工按自动离职处理；</w:t>
      </w:r>
    </w:p>
    <w:p w14:paraId="03038A47">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（6）被依法追究刑事责任的；</w:t>
      </w:r>
    </w:p>
    <w:p w14:paraId="59D1CCF7">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（7）提供虚假入职资料的；</w:t>
      </w:r>
    </w:p>
    <w:p w14:paraId="6C023B0C">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（8）同时与其他用人单位建立劳动关系，对完成本单位的工作任务造成影响，或者经用人单位提出，拒不改正的；</w:t>
      </w:r>
    </w:p>
    <w:p w14:paraId="7B7F355A">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（9）患病或非因工负伤，在规定的医疗期满后不能从事原工作，也不能从事另行安排的工作的；</w:t>
      </w:r>
    </w:p>
    <w:p w14:paraId="62AF27D7">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（10）劳务</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协议期满的；</w:t>
      </w:r>
    </w:p>
    <w:p w14:paraId="0630D25B">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（11）法律法规规定的其他情形。</w:t>
      </w:r>
    </w:p>
    <w:p w14:paraId="7C50375A">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6.</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有权依据</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的规章制度对</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人员进行管理和考核，并根据</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人员的工作表现及绩效考核结果进行奖励和处罚，对绩效考核不合格的</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有权要求</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退换。并要求</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继续履行相应义务。</w:t>
      </w:r>
    </w:p>
    <w:p w14:paraId="317B0D89">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7.</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在合同履行期间，可以根据工作需求的变化对岗位及工作时间进行调整，</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在收到</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书面通知后2个工作日内完成岗位和人员的调配、调整工作。</w:t>
      </w:r>
    </w:p>
    <w:p w14:paraId="1321310C">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8.在合同期内，因</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工作需要转变</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人员管理模式，将</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人员劳动关系转移至其他劳务外包公司，</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办理</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人员解除劳动关系，</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不支付经济补偿金等。如</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人员放弃劳动关系转移至外包公司，</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需协助解决</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人人员</w:t>
      </w:r>
      <w:r>
        <w:rPr>
          <w:rFonts w:hint="eastAsia" w:hAnsi="宋体" w:cs="宋体"/>
          <w:b w:val="0"/>
          <w:bCs/>
          <w:color w:val="auto"/>
          <w:sz w:val="24"/>
          <w:szCs w:val="24"/>
          <w:highlight w:val="none"/>
          <w:lang w:val="en-US" w:eastAsia="zh-CN"/>
        </w:rPr>
        <w:t>工</w:t>
      </w:r>
      <w:r>
        <w:rPr>
          <w:rFonts w:hint="eastAsia" w:hAnsi="宋体" w:cs="宋体"/>
          <w:b w:val="0"/>
          <w:bCs/>
          <w:color w:val="auto"/>
          <w:sz w:val="24"/>
          <w:szCs w:val="24"/>
          <w:highlight w:val="none"/>
        </w:rPr>
        <w:t>作，将</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w:t>
      </w:r>
      <w:r>
        <w:rPr>
          <w:rFonts w:hint="eastAsia" w:hAnsi="宋体" w:cs="宋体"/>
          <w:b w:val="0"/>
          <w:bCs/>
          <w:color w:val="auto"/>
          <w:sz w:val="24"/>
          <w:szCs w:val="24"/>
          <w:highlight w:val="none"/>
          <w:lang w:val="en-US" w:eastAsia="zh-CN"/>
        </w:rPr>
        <w:t>安排</w:t>
      </w:r>
      <w:r>
        <w:rPr>
          <w:rFonts w:hint="eastAsia" w:hAnsi="宋体" w:cs="宋体"/>
          <w:b w:val="0"/>
          <w:bCs/>
          <w:color w:val="auto"/>
          <w:sz w:val="24"/>
          <w:szCs w:val="24"/>
          <w:highlight w:val="none"/>
        </w:rPr>
        <w:t>到其他单位，</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不支付经济补偿金。</w:t>
      </w:r>
    </w:p>
    <w:p w14:paraId="458ABC9E">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9.监督</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对</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人员的管理。</w:t>
      </w:r>
    </w:p>
    <w:p w14:paraId="17371778">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10.</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有权查询</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发放劳务</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人员的工资和缴纳相关保险费等情况，发现问题</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可以依法向</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交涉并要求纠正，因此造成</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损失的，</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应当给予</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赔偿。</w:t>
      </w:r>
    </w:p>
    <w:p w14:paraId="79FB7E34">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11.双方商定的其他权利。</w:t>
      </w:r>
    </w:p>
    <w:p w14:paraId="4C3FCAFA">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（二）</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的义务</w:t>
      </w:r>
    </w:p>
    <w:p w14:paraId="42680E1B">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安排同意录用的</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人员从事相应的岗位工作，执行国家劳动标准，提供相应的劳动条件和劳动保护，对</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人员提供的工作环境应符合《</w:t>
      </w:r>
      <w:r>
        <w:rPr>
          <w:rFonts w:hint="eastAsia" w:hAnsi="宋体" w:cs="宋体"/>
          <w:b w:val="0"/>
          <w:bCs/>
          <w:color w:val="auto"/>
          <w:sz w:val="24"/>
          <w:szCs w:val="24"/>
          <w:highlight w:val="none"/>
          <w:lang w:val="en-US" w:eastAsia="zh-CN"/>
        </w:rPr>
        <w:t>中华人民共和国民法典</w:t>
      </w:r>
      <w:r>
        <w:rPr>
          <w:rFonts w:hint="eastAsia" w:hAnsi="宋体" w:cs="宋体"/>
          <w:b w:val="0"/>
          <w:bCs/>
          <w:color w:val="auto"/>
          <w:sz w:val="24"/>
          <w:szCs w:val="24"/>
          <w:highlight w:val="none"/>
        </w:rPr>
        <w:t>》</w:t>
      </w:r>
      <w:r>
        <w:rPr>
          <w:rFonts w:hint="eastAsia" w:hAnsi="宋体" w:cs="宋体"/>
          <w:b w:val="0"/>
          <w:bCs/>
          <w:color w:val="auto"/>
          <w:sz w:val="24"/>
          <w:szCs w:val="24"/>
          <w:highlight w:val="none"/>
          <w:lang w:eastAsia="zh-CN"/>
        </w:rPr>
        <w:t>（</w:t>
      </w:r>
      <w:r>
        <w:rPr>
          <w:rFonts w:hint="eastAsia" w:hAnsi="宋体" w:cs="宋体"/>
          <w:b w:val="0"/>
          <w:bCs/>
          <w:color w:val="auto"/>
          <w:sz w:val="24"/>
          <w:szCs w:val="24"/>
          <w:highlight w:val="none"/>
          <w:lang w:val="en-US" w:eastAsia="zh-CN"/>
        </w:rPr>
        <w:t>合同篇</w:t>
      </w:r>
      <w:r>
        <w:rPr>
          <w:rFonts w:hint="eastAsia" w:hAnsi="宋体" w:cs="宋体"/>
          <w:b w:val="0"/>
          <w:bCs/>
          <w:color w:val="auto"/>
          <w:sz w:val="24"/>
          <w:szCs w:val="24"/>
          <w:highlight w:val="none"/>
          <w:lang w:eastAsia="zh-CN"/>
        </w:rPr>
        <w:t>）</w:t>
      </w:r>
      <w:r>
        <w:rPr>
          <w:rFonts w:hint="eastAsia" w:hAnsi="宋体" w:cs="宋体"/>
          <w:b w:val="0"/>
          <w:bCs/>
          <w:color w:val="auto"/>
          <w:sz w:val="24"/>
          <w:szCs w:val="24"/>
          <w:highlight w:val="none"/>
        </w:rPr>
        <w:t>的规定。</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有权对</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人员的岗位进行必要的调整，但应保证该</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人员的合法权益不受损害。</w:t>
      </w:r>
    </w:p>
    <w:p w14:paraId="2CC938D3">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2.对</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人员进行思想政治和职业道德、劳动纪律、规章制度等方面的管理教育，并根据情况对</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人员进行工作指导和业务培训。</w:t>
      </w:r>
    </w:p>
    <w:p w14:paraId="52D158CD">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3.执行国家劳动标准，保证被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劳动者依法享有国家规定的法定节假日，被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劳动者具体工作时间和休息日，按</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规定执行。</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期间，对患病或非因公负伤在规定医疗期以及有《</w:t>
      </w:r>
      <w:r>
        <w:rPr>
          <w:rFonts w:hint="eastAsia" w:hAnsi="宋体" w:cs="宋体"/>
          <w:b w:val="0"/>
          <w:bCs/>
          <w:color w:val="auto"/>
          <w:sz w:val="24"/>
          <w:szCs w:val="24"/>
          <w:highlight w:val="none"/>
          <w:lang w:val="en-US" w:eastAsia="zh-CN"/>
        </w:rPr>
        <w:t>中华人民共和国民法典</w:t>
      </w:r>
      <w:r>
        <w:rPr>
          <w:rFonts w:hint="eastAsia" w:hAnsi="宋体" w:cs="宋体"/>
          <w:b w:val="0"/>
          <w:bCs/>
          <w:color w:val="auto"/>
          <w:sz w:val="24"/>
          <w:szCs w:val="24"/>
          <w:highlight w:val="none"/>
        </w:rPr>
        <w:t>》</w:t>
      </w:r>
      <w:r>
        <w:rPr>
          <w:rFonts w:hint="eastAsia" w:hAnsi="宋体" w:cs="宋体"/>
          <w:b w:val="0"/>
          <w:bCs/>
          <w:color w:val="auto"/>
          <w:sz w:val="24"/>
          <w:szCs w:val="24"/>
          <w:highlight w:val="none"/>
          <w:lang w:eastAsia="zh-CN"/>
        </w:rPr>
        <w:t>（</w:t>
      </w:r>
      <w:r>
        <w:rPr>
          <w:rFonts w:hint="eastAsia" w:hAnsi="宋体" w:cs="宋体"/>
          <w:b w:val="0"/>
          <w:bCs/>
          <w:color w:val="auto"/>
          <w:sz w:val="24"/>
          <w:szCs w:val="24"/>
          <w:highlight w:val="none"/>
          <w:lang w:val="en-US" w:eastAsia="zh-CN"/>
        </w:rPr>
        <w:t>合同篇</w:t>
      </w:r>
      <w:r>
        <w:rPr>
          <w:rFonts w:hint="eastAsia" w:hAnsi="宋体" w:cs="宋体"/>
          <w:b w:val="0"/>
          <w:bCs/>
          <w:color w:val="auto"/>
          <w:sz w:val="24"/>
          <w:szCs w:val="24"/>
          <w:highlight w:val="none"/>
          <w:lang w:eastAsia="zh-CN"/>
        </w:rPr>
        <w:t>）</w:t>
      </w:r>
      <w:r>
        <w:rPr>
          <w:rFonts w:hint="eastAsia" w:hAnsi="宋体" w:cs="宋体"/>
          <w:b w:val="0"/>
          <w:bCs/>
          <w:color w:val="auto"/>
          <w:sz w:val="24"/>
          <w:szCs w:val="24"/>
          <w:highlight w:val="none"/>
        </w:rPr>
        <w:t>规定的其他不得解除或终止劳务合同情形的被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劳动者，医疗期满后，不能胜任工作的，可退回</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w:t>
      </w:r>
    </w:p>
    <w:p w14:paraId="4EEA21BE">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4.按月将应付的劳务</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费用汇入</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指定账户。</w:t>
      </w:r>
    </w:p>
    <w:p w14:paraId="14D58111">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eastAsia="宋体" w:cs="宋体"/>
          <w:b w:val="0"/>
          <w:bCs/>
          <w:color w:val="auto"/>
          <w:sz w:val="24"/>
          <w:szCs w:val="24"/>
          <w:highlight w:val="none"/>
          <w:lang w:eastAsia="zh-CN"/>
        </w:rPr>
      </w:pPr>
      <w:r>
        <w:rPr>
          <w:rFonts w:hint="eastAsia" w:hAnsi="宋体" w:cs="宋体"/>
          <w:b w:val="0"/>
          <w:bCs/>
          <w:color w:val="auto"/>
          <w:sz w:val="24"/>
          <w:szCs w:val="24"/>
          <w:highlight w:val="none"/>
        </w:rPr>
        <w:t>（</w:t>
      </w:r>
      <w:r>
        <w:rPr>
          <w:rFonts w:hint="eastAsia" w:hAnsi="宋体" w:cs="宋体"/>
          <w:b w:val="0"/>
          <w:bCs/>
          <w:color w:val="auto"/>
          <w:sz w:val="24"/>
          <w:szCs w:val="24"/>
          <w:highlight w:val="none"/>
          <w:lang w:val="en-US" w:eastAsia="zh-CN"/>
        </w:rPr>
        <w:t>三</w:t>
      </w:r>
      <w:r>
        <w:rPr>
          <w:rFonts w:hint="eastAsia" w:hAnsi="宋体" w:cs="宋体"/>
          <w:b w:val="0"/>
          <w:bCs/>
          <w:color w:val="auto"/>
          <w:sz w:val="24"/>
          <w:szCs w:val="24"/>
          <w:highlight w:val="none"/>
        </w:rPr>
        <w:t>）</w:t>
      </w:r>
      <w:r>
        <w:rPr>
          <w:rFonts w:hint="eastAsia" w:hAnsi="宋体" w:eastAsia="宋体" w:cs="宋体"/>
          <w:b w:val="0"/>
          <w:bCs/>
          <w:color w:val="auto"/>
          <w:sz w:val="24"/>
          <w:szCs w:val="24"/>
          <w:highlight w:val="none"/>
          <w:lang w:eastAsia="zh-CN"/>
        </w:rPr>
        <w:t>岗位需求及服务内容</w:t>
      </w:r>
    </w:p>
    <w:p w14:paraId="65669186">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lang w:val="en-US" w:eastAsia="zh-CN"/>
        </w:rPr>
        <w:t xml:space="preserve">1.该项目含季节性用工，主要参与棉花仪器化公证检验各项流程。供应商需提供约20-40名季节性工人，实行倒班制，按岗位每人每月（30 天）结算，无周末和节假日，具体人数由采购人实际需求为准，采购人按照实际发生的人数和天数每月进行据实结算。具体岗位供应商成交后可实地考察。计件工资按照实际发生量据实结算（代替加班费），采购人不再另外支付加班费用。 </w:t>
      </w:r>
    </w:p>
    <w:p w14:paraId="302D096D">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lang w:val="en-US" w:eastAsia="zh-CN"/>
        </w:rPr>
        <w:t xml:space="preserve">2.人员需服从采购人岗位安排及岗位调动，遵守采购人规章制度。 </w:t>
      </w:r>
    </w:p>
    <w:p w14:paraId="785F9349">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lang w:val="en-US" w:eastAsia="zh-CN"/>
        </w:rPr>
        <w:t xml:space="preserve">3.供应商提供人员需是棉花公检熟练工，吃苦耐劳，踏实肯干，当日工作量必须当日完成，不能积压工作，全部工作无节假日，风雨无阻；熟悉计算机、电子设备的操作，具有相关工作经验的优先录取。 </w:t>
      </w:r>
    </w:p>
    <w:p w14:paraId="36A086F0">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lang w:val="en-US" w:eastAsia="zh-CN"/>
        </w:rPr>
        <w:t xml:space="preserve">4.经采购人培训后根据个人能力分配工作岗位。经考核和实际工作调整，不能胜任者采购人有权退还，供应商应及时重新外包，若因供应商外包不及时耽误采购人工作开展，供应商负全责，并承担由此造成的损失。 </w:t>
      </w:r>
    </w:p>
    <w:p w14:paraId="3C069BD4">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lang w:val="en-US" w:eastAsia="zh-CN"/>
        </w:rPr>
        <w:t xml:space="preserve">5.采购人有权检查工作质量并对工作人员进行考核，考核按采购人考核制度执行，对考核不合格人员采购人有权退还。采购人支付的劳务相关费用以实际产生的为主 。 </w:t>
      </w:r>
    </w:p>
    <w:p w14:paraId="3B49444D">
      <w:pPr>
        <w:pStyle w:val="11"/>
        <w:spacing w:line="360" w:lineRule="auto"/>
        <w:ind w:firstLine="486" w:firstLineChars="200"/>
        <w:rPr>
          <w:rFonts w:hint="eastAsia" w:ascii="宋体" w:hAnsi="宋体" w:cs="宋体"/>
          <w:b w:val="0"/>
          <w:bCs/>
          <w:color w:val="auto"/>
          <w:sz w:val="24"/>
          <w:highlight w:val="none"/>
          <w:lang w:val="en-US" w:eastAsia="zh-CN"/>
        </w:rPr>
      </w:pPr>
      <w:r>
        <w:rPr>
          <w:rFonts w:hint="eastAsia" w:ascii="宋体" w:hAnsi="宋体" w:cs="宋体"/>
          <w:b w:val="0"/>
          <w:bCs/>
          <w:color w:val="auto"/>
          <w:sz w:val="24"/>
          <w:highlight w:val="none"/>
          <w:lang w:val="en-US" w:eastAsia="zh-CN"/>
        </w:rPr>
        <w:t>岗位需求及服务内容中包括但不限于以下工作内容、服务标准、人员数量等，供应商须承诺按照本项目需求配备相应人员数量。(提供承诺函)</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727"/>
        <w:gridCol w:w="6447"/>
      </w:tblGrid>
      <w:tr w14:paraId="033F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13" w:type="dxa"/>
            <w:noWrap/>
            <w:vAlign w:val="center"/>
          </w:tcPr>
          <w:p w14:paraId="1B67D081">
            <w:pPr>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序号</w:t>
            </w:r>
          </w:p>
        </w:tc>
        <w:tc>
          <w:tcPr>
            <w:tcW w:w="1727" w:type="dxa"/>
            <w:noWrap w:val="0"/>
            <w:vAlign w:val="center"/>
          </w:tcPr>
          <w:p w14:paraId="4DE1326D">
            <w:pPr>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服务项目</w:t>
            </w:r>
          </w:p>
        </w:tc>
        <w:tc>
          <w:tcPr>
            <w:tcW w:w="6447" w:type="dxa"/>
            <w:noWrap/>
            <w:vAlign w:val="center"/>
          </w:tcPr>
          <w:p w14:paraId="4CC13BAC">
            <w:pPr>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服务内容</w:t>
            </w:r>
          </w:p>
        </w:tc>
      </w:tr>
      <w:tr w14:paraId="427CD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noWrap/>
            <w:vAlign w:val="center"/>
          </w:tcPr>
          <w:p w14:paraId="6437F5E7">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1</w:t>
            </w:r>
          </w:p>
        </w:tc>
        <w:tc>
          <w:tcPr>
            <w:tcW w:w="1727" w:type="dxa"/>
            <w:noWrap w:val="0"/>
            <w:vAlign w:val="center"/>
          </w:tcPr>
          <w:p w14:paraId="05EC6E64">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棉花辅助检验服务人员（季节性岗位）</w:t>
            </w:r>
          </w:p>
        </w:tc>
        <w:tc>
          <w:tcPr>
            <w:tcW w:w="6447" w:type="dxa"/>
            <w:noWrap w:val="0"/>
            <w:vAlign w:val="center"/>
          </w:tcPr>
          <w:p w14:paraId="5FE27B4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岗位要求：</w:t>
            </w:r>
          </w:p>
          <w:p w14:paraId="5564256B">
            <w:pPr>
              <w:keepNext w:val="0"/>
              <w:keepLines w:val="0"/>
              <w:widowControl/>
              <w:suppressLineNumbers w:val="0"/>
              <w:jc w:val="left"/>
              <w:rPr>
                <w:rFonts w:hint="default"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1.要求年龄：50 周岁以下, 无违法犯罪记录；</w:t>
            </w:r>
            <w:r>
              <w:rPr>
                <w:rFonts w:hint="eastAsia" w:ascii="宋体" w:hAnsi="宋体" w:eastAsia="宋体" w:cs="宋体"/>
                <w:color w:val="auto"/>
                <w:kern w:val="0"/>
                <w:sz w:val="24"/>
                <w:szCs w:val="24"/>
                <w:lang w:val="en-US" w:eastAsia="zh-CN" w:bidi="ar"/>
              </w:rPr>
              <w:t>人员必须持有克州范围内公立医院出具的体检报告单，</w:t>
            </w:r>
            <w:r>
              <w:rPr>
                <w:rFonts w:hint="eastAsia" w:hAnsi="宋体" w:eastAsia="宋体" w:cs="宋体"/>
                <w:b w:val="0"/>
                <w:bCs/>
                <w:color w:val="auto"/>
                <w:sz w:val="24"/>
                <w:szCs w:val="24"/>
                <w:highlight w:val="none"/>
                <w:lang w:val="en-US" w:eastAsia="zh-CN"/>
              </w:rPr>
              <w:t xml:space="preserve">患有较重高血压、心脏病、肺病、传染病等危险疾病人员不予录用； </w:t>
            </w:r>
          </w:p>
          <w:p w14:paraId="2FC6EFC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 xml:space="preserve">2.具备扎实的纺织品知识和棉花质量检验技能,有一年以上棉花辅助检测工作经历； </w:t>
            </w:r>
          </w:p>
          <w:p w14:paraId="52851EB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 xml:space="preserve">3.熟悉国家相关标准和规范，具备独立制定检验标准的能力； </w:t>
            </w:r>
          </w:p>
          <w:p w14:paraId="73807D0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 xml:space="preserve">4.熟练掌握棉花质量检验仪器的操作和维护； </w:t>
            </w:r>
          </w:p>
          <w:p w14:paraId="7730CF8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 xml:space="preserve">5.具备良好的分析和问题解决能力，能够准确判断棉花质量状况并提出改进建议； </w:t>
            </w:r>
          </w:p>
          <w:p w14:paraId="10E3678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 xml:space="preserve">6.具备良好的沟通和协调能力，能够与仓库管理人员和加工人员进行有效的合作和沟通。 </w:t>
            </w:r>
          </w:p>
        </w:tc>
      </w:tr>
      <w:tr w14:paraId="2AD9F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noWrap/>
            <w:vAlign w:val="center"/>
          </w:tcPr>
          <w:p w14:paraId="505CE36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color w:val="auto"/>
                <w:sz w:val="21"/>
                <w:szCs w:val="21"/>
                <w:highlight w:val="none"/>
                <w:lang w:val="en-US" w:eastAsia="zh-CN"/>
              </w:rPr>
            </w:pPr>
          </w:p>
          <w:p w14:paraId="2AC59C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color w:val="auto"/>
                <w:sz w:val="21"/>
                <w:szCs w:val="21"/>
                <w:highlight w:val="none"/>
                <w:lang w:val="en-US" w:eastAsia="zh-CN"/>
              </w:rPr>
            </w:pPr>
          </w:p>
          <w:p w14:paraId="206545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color w:val="auto"/>
                <w:sz w:val="21"/>
                <w:szCs w:val="21"/>
                <w:highlight w:val="none"/>
                <w:lang w:val="en-US" w:eastAsia="zh-CN"/>
              </w:rPr>
            </w:pPr>
          </w:p>
          <w:p w14:paraId="09D560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color w:val="auto"/>
                <w:sz w:val="21"/>
                <w:szCs w:val="21"/>
                <w:highlight w:val="none"/>
                <w:lang w:val="en-US" w:eastAsia="zh-CN"/>
              </w:rPr>
            </w:pPr>
          </w:p>
          <w:p w14:paraId="20A1A6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2</w:t>
            </w:r>
          </w:p>
        </w:tc>
        <w:tc>
          <w:tcPr>
            <w:tcW w:w="1727" w:type="dxa"/>
            <w:noWrap w:val="0"/>
            <w:vAlign w:val="center"/>
          </w:tcPr>
          <w:p w14:paraId="518AC3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lang w:val="en-US" w:eastAsia="zh-CN"/>
              </w:rPr>
            </w:pPr>
          </w:p>
          <w:p w14:paraId="242915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lang w:val="en-US" w:eastAsia="zh-CN"/>
              </w:rPr>
            </w:pPr>
          </w:p>
          <w:p w14:paraId="66DA92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lang w:val="en-US" w:eastAsia="zh-CN"/>
              </w:rPr>
            </w:pPr>
          </w:p>
          <w:p w14:paraId="0005E1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b w:val="0"/>
                <w:bCs w:val="0"/>
                <w:color w:val="auto"/>
                <w:sz w:val="21"/>
                <w:szCs w:val="21"/>
                <w:lang w:val="en-US" w:eastAsia="zh-CN"/>
              </w:rPr>
              <w:t>棉花快速测试仪</w:t>
            </w:r>
            <w:r>
              <w:rPr>
                <w:rFonts w:hint="eastAsia" w:ascii="宋体" w:hAnsi="宋体" w:eastAsia="宋体" w:cs="宋体"/>
                <w:b w:val="0"/>
                <w:bCs w:val="0"/>
                <w:color w:val="auto"/>
                <w:sz w:val="21"/>
                <w:szCs w:val="21"/>
              </w:rPr>
              <w:t>检验负责</w:t>
            </w:r>
            <w:r>
              <w:rPr>
                <w:rFonts w:hint="eastAsia" w:ascii="宋体" w:hAnsi="宋体" w:eastAsia="宋体" w:cs="宋体"/>
                <w:b w:val="0"/>
                <w:bCs w:val="0"/>
                <w:color w:val="auto"/>
                <w:sz w:val="21"/>
                <w:szCs w:val="21"/>
                <w:lang w:eastAsia="zh-CN"/>
              </w:rPr>
              <w:t>岗兼设备</w:t>
            </w:r>
            <w:r>
              <w:rPr>
                <w:rFonts w:hint="eastAsia" w:ascii="宋体" w:hAnsi="宋体" w:eastAsia="宋体" w:cs="宋体"/>
                <w:b w:val="0"/>
                <w:bCs w:val="0"/>
                <w:color w:val="auto"/>
                <w:sz w:val="21"/>
                <w:szCs w:val="21"/>
              </w:rPr>
              <w:t>维</w:t>
            </w:r>
            <w:r>
              <w:rPr>
                <w:rFonts w:hint="eastAsia" w:ascii="宋体" w:hAnsi="宋体" w:eastAsia="宋体" w:cs="宋体"/>
                <w:b w:val="0"/>
                <w:bCs w:val="0"/>
                <w:color w:val="auto"/>
                <w:sz w:val="21"/>
                <w:szCs w:val="21"/>
                <w:lang w:eastAsia="zh-CN"/>
              </w:rPr>
              <w:t>保</w:t>
            </w:r>
            <w:r>
              <w:rPr>
                <w:rFonts w:hint="eastAsia" w:ascii="宋体" w:hAnsi="宋体" w:eastAsia="宋体" w:cs="宋体"/>
                <w:b w:val="0"/>
                <w:bCs w:val="0"/>
                <w:color w:val="auto"/>
                <w:sz w:val="21"/>
                <w:szCs w:val="21"/>
                <w:lang w:val="en-US" w:eastAsia="zh-CN"/>
              </w:rPr>
              <w:t>人员</w:t>
            </w:r>
          </w:p>
        </w:tc>
        <w:tc>
          <w:tcPr>
            <w:tcW w:w="6447" w:type="dxa"/>
            <w:noWrap w:val="0"/>
            <w:vAlign w:val="center"/>
          </w:tcPr>
          <w:p w14:paraId="00269E4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p>
          <w:p w14:paraId="58C7314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岗位要求：</w:t>
            </w:r>
          </w:p>
          <w:p w14:paraId="7CD038DC">
            <w:pPr>
              <w:keepNext w:val="0"/>
              <w:keepLines w:val="0"/>
              <w:widowControl/>
              <w:suppressLineNumbers w:val="0"/>
              <w:jc w:val="left"/>
              <w:rPr>
                <w:rFonts w:hint="default"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1.要求年龄：40 周岁以下, 无违法犯罪记录；</w:t>
            </w:r>
            <w:r>
              <w:rPr>
                <w:rFonts w:hint="eastAsia" w:ascii="宋体" w:hAnsi="宋体" w:eastAsia="宋体" w:cs="宋体"/>
                <w:color w:val="auto"/>
                <w:kern w:val="0"/>
                <w:sz w:val="24"/>
                <w:szCs w:val="24"/>
                <w:lang w:val="en-US" w:eastAsia="zh-CN" w:bidi="ar"/>
              </w:rPr>
              <w:t>人员必须持有克州范围内公立医院出具的体检报告单，</w:t>
            </w:r>
            <w:r>
              <w:rPr>
                <w:rFonts w:hint="eastAsia" w:hAnsi="宋体" w:eastAsia="宋体" w:cs="宋体"/>
                <w:b w:val="0"/>
                <w:bCs/>
                <w:color w:val="auto"/>
                <w:sz w:val="24"/>
                <w:szCs w:val="24"/>
                <w:highlight w:val="none"/>
                <w:lang w:val="en-US" w:eastAsia="zh-CN"/>
              </w:rPr>
              <w:t xml:space="preserve">患有较重高血压、心脏病、肺病、传染病等危险疾病人员不予录用； </w:t>
            </w:r>
          </w:p>
          <w:p w14:paraId="3A1442F0">
            <w:pPr>
              <w:keepNext w:val="0"/>
              <w:keepLines w:val="0"/>
              <w:widowControl/>
              <w:suppressLineNumbers w:val="0"/>
              <w:jc w:val="left"/>
              <w:rPr>
                <w:rFonts w:hint="eastAsia" w:ascii="宋体" w:hAnsi="宋体" w:eastAsia="宋体" w:cs="宋体"/>
                <w:color w:val="auto"/>
                <w:sz w:val="21"/>
                <w:szCs w:val="21"/>
                <w:highlight w:val="none"/>
                <w:lang w:eastAsia="zh-CN"/>
              </w:rPr>
            </w:pPr>
            <w:r>
              <w:rPr>
                <w:rFonts w:hint="eastAsia" w:hAnsi="宋体" w:eastAsia="宋体" w:cs="宋体"/>
                <w:b w:val="0"/>
                <w:bCs/>
                <w:color w:val="auto"/>
                <w:sz w:val="24"/>
                <w:szCs w:val="24"/>
                <w:highlight w:val="none"/>
                <w:lang w:val="en-US" w:eastAsia="zh-CN"/>
              </w:rPr>
              <w:t>2.负责管理棉花快速测试仪操作岗位日常检验工作和棉花快速测试仪日常维修保养，设备校准、恒温恒湿空调机组维护管理等。</w:t>
            </w:r>
            <w:r>
              <w:rPr>
                <w:rFonts w:hint="eastAsia" w:ascii="宋体" w:hAnsi="宋体" w:eastAsia="宋体" w:cs="宋体"/>
                <w:color w:val="auto"/>
                <w:sz w:val="21"/>
                <w:szCs w:val="21"/>
                <w:highlight w:val="none"/>
                <w:lang w:eastAsia="zh-CN"/>
              </w:rPr>
              <w:t xml:space="preserve">       </w:t>
            </w:r>
          </w:p>
        </w:tc>
      </w:tr>
      <w:tr w14:paraId="1177A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noWrap/>
            <w:vAlign w:val="center"/>
          </w:tcPr>
          <w:p w14:paraId="5901EB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3</w:t>
            </w:r>
          </w:p>
        </w:tc>
        <w:tc>
          <w:tcPr>
            <w:tcW w:w="1727" w:type="dxa"/>
            <w:noWrap w:val="0"/>
            <w:vAlign w:val="center"/>
          </w:tcPr>
          <w:p w14:paraId="40D20A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b w:val="0"/>
                <w:bCs w:val="0"/>
                <w:color w:val="auto"/>
                <w:sz w:val="21"/>
                <w:szCs w:val="21"/>
                <w:lang w:eastAsia="zh-CN"/>
              </w:rPr>
              <w:t>感官检验</w:t>
            </w:r>
            <w:r>
              <w:rPr>
                <w:rFonts w:hint="eastAsia" w:ascii="宋体" w:hAnsi="宋体" w:eastAsia="宋体" w:cs="宋体"/>
                <w:b w:val="0"/>
                <w:bCs w:val="0"/>
                <w:color w:val="auto"/>
                <w:sz w:val="21"/>
                <w:szCs w:val="21"/>
                <w:lang w:val="en-US" w:eastAsia="zh-CN"/>
              </w:rPr>
              <w:t>负责</w:t>
            </w:r>
            <w:r>
              <w:rPr>
                <w:rFonts w:hint="eastAsia" w:ascii="宋体" w:hAnsi="宋体" w:eastAsia="宋体" w:cs="宋体"/>
                <w:b w:val="0"/>
                <w:bCs w:val="0"/>
                <w:color w:val="auto"/>
                <w:sz w:val="21"/>
                <w:szCs w:val="21"/>
                <w:lang w:eastAsia="zh-CN"/>
              </w:rPr>
              <w:t>岗</w:t>
            </w:r>
            <w:r>
              <w:rPr>
                <w:rFonts w:hint="eastAsia" w:ascii="宋体" w:hAnsi="宋体" w:eastAsia="宋体" w:cs="宋体"/>
                <w:b w:val="0"/>
                <w:bCs w:val="0"/>
                <w:color w:val="auto"/>
                <w:sz w:val="21"/>
                <w:szCs w:val="21"/>
                <w:lang w:val="en-US" w:eastAsia="zh-CN"/>
              </w:rPr>
              <w:t>兼</w:t>
            </w:r>
            <w:r>
              <w:rPr>
                <w:rFonts w:hint="eastAsia" w:ascii="宋体" w:hAnsi="宋体" w:eastAsia="宋体" w:cs="宋体"/>
                <w:b w:val="0"/>
                <w:bCs w:val="0"/>
                <w:color w:val="auto"/>
                <w:sz w:val="21"/>
                <w:szCs w:val="21"/>
              </w:rPr>
              <w:t>信息</w:t>
            </w:r>
            <w:r>
              <w:rPr>
                <w:rFonts w:hint="eastAsia" w:ascii="宋体" w:hAnsi="宋体" w:eastAsia="宋体" w:cs="宋体"/>
                <w:b w:val="0"/>
                <w:bCs w:val="0"/>
                <w:color w:val="auto"/>
                <w:sz w:val="21"/>
                <w:szCs w:val="21"/>
                <w:lang w:eastAsia="zh-CN"/>
              </w:rPr>
              <w:t>管理</w:t>
            </w:r>
            <w:r>
              <w:rPr>
                <w:rFonts w:hint="eastAsia" w:ascii="宋体" w:hAnsi="宋体" w:eastAsia="宋体" w:cs="宋体"/>
                <w:b w:val="0"/>
                <w:bCs w:val="0"/>
                <w:color w:val="auto"/>
                <w:sz w:val="21"/>
                <w:szCs w:val="21"/>
                <w:lang w:val="en-US" w:eastAsia="zh-CN"/>
              </w:rPr>
              <w:t>人员</w:t>
            </w:r>
          </w:p>
        </w:tc>
        <w:tc>
          <w:tcPr>
            <w:tcW w:w="6447" w:type="dxa"/>
            <w:noWrap w:val="0"/>
            <w:vAlign w:val="center"/>
          </w:tcPr>
          <w:p w14:paraId="3F7C9E7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岗位要求：</w:t>
            </w:r>
          </w:p>
          <w:p w14:paraId="4790C2AD">
            <w:pPr>
              <w:keepNext w:val="0"/>
              <w:keepLines w:val="0"/>
              <w:widowControl/>
              <w:suppressLineNumbers w:val="0"/>
              <w:jc w:val="left"/>
              <w:rPr>
                <w:rFonts w:hint="default"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1.要求年龄：40 周岁以下, 无违法犯罪记录；</w:t>
            </w:r>
            <w:r>
              <w:rPr>
                <w:rFonts w:hint="eastAsia" w:ascii="宋体" w:hAnsi="宋体" w:eastAsia="宋体" w:cs="宋体"/>
                <w:color w:val="auto"/>
                <w:kern w:val="0"/>
                <w:sz w:val="24"/>
                <w:szCs w:val="24"/>
                <w:lang w:val="en-US" w:eastAsia="zh-CN" w:bidi="ar"/>
              </w:rPr>
              <w:t>人员必须持有克州范围内公立医院出具的体检报告单，</w:t>
            </w:r>
            <w:r>
              <w:rPr>
                <w:rFonts w:hint="eastAsia" w:hAnsi="宋体" w:eastAsia="宋体" w:cs="宋体"/>
                <w:b w:val="0"/>
                <w:bCs/>
                <w:color w:val="auto"/>
                <w:sz w:val="24"/>
                <w:szCs w:val="24"/>
                <w:highlight w:val="none"/>
                <w:lang w:val="en-US" w:eastAsia="zh-CN"/>
              </w:rPr>
              <w:t xml:space="preserve">患有较重高血压、心脏病、肺病、传染病等危险疾病人员不予录用； </w:t>
            </w:r>
          </w:p>
          <w:p w14:paraId="735BF2E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1"/>
                <w:szCs w:val="21"/>
                <w:highlight w:val="none"/>
                <w:lang w:eastAsia="zh-CN"/>
              </w:rPr>
            </w:pPr>
            <w:r>
              <w:rPr>
                <w:rFonts w:hint="eastAsia" w:hAnsi="宋体" w:eastAsia="宋体" w:cs="宋体"/>
                <w:b w:val="0"/>
                <w:bCs/>
                <w:color w:val="auto"/>
                <w:sz w:val="24"/>
                <w:szCs w:val="24"/>
                <w:highlight w:val="none"/>
                <w:lang w:val="en-US" w:eastAsia="zh-CN"/>
              </w:rPr>
              <w:t>2.负责样品轧工质量的感官检验、检验数据录入的管理，保证数据准确无误和负责检验信息数据上传、下载、流转单审核、抽检留样、抽检单生成、抽检样品寄送、温湿度运行情况监控等信息工作。</w:t>
            </w:r>
          </w:p>
        </w:tc>
      </w:tr>
      <w:tr w14:paraId="3477D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noWrap/>
            <w:vAlign w:val="center"/>
          </w:tcPr>
          <w:p w14:paraId="109163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4</w:t>
            </w:r>
          </w:p>
        </w:tc>
        <w:tc>
          <w:tcPr>
            <w:tcW w:w="1727" w:type="dxa"/>
            <w:noWrap w:val="0"/>
            <w:vAlign w:val="center"/>
          </w:tcPr>
          <w:p w14:paraId="77D6A1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b w:val="0"/>
                <w:bCs w:val="0"/>
                <w:color w:val="auto"/>
                <w:sz w:val="21"/>
                <w:szCs w:val="21"/>
                <w:lang w:eastAsia="zh-CN"/>
              </w:rPr>
              <w:t>驾驶</w:t>
            </w:r>
            <w:r>
              <w:rPr>
                <w:rFonts w:hint="eastAsia" w:ascii="宋体" w:hAnsi="宋体" w:eastAsia="宋体" w:cs="宋体"/>
                <w:b w:val="0"/>
                <w:bCs w:val="0"/>
                <w:color w:val="auto"/>
                <w:sz w:val="21"/>
                <w:szCs w:val="21"/>
                <w:lang w:val="en-US" w:eastAsia="zh-CN"/>
              </w:rPr>
              <w:t>员</w:t>
            </w:r>
          </w:p>
        </w:tc>
        <w:tc>
          <w:tcPr>
            <w:tcW w:w="6447" w:type="dxa"/>
            <w:noWrap w:val="0"/>
            <w:vAlign w:val="center"/>
          </w:tcPr>
          <w:p w14:paraId="0C125BE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岗位要求：</w:t>
            </w:r>
          </w:p>
          <w:p w14:paraId="0645F1C4">
            <w:pPr>
              <w:keepNext w:val="0"/>
              <w:keepLines w:val="0"/>
              <w:widowControl/>
              <w:suppressLineNumbers w:val="0"/>
              <w:jc w:val="left"/>
              <w:rPr>
                <w:rFonts w:hint="default"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1.要求年龄：50 周岁以下, 无违法犯罪记录；</w:t>
            </w:r>
            <w:r>
              <w:rPr>
                <w:rFonts w:hint="eastAsia" w:ascii="宋体" w:hAnsi="宋体" w:eastAsia="宋体" w:cs="宋体"/>
                <w:color w:val="auto"/>
                <w:kern w:val="0"/>
                <w:sz w:val="24"/>
                <w:szCs w:val="24"/>
                <w:lang w:val="en-US" w:eastAsia="zh-CN" w:bidi="ar"/>
              </w:rPr>
              <w:t>人员必须持有克州范围内公立医院出具的体检报告单，</w:t>
            </w:r>
            <w:r>
              <w:rPr>
                <w:rFonts w:hint="eastAsia" w:hAnsi="宋体" w:eastAsia="宋体" w:cs="宋体"/>
                <w:b w:val="0"/>
                <w:bCs/>
                <w:color w:val="auto"/>
                <w:sz w:val="24"/>
                <w:szCs w:val="24"/>
                <w:highlight w:val="none"/>
                <w:lang w:val="en-US" w:eastAsia="zh-CN"/>
              </w:rPr>
              <w:t xml:space="preserve">患有较重高血压、心脏病、肺病、传染病等危险疾病人员不予录用； </w:t>
            </w:r>
          </w:p>
          <w:p w14:paraId="1038B7E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r>
              <w:rPr>
                <w:rFonts w:hint="eastAsia" w:hAnsi="宋体" w:eastAsia="宋体" w:cs="宋体"/>
                <w:b w:val="0"/>
                <w:bCs/>
                <w:color w:val="auto"/>
                <w:sz w:val="24"/>
                <w:szCs w:val="24"/>
                <w:highlight w:val="none"/>
                <w:lang w:val="en-US" w:eastAsia="zh-CN"/>
              </w:rPr>
              <w:t>日常办公车辆驾驶，公检期间负责监管库取样样品交接工作。保证交接的样品真实有效、无缺失。</w:t>
            </w:r>
          </w:p>
        </w:tc>
      </w:tr>
      <w:tr w14:paraId="42451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3" w:type="dxa"/>
            <w:noWrap/>
            <w:vAlign w:val="center"/>
          </w:tcPr>
          <w:p w14:paraId="5C6D3B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5</w:t>
            </w:r>
          </w:p>
        </w:tc>
        <w:tc>
          <w:tcPr>
            <w:tcW w:w="1727" w:type="dxa"/>
            <w:noWrap w:val="0"/>
            <w:vAlign w:val="center"/>
          </w:tcPr>
          <w:p w14:paraId="30BEC4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后勤</w:t>
            </w:r>
            <w:r>
              <w:rPr>
                <w:rFonts w:hint="eastAsia" w:ascii="宋体" w:hAnsi="宋体" w:eastAsia="宋体" w:cs="宋体"/>
                <w:color w:val="auto"/>
                <w:sz w:val="21"/>
                <w:szCs w:val="21"/>
                <w:highlight w:val="none"/>
                <w:lang w:eastAsia="zh-CN"/>
              </w:rPr>
              <w:t>服务</w:t>
            </w:r>
          </w:p>
          <w:p w14:paraId="2EA398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（办公室）</w:t>
            </w:r>
          </w:p>
          <w:p w14:paraId="783488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lang w:val="en-US" w:eastAsia="zh-CN"/>
              </w:rPr>
            </w:pPr>
          </w:p>
        </w:tc>
        <w:tc>
          <w:tcPr>
            <w:tcW w:w="6447" w:type="dxa"/>
            <w:noWrap w:val="0"/>
            <w:vAlign w:val="center"/>
          </w:tcPr>
          <w:p w14:paraId="743213F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岗位要求：</w:t>
            </w:r>
          </w:p>
          <w:p w14:paraId="4D11379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1.要求年龄：40周岁以下, 无违法犯罪记录；人员必须持有克州范围内公立医院出具的体检报告单，患有较重高血压、心脏病、肺病、传染病等危险疾病人员不予录用；</w:t>
            </w:r>
          </w:p>
          <w:p w14:paraId="5B734D7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2.熟练使用计算机Word，Excel等软件；具有良好的工作态度，能自觉遵守岗位操作规范及制度。</w:t>
            </w:r>
          </w:p>
          <w:p w14:paraId="7E46FDB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eastAsia="宋体" w:cs="宋体"/>
                <w:b w:val="0"/>
                <w:bCs/>
                <w:color w:val="auto"/>
                <w:sz w:val="24"/>
                <w:szCs w:val="24"/>
                <w:highlight w:val="none"/>
                <w:lang w:val="en-US" w:eastAsia="zh-CN"/>
              </w:rPr>
            </w:pPr>
            <w:r>
              <w:rPr>
                <w:rFonts w:hint="eastAsia" w:hAnsi="宋体" w:eastAsia="宋体" w:cs="宋体"/>
                <w:b w:val="0"/>
                <w:bCs/>
                <w:color w:val="auto"/>
                <w:sz w:val="24"/>
                <w:szCs w:val="24"/>
                <w:highlight w:val="none"/>
                <w:lang w:val="en-US" w:eastAsia="zh-CN"/>
              </w:rPr>
              <w:t>3.领导交办的其他工作。</w:t>
            </w:r>
          </w:p>
        </w:tc>
      </w:tr>
    </w:tbl>
    <w:p w14:paraId="277C16A9">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p>
    <w:p w14:paraId="402A3BAC">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二、</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的权利和义务</w:t>
      </w:r>
    </w:p>
    <w:p w14:paraId="721ADEDA">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（一）</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的权利</w:t>
      </w:r>
    </w:p>
    <w:p w14:paraId="138E5F8A">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1.依法维护</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人员合法权益。</w:t>
      </w:r>
    </w:p>
    <w:p w14:paraId="49ACA7ED">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2.有权督促</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按时支付管理费用及人员报酬和社会保险费用。</w:t>
      </w:r>
    </w:p>
    <w:p w14:paraId="717DAD1E">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3.定期调查了解</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人员的工作状况，要求</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如实提供</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人人员作表现。</w:t>
      </w:r>
    </w:p>
    <w:p w14:paraId="2E1EAF80">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（二）</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的义务</w:t>
      </w:r>
    </w:p>
    <w:p w14:paraId="570E2C6F">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1.按</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提出的工作任务、岗位要求及聘用条件，及时为</w:t>
      </w:r>
      <w:r>
        <w:rPr>
          <w:rFonts w:hint="eastAsia" w:hAnsi="宋体" w:cs="宋体"/>
          <w:b w:val="0"/>
          <w:bCs/>
          <w:color w:val="auto"/>
          <w:sz w:val="24"/>
          <w:szCs w:val="24"/>
          <w:highlight w:val="none"/>
          <w:lang w:eastAsia="zh-CN"/>
        </w:rPr>
        <w:t>采购人外包</w:t>
      </w:r>
      <w:r>
        <w:rPr>
          <w:rFonts w:hint="eastAsia" w:hAnsi="宋体" w:cs="宋体"/>
          <w:b w:val="0"/>
          <w:bCs/>
          <w:color w:val="auto"/>
          <w:sz w:val="24"/>
          <w:szCs w:val="24"/>
          <w:highlight w:val="none"/>
        </w:rPr>
        <w:t>符合条件的</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人员，提供真实有效的</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人员个人资料，负责组织</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人员的面试、测试。</w:t>
      </w:r>
    </w:p>
    <w:p w14:paraId="664FAF93">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2.负责组织</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人员的岗前培训（培训内容：法律法规、职业道德、公共礼仪等），使其具备相应的法律常识、职业道德等上岗的基本条件。具体负责</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人员社保及商业保险待遇的审批；协助用工单位办理患病人员住院及医保拨付待遇的审批；配置客户业务专员上门服务；协助用工单位进行上岗前培训；提供劳动保障法常识性咨询服务；为</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人员出具以档案为依据的证明材料（如结婚、生育、升学等证明）；提供专业的信息化查询服务（如劳动合同管理、人员工资发放情况、社会保险信息）；协助解决用工单位劳动争议。</w:t>
      </w:r>
    </w:p>
    <w:p w14:paraId="14F064A9">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3.</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须在每月10日前核算工资并于10日足额将上月</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人员的劳动报酬发放到</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人员的工资卡内，遇国家法定节假日应提前发放。每月10日发工资前3个工作日，</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应向</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发出付款通知并出具相应合同价款的合法有效且符合</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财务做账要求的增值税发票，否则，</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有权拒绝付款或顺延付款时间，因</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提供的发票不规范、不合法引起税务问题的，</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应向</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承担赔偿责任，包括但不限于税款、滞纳金、罚款及相关损失等。</w:t>
      </w:r>
    </w:p>
    <w:p w14:paraId="3F751C89">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yellow"/>
        </w:rPr>
      </w:pPr>
      <w:r>
        <w:rPr>
          <w:rFonts w:hint="eastAsia" w:hAnsi="宋体" w:cs="宋体"/>
          <w:b w:val="0"/>
          <w:bCs/>
          <w:color w:val="auto"/>
          <w:sz w:val="24"/>
          <w:szCs w:val="24"/>
          <w:highlight w:val="none"/>
        </w:rPr>
        <w:t>4.</w:t>
      </w:r>
      <w:r>
        <w:rPr>
          <w:rFonts w:hint="eastAsia" w:hAnsi="宋体" w:cs="宋体"/>
          <w:b w:val="0"/>
          <w:bCs/>
          <w:color w:val="auto"/>
          <w:sz w:val="24"/>
          <w:szCs w:val="24"/>
          <w:highlight w:val="none"/>
          <w:lang w:val="en-US" w:eastAsia="zh-CN"/>
        </w:rPr>
        <w:t>次</w:t>
      </w:r>
      <w:r>
        <w:rPr>
          <w:rFonts w:hint="eastAsia" w:hAnsi="宋体" w:cs="宋体"/>
          <w:b w:val="0"/>
          <w:bCs/>
          <w:color w:val="auto"/>
          <w:sz w:val="24"/>
          <w:szCs w:val="24"/>
          <w:highlight w:val="none"/>
        </w:rPr>
        <w:t>月5日前向</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提供被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人员费用结算表，包含当月具体</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岗位、数量、岗位性质、具体</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人员花名册、社会保险金及</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管理服务费明细。</w:t>
      </w:r>
    </w:p>
    <w:p w14:paraId="7295D4FC">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5.按照</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对被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岗位任务的要求，在被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人员上岗前，告知被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人员关于</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的规章制度、劳动报酬、工作时间，教育</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人员履行岗位职责，服从</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管理，遵守</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规章制度，保守</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工作秘密，完成</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交给的工作任务。</w:t>
      </w:r>
    </w:p>
    <w:p w14:paraId="1B8A8DD4">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6.负责组织</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人员的入职前的体检（常规检查：肝功、心电图、胸透等），如遇特殊时期，体检项目由医院根据实际情况进行调整。体检要求：在</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进行，费用自理。</w:t>
      </w:r>
    </w:p>
    <w:p w14:paraId="65EF0B2A">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7.如有增加或减少</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人员，应在三个工作日内书面告知</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w:t>
      </w:r>
    </w:p>
    <w:p w14:paraId="18240EB5">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8.负责办理</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人员录用、离职手续，负责办理</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人员的社会保险及工资发放，并出具相应人事、劳资关系证明。因</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原因造成离职手续未及时办结完毕或额外为已离岗的</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人员缴纳社保所产生的费用及后果由</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自行承担。</w:t>
      </w:r>
    </w:p>
    <w:p w14:paraId="4CCBC2EF">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9.</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未经</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允许不得随意撤回或增加调换</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w:t>
      </w:r>
    </w:p>
    <w:p w14:paraId="1E5692D9">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lang w:val="en-US" w:eastAsia="zh-CN"/>
        </w:rPr>
        <w:t>10.</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保证按照当地社会保障部门规定，按月及时为</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人员发放工资，按时足额为</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人员办理并缴纳各项社会保险金，不得拖欠、克扣，不得向</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人员收取费用。每月社保缴费完毕，</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应向</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出示相关缴费凭证原件，并提交复印件存档。因</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未能按时足额为</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人员缴纳社会保险而引起社保卡停用、</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人员投诉等不良后果的，由</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承担相应责任。社会保险金缴费基数不得低于当地政府规定的最低缴费基数。</w:t>
      </w:r>
    </w:p>
    <w:p w14:paraId="2F2EB66D">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w:t>
      </w:r>
      <w:r>
        <w:rPr>
          <w:rFonts w:hint="eastAsia" w:hAnsi="宋体" w:cs="宋体"/>
          <w:b w:val="0"/>
          <w:bCs/>
          <w:color w:val="auto"/>
          <w:sz w:val="24"/>
          <w:szCs w:val="24"/>
          <w:highlight w:val="none"/>
          <w:lang w:val="en-US" w:eastAsia="zh-CN"/>
        </w:rPr>
        <w:t>1</w:t>
      </w:r>
      <w:r>
        <w:rPr>
          <w:rFonts w:hint="eastAsia" w:hAnsi="宋体" w:cs="宋体"/>
          <w:b w:val="0"/>
          <w:bCs/>
          <w:color w:val="auto"/>
          <w:sz w:val="24"/>
          <w:szCs w:val="24"/>
          <w:highlight w:val="none"/>
        </w:rPr>
        <w:t>.发生劳动争议时，</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应第一时间处理，不得以任何理由推脱。</w:t>
      </w:r>
    </w:p>
    <w:p w14:paraId="58B6195A">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w:t>
      </w:r>
      <w:r>
        <w:rPr>
          <w:rFonts w:hint="eastAsia" w:hAnsi="宋体" w:cs="宋体"/>
          <w:b w:val="0"/>
          <w:bCs/>
          <w:color w:val="auto"/>
          <w:sz w:val="24"/>
          <w:szCs w:val="24"/>
          <w:highlight w:val="none"/>
          <w:lang w:val="en-US" w:eastAsia="zh-CN"/>
        </w:rPr>
        <w:t>2</w:t>
      </w:r>
      <w:r>
        <w:rPr>
          <w:rFonts w:hint="eastAsia" w:hAnsi="宋体" w:cs="宋体"/>
          <w:b w:val="0"/>
          <w:bCs/>
          <w:color w:val="auto"/>
          <w:sz w:val="24"/>
          <w:szCs w:val="24"/>
          <w:highlight w:val="none"/>
        </w:rPr>
        <w:t>.与</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就劳务</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事宜及</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人员情况进行回访和征求意见，每月两次以上；与</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人员每月至少回访一次、了解其工作、生活、学习、家庭等情况，掌握其思想动态，及时解决</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人员在工作中出现的相关问题。</w:t>
      </w:r>
    </w:p>
    <w:p w14:paraId="443846C9">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w:t>
      </w:r>
      <w:r>
        <w:rPr>
          <w:rFonts w:hint="eastAsia" w:hAnsi="宋体" w:cs="宋体"/>
          <w:b w:val="0"/>
          <w:bCs/>
          <w:color w:val="auto"/>
          <w:sz w:val="24"/>
          <w:szCs w:val="24"/>
          <w:highlight w:val="none"/>
          <w:lang w:val="en-US" w:eastAsia="zh-CN"/>
        </w:rPr>
        <w:t>3</w:t>
      </w:r>
      <w:r>
        <w:rPr>
          <w:rFonts w:hint="eastAsia" w:hAnsi="宋体" w:cs="宋体"/>
          <w:b w:val="0"/>
          <w:bCs/>
          <w:color w:val="auto"/>
          <w:sz w:val="24"/>
          <w:szCs w:val="24"/>
          <w:highlight w:val="none"/>
        </w:rPr>
        <w:t>.</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人员在</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工作期间发生患病、生育、工伤、因工致残（死亡）等情况时，</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应按相关法律法规规定，为</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人员办理工伤申报工作及工伤医疗费用的报批（工伤由劳动部门鉴定）工作。</w:t>
      </w:r>
    </w:p>
    <w:p w14:paraId="76380640">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w:t>
      </w:r>
      <w:r>
        <w:rPr>
          <w:rFonts w:hint="eastAsia" w:hAnsi="宋体" w:cs="宋体"/>
          <w:b w:val="0"/>
          <w:bCs/>
          <w:color w:val="auto"/>
          <w:sz w:val="24"/>
          <w:szCs w:val="24"/>
          <w:highlight w:val="none"/>
          <w:lang w:val="en-US" w:eastAsia="zh-CN"/>
        </w:rPr>
        <w:t>4</w:t>
      </w:r>
      <w:r>
        <w:rPr>
          <w:rFonts w:hint="eastAsia" w:hAnsi="宋体" w:cs="宋体"/>
          <w:b w:val="0"/>
          <w:bCs/>
          <w:color w:val="auto"/>
          <w:sz w:val="24"/>
          <w:szCs w:val="24"/>
          <w:highlight w:val="none"/>
        </w:rPr>
        <w:t>.</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人员发生工伤事故时，</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应立即通知</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负责做好现场处理工作并按《工伤保险条例》规定的时间进行处理申报工伤。在劳动部门做出工伤认定后由</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负责社会保险赔付部分或商业保险赔付部分的理赔工作。</w:t>
      </w:r>
    </w:p>
    <w:p w14:paraId="643899A2">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w:t>
      </w:r>
      <w:r>
        <w:rPr>
          <w:rFonts w:hint="eastAsia" w:hAnsi="宋体" w:cs="宋体"/>
          <w:b w:val="0"/>
          <w:bCs/>
          <w:color w:val="auto"/>
          <w:sz w:val="24"/>
          <w:szCs w:val="24"/>
          <w:highlight w:val="none"/>
          <w:lang w:val="en-US" w:eastAsia="zh-CN"/>
        </w:rPr>
        <w:t>5</w:t>
      </w:r>
      <w:r>
        <w:rPr>
          <w:rFonts w:hint="eastAsia" w:hAnsi="宋体" w:cs="宋体"/>
          <w:b w:val="0"/>
          <w:bCs/>
          <w:color w:val="auto"/>
          <w:sz w:val="24"/>
          <w:szCs w:val="24"/>
          <w:highlight w:val="none"/>
        </w:rPr>
        <w:t>.参加社会保险的被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人员在</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工作期间发生工伤、因工致残（死亡）等情况时，由</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作为用人单位依法申请工伤认定，</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配合</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进行处理。经劳动能力鉴定有级别的，</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应当自该人员经鉴定确定级别之日起，维持与该人员的劳动关系，继续缴纳各项社会保险、医疗保险至法定退休年龄，并为其办理退休手续。被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人员提出解除或终止劳动关系，伤残等级认定为五至十级伤残的，按照《工伤保险条例》的规定，</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应支付一次性伤残就业补助金，其中该补助金的百分之七十由</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承担。</w:t>
      </w:r>
    </w:p>
    <w:p w14:paraId="63A2C842">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w:t>
      </w:r>
      <w:r>
        <w:rPr>
          <w:rFonts w:hint="eastAsia" w:hAnsi="宋体" w:cs="宋体"/>
          <w:b w:val="0"/>
          <w:bCs/>
          <w:color w:val="auto"/>
          <w:sz w:val="24"/>
          <w:szCs w:val="24"/>
          <w:highlight w:val="none"/>
          <w:lang w:val="en-US" w:eastAsia="zh-CN"/>
        </w:rPr>
        <w:t>6</w:t>
      </w:r>
      <w:r>
        <w:rPr>
          <w:rFonts w:hint="eastAsia" w:hAnsi="宋体" w:cs="宋体"/>
          <w:b w:val="0"/>
          <w:bCs/>
          <w:color w:val="auto"/>
          <w:sz w:val="24"/>
          <w:szCs w:val="24"/>
          <w:highlight w:val="none"/>
        </w:rPr>
        <w:t>.被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人员发生工伤后，因工治疗期间、工伤认定期间、劳动能力鉴定期间的工伤保险费，由</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继续缴纳，不得拖欠，因拖欠导致无法报销的费用由</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自己承担。</w:t>
      </w:r>
    </w:p>
    <w:p w14:paraId="3DE0F028">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w:t>
      </w:r>
      <w:r>
        <w:rPr>
          <w:rFonts w:hint="eastAsia" w:hAnsi="宋体" w:cs="宋体"/>
          <w:b w:val="0"/>
          <w:bCs/>
          <w:color w:val="auto"/>
          <w:sz w:val="24"/>
          <w:szCs w:val="24"/>
          <w:highlight w:val="none"/>
          <w:lang w:val="en-US" w:eastAsia="zh-CN"/>
        </w:rPr>
        <w:t>7</w:t>
      </w:r>
      <w:r>
        <w:rPr>
          <w:rFonts w:hint="eastAsia" w:hAnsi="宋体" w:cs="宋体"/>
          <w:b w:val="0"/>
          <w:bCs/>
          <w:color w:val="auto"/>
          <w:sz w:val="24"/>
          <w:szCs w:val="24"/>
          <w:highlight w:val="none"/>
        </w:rPr>
        <w:t>.</w:t>
      </w:r>
      <w:r>
        <w:rPr>
          <w:rFonts w:hint="eastAsia" w:hAnsi="宋体" w:cs="宋体"/>
          <w:b w:val="0"/>
          <w:bCs/>
          <w:color w:val="auto"/>
          <w:sz w:val="24"/>
          <w:szCs w:val="24"/>
          <w:highlight w:val="none"/>
          <w:lang w:eastAsia="zh-CN"/>
        </w:rPr>
        <w:t>供应商外包</w:t>
      </w:r>
      <w:r>
        <w:rPr>
          <w:rFonts w:hint="eastAsia" w:hAnsi="宋体" w:cs="宋体"/>
          <w:b w:val="0"/>
          <w:bCs/>
          <w:color w:val="auto"/>
          <w:sz w:val="24"/>
          <w:szCs w:val="24"/>
          <w:highlight w:val="none"/>
        </w:rPr>
        <w:t>到</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的</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人员的劳动合同发生变更、终止和解除事宜时，应提前三十日以书面形式通知</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w:t>
      </w:r>
    </w:p>
    <w:p w14:paraId="364B7B3F">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1</w:t>
      </w:r>
      <w:r>
        <w:rPr>
          <w:rFonts w:hint="eastAsia" w:hAnsi="宋体" w:cs="宋体"/>
          <w:b w:val="0"/>
          <w:bCs/>
          <w:color w:val="auto"/>
          <w:sz w:val="24"/>
          <w:szCs w:val="24"/>
          <w:highlight w:val="none"/>
          <w:lang w:val="en-US" w:eastAsia="zh-CN"/>
        </w:rPr>
        <w:t>8</w:t>
      </w:r>
      <w:r>
        <w:rPr>
          <w:rFonts w:hint="eastAsia" w:hAnsi="宋体" w:cs="宋体"/>
          <w:b w:val="0"/>
          <w:bCs/>
          <w:color w:val="auto"/>
          <w:sz w:val="24"/>
          <w:szCs w:val="24"/>
          <w:highlight w:val="none"/>
        </w:rPr>
        <w:t>.</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需于每月第一周周五及第三周周五集中至</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处办公，集中处理劳务</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人员合同签订，入职办理等相关工作。</w:t>
      </w:r>
    </w:p>
    <w:p w14:paraId="0E423FC3">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lang w:val="en-US" w:eastAsia="zh-CN"/>
        </w:rPr>
        <w:t>19</w:t>
      </w:r>
      <w:r>
        <w:rPr>
          <w:rFonts w:hint="eastAsia" w:hAnsi="宋体" w:cs="宋体"/>
          <w:b w:val="0"/>
          <w:bCs/>
          <w:color w:val="auto"/>
          <w:sz w:val="24"/>
          <w:szCs w:val="24"/>
          <w:highlight w:val="none"/>
        </w:rPr>
        <w:t>被</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劳动者在</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因工作遭受事故伤害的，</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应当依法申请工伤认定，</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协助工伤认定的调查核实工作，</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承担工伤保险责任。</w:t>
      </w:r>
    </w:p>
    <w:p w14:paraId="401CDEDD">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lang w:val="en-US" w:eastAsia="zh-CN"/>
        </w:rPr>
        <w:t>20.</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应按《</w:t>
      </w:r>
      <w:r>
        <w:rPr>
          <w:rFonts w:hint="eastAsia" w:hAnsi="宋体" w:cs="宋体"/>
          <w:b w:val="0"/>
          <w:bCs/>
          <w:color w:val="auto"/>
          <w:sz w:val="24"/>
          <w:szCs w:val="24"/>
          <w:highlight w:val="none"/>
          <w:lang w:val="en-US" w:eastAsia="zh-CN"/>
        </w:rPr>
        <w:t>中华人民共和国民法典</w:t>
      </w:r>
      <w:r>
        <w:rPr>
          <w:rFonts w:hint="eastAsia" w:hAnsi="宋体" w:cs="宋体"/>
          <w:b w:val="0"/>
          <w:bCs/>
          <w:color w:val="auto"/>
          <w:sz w:val="24"/>
          <w:szCs w:val="24"/>
          <w:highlight w:val="none"/>
        </w:rPr>
        <w:t>》</w:t>
      </w:r>
      <w:r>
        <w:rPr>
          <w:rFonts w:hint="eastAsia" w:hAnsi="宋体" w:cs="宋体"/>
          <w:b w:val="0"/>
          <w:bCs/>
          <w:color w:val="auto"/>
          <w:sz w:val="24"/>
          <w:szCs w:val="24"/>
          <w:highlight w:val="none"/>
          <w:lang w:eastAsia="zh-CN"/>
        </w:rPr>
        <w:t>（</w:t>
      </w:r>
      <w:r>
        <w:rPr>
          <w:rFonts w:hint="eastAsia" w:hAnsi="宋体" w:cs="宋体"/>
          <w:b w:val="0"/>
          <w:bCs/>
          <w:color w:val="auto"/>
          <w:sz w:val="24"/>
          <w:szCs w:val="24"/>
          <w:highlight w:val="none"/>
          <w:lang w:val="en-US" w:eastAsia="zh-CN"/>
        </w:rPr>
        <w:t>合同篇</w:t>
      </w:r>
      <w:r>
        <w:rPr>
          <w:rFonts w:hint="eastAsia" w:hAnsi="宋体" w:cs="宋体"/>
          <w:b w:val="0"/>
          <w:bCs/>
          <w:color w:val="auto"/>
          <w:sz w:val="24"/>
          <w:szCs w:val="24"/>
          <w:highlight w:val="none"/>
          <w:lang w:eastAsia="zh-CN"/>
        </w:rPr>
        <w:t>）</w:t>
      </w:r>
      <w:r>
        <w:rPr>
          <w:rFonts w:hint="eastAsia" w:hAnsi="宋体" w:cs="宋体"/>
          <w:b w:val="0"/>
          <w:bCs/>
          <w:color w:val="auto"/>
          <w:sz w:val="24"/>
          <w:szCs w:val="24"/>
          <w:highlight w:val="none"/>
        </w:rPr>
        <w:t>的规定与</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人员签订符合要求的劳动合同及办理</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人员的合同解除手续，并按规定到劳动部门办理劳动合同备案手续。</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应保证，</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用工期限未超过其与</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人员签订的劳动合同期限。</w:t>
      </w:r>
    </w:p>
    <w:p w14:paraId="61FADF22">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lang w:val="en-US" w:eastAsia="zh-CN"/>
        </w:rPr>
        <w:t>21</w:t>
      </w:r>
      <w:r>
        <w:rPr>
          <w:rFonts w:hint="eastAsia" w:hAnsi="宋体" w:cs="宋体"/>
          <w:b w:val="0"/>
          <w:bCs/>
          <w:color w:val="auto"/>
          <w:sz w:val="24"/>
          <w:szCs w:val="24"/>
          <w:highlight w:val="none"/>
        </w:rPr>
        <w:t>.足额发放</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人员的工资报酬，不得克扣</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按照劳务</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协议支付给</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人员的劳动报酬，不得向</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人员收取费用。</w:t>
      </w:r>
    </w:p>
    <w:p w14:paraId="55A31E56">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三、其他要求</w:t>
      </w:r>
    </w:p>
    <w:p w14:paraId="2AD252BF">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（一）</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未按合同约定将</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人员的工资、社会保险费及服务费等费用转入</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账户的，逾期十日以上，</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有权终止合同，</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每日按本合同</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服务费总额的中国人民银行同期存款利率承担违约金，由此造成的</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损失和一切法律责任，由</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承担，且</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应赔偿</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因此遭受的全部损失；</w:t>
      </w:r>
    </w:p>
    <w:p w14:paraId="35F3FEC4">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（二）</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无正当理由，未支付或未按时支付</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人员的工资或未依法办理各项社会保险等福利，逾期1-3日的</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扣</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当月50%</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服务费，逾期4-10日的</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扣</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当月80%</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服务费；逾期十日以上的，</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有权终止合同，</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按</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服务费总额的20%承担违约金，由此造成的</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损失和一切法律责任，由</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自行承担，且</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应赔偿</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因此遭受的全部损失；</w:t>
      </w:r>
    </w:p>
    <w:p w14:paraId="3D03F185">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（三）</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未按合同约定提供</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人员有关资料（包括但不限于健康证、劳务合同、社会保险证明、学历证明、身份证明、政审文件等） 或资料包含虚假内容的，</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有权终止合同，</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按本合同</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服务费总额的20%承担违约金，由此造成的损失和一切法律责任，由</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自行承担，且</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应赔偿</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由此遭受的全部损失；</w:t>
      </w:r>
    </w:p>
    <w:p w14:paraId="40AA8254">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（四）</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未在合同约定时限内将</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人员补充到位，须向</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及时反馈原因。若因</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责任心不到位而造成</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人员补充不到位，</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视为</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违约，</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有权选择单方解除合同，并要求</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支付当月</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服务费的20%违约金；</w:t>
      </w:r>
    </w:p>
    <w:p w14:paraId="50B5BC5E">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（五）服务期内劳务</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人员发生各种事故：包括安全、交通、劳资纠纷等事件均由</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承担相应责任；</w:t>
      </w:r>
    </w:p>
    <w:p w14:paraId="347C503E">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（六）如</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对</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提供的人员不满意，要求</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更换时，</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必须及时且无条件地为</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更换合格的人员；</w:t>
      </w:r>
    </w:p>
    <w:p w14:paraId="15C2E3D1">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（七）约定的劳务</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期满，</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不需要该人员继续提供</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服务的，提前三十日通知</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应依法处理该人员的后续事宜，包括支付劳务</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人员在职期间工资、社保费用及经济补偿金等，</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需向</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结清至</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期满之日止的管理费用。</w:t>
      </w:r>
    </w:p>
    <w:p w14:paraId="13841476">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w:t>
      </w:r>
      <w:r>
        <w:rPr>
          <w:rFonts w:hint="eastAsia" w:hAnsi="宋体" w:cs="宋体"/>
          <w:b w:val="0"/>
          <w:bCs/>
          <w:color w:val="auto"/>
          <w:sz w:val="24"/>
          <w:szCs w:val="24"/>
          <w:highlight w:val="none"/>
          <w:lang w:val="en-US" w:eastAsia="zh-CN"/>
        </w:rPr>
        <w:t>八</w:t>
      </w:r>
      <w:r>
        <w:rPr>
          <w:rFonts w:hint="eastAsia" w:hAnsi="宋体" w:cs="宋体"/>
          <w:b w:val="0"/>
          <w:bCs/>
          <w:color w:val="auto"/>
          <w:sz w:val="24"/>
          <w:szCs w:val="24"/>
          <w:highlight w:val="none"/>
        </w:rPr>
        <w:t>）服务期内，</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对</w:t>
      </w:r>
      <w:r>
        <w:rPr>
          <w:rFonts w:hint="eastAsia" w:hAnsi="宋体" w:cs="宋体"/>
          <w:b w:val="0"/>
          <w:bCs/>
          <w:color w:val="auto"/>
          <w:sz w:val="24"/>
          <w:szCs w:val="24"/>
          <w:highlight w:val="none"/>
          <w:lang w:eastAsia="zh-CN"/>
        </w:rPr>
        <w:t>供应商外包</w:t>
      </w:r>
      <w:r>
        <w:rPr>
          <w:rFonts w:hint="eastAsia" w:hAnsi="宋体" w:cs="宋体"/>
          <w:b w:val="0"/>
          <w:bCs/>
          <w:color w:val="auto"/>
          <w:sz w:val="24"/>
          <w:szCs w:val="24"/>
          <w:highlight w:val="none"/>
        </w:rPr>
        <w:t>人员的工作质量、履约情况、发放工资、社保购买情况、工作配合度等进行综合评价。如服务未达到要求，则</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有权单方解除合同；</w:t>
      </w:r>
    </w:p>
    <w:p w14:paraId="660F07DE">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w:t>
      </w:r>
      <w:r>
        <w:rPr>
          <w:rFonts w:hint="eastAsia" w:hAnsi="宋体" w:cs="宋体"/>
          <w:b w:val="0"/>
          <w:bCs/>
          <w:color w:val="auto"/>
          <w:sz w:val="24"/>
          <w:szCs w:val="24"/>
          <w:highlight w:val="none"/>
          <w:lang w:val="en-US" w:eastAsia="zh-CN"/>
        </w:rPr>
        <w:t>九</w:t>
      </w:r>
      <w:r>
        <w:rPr>
          <w:rFonts w:hint="eastAsia" w:hAnsi="宋体" w:cs="宋体"/>
          <w:b w:val="0"/>
          <w:bCs/>
          <w:color w:val="auto"/>
          <w:sz w:val="24"/>
          <w:szCs w:val="24"/>
          <w:highlight w:val="none"/>
        </w:rPr>
        <w:t>）</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人员的工作由</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进行分配、管理，对</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人员的撤换等须经</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书面同意认可；</w:t>
      </w:r>
    </w:p>
    <w:p w14:paraId="25BDAB04">
      <w:pPr>
        <w:keepNext w:val="0"/>
        <w:keepLines w:val="0"/>
        <w:pageBreakBefore w:val="0"/>
        <w:widowControl w:val="0"/>
        <w:kinsoku/>
        <w:wordWrap/>
        <w:overflowPunct/>
        <w:topLinePunct w:val="0"/>
        <w:autoSpaceDE/>
        <w:autoSpaceDN/>
        <w:bidi w:val="0"/>
        <w:adjustRightInd/>
        <w:snapToGrid/>
        <w:spacing w:line="440" w:lineRule="exact"/>
        <w:ind w:firstLine="486" w:firstLineChars="200"/>
        <w:textAlignment w:val="auto"/>
        <w:rPr>
          <w:rFonts w:hint="eastAsia" w:hAnsi="宋体" w:cs="宋体"/>
          <w:b w:val="0"/>
          <w:bCs/>
          <w:color w:val="auto"/>
          <w:sz w:val="24"/>
          <w:szCs w:val="24"/>
          <w:highlight w:val="none"/>
        </w:rPr>
      </w:pPr>
      <w:r>
        <w:rPr>
          <w:rFonts w:hint="eastAsia" w:hAnsi="宋体" w:cs="宋体"/>
          <w:b w:val="0"/>
          <w:bCs/>
          <w:color w:val="auto"/>
          <w:sz w:val="24"/>
          <w:szCs w:val="24"/>
          <w:highlight w:val="none"/>
        </w:rPr>
        <w:t>（</w:t>
      </w:r>
      <w:r>
        <w:rPr>
          <w:rFonts w:hint="eastAsia" w:hAnsi="宋体" w:cs="宋体"/>
          <w:b w:val="0"/>
          <w:bCs/>
          <w:color w:val="auto"/>
          <w:sz w:val="24"/>
          <w:szCs w:val="24"/>
          <w:highlight w:val="none"/>
          <w:lang w:val="en-US" w:eastAsia="zh-CN"/>
        </w:rPr>
        <w:t>十</w:t>
      </w:r>
      <w:r>
        <w:rPr>
          <w:rFonts w:hint="eastAsia" w:hAnsi="宋体" w:cs="宋体"/>
          <w:b w:val="0"/>
          <w:bCs/>
          <w:color w:val="auto"/>
          <w:sz w:val="24"/>
          <w:szCs w:val="24"/>
          <w:highlight w:val="none"/>
        </w:rPr>
        <w:t>）</w:t>
      </w:r>
      <w:r>
        <w:rPr>
          <w:rFonts w:hint="eastAsia" w:hAnsi="宋体" w:cs="宋体"/>
          <w:b w:val="0"/>
          <w:bCs/>
          <w:color w:val="auto"/>
          <w:sz w:val="24"/>
          <w:szCs w:val="24"/>
          <w:highlight w:val="none"/>
          <w:lang w:eastAsia="zh-CN"/>
        </w:rPr>
        <w:t>供应商</w:t>
      </w:r>
      <w:r>
        <w:rPr>
          <w:rFonts w:hint="eastAsia" w:hAnsi="宋体" w:cs="宋体"/>
          <w:b w:val="0"/>
          <w:bCs/>
          <w:color w:val="auto"/>
          <w:sz w:val="24"/>
          <w:szCs w:val="24"/>
          <w:highlight w:val="none"/>
        </w:rPr>
        <w:t>劳务</w:t>
      </w:r>
      <w:r>
        <w:rPr>
          <w:rFonts w:hint="eastAsia" w:hAnsi="宋体" w:cs="宋体"/>
          <w:b w:val="0"/>
          <w:bCs/>
          <w:color w:val="auto"/>
          <w:sz w:val="24"/>
          <w:szCs w:val="24"/>
          <w:highlight w:val="none"/>
          <w:lang w:eastAsia="zh-CN"/>
        </w:rPr>
        <w:t>外包</w:t>
      </w:r>
      <w:r>
        <w:rPr>
          <w:rFonts w:hint="eastAsia" w:hAnsi="宋体" w:cs="宋体"/>
          <w:b w:val="0"/>
          <w:bCs/>
          <w:color w:val="auto"/>
          <w:sz w:val="24"/>
          <w:szCs w:val="24"/>
          <w:highlight w:val="none"/>
        </w:rPr>
        <w:t>至</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人员中的残疾人，</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需计入为本单位残疾人</w:t>
      </w:r>
      <w:r>
        <w:rPr>
          <w:rFonts w:hint="eastAsia" w:hAnsi="宋体" w:cs="宋体"/>
          <w:b w:val="0"/>
          <w:bCs/>
          <w:color w:val="auto"/>
          <w:sz w:val="24"/>
          <w:szCs w:val="24"/>
          <w:highlight w:val="none"/>
          <w:lang w:val="en-US" w:eastAsia="zh-CN"/>
        </w:rPr>
        <w:t>安排</w:t>
      </w:r>
      <w:r>
        <w:rPr>
          <w:rFonts w:hint="eastAsia" w:hAnsi="宋体" w:cs="宋体"/>
          <w:b w:val="0"/>
          <w:bCs/>
          <w:color w:val="auto"/>
          <w:sz w:val="24"/>
          <w:szCs w:val="24"/>
          <w:highlight w:val="none"/>
        </w:rPr>
        <w:t>登记中，由</w:t>
      </w:r>
      <w:r>
        <w:rPr>
          <w:rFonts w:hint="eastAsia" w:hAnsi="宋体" w:cs="宋体"/>
          <w:b w:val="0"/>
          <w:bCs/>
          <w:color w:val="auto"/>
          <w:sz w:val="24"/>
          <w:szCs w:val="24"/>
          <w:highlight w:val="none"/>
          <w:lang w:eastAsia="zh-CN"/>
        </w:rPr>
        <w:t>采购人</w:t>
      </w:r>
      <w:r>
        <w:rPr>
          <w:rFonts w:hint="eastAsia" w:hAnsi="宋体" w:cs="宋体"/>
          <w:b w:val="0"/>
          <w:bCs/>
          <w:color w:val="auto"/>
          <w:sz w:val="24"/>
          <w:szCs w:val="24"/>
          <w:highlight w:val="none"/>
        </w:rPr>
        <w:t>单位向所属残疾人联合会进行残疾人就业</w:t>
      </w:r>
      <w:r>
        <w:rPr>
          <w:rFonts w:hint="eastAsia" w:hAnsi="宋体" w:cs="宋体"/>
          <w:b w:val="0"/>
          <w:bCs/>
          <w:color w:val="auto"/>
          <w:sz w:val="24"/>
          <w:szCs w:val="24"/>
          <w:highlight w:val="none"/>
          <w:lang w:val="en-US" w:eastAsia="zh-CN"/>
        </w:rPr>
        <w:t>安排</w:t>
      </w:r>
      <w:r>
        <w:rPr>
          <w:rFonts w:hint="eastAsia" w:hAnsi="宋体" w:cs="宋体"/>
          <w:b w:val="0"/>
          <w:bCs/>
          <w:color w:val="auto"/>
          <w:sz w:val="24"/>
          <w:szCs w:val="24"/>
          <w:highlight w:val="none"/>
        </w:rPr>
        <w:t>年检申报，申报结论以所属地残疾人联合会审核认定的结论为准。</w:t>
      </w:r>
    </w:p>
    <w:p w14:paraId="53A31107">
      <w:pPr>
        <w:pStyle w:val="11"/>
        <w:keepNext w:val="0"/>
        <w:keepLines w:val="0"/>
        <w:pageBreakBefore w:val="0"/>
        <w:widowControl w:val="0"/>
        <w:shd w:val="clear" w:color="auto" w:fill="auto"/>
        <w:kinsoku/>
        <w:wordWrap/>
        <w:overflowPunct/>
        <w:topLinePunct w:val="0"/>
        <w:autoSpaceDE/>
        <w:autoSpaceDN/>
        <w:bidi w:val="0"/>
        <w:adjustRightInd/>
        <w:snapToGrid/>
        <w:spacing w:after="0" w:line="440" w:lineRule="exact"/>
        <w:ind w:firstLine="486"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lang w:val="en-US" w:eastAsia="zh-CN"/>
        </w:rPr>
        <w:t>、付款方式</w:t>
      </w:r>
    </w:p>
    <w:p w14:paraId="03CC303B">
      <w:pPr>
        <w:spacing w:line="460" w:lineRule="exact"/>
        <w:ind w:firstLine="486" w:firstLineChars="200"/>
        <w:rPr>
          <w:rFonts w:hint="eastAsia" w:ascii="宋体" w:hAnsi="宋体" w:eastAsia="宋体" w:cs="宋体"/>
          <w:color w:val="auto"/>
          <w:sz w:val="24"/>
          <w:szCs w:val="24"/>
          <w:highlight w:val="none"/>
          <w:lang w:eastAsia="zh-CN"/>
        </w:rPr>
      </w:pPr>
      <w:r>
        <w:rPr>
          <w:rFonts w:hint="eastAsia" w:hAnsi="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外包</w:t>
      </w:r>
      <w:r>
        <w:rPr>
          <w:rFonts w:hint="eastAsia" w:ascii="宋体" w:hAnsi="宋体" w:eastAsia="宋体" w:cs="宋体"/>
          <w:color w:val="auto"/>
          <w:sz w:val="24"/>
          <w:szCs w:val="24"/>
          <w:highlight w:val="none"/>
        </w:rPr>
        <w:t>服务费</w:t>
      </w:r>
      <w:r>
        <w:rPr>
          <w:rFonts w:hint="eastAsia" w:ascii="宋体" w:hAnsi="宋体" w:eastAsia="宋体" w:cs="宋体"/>
          <w:color w:val="auto"/>
          <w:sz w:val="24"/>
          <w:szCs w:val="24"/>
          <w:highlight w:val="none"/>
          <w:lang w:val="en-US" w:eastAsia="zh-CN"/>
        </w:rPr>
        <w:t>按照成交金额</w:t>
      </w:r>
      <w:r>
        <w:rPr>
          <w:rFonts w:hint="eastAsia" w:ascii="宋体" w:hAnsi="宋体" w:eastAsia="宋体" w:cs="宋体"/>
          <w:color w:val="auto"/>
          <w:sz w:val="24"/>
          <w:szCs w:val="24"/>
          <w:highlight w:val="none"/>
        </w:rPr>
        <w:t>支付，该劳务</w:t>
      </w:r>
      <w:r>
        <w:rPr>
          <w:rFonts w:hint="eastAsia" w:ascii="宋体" w:hAnsi="宋体" w:eastAsia="宋体" w:cs="宋体"/>
          <w:color w:val="auto"/>
          <w:sz w:val="24"/>
          <w:szCs w:val="24"/>
          <w:highlight w:val="none"/>
          <w:lang w:eastAsia="zh-CN"/>
        </w:rPr>
        <w:t>外包</w:t>
      </w:r>
      <w:r>
        <w:rPr>
          <w:rFonts w:hint="eastAsia" w:ascii="宋体" w:hAnsi="宋体" w:eastAsia="宋体" w:cs="宋体"/>
          <w:color w:val="auto"/>
          <w:sz w:val="24"/>
          <w:szCs w:val="24"/>
          <w:highlight w:val="none"/>
        </w:rPr>
        <w:t>服务费为固定单价，按照</w:t>
      </w:r>
      <w:r>
        <w:rPr>
          <w:rFonts w:hint="eastAsia" w:hAnsi="宋体" w:cs="宋体"/>
          <w:color w:val="auto"/>
          <w:sz w:val="24"/>
          <w:szCs w:val="24"/>
          <w:highlight w:val="none"/>
          <w:lang w:eastAsia="zh-CN"/>
        </w:rPr>
        <w:t>供应商</w:t>
      </w:r>
      <w:r>
        <w:rPr>
          <w:rFonts w:hint="eastAsia" w:ascii="宋体" w:hAnsi="宋体" w:eastAsia="宋体" w:cs="宋体"/>
          <w:color w:val="auto"/>
          <w:sz w:val="24"/>
          <w:szCs w:val="24"/>
          <w:highlight w:val="none"/>
        </w:rPr>
        <w:t>每月实际</w:t>
      </w:r>
      <w:r>
        <w:rPr>
          <w:rFonts w:hint="eastAsia" w:ascii="宋体" w:hAnsi="宋体" w:eastAsia="宋体" w:cs="宋体"/>
          <w:color w:val="auto"/>
          <w:sz w:val="24"/>
          <w:szCs w:val="24"/>
          <w:highlight w:val="none"/>
          <w:lang w:eastAsia="zh-CN"/>
        </w:rPr>
        <w:t>外包</w:t>
      </w:r>
      <w:r>
        <w:rPr>
          <w:rFonts w:hint="eastAsia" w:ascii="宋体" w:hAnsi="宋体" w:eastAsia="宋体" w:cs="宋体"/>
          <w:color w:val="auto"/>
          <w:sz w:val="24"/>
          <w:szCs w:val="24"/>
          <w:highlight w:val="none"/>
        </w:rPr>
        <w:t>的人数结算，合同期内不做调整</w:t>
      </w:r>
      <w:r>
        <w:rPr>
          <w:rFonts w:hint="eastAsia" w:ascii="宋体" w:hAnsi="宋体" w:eastAsia="宋体" w:cs="宋体"/>
          <w:color w:val="auto"/>
          <w:sz w:val="24"/>
          <w:szCs w:val="24"/>
          <w:highlight w:val="none"/>
          <w:lang w:eastAsia="zh-CN"/>
        </w:rPr>
        <w:t>。</w:t>
      </w:r>
    </w:p>
    <w:p w14:paraId="6188C7F9">
      <w:pPr>
        <w:spacing w:line="460" w:lineRule="exact"/>
        <w:ind w:firstLine="486" w:firstLineChars="200"/>
        <w:rPr>
          <w:rFonts w:hint="eastAsia" w:ascii="宋体" w:hAnsi="宋体" w:eastAsia="宋体" w:cs="宋体"/>
          <w:color w:val="auto"/>
          <w:sz w:val="24"/>
          <w:szCs w:val="24"/>
          <w:highlight w:val="none"/>
        </w:rPr>
      </w:pPr>
      <w:r>
        <w:rPr>
          <w:rFonts w:hint="eastAsia" w:hAnsi="宋体" w:cs="宋体"/>
          <w:color w:val="auto"/>
          <w:sz w:val="24"/>
          <w:szCs w:val="24"/>
          <w:highlight w:val="none"/>
          <w:lang w:val="en-US" w:eastAsia="zh-CN"/>
        </w:rPr>
        <w:t>2、</w:t>
      </w:r>
      <w:r>
        <w:rPr>
          <w:rFonts w:hint="eastAsia" w:hAnsi="宋体" w:cs="宋体"/>
          <w:color w:val="auto"/>
          <w:sz w:val="24"/>
          <w:szCs w:val="24"/>
          <w:highlight w:val="none"/>
          <w:lang w:eastAsia="zh-CN"/>
        </w:rPr>
        <w:t>供应商</w:t>
      </w:r>
      <w:r>
        <w:rPr>
          <w:rFonts w:hint="eastAsia" w:ascii="宋体" w:hAnsi="宋体" w:eastAsia="宋体" w:cs="宋体"/>
          <w:color w:val="auto"/>
          <w:sz w:val="24"/>
          <w:szCs w:val="24"/>
          <w:highlight w:val="none"/>
        </w:rPr>
        <w:t>开具正规税务发票送达</w:t>
      </w:r>
      <w:r>
        <w:rPr>
          <w:rFonts w:hint="eastAsia" w:hAnsi="宋体" w:cs="宋体"/>
          <w:color w:val="auto"/>
          <w:sz w:val="24"/>
          <w:szCs w:val="24"/>
          <w:highlight w:val="none"/>
          <w:lang w:eastAsia="zh-CN"/>
        </w:rPr>
        <w:t>采购人</w:t>
      </w:r>
      <w:r>
        <w:rPr>
          <w:rFonts w:hint="eastAsia" w:ascii="宋体" w:hAnsi="宋体" w:eastAsia="宋体" w:cs="宋体"/>
          <w:color w:val="auto"/>
          <w:sz w:val="24"/>
          <w:szCs w:val="24"/>
          <w:highlight w:val="none"/>
        </w:rPr>
        <w:t>后，</w:t>
      </w:r>
      <w:r>
        <w:rPr>
          <w:rFonts w:hint="eastAsia" w:hAnsi="宋体" w:cs="宋体"/>
          <w:color w:val="auto"/>
          <w:sz w:val="24"/>
          <w:szCs w:val="24"/>
          <w:highlight w:val="none"/>
          <w:lang w:eastAsia="zh-CN"/>
        </w:rPr>
        <w:t>采购人</w:t>
      </w:r>
      <w:r>
        <w:rPr>
          <w:rFonts w:hint="eastAsia" w:ascii="宋体" w:hAnsi="宋体" w:eastAsia="宋体" w:cs="宋体"/>
          <w:color w:val="auto"/>
          <w:sz w:val="24"/>
          <w:szCs w:val="24"/>
          <w:highlight w:val="none"/>
        </w:rPr>
        <w:t>将劳务</w:t>
      </w:r>
      <w:r>
        <w:rPr>
          <w:rFonts w:hint="eastAsia" w:ascii="宋体" w:hAnsi="宋体" w:eastAsia="宋体" w:cs="宋体"/>
          <w:color w:val="auto"/>
          <w:sz w:val="24"/>
          <w:szCs w:val="24"/>
          <w:highlight w:val="none"/>
          <w:lang w:eastAsia="zh-CN"/>
        </w:rPr>
        <w:t>外包</w:t>
      </w:r>
      <w:r>
        <w:rPr>
          <w:rFonts w:hint="eastAsia" w:ascii="宋体" w:hAnsi="宋体" w:eastAsia="宋体" w:cs="宋体"/>
          <w:color w:val="auto"/>
          <w:sz w:val="24"/>
          <w:szCs w:val="24"/>
          <w:highlight w:val="none"/>
        </w:rPr>
        <w:t>员工上月工资、当月社会保险费划到</w:t>
      </w:r>
      <w:r>
        <w:rPr>
          <w:rFonts w:hint="eastAsia" w:hAnsi="宋体" w:cs="宋体"/>
          <w:color w:val="auto"/>
          <w:sz w:val="24"/>
          <w:szCs w:val="24"/>
          <w:highlight w:val="none"/>
          <w:lang w:eastAsia="zh-CN"/>
        </w:rPr>
        <w:t>供应商</w:t>
      </w:r>
      <w:r>
        <w:rPr>
          <w:rFonts w:hint="eastAsia" w:ascii="宋体" w:hAnsi="宋体" w:eastAsia="宋体" w:cs="宋体"/>
          <w:color w:val="auto"/>
          <w:sz w:val="24"/>
          <w:szCs w:val="24"/>
          <w:highlight w:val="none"/>
        </w:rPr>
        <w:t>账户上，否则</w:t>
      </w:r>
      <w:r>
        <w:rPr>
          <w:rFonts w:hint="eastAsia" w:hAnsi="宋体" w:cs="宋体"/>
          <w:color w:val="auto"/>
          <w:sz w:val="24"/>
          <w:szCs w:val="24"/>
          <w:highlight w:val="none"/>
          <w:lang w:eastAsia="zh-CN"/>
        </w:rPr>
        <w:t>采购人</w:t>
      </w:r>
      <w:r>
        <w:rPr>
          <w:rFonts w:hint="eastAsia" w:ascii="宋体" w:hAnsi="宋体" w:eastAsia="宋体" w:cs="宋体"/>
          <w:color w:val="auto"/>
          <w:sz w:val="24"/>
          <w:szCs w:val="24"/>
          <w:highlight w:val="none"/>
        </w:rPr>
        <w:t>有权拒绝付款且不承担违约责任。</w:t>
      </w:r>
    </w:p>
    <w:p w14:paraId="61D6D5D5">
      <w:pPr>
        <w:spacing w:line="460" w:lineRule="exact"/>
        <w:ind w:firstLine="486" w:firstLineChars="200"/>
        <w:rPr>
          <w:rFonts w:hint="eastAsia" w:ascii="宋体" w:hAnsi="宋体" w:eastAsia="宋体" w:cs="宋体"/>
          <w:color w:val="auto"/>
          <w:sz w:val="24"/>
          <w:szCs w:val="24"/>
          <w:highlight w:val="none"/>
        </w:rPr>
      </w:pPr>
      <w:r>
        <w:rPr>
          <w:rFonts w:hint="eastAsia" w:hAnsi="宋体" w:cs="宋体"/>
          <w:color w:val="auto"/>
          <w:sz w:val="24"/>
          <w:szCs w:val="24"/>
          <w:highlight w:val="none"/>
          <w:lang w:val="en-US" w:eastAsia="zh-CN"/>
        </w:rPr>
        <w:t>3、</w:t>
      </w:r>
      <w:r>
        <w:rPr>
          <w:rFonts w:hint="eastAsia" w:hAnsi="宋体" w:cs="宋体"/>
          <w:color w:val="auto"/>
          <w:sz w:val="24"/>
          <w:szCs w:val="24"/>
          <w:highlight w:val="none"/>
          <w:lang w:eastAsia="zh-CN"/>
        </w:rPr>
        <w:t>供应商</w:t>
      </w:r>
      <w:r>
        <w:rPr>
          <w:rFonts w:hint="eastAsia" w:ascii="宋体" w:hAnsi="宋体" w:eastAsia="宋体" w:cs="宋体"/>
          <w:color w:val="auto"/>
          <w:sz w:val="24"/>
          <w:szCs w:val="24"/>
          <w:highlight w:val="none"/>
        </w:rPr>
        <w:t>须在每月10日按时足额将上月</w:t>
      </w:r>
      <w:r>
        <w:rPr>
          <w:rFonts w:hint="eastAsia" w:ascii="宋体" w:hAnsi="宋体" w:eastAsia="宋体" w:cs="宋体"/>
          <w:color w:val="auto"/>
          <w:sz w:val="24"/>
          <w:szCs w:val="24"/>
          <w:highlight w:val="none"/>
          <w:lang w:eastAsia="zh-CN"/>
        </w:rPr>
        <w:t>外包</w:t>
      </w:r>
      <w:r>
        <w:rPr>
          <w:rFonts w:hint="eastAsia" w:ascii="宋体" w:hAnsi="宋体" w:eastAsia="宋体" w:cs="宋体"/>
          <w:color w:val="auto"/>
          <w:sz w:val="24"/>
          <w:szCs w:val="24"/>
          <w:highlight w:val="none"/>
        </w:rPr>
        <w:t>员工的劳动报酬发放到</w:t>
      </w:r>
      <w:r>
        <w:rPr>
          <w:rFonts w:hint="eastAsia" w:ascii="宋体" w:hAnsi="宋体" w:eastAsia="宋体" w:cs="宋体"/>
          <w:color w:val="auto"/>
          <w:sz w:val="24"/>
          <w:szCs w:val="24"/>
          <w:highlight w:val="none"/>
          <w:lang w:eastAsia="zh-CN"/>
        </w:rPr>
        <w:t>外包</w:t>
      </w:r>
      <w:r>
        <w:rPr>
          <w:rFonts w:hint="eastAsia" w:ascii="宋体" w:hAnsi="宋体" w:eastAsia="宋体" w:cs="宋体"/>
          <w:color w:val="auto"/>
          <w:sz w:val="24"/>
          <w:szCs w:val="24"/>
          <w:highlight w:val="none"/>
        </w:rPr>
        <w:t>员工的工资卡内，遇国家法定节假日应提前发放。</w:t>
      </w:r>
    </w:p>
    <w:p w14:paraId="39AFE32B">
      <w:pPr>
        <w:spacing w:line="460" w:lineRule="exact"/>
        <w:ind w:firstLine="486" w:firstLineChars="200"/>
        <w:rPr>
          <w:rFonts w:hint="eastAsia" w:hAnsi="宋体" w:cs="宋体"/>
          <w:b/>
          <w:color w:val="auto"/>
          <w:sz w:val="24"/>
          <w:szCs w:val="24"/>
          <w:highlight w:val="yellow"/>
        </w:rPr>
      </w:pPr>
      <w:r>
        <w:rPr>
          <w:rFonts w:hint="eastAsia" w:hAnsi="宋体" w:cs="宋体"/>
          <w:color w:val="auto"/>
          <w:sz w:val="24"/>
          <w:szCs w:val="24"/>
          <w:highlight w:val="none"/>
          <w:lang w:val="en-US" w:eastAsia="zh-CN"/>
        </w:rPr>
        <w:t>4、</w:t>
      </w:r>
      <w:r>
        <w:rPr>
          <w:rFonts w:hint="eastAsia" w:hAnsi="宋体" w:cs="宋体"/>
          <w:color w:val="auto"/>
          <w:sz w:val="24"/>
          <w:szCs w:val="24"/>
          <w:highlight w:val="none"/>
          <w:lang w:eastAsia="zh-CN"/>
        </w:rPr>
        <w:t>供应商</w:t>
      </w:r>
      <w:r>
        <w:rPr>
          <w:rFonts w:hint="eastAsia" w:ascii="宋体" w:hAnsi="宋体" w:eastAsia="宋体" w:cs="宋体"/>
          <w:color w:val="auto"/>
          <w:sz w:val="24"/>
          <w:szCs w:val="24"/>
          <w:highlight w:val="none"/>
        </w:rPr>
        <w:t>须在</w:t>
      </w:r>
      <w:r>
        <w:rPr>
          <w:rFonts w:hint="eastAsia" w:ascii="宋体" w:hAnsi="宋体" w:cs="宋体"/>
          <w:color w:val="auto"/>
          <w:sz w:val="24"/>
          <w:szCs w:val="24"/>
          <w:highlight w:val="none"/>
          <w:lang w:val="en-US" w:eastAsia="zh-CN"/>
        </w:rPr>
        <w:t>次</w:t>
      </w:r>
      <w:r>
        <w:rPr>
          <w:rFonts w:hint="eastAsia" w:ascii="宋体" w:hAnsi="宋体" w:eastAsia="宋体" w:cs="宋体"/>
          <w:color w:val="auto"/>
          <w:sz w:val="24"/>
          <w:szCs w:val="24"/>
          <w:highlight w:val="none"/>
        </w:rPr>
        <w:t>月5日前向</w:t>
      </w:r>
      <w:r>
        <w:rPr>
          <w:rFonts w:hint="eastAsia" w:hAnsi="宋体" w:cs="宋体"/>
          <w:color w:val="auto"/>
          <w:sz w:val="24"/>
          <w:szCs w:val="24"/>
          <w:highlight w:val="none"/>
          <w:lang w:eastAsia="zh-CN"/>
        </w:rPr>
        <w:t>采购人</w:t>
      </w:r>
      <w:r>
        <w:rPr>
          <w:rFonts w:hint="eastAsia" w:ascii="宋体" w:hAnsi="宋体" w:eastAsia="宋体" w:cs="宋体"/>
          <w:color w:val="auto"/>
          <w:sz w:val="24"/>
          <w:szCs w:val="24"/>
          <w:highlight w:val="none"/>
        </w:rPr>
        <w:t>提供当月社保征集单复印件作为凭证。</w:t>
      </w:r>
    </w:p>
    <w:p w14:paraId="47CF17E4">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731B5C94">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3C4DA4A3">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4EF93919">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60E4C6F5">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46BAED34">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65763E55">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0315746E">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4CD6C66C">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1B85D84A">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5572DF8F">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04D3214F">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12AE329A">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74F94BB4">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0C69525D">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632D9400">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2BA4144F">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24A6CF55">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525AF333">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46B5C22F">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50EBF11E">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5E4611A5">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2E043505">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6BA99A65">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0F99C694">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20393465">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42C81406">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2F419204">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140EF328">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17FB2F96">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63F591F8">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p w14:paraId="1F0736E5">
      <w:pPr>
        <w:pStyle w:val="27"/>
        <w:ind w:left="0" w:leftChars="0" w:firstLine="0" w:firstLineChars="0"/>
        <w:rPr>
          <w:rFonts w:hint="eastAsia" w:asciiTheme="majorEastAsia" w:hAnsiTheme="majorEastAsia" w:eastAsiaTheme="majorEastAsia" w:cstheme="majorEastAsia"/>
          <w:sz w:val="21"/>
          <w:szCs w:val="21"/>
          <w:highlight w:val="none"/>
          <w:lang w:val="en-US" w:eastAsia="zh-CN"/>
        </w:rPr>
      </w:pPr>
    </w:p>
    <w:bookmarkEnd w:id="78"/>
    <w:p w14:paraId="066BA9BD">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center"/>
        <w:textAlignment w:val="auto"/>
        <w:outlineLvl w:val="1"/>
        <w:rPr>
          <w:rFonts w:hint="eastAsia" w:ascii="宋体"/>
          <w:b/>
          <w:color w:val="auto"/>
          <w:sz w:val="30"/>
          <w:szCs w:val="30"/>
          <w:highlight w:val="red"/>
        </w:rPr>
      </w:pPr>
      <w:r>
        <w:rPr>
          <w:rFonts w:hint="eastAsia" w:ascii="宋体"/>
          <w:b/>
          <w:color w:val="auto"/>
          <w:sz w:val="30"/>
          <w:szCs w:val="30"/>
          <w:highlight w:val="none"/>
          <w:lang w:val="en-US" w:eastAsia="zh-CN"/>
        </w:rPr>
        <w:t xml:space="preserve">第五章 </w:t>
      </w:r>
      <w:r>
        <w:rPr>
          <w:rFonts w:hint="eastAsia" w:ascii="宋体"/>
          <w:b/>
          <w:color w:val="auto"/>
          <w:sz w:val="30"/>
          <w:szCs w:val="30"/>
          <w:highlight w:val="none"/>
        </w:rPr>
        <w:t xml:space="preserve"> 合同条款及格式</w:t>
      </w:r>
      <w:bookmarkStart w:id="79" w:name="_Toc20669"/>
    </w:p>
    <w:bookmarkEnd w:id="79"/>
    <w:p w14:paraId="5AE6FADE">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center"/>
        <w:textAlignment w:val="auto"/>
        <w:outlineLvl w:val="1"/>
        <w:rPr>
          <w:rFonts w:hint="eastAsia" w:ascii="宋体" w:hAnsi="宋体" w:eastAsia="宋体" w:cs="宋体"/>
          <w:b/>
          <w:bCs/>
          <w:spacing w:val="-20"/>
          <w:kern w:val="44"/>
          <w:sz w:val="48"/>
          <w:szCs w:val="48"/>
        </w:rPr>
      </w:pPr>
      <w:bookmarkStart w:id="80" w:name="_Toc469495743"/>
      <w:r>
        <w:rPr>
          <w:rFonts w:hint="eastAsia" w:ascii="宋体" w:hAnsi="宋体" w:eastAsia="宋体" w:cs="宋体"/>
          <w:color w:val="auto"/>
          <w:szCs w:val="21"/>
          <w:highlight w:val="none"/>
        </w:rPr>
        <w:t>（本合同为合同样稿，最终稿由供需双方协商后确定）</w:t>
      </w:r>
      <w:bookmarkStart w:id="81" w:name="_Toc3995"/>
    </w:p>
    <w:p w14:paraId="50214D0E">
      <w:pPr>
        <w:pStyle w:val="11"/>
        <w:spacing w:after="0"/>
        <w:jc w:val="center"/>
        <w:rPr>
          <w:rFonts w:hint="eastAsia" w:ascii="宋体" w:hAnsi="宋体" w:eastAsia="宋体" w:cs="宋体"/>
          <w:b/>
          <w:bCs/>
          <w:spacing w:val="-20"/>
          <w:kern w:val="44"/>
          <w:sz w:val="48"/>
          <w:szCs w:val="48"/>
        </w:rPr>
      </w:pPr>
    </w:p>
    <w:p w14:paraId="4196602D">
      <w:pPr>
        <w:pStyle w:val="11"/>
        <w:spacing w:after="0"/>
        <w:jc w:val="center"/>
        <w:rPr>
          <w:rFonts w:hint="eastAsia" w:ascii="宋体" w:hAnsi="宋体" w:eastAsia="宋体" w:cs="宋体"/>
          <w:b/>
          <w:bCs/>
          <w:spacing w:val="-20"/>
          <w:kern w:val="44"/>
          <w:sz w:val="28"/>
          <w:szCs w:val="28"/>
        </w:rPr>
      </w:pPr>
      <w:r>
        <w:rPr>
          <w:rFonts w:hint="eastAsia" w:ascii="宋体" w:hAnsi="宋体" w:eastAsia="宋体" w:cs="宋体"/>
          <w:b/>
          <w:bCs/>
          <w:spacing w:val="-20"/>
          <w:kern w:val="44"/>
          <w:sz w:val="28"/>
          <w:szCs w:val="28"/>
        </w:rPr>
        <w:t>政府采购</w:t>
      </w:r>
      <w:r>
        <w:rPr>
          <w:rFonts w:hint="eastAsia" w:ascii="宋体" w:hAnsi="宋体" w:cs="宋体"/>
          <w:b/>
          <w:bCs/>
          <w:spacing w:val="-20"/>
          <w:kern w:val="44"/>
          <w:sz w:val="28"/>
          <w:szCs w:val="28"/>
          <w:lang w:val="en-US" w:eastAsia="zh-CN"/>
        </w:rPr>
        <w:t>服务</w:t>
      </w:r>
      <w:r>
        <w:rPr>
          <w:rFonts w:hint="eastAsia" w:ascii="宋体" w:hAnsi="宋体" w:eastAsia="宋体" w:cs="宋体"/>
          <w:b/>
          <w:bCs/>
          <w:spacing w:val="-20"/>
          <w:kern w:val="44"/>
          <w:sz w:val="28"/>
          <w:szCs w:val="28"/>
          <w:lang w:eastAsia="zh-CN"/>
        </w:rPr>
        <w:t>买卖</w:t>
      </w:r>
      <w:r>
        <w:rPr>
          <w:rFonts w:hint="eastAsia" w:ascii="宋体" w:hAnsi="宋体" w:eastAsia="宋体" w:cs="宋体"/>
          <w:b/>
          <w:bCs/>
          <w:spacing w:val="-20"/>
          <w:kern w:val="44"/>
          <w:sz w:val="28"/>
          <w:szCs w:val="28"/>
        </w:rPr>
        <w:t>合同</w:t>
      </w:r>
    </w:p>
    <w:p w14:paraId="248D01F6">
      <w:pPr>
        <w:rPr>
          <w:rFonts w:hint="eastAsia" w:ascii="宋体" w:hAnsi="宋体" w:eastAsia="宋体" w:cs="宋体"/>
          <w:b/>
          <w:bCs/>
          <w:spacing w:val="-20"/>
          <w:kern w:val="44"/>
          <w:sz w:val="40"/>
          <w:szCs w:val="40"/>
        </w:rPr>
      </w:pPr>
    </w:p>
    <w:p w14:paraId="664F723A">
      <w:pPr>
        <w:rPr>
          <w:rFonts w:hint="eastAsia" w:ascii="宋体" w:hAnsi="宋体" w:eastAsia="宋体" w:cs="宋体"/>
          <w:b/>
          <w:bCs/>
          <w:spacing w:val="-20"/>
          <w:kern w:val="44"/>
          <w:sz w:val="36"/>
          <w:szCs w:val="36"/>
        </w:rPr>
      </w:pPr>
    </w:p>
    <w:p w14:paraId="7C83EC11">
      <w:pPr>
        <w:rPr>
          <w:rFonts w:hint="eastAsia" w:ascii="宋体" w:hAnsi="宋体" w:eastAsia="宋体" w:cs="宋体"/>
          <w:b/>
          <w:bCs/>
          <w:spacing w:val="-20"/>
          <w:kern w:val="44"/>
          <w:sz w:val="36"/>
          <w:szCs w:val="36"/>
        </w:rPr>
      </w:pPr>
    </w:p>
    <w:p w14:paraId="7EEBFEF0">
      <w:pPr>
        <w:spacing w:line="360" w:lineRule="auto"/>
        <w:ind w:left="426" w:leftChars="200"/>
        <w:rPr>
          <w:rFonts w:hint="eastAsia" w:ascii="宋体" w:hAnsi="宋体" w:eastAsia="宋体" w:cs="宋体"/>
          <w:sz w:val="28"/>
          <w:szCs w:val="28"/>
        </w:rPr>
      </w:pPr>
      <w:r>
        <w:rPr>
          <w:rFonts w:hint="eastAsia" w:ascii="宋体" w:hAnsi="宋体" w:eastAsia="宋体" w:cs="宋体"/>
          <w:kern w:val="0"/>
          <w:sz w:val="28"/>
          <w:szCs w:val="28"/>
        </w:rPr>
        <w:t>项目名称：</w:t>
      </w:r>
      <w:r>
        <w:rPr>
          <w:rFonts w:hint="eastAsia" w:ascii="宋体" w:hAnsi="宋体" w:eastAsia="宋体" w:cs="宋体"/>
          <w:sz w:val="28"/>
          <w:szCs w:val="28"/>
          <w:u w:val="single"/>
        </w:rPr>
        <w:t xml:space="preserve">                             </w:t>
      </w:r>
    </w:p>
    <w:p w14:paraId="208FED68">
      <w:pPr>
        <w:spacing w:line="360" w:lineRule="auto"/>
        <w:ind w:left="426" w:leftChars="200"/>
        <w:rPr>
          <w:rFonts w:hint="eastAsia" w:ascii="宋体" w:hAnsi="宋体" w:eastAsia="宋体" w:cs="宋体"/>
          <w:sz w:val="28"/>
          <w:szCs w:val="28"/>
          <w:u w:val="single"/>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p>
    <w:p w14:paraId="13AE1AB3">
      <w:pPr>
        <w:spacing w:line="360" w:lineRule="auto"/>
        <w:ind w:left="426" w:leftChars="200"/>
        <w:rPr>
          <w:rFonts w:hint="eastAsia" w:ascii="宋体" w:hAnsi="宋体" w:eastAsia="宋体" w:cs="宋体"/>
          <w:sz w:val="28"/>
          <w:szCs w:val="28"/>
        </w:rPr>
      </w:pPr>
      <w:r>
        <w:rPr>
          <w:rFonts w:hint="eastAsia" w:ascii="宋体" w:hAnsi="宋体" w:eastAsia="宋体" w:cs="宋体"/>
          <w:sz w:val="28"/>
          <w:szCs w:val="28"/>
        </w:rPr>
        <w:t>甲    方：</w:t>
      </w:r>
      <w:r>
        <w:rPr>
          <w:rFonts w:hint="eastAsia" w:ascii="宋体" w:hAnsi="宋体" w:eastAsia="宋体" w:cs="宋体"/>
          <w:sz w:val="28"/>
          <w:szCs w:val="28"/>
          <w:u w:val="single"/>
        </w:rPr>
        <w:t xml:space="preserve">                             </w:t>
      </w:r>
    </w:p>
    <w:p w14:paraId="264F46BF">
      <w:pPr>
        <w:spacing w:line="360" w:lineRule="auto"/>
        <w:ind w:left="426" w:leftChars="200"/>
        <w:rPr>
          <w:rFonts w:hint="eastAsia" w:ascii="宋体" w:hAnsi="宋体" w:eastAsia="宋体" w:cs="宋体"/>
          <w:sz w:val="28"/>
          <w:szCs w:val="28"/>
          <w:u w:val="single"/>
        </w:rPr>
      </w:pPr>
      <w:r>
        <w:rPr>
          <w:rFonts w:hint="eastAsia" w:ascii="宋体" w:hAnsi="宋体" w:eastAsia="宋体" w:cs="宋体"/>
          <w:sz w:val="28"/>
          <w:szCs w:val="28"/>
        </w:rPr>
        <w:t>乙    方：</w:t>
      </w:r>
      <w:r>
        <w:rPr>
          <w:rFonts w:hint="eastAsia" w:ascii="宋体" w:hAnsi="宋体" w:eastAsia="宋体" w:cs="宋体"/>
          <w:sz w:val="28"/>
          <w:szCs w:val="28"/>
          <w:u w:val="single"/>
        </w:rPr>
        <w:t xml:space="preserve">                             </w:t>
      </w:r>
    </w:p>
    <w:p w14:paraId="101AA422">
      <w:pPr>
        <w:spacing w:line="360" w:lineRule="auto"/>
        <w:ind w:left="426" w:leftChars="200"/>
        <w:rPr>
          <w:rFonts w:hint="eastAsia" w:ascii="宋体" w:hAnsi="宋体" w:eastAsia="宋体" w:cs="宋体"/>
          <w:sz w:val="28"/>
          <w:szCs w:val="28"/>
        </w:rPr>
      </w:pPr>
      <w:r>
        <w:rPr>
          <w:rFonts w:hint="eastAsia" w:ascii="宋体" w:hAnsi="宋体" w:eastAsia="宋体" w:cs="宋体"/>
          <w:sz w:val="28"/>
          <w:szCs w:val="28"/>
        </w:rPr>
        <w:t>签订时间：</w:t>
      </w:r>
      <w:r>
        <w:rPr>
          <w:rFonts w:hint="eastAsia" w:ascii="宋体" w:hAnsi="宋体" w:eastAsia="宋体" w:cs="宋体"/>
          <w:sz w:val="28"/>
          <w:szCs w:val="28"/>
          <w:u w:val="single"/>
        </w:rPr>
        <w:t xml:space="preserve">                             </w:t>
      </w:r>
    </w:p>
    <w:p w14:paraId="743003C5">
      <w:pPr>
        <w:rPr>
          <w:rFonts w:hint="eastAsia" w:ascii="宋体" w:hAnsi="宋体" w:eastAsia="宋体" w:cs="宋体"/>
        </w:rPr>
      </w:pPr>
    </w:p>
    <w:p w14:paraId="10827503">
      <w:pPr>
        <w:rPr>
          <w:rFonts w:hint="eastAsia" w:ascii="宋体" w:hAnsi="宋体" w:eastAsia="宋体" w:cs="宋体"/>
          <w:sz w:val="44"/>
          <w:szCs w:val="44"/>
        </w:rPr>
      </w:pPr>
      <w:r>
        <w:rPr>
          <w:rFonts w:hint="eastAsia" w:ascii="宋体" w:hAnsi="宋体" w:eastAsia="宋体" w:cs="宋体"/>
          <w:sz w:val="44"/>
          <w:szCs w:val="44"/>
        </w:rPr>
        <w:br w:type="page"/>
      </w:r>
    </w:p>
    <w:bookmarkEnd w:id="81"/>
    <w:p w14:paraId="34635712">
      <w:pPr>
        <w:pStyle w:val="3"/>
        <w:numPr>
          <w:ilvl w:val="1"/>
          <w:numId w:val="0"/>
        </w:numPr>
        <w:adjustRightInd w:val="0"/>
        <w:snapToGrid w:val="0"/>
        <w:spacing w:beforeLines="0" w:line="400" w:lineRule="exact"/>
        <w:ind w:left="431" w:leftChars="0"/>
        <w:jc w:val="both"/>
        <w:rPr>
          <w:rFonts w:hint="eastAsia" w:ascii="宋体" w:hAnsi="宋体" w:eastAsia="宋体" w:cs="宋体"/>
          <w:sz w:val="28"/>
          <w:szCs w:val="28"/>
        </w:rPr>
      </w:pPr>
      <w:bookmarkStart w:id="82" w:name="_Toc22209"/>
    </w:p>
    <w:bookmarkEnd w:id="82"/>
    <w:p w14:paraId="284AAA42">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762" w:firstLineChars="200"/>
        <w:jc w:val="center"/>
        <w:textAlignment w:val="baseline"/>
        <w:rPr>
          <w:rFonts w:hint="eastAsia" w:ascii="宋体" w:hAnsi="宋体" w:eastAsia="宋体" w:cs="宋体"/>
          <w:b/>
          <w:bCs/>
          <w:color w:val="auto"/>
          <w:spacing w:val="0"/>
          <w:kern w:val="0"/>
          <w:sz w:val="36"/>
          <w:szCs w:val="36"/>
          <w:vertAlign w:val="baseline"/>
        </w:rPr>
      </w:pPr>
      <w:r>
        <w:rPr>
          <w:rFonts w:hint="eastAsia" w:ascii="宋体" w:hAnsi="宋体" w:eastAsia="宋体" w:cs="宋体"/>
          <w:b/>
          <w:bCs/>
          <w:snapToGrid w:val="0"/>
          <w:color w:val="auto"/>
          <w:spacing w:val="9"/>
          <w:kern w:val="0"/>
          <w:sz w:val="36"/>
          <w:szCs w:val="36"/>
          <w:vertAlign w:val="baseline"/>
          <w:lang w:val="en-US" w:eastAsia="zh-CN" w:bidi="ar"/>
        </w:rPr>
        <w:t>合同样本</w:t>
      </w:r>
    </w:p>
    <w:p w14:paraId="6A605EB1">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both"/>
        <w:textAlignment w:val="baseline"/>
        <w:rPr>
          <w:rFonts w:hint="eastAsia" w:ascii="宋体" w:hAnsi="宋体" w:eastAsia="宋体" w:cs="宋体"/>
          <w:color w:val="auto"/>
          <w:spacing w:val="0"/>
          <w:kern w:val="0"/>
          <w:sz w:val="24"/>
          <w:szCs w:val="24"/>
          <w:u w:val="single"/>
          <w:vertAlign w:val="baseline"/>
        </w:rPr>
      </w:pPr>
      <w:r>
        <w:rPr>
          <w:rFonts w:hint="eastAsia" w:ascii="宋体" w:hAnsi="宋体" w:eastAsia="宋体" w:cs="宋体"/>
          <w:snapToGrid w:val="0"/>
          <w:color w:val="auto"/>
          <w:spacing w:val="0"/>
          <w:kern w:val="0"/>
          <w:sz w:val="24"/>
          <w:szCs w:val="24"/>
          <w:vertAlign w:val="baseline"/>
          <w:lang w:val="en-US" w:eastAsia="zh-CN" w:bidi="ar"/>
        </w:rPr>
        <w:t>委托方（以下简称甲方）：</w:t>
      </w:r>
      <w:r>
        <w:rPr>
          <w:rFonts w:hint="eastAsia" w:ascii="宋体" w:hAnsi="宋体" w:eastAsia="宋体" w:cs="宋体"/>
          <w:snapToGrid w:val="0"/>
          <w:color w:val="auto"/>
          <w:spacing w:val="0"/>
          <w:kern w:val="0"/>
          <w:sz w:val="24"/>
          <w:szCs w:val="24"/>
          <w:u w:val="single"/>
          <w:vertAlign w:val="baseline"/>
          <w:lang w:val="en-US" w:eastAsia="zh-CN" w:bidi="ar"/>
        </w:rPr>
        <w:t xml:space="preserve">           </w:t>
      </w:r>
    </w:p>
    <w:p w14:paraId="347CE62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承检方（以下简称乙方）：</w:t>
      </w:r>
      <w:r>
        <w:rPr>
          <w:rFonts w:hint="eastAsia" w:ascii="宋体" w:hAnsi="宋体" w:eastAsia="宋体" w:cs="宋体"/>
          <w:snapToGrid w:val="0"/>
          <w:color w:val="auto"/>
          <w:spacing w:val="0"/>
          <w:kern w:val="0"/>
          <w:sz w:val="24"/>
          <w:szCs w:val="24"/>
          <w:u w:val="single"/>
          <w:vertAlign w:val="baseline"/>
          <w:lang w:val="en-US" w:eastAsia="zh-CN" w:bidi="ar"/>
        </w:rPr>
        <w:t xml:space="preserve">            </w:t>
      </w:r>
    </w:p>
    <w:p w14:paraId="2CE86182">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both"/>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依照《中华人民共和国合同法》及项目(</w:t>
      </w:r>
      <w:r>
        <w:rPr>
          <w:rFonts w:hint="eastAsia" w:ascii="宋体" w:hAnsi="宋体" w:eastAsia="宋体" w:cs="宋体"/>
          <w:snapToGrid w:val="0"/>
          <w:color w:val="auto"/>
          <w:spacing w:val="0"/>
          <w:kern w:val="0"/>
          <w:sz w:val="24"/>
          <w:szCs w:val="24"/>
          <w:u w:val="single"/>
          <w:vertAlign w:val="baseline"/>
          <w:lang w:val="en-US" w:eastAsia="zh-CN" w:bidi="ar"/>
        </w:rPr>
        <w:t>项目编号</w:t>
      </w:r>
      <w:r>
        <w:rPr>
          <w:rFonts w:hint="eastAsia" w:ascii="宋体" w:hAnsi="宋体" w:eastAsia="宋体" w:cs="宋体"/>
          <w:snapToGrid w:val="0"/>
          <w:color w:val="auto"/>
          <w:spacing w:val="0"/>
          <w:kern w:val="0"/>
          <w:sz w:val="24"/>
          <w:szCs w:val="24"/>
          <w:vertAlign w:val="baseline"/>
          <w:lang w:val="en-US" w:eastAsia="zh-CN" w:bidi="ar"/>
        </w:rPr>
        <w:t>)竞争性</w:t>
      </w:r>
      <w:r>
        <w:rPr>
          <w:rFonts w:hint="eastAsia" w:ascii="宋体" w:hAnsi="宋体" w:cs="宋体"/>
          <w:snapToGrid w:val="0"/>
          <w:color w:val="auto"/>
          <w:spacing w:val="0"/>
          <w:kern w:val="0"/>
          <w:sz w:val="24"/>
          <w:szCs w:val="24"/>
          <w:vertAlign w:val="baseline"/>
          <w:lang w:val="en-US" w:eastAsia="zh-CN" w:bidi="ar"/>
        </w:rPr>
        <w:t>谈判</w:t>
      </w:r>
      <w:r>
        <w:rPr>
          <w:rFonts w:hint="eastAsia" w:ascii="宋体" w:hAnsi="宋体" w:eastAsia="宋体" w:cs="宋体"/>
          <w:snapToGrid w:val="0"/>
          <w:color w:val="auto"/>
          <w:spacing w:val="0"/>
          <w:kern w:val="0"/>
          <w:sz w:val="24"/>
          <w:szCs w:val="24"/>
          <w:vertAlign w:val="baseline"/>
          <w:lang w:val="en-US" w:eastAsia="zh-CN" w:bidi="ar"/>
        </w:rPr>
        <w:t>文件的要求和招标结果，经甲乙双方协商一致，签订本合同。详细价格、技术说明及其他有关合同项目的特定信息由合同附件予以说明，合同附件及本项目的采购文件、响应文件等均为本合同不可分割之一部分。双方共同遵守如下条款：</w:t>
      </w:r>
    </w:p>
    <w:p w14:paraId="7FFC7BA1">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both"/>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一、总则</w:t>
      </w:r>
    </w:p>
    <w:p w14:paraId="3E7BBA83">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1.1.项目基本情况本项目是对。</w:t>
      </w:r>
    </w:p>
    <w:p w14:paraId="4468EF86">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1.2.乙方提供服务的受益人为本项目的甲方，甲乙方均应对履行本合同承担相应的责任。</w:t>
      </w:r>
    </w:p>
    <w:p w14:paraId="73D3A56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二、服务期限</w:t>
      </w:r>
    </w:p>
    <w:p w14:paraId="5DA529F4">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服务期限：自年月日时起至年月日止。</w:t>
      </w:r>
    </w:p>
    <w:p w14:paraId="1A814693">
      <w:pPr>
        <w:keepNext w:val="0"/>
        <w:keepLines w:val="0"/>
        <w:widowControl/>
        <w:suppressLineNumbers w:val="0"/>
        <w:kinsoku w:val="0"/>
        <w:autoSpaceDE w:val="0"/>
        <w:autoSpaceDN w:val="0"/>
        <w:adjustRightInd w:val="0"/>
        <w:snapToGrid w:val="0"/>
        <w:spacing w:before="0" w:beforeAutospacing="0" w:after="0" w:afterAutospacing="0" w:line="240" w:lineRule="auto"/>
        <w:ind w:left="0" w:leftChars="0" w:right="0" w:rightChars="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三、委托服务事项(具体要求参照采购文件)</w:t>
      </w:r>
    </w:p>
    <w:p w14:paraId="1052B817">
      <w:pPr>
        <w:keepNext w:val="0"/>
        <w:keepLines w:val="0"/>
        <w:widowControl/>
        <w:suppressLineNumbers w:val="0"/>
        <w:kinsoku w:val="0"/>
        <w:autoSpaceDE w:val="0"/>
        <w:autoSpaceDN w:val="0"/>
        <w:adjustRightInd w:val="0"/>
        <w:snapToGrid w:val="0"/>
        <w:spacing w:before="0" w:beforeAutospacing="0" w:after="0" w:afterAutospacing="0" w:line="240" w:lineRule="auto"/>
        <w:ind w:left="0" w:leftChars="0" w:right="0" w:rightChars="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四、知识产权产权归属</w:t>
      </w:r>
    </w:p>
    <w:p w14:paraId="0235354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五、保密</w:t>
      </w:r>
    </w:p>
    <w:p w14:paraId="52BF0E5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六、违约责任与赔偿损失</w:t>
      </w:r>
    </w:p>
    <w:p w14:paraId="4BD82F3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1)乙方提供的服务不符合采购文件、响应文件或本合同规定的，甲方有权拒收，并且乙方须向甲方支付本合同总价%的违约金。</w:t>
      </w:r>
    </w:p>
    <w:p w14:paraId="1EEEFC7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2)乙方未能按本合同规定的服务期限提供服务，从逾期之日起每日按本合同总价‰的数</w:t>
      </w:r>
    </w:p>
    <w:p w14:paraId="68B9BA7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额向甲方支付违约金；逾期1个月以上的，甲方有权终止合同，由此造成的甲方经济损失由乙方承担。</w:t>
      </w:r>
    </w:p>
    <w:p w14:paraId="4F454BE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3)甲方无正当理由拒收接受服务，到期拒付服务款项的，甲方向乙方偿付本合同总的5%的违约金。甲方逾期付款，则每日按本合同总价的‰向乙方偿付违约金。</w:t>
      </w:r>
    </w:p>
    <w:p w14:paraId="50768433">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4)其它违约责任按《中华人民共和国合同法》处理。</w:t>
      </w:r>
    </w:p>
    <w:p w14:paraId="03FA68E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七、争端的解决</w:t>
      </w:r>
    </w:p>
    <w:p w14:paraId="2232531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合同执行过程中发生的任何争议，如双方不能通过友好协商解决，按相关法律法规处理。</w:t>
      </w:r>
    </w:p>
    <w:p w14:paraId="23A541E6">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八、不可抗力</w:t>
      </w:r>
    </w:p>
    <w:p w14:paraId="3B8B9F1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both"/>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3375CF9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九、税费</w:t>
      </w:r>
    </w:p>
    <w:p w14:paraId="24B597E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在中国境内、外发生的与本合同执行有关的一切税费均由乙方负担。</w:t>
      </w:r>
    </w:p>
    <w:p w14:paraId="3EA5823C">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十、合同生效</w:t>
      </w:r>
    </w:p>
    <w:p w14:paraId="2C60CC8C">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1）本合同在甲乙双方法人代表或其授权代表签字盖章后生效。</w:t>
      </w:r>
    </w:p>
    <w:p w14:paraId="66E00E2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2）合同一式份。</w:t>
      </w:r>
    </w:p>
    <w:p w14:paraId="178AEEE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十一、付款方式</w:t>
      </w:r>
    </w:p>
    <w:p w14:paraId="09A77D63">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合同签订后，首付总价款的</w:t>
      </w:r>
      <w:r>
        <w:rPr>
          <w:rFonts w:hint="eastAsia" w:ascii="宋体" w:hAnsi="宋体" w:eastAsia="宋体" w:cs="宋体"/>
          <w:snapToGrid w:val="0"/>
          <w:color w:val="auto"/>
          <w:spacing w:val="0"/>
          <w:kern w:val="0"/>
          <w:sz w:val="24"/>
          <w:szCs w:val="24"/>
          <w:u w:val="single"/>
          <w:vertAlign w:val="baseline"/>
          <w:lang w:val="en-US" w:eastAsia="zh-CN" w:bidi="ar"/>
        </w:rPr>
        <w:t xml:space="preserve">   </w:t>
      </w:r>
      <w:r>
        <w:rPr>
          <w:rFonts w:hint="eastAsia" w:ascii="宋体" w:hAnsi="宋体" w:eastAsia="宋体" w:cs="宋体"/>
          <w:snapToGrid w:val="0"/>
          <w:color w:val="auto"/>
          <w:spacing w:val="0"/>
          <w:kern w:val="0"/>
          <w:sz w:val="24"/>
          <w:szCs w:val="24"/>
          <w:vertAlign w:val="baseline"/>
          <w:lang w:val="en-US" w:eastAsia="zh-CN" w:bidi="ar"/>
        </w:rPr>
        <w:t>%。</w:t>
      </w:r>
    </w:p>
    <w:p w14:paraId="6026442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十二、甲方权利和义务</w:t>
      </w:r>
    </w:p>
    <w:p w14:paraId="11E0238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1、代表和维护委托方的合法权益。</w:t>
      </w:r>
    </w:p>
    <w:p w14:paraId="58A55CF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2、甲方有权对乙方委派的人员提出更换的权利。</w:t>
      </w:r>
    </w:p>
    <w:p w14:paraId="2C7CB9F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3、审批乙方拟定的相关制度。</w:t>
      </w:r>
    </w:p>
    <w:p w14:paraId="332A802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4、监督乙方管理服务及制度的执行情况。</w:t>
      </w:r>
    </w:p>
    <w:p w14:paraId="2B8D9854">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5、乙方如不履行合同约定的服务质量要求或其它虚假欺诈行为，甲方有权先处罚后终止合同，乙方赔偿甲方所受损失。</w:t>
      </w:r>
    </w:p>
    <w:p w14:paraId="24D2741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十三、乙方的权利、责任和义务</w:t>
      </w:r>
    </w:p>
    <w:p w14:paraId="5525075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1、根据有关法律法规及本合同的约定，制定相关服务制度。</w:t>
      </w:r>
    </w:p>
    <w:p w14:paraId="57E6FC6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2、按照本合同的约定，协调处理相关事项。</w:t>
      </w:r>
    </w:p>
    <w:p w14:paraId="2D8B626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3、按照本合同不得将本项目责任以任何形式全部或部分转让给第三方。</w:t>
      </w:r>
    </w:p>
    <w:p w14:paraId="0792E72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4、按合同约定，负责向甲方收取相关费用。</w:t>
      </w:r>
    </w:p>
    <w:p w14:paraId="52AA286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5、乙方管理人员及其它所属工作人员应遵守甲方的规章制度和社会公德，爱护甲方的财产和其它资源。</w:t>
      </w:r>
    </w:p>
    <w:p w14:paraId="47BF3E8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十四、服务质量</w:t>
      </w:r>
    </w:p>
    <w:p w14:paraId="08382204">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（一）具体的服务质量要求按采购文件及响应文件执行。</w:t>
      </w:r>
    </w:p>
    <w:p w14:paraId="025D3F1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（二）如甲方或乙方中有一方要求中止合同，须提前3个月通知对方，并交付对方违约金(按合同办)。</w:t>
      </w:r>
    </w:p>
    <w:p w14:paraId="11EB2EC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十五、其他约定</w:t>
      </w:r>
    </w:p>
    <w:p w14:paraId="7BF44C1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1、乙方的服务实施人员要有符合规定的相关资格，要严格政审，没有刑事犯罪记录，重要岗位人员聘用要经甲方审定。并须将其管理人有效证明及担保提交给委托方管理部门存查备案。</w:t>
      </w:r>
    </w:p>
    <w:p w14:paraId="3F32AF3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2、如有需要，乙方的管理人员要听从甲方调动指挥。</w:t>
      </w:r>
    </w:p>
    <w:p w14:paraId="77A16B9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十六、违约贵任</w:t>
      </w:r>
    </w:p>
    <w:p w14:paraId="470788D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1、甲方违约，应无条件退还乙方履约保证金，并赔偿乙方的直接经济损失。</w:t>
      </w:r>
    </w:p>
    <w:p w14:paraId="545EF733">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2、乙方违约，按合同有关规定办理，无权要求甲方退还履约保证金，并赔偿甲方的经济损失。</w:t>
      </w:r>
    </w:p>
    <w:p w14:paraId="7AFF3E4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3、乙方不遵守承检合约，不按合约签订的各项要求完成工作或出现重大安全事故时，乙方赔偿损失后，甲方保留追究法律责任的权利。甲方有权终止乙方承检资格，且不予退还乙方的履约保证金。</w:t>
      </w:r>
    </w:p>
    <w:p w14:paraId="21D81F9C">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4、乙方不得转让承检权，如发现乙方把承检权转让他人，则视为乙方自行毁约，其履约保证金不得退回并立即停止乙方承检资格。</w:t>
      </w:r>
    </w:p>
    <w:p w14:paraId="1002BA2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5、甲方逾期支付乙方服务费用的，向乙方支付相应的违约金。（具体支付时间按有关规定执行）</w:t>
      </w:r>
    </w:p>
    <w:p w14:paraId="2919A20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6、乙方违反本合同要求的规定，未能达到约定的服务要求，使用人投诉多或出现重大管理失误，或在服务项目时造成重大事故、负有主要责任，甲方有权要求终止合同；造成甲方经济损失的，乙方应给予甲方经济赔偿，并承担相应的法律责任。</w:t>
      </w:r>
    </w:p>
    <w:p w14:paraId="2313CD6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十七、其他</w:t>
      </w:r>
    </w:p>
    <w:p w14:paraId="2A8EBD8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1、本合同正本一式份，具有同等法律效力，甲方执一份，乙方执一份、采购办执一份，招标机构执一份。合同自签字之日起即时生效。</w:t>
      </w:r>
    </w:p>
    <w:p w14:paraId="6F389A3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2、本合同所有附件、采购文件、响应文件、中标通知书均为合同的有效组成部分，与本合同具有同等法律效力。</w:t>
      </w:r>
    </w:p>
    <w:p w14:paraId="5E370133">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3、在执行本合同的过程中，所有经双方签署确认的文件（包括会议纪要、补充协议、往来信函）即成为本合同的有效组成部分。</w:t>
      </w:r>
    </w:p>
    <w:p w14:paraId="3C4CDD4C">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4、如一方地址、电话、传真号码有变更，应在变更当日内书面通知对方，否则，应承担相应责任。</w:t>
      </w:r>
    </w:p>
    <w:p w14:paraId="7548D38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5、除甲方事先书面同意外，乙方不得部分或全部转让其应履行的合同项下的义务。</w:t>
      </w:r>
    </w:p>
    <w:p w14:paraId="3CDCC482">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6、本合同未尽事宜，双方可用补充合同的形式加以补充。补充合同与本合同具有同样的法律效力。</w:t>
      </w:r>
    </w:p>
    <w:p w14:paraId="2780739C">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86" w:firstLineChars="20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 xml:space="preserve"> </w:t>
      </w:r>
    </w:p>
    <w:p w14:paraId="0AE4DDE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426" w:firstLineChars="200"/>
        <w:jc w:val="left"/>
        <w:textAlignment w:val="baseline"/>
        <w:rPr>
          <w:rFonts w:hint="eastAsia" w:ascii="宋体" w:hAnsi="宋体" w:eastAsia="宋体" w:cs="宋体"/>
          <w:color w:val="auto"/>
          <w:spacing w:val="0"/>
          <w:kern w:val="0"/>
          <w:sz w:val="21"/>
          <w:szCs w:val="21"/>
          <w:vertAlign w:val="baseline"/>
        </w:rPr>
      </w:pPr>
      <w:r>
        <w:rPr>
          <w:rFonts w:hint="eastAsia" w:ascii="宋体" w:hAnsi="宋体" w:eastAsia="宋体" w:cs="宋体"/>
          <w:snapToGrid w:val="0"/>
          <w:color w:val="auto"/>
          <w:spacing w:val="0"/>
          <w:kern w:val="0"/>
          <w:sz w:val="21"/>
          <w:szCs w:val="21"/>
          <w:vertAlign w:val="baseline"/>
          <w:lang w:val="en-US" w:eastAsia="zh-CN" w:bidi="ar"/>
        </w:rPr>
        <w:t xml:space="preserve"> </w:t>
      </w:r>
    </w:p>
    <w:tbl>
      <w:tblPr>
        <w:tblStyle w:val="97"/>
        <w:tblW w:w="9664"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085"/>
        <w:gridCol w:w="4579"/>
      </w:tblGrid>
      <w:tr w14:paraId="1BBC8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7" w:hRule="atLeast"/>
        </w:trPr>
        <w:tc>
          <w:tcPr>
            <w:tcW w:w="5085" w:type="dxa"/>
            <w:tcBorders>
              <w:top w:val="nil"/>
              <w:left w:val="nil"/>
              <w:bottom w:val="nil"/>
              <w:right w:val="nil"/>
            </w:tcBorders>
            <w:shd w:val="clear" w:color="auto" w:fill="auto"/>
            <w:vAlign w:val="top"/>
          </w:tcPr>
          <w:p w14:paraId="5558A3B6">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0" w:firstLineChars="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甲方：</w:t>
            </w:r>
          </w:p>
        </w:tc>
        <w:tc>
          <w:tcPr>
            <w:tcW w:w="4579" w:type="dxa"/>
            <w:tcBorders>
              <w:top w:val="nil"/>
              <w:left w:val="nil"/>
              <w:bottom w:val="nil"/>
              <w:right w:val="nil"/>
            </w:tcBorders>
            <w:shd w:val="clear" w:color="auto" w:fill="auto"/>
            <w:vAlign w:val="top"/>
          </w:tcPr>
          <w:p w14:paraId="117DB4B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0" w:firstLineChars="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乙方：</w:t>
            </w:r>
          </w:p>
        </w:tc>
      </w:tr>
      <w:tr w14:paraId="59357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3" w:hRule="atLeast"/>
        </w:trPr>
        <w:tc>
          <w:tcPr>
            <w:tcW w:w="5085" w:type="dxa"/>
            <w:tcBorders>
              <w:top w:val="nil"/>
              <w:left w:val="nil"/>
              <w:bottom w:val="nil"/>
              <w:right w:val="nil"/>
            </w:tcBorders>
            <w:shd w:val="clear" w:color="auto" w:fill="auto"/>
            <w:vAlign w:val="top"/>
          </w:tcPr>
          <w:p w14:paraId="052E92D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0" w:firstLineChars="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地址：</w:t>
            </w:r>
          </w:p>
        </w:tc>
        <w:tc>
          <w:tcPr>
            <w:tcW w:w="4579" w:type="dxa"/>
            <w:tcBorders>
              <w:top w:val="nil"/>
              <w:left w:val="nil"/>
              <w:bottom w:val="nil"/>
              <w:right w:val="nil"/>
            </w:tcBorders>
            <w:shd w:val="clear" w:color="auto" w:fill="auto"/>
            <w:vAlign w:val="top"/>
          </w:tcPr>
          <w:p w14:paraId="05082FD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0" w:firstLineChars="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地址：</w:t>
            </w:r>
          </w:p>
        </w:tc>
      </w:tr>
      <w:tr w14:paraId="16588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5" w:hRule="atLeast"/>
        </w:trPr>
        <w:tc>
          <w:tcPr>
            <w:tcW w:w="5085" w:type="dxa"/>
            <w:tcBorders>
              <w:top w:val="nil"/>
              <w:left w:val="nil"/>
              <w:bottom w:val="nil"/>
              <w:right w:val="nil"/>
            </w:tcBorders>
            <w:shd w:val="clear" w:color="auto" w:fill="auto"/>
            <w:vAlign w:val="top"/>
          </w:tcPr>
          <w:p w14:paraId="3B06235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0" w:firstLineChars="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法定代表人：</w:t>
            </w:r>
          </w:p>
        </w:tc>
        <w:tc>
          <w:tcPr>
            <w:tcW w:w="4579" w:type="dxa"/>
            <w:tcBorders>
              <w:top w:val="nil"/>
              <w:left w:val="nil"/>
              <w:bottom w:val="nil"/>
              <w:right w:val="nil"/>
            </w:tcBorders>
            <w:shd w:val="clear" w:color="auto" w:fill="auto"/>
            <w:vAlign w:val="top"/>
          </w:tcPr>
          <w:p w14:paraId="12CE788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0" w:firstLineChars="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法定代表人：</w:t>
            </w:r>
          </w:p>
        </w:tc>
      </w:tr>
      <w:tr w14:paraId="191A9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6" w:hRule="atLeast"/>
        </w:trPr>
        <w:tc>
          <w:tcPr>
            <w:tcW w:w="5085" w:type="dxa"/>
            <w:tcBorders>
              <w:top w:val="nil"/>
              <w:left w:val="nil"/>
              <w:bottom w:val="nil"/>
              <w:right w:val="nil"/>
            </w:tcBorders>
            <w:shd w:val="clear" w:color="auto" w:fill="auto"/>
            <w:vAlign w:val="top"/>
          </w:tcPr>
          <w:p w14:paraId="4EE92CD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0" w:firstLineChars="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委托代理人：</w:t>
            </w:r>
          </w:p>
        </w:tc>
        <w:tc>
          <w:tcPr>
            <w:tcW w:w="4579" w:type="dxa"/>
            <w:tcBorders>
              <w:top w:val="nil"/>
              <w:left w:val="nil"/>
              <w:bottom w:val="nil"/>
              <w:right w:val="nil"/>
            </w:tcBorders>
            <w:shd w:val="clear" w:color="auto" w:fill="auto"/>
            <w:vAlign w:val="top"/>
          </w:tcPr>
          <w:p w14:paraId="3159A36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0" w:firstLineChars="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委托代理人：</w:t>
            </w:r>
          </w:p>
        </w:tc>
      </w:tr>
      <w:tr w14:paraId="2C758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0" w:hRule="atLeast"/>
        </w:trPr>
        <w:tc>
          <w:tcPr>
            <w:tcW w:w="5085" w:type="dxa"/>
            <w:tcBorders>
              <w:top w:val="nil"/>
              <w:left w:val="nil"/>
              <w:bottom w:val="nil"/>
              <w:right w:val="nil"/>
            </w:tcBorders>
            <w:shd w:val="clear" w:color="auto" w:fill="auto"/>
            <w:vAlign w:val="top"/>
          </w:tcPr>
          <w:p w14:paraId="2423798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0" w:firstLineChars="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电话：</w:t>
            </w:r>
          </w:p>
          <w:p w14:paraId="6885DEC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0" w:firstLineChars="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开户银行：帐号：</w:t>
            </w:r>
          </w:p>
        </w:tc>
        <w:tc>
          <w:tcPr>
            <w:tcW w:w="4579" w:type="dxa"/>
            <w:tcBorders>
              <w:top w:val="nil"/>
              <w:left w:val="nil"/>
              <w:bottom w:val="nil"/>
              <w:right w:val="nil"/>
            </w:tcBorders>
            <w:shd w:val="clear" w:color="auto" w:fill="auto"/>
            <w:vAlign w:val="top"/>
          </w:tcPr>
          <w:p w14:paraId="0C901F7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0" w:firstLineChars="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电话：</w:t>
            </w:r>
          </w:p>
          <w:p w14:paraId="534092C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firstLine="0" w:firstLineChars="0"/>
              <w:jc w:val="left"/>
              <w:textAlignment w:val="baseline"/>
              <w:rPr>
                <w:rFonts w:hint="eastAsia" w:ascii="宋体" w:hAnsi="宋体" w:eastAsia="宋体" w:cs="宋体"/>
                <w:color w:val="auto"/>
                <w:spacing w:val="0"/>
                <w:kern w:val="0"/>
                <w:sz w:val="24"/>
                <w:szCs w:val="24"/>
                <w:vertAlign w:val="baseline"/>
              </w:rPr>
            </w:pPr>
            <w:r>
              <w:rPr>
                <w:rFonts w:hint="eastAsia" w:ascii="宋体" w:hAnsi="宋体" w:eastAsia="宋体" w:cs="宋体"/>
                <w:snapToGrid w:val="0"/>
                <w:color w:val="auto"/>
                <w:spacing w:val="0"/>
                <w:kern w:val="0"/>
                <w:sz w:val="24"/>
                <w:szCs w:val="24"/>
                <w:vertAlign w:val="baseline"/>
                <w:lang w:val="en-US" w:eastAsia="zh-CN" w:bidi="ar"/>
              </w:rPr>
              <w:t>开户银行：帐号：</w:t>
            </w:r>
          </w:p>
        </w:tc>
      </w:tr>
    </w:tbl>
    <w:p w14:paraId="40DA4E7F">
      <w:pPr>
        <w:rPr>
          <w:rFonts w:hint="eastAsia" w:ascii="宋体" w:hAnsi="宋体" w:eastAsia="宋体" w:cs="宋体"/>
        </w:rPr>
      </w:pPr>
    </w:p>
    <w:bookmarkEnd w:id="80"/>
    <w:p w14:paraId="6EAA75B6">
      <w:pPr>
        <w:pageBreakBefore/>
        <w:shd w:val="clear" w:color="auto" w:fill="auto"/>
        <w:jc w:val="center"/>
        <w:outlineLvl w:val="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第六章  投标文件</w:t>
      </w:r>
      <w:r>
        <w:rPr>
          <w:rFonts w:hint="eastAsia" w:ascii="宋体" w:hAnsi="宋体" w:eastAsia="宋体" w:cs="宋体"/>
          <w:b/>
          <w:color w:val="auto"/>
          <w:sz w:val="30"/>
          <w:szCs w:val="30"/>
          <w:highlight w:val="none"/>
          <w:lang w:eastAsia="zh-CN"/>
        </w:rPr>
        <w:t>（</w:t>
      </w:r>
      <w:r>
        <w:rPr>
          <w:rFonts w:hint="eastAsia" w:ascii="宋体" w:hAnsi="宋体" w:eastAsia="宋体" w:cs="宋体"/>
          <w:b/>
          <w:color w:val="auto"/>
          <w:sz w:val="30"/>
          <w:szCs w:val="30"/>
          <w:highlight w:val="none"/>
          <w:lang w:val="en-US" w:eastAsia="zh-CN"/>
        </w:rPr>
        <w:t>目录及格式</w:t>
      </w:r>
      <w:r>
        <w:rPr>
          <w:rFonts w:hint="eastAsia" w:ascii="宋体" w:hAnsi="宋体" w:eastAsia="宋体" w:cs="宋体"/>
          <w:b/>
          <w:color w:val="auto"/>
          <w:sz w:val="30"/>
          <w:szCs w:val="30"/>
          <w:highlight w:val="none"/>
          <w:lang w:eastAsia="zh-CN"/>
        </w:rPr>
        <w:t>）</w:t>
      </w:r>
    </w:p>
    <w:p w14:paraId="6911E16C">
      <w:pPr>
        <w:shd w:val="clear" w:color="auto" w:fill="auto"/>
        <w:spacing w:line="440" w:lineRule="exact"/>
        <w:ind w:firstLine="426" w:firstLineChars="200"/>
        <w:jc w:val="center"/>
        <w:rPr>
          <w:rFonts w:hint="eastAsia" w:ascii="宋体" w:hAnsi="宋体" w:eastAsia="宋体" w:cs="宋体"/>
          <w:b/>
          <w:color w:val="0000FF"/>
          <w:sz w:val="24"/>
          <w:szCs w:val="24"/>
          <w:highlight w:val="none"/>
          <w:lang w:eastAsia="zh-CN"/>
        </w:rPr>
      </w:pPr>
      <w:r>
        <w:rPr>
          <w:rFonts w:hint="eastAsia" w:ascii="宋体" w:hAnsi="宋体" w:eastAsia="宋体" w:cs="宋体"/>
          <w:b/>
          <w:bCs w:val="0"/>
          <w:color w:val="0000FF"/>
          <w:sz w:val="21"/>
          <w:szCs w:val="21"/>
          <w:highlight w:val="none"/>
        </w:rPr>
        <w:t>资格证明文件</w:t>
      </w:r>
      <w:r>
        <w:rPr>
          <w:rFonts w:hint="eastAsia" w:ascii="宋体" w:hAnsi="宋体" w:eastAsia="宋体" w:cs="宋体"/>
          <w:b/>
          <w:bCs w:val="0"/>
          <w:color w:val="0000FF"/>
          <w:sz w:val="21"/>
          <w:szCs w:val="21"/>
          <w:highlight w:val="none"/>
          <w:lang w:eastAsia="zh-CN"/>
        </w:rPr>
        <w:t>（</w:t>
      </w:r>
      <w:r>
        <w:rPr>
          <w:rFonts w:hint="eastAsia" w:ascii="宋体" w:hAnsi="宋体" w:eastAsia="宋体" w:cs="宋体"/>
          <w:b/>
          <w:bCs w:val="0"/>
          <w:color w:val="0000FF"/>
          <w:sz w:val="21"/>
          <w:szCs w:val="21"/>
          <w:highlight w:val="none"/>
          <w:lang w:val="en-US" w:eastAsia="zh-CN"/>
        </w:rPr>
        <w:t>目录</w:t>
      </w:r>
      <w:r>
        <w:rPr>
          <w:rFonts w:hint="eastAsia" w:ascii="宋体" w:hAnsi="宋体" w:eastAsia="宋体" w:cs="宋体"/>
          <w:b/>
          <w:bCs w:val="0"/>
          <w:color w:val="0000FF"/>
          <w:sz w:val="21"/>
          <w:szCs w:val="21"/>
          <w:highlight w:val="none"/>
          <w:lang w:eastAsia="zh-CN"/>
        </w:rPr>
        <w:t>）</w:t>
      </w:r>
    </w:p>
    <w:p w14:paraId="6D92CF27">
      <w:pPr>
        <w:shd w:val="clear" w:color="auto" w:fill="auto"/>
        <w:spacing w:line="440" w:lineRule="exact"/>
        <w:ind w:firstLine="312" w:firstLineChars="147"/>
        <w:rPr>
          <w:rFonts w:hint="eastAsia" w:ascii="宋体" w:hAnsi="宋体" w:eastAsia="宋体" w:cs="宋体"/>
          <w:color w:val="auto"/>
          <w:szCs w:val="21"/>
          <w:highlight w:val="none"/>
        </w:rPr>
      </w:pPr>
      <w:r>
        <w:rPr>
          <w:rFonts w:hint="eastAsia" w:ascii="宋体" w:hAnsi="宋体" w:eastAsia="宋体" w:cs="宋体"/>
          <w:b/>
          <w:bCs/>
          <w:color w:val="0000FF"/>
          <w:sz w:val="21"/>
          <w:szCs w:val="21"/>
          <w:highlight w:val="none"/>
        </w:rPr>
        <w:t>资格证明</w:t>
      </w:r>
      <w:r>
        <w:rPr>
          <w:rFonts w:hint="eastAsia" w:ascii="宋体" w:hAnsi="宋体" w:eastAsia="宋体" w:cs="宋体"/>
          <w:b/>
          <w:bCs/>
          <w:color w:val="0000FF"/>
          <w:sz w:val="21"/>
          <w:szCs w:val="21"/>
          <w:highlight w:val="none"/>
          <w:lang w:eastAsia="zh-CN"/>
        </w:rPr>
        <w:t>文件</w:t>
      </w:r>
      <w:r>
        <w:rPr>
          <w:rFonts w:hint="eastAsia" w:ascii="宋体" w:hAnsi="宋体" w:eastAsia="宋体" w:cs="宋体"/>
          <w:b/>
          <w:bCs/>
          <w:color w:val="0000FF"/>
          <w:sz w:val="21"/>
          <w:szCs w:val="21"/>
          <w:highlight w:val="none"/>
        </w:rPr>
        <w:t>是证明投标人有资格参加投标和</w:t>
      </w:r>
      <w:r>
        <w:rPr>
          <w:rFonts w:hint="eastAsia" w:ascii="宋体" w:hAnsi="宋体" w:eastAsia="宋体" w:cs="宋体"/>
          <w:b/>
          <w:bCs/>
          <w:color w:val="0000FF"/>
          <w:sz w:val="21"/>
          <w:szCs w:val="21"/>
          <w:highlight w:val="none"/>
          <w:lang w:eastAsia="zh-CN"/>
        </w:rPr>
        <w:t>成交</w:t>
      </w:r>
      <w:r>
        <w:rPr>
          <w:rFonts w:hint="eastAsia" w:ascii="宋体" w:hAnsi="宋体" w:eastAsia="宋体" w:cs="宋体"/>
          <w:b/>
          <w:bCs/>
          <w:color w:val="0000FF"/>
          <w:sz w:val="21"/>
          <w:szCs w:val="21"/>
          <w:highlight w:val="none"/>
        </w:rPr>
        <w:t>后有能力履行合同的文件，这些文件应能满足招标的要求，否则作无效投标处理。</w:t>
      </w:r>
    </w:p>
    <w:p w14:paraId="2E191178">
      <w:pPr>
        <w:numPr>
          <w:ilvl w:val="0"/>
          <w:numId w:val="0"/>
        </w:numPr>
        <w:shd w:val="clear" w:color="auto" w:fill="auto"/>
        <w:spacing w:line="440" w:lineRule="exact"/>
        <w:ind w:leftChars="135"/>
        <w:rPr>
          <w:rFonts w:hint="eastAsia" w:ascii="宋体" w:hAnsi="宋体" w:eastAsia="宋体" w:cs="宋体"/>
          <w:b/>
          <w:bCs/>
          <w:color w:val="0000FF"/>
          <w:szCs w:val="21"/>
          <w:highlight w:val="none"/>
          <w:lang w:val="en-US" w:eastAsia="zh-CN"/>
        </w:rPr>
      </w:pPr>
      <w:r>
        <w:rPr>
          <w:rFonts w:hint="eastAsia" w:ascii="宋体" w:hAnsi="宋体" w:eastAsia="宋体" w:cs="宋体"/>
          <w:b/>
          <w:bCs/>
          <w:color w:val="0000FF"/>
          <w:szCs w:val="21"/>
          <w:highlight w:val="none"/>
          <w:lang w:val="en-US" w:eastAsia="zh-CN"/>
        </w:rPr>
        <w:t>1、法人或者非法人组织的营业执照证明文件；</w:t>
      </w:r>
    </w:p>
    <w:p w14:paraId="7C57A502">
      <w:pPr>
        <w:shd w:val="clear" w:color="auto" w:fill="auto"/>
        <w:spacing w:line="440" w:lineRule="exact"/>
        <w:ind w:firstLine="312" w:firstLineChars="147"/>
        <w:rPr>
          <w:rFonts w:hint="eastAsia" w:ascii="宋体" w:hAnsi="宋体" w:eastAsia="宋体" w:cs="宋体"/>
          <w:b/>
          <w:bCs/>
          <w:color w:val="0000FF"/>
          <w:szCs w:val="21"/>
          <w:highlight w:val="none"/>
          <w:lang w:val="en-US" w:eastAsia="zh-CN"/>
        </w:rPr>
      </w:pPr>
      <w:r>
        <w:rPr>
          <w:rFonts w:hint="eastAsia" w:ascii="宋体" w:hAnsi="宋体" w:eastAsia="宋体" w:cs="宋体"/>
          <w:b/>
          <w:bCs/>
          <w:color w:val="0000FF"/>
          <w:szCs w:val="21"/>
          <w:highlight w:val="none"/>
          <w:lang w:val="en-US" w:eastAsia="zh-CN"/>
        </w:rPr>
        <w:t>2、</w:t>
      </w:r>
      <w:r>
        <w:rPr>
          <w:rFonts w:hint="eastAsia" w:ascii="宋体" w:hAnsi="宋体" w:cs="宋体"/>
          <w:b/>
          <w:bCs/>
          <w:color w:val="0000FF"/>
          <w:szCs w:val="21"/>
          <w:highlight w:val="none"/>
          <w:lang w:val="en-US" w:eastAsia="zh-CN"/>
        </w:rPr>
        <w:t>投标人提供</w:t>
      </w:r>
      <w:r>
        <w:rPr>
          <w:rFonts w:hint="eastAsia" w:ascii="宋体" w:hAnsi="宋体" w:eastAsia="宋体" w:cs="宋体"/>
          <w:b/>
          <w:bCs/>
          <w:color w:val="0000FF"/>
          <w:szCs w:val="21"/>
          <w:highlight w:val="none"/>
          <w:lang w:val="en-US" w:eastAsia="zh-CN"/>
        </w:rPr>
        <w:t>投标文件递交截止之日前</w:t>
      </w:r>
      <w:r>
        <w:rPr>
          <w:rFonts w:hint="eastAsia" w:ascii="宋体" w:hAnsi="宋体" w:cs="宋体"/>
          <w:b/>
          <w:bCs/>
          <w:color w:val="0000FF"/>
          <w:szCs w:val="21"/>
          <w:highlight w:val="none"/>
          <w:lang w:val="en-US" w:eastAsia="zh-CN"/>
        </w:rPr>
        <w:t>6</w:t>
      </w:r>
      <w:r>
        <w:rPr>
          <w:rFonts w:hint="eastAsia" w:ascii="宋体" w:hAnsi="宋体" w:eastAsia="宋体" w:cs="宋体"/>
          <w:b/>
          <w:bCs/>
          <w:color w:val="0000FF"/>
          <w:szCs w:val="21"/>
          <w:highlight w:val="none"/>
          <w:lang w:val="en-US" w:eastAsia="zh-CN"/>
        </w:rPr>
        <w:t>个月内任</w:t>
      </w:r>
      <w:r>
        <w:rPr>
          <w:rFonts w:hint="eastAsia" w:ascii="宋体" w:hAnsi="宋体" w:cs="宋体"/>
          <w:b/>
          <w:bCs/>
          <w:color w:val="0000FF"/>
          <w:szCs w:val="21"/>
          <w:highlight w:val="none"/>
          <w:lang w:val="en-US" w:eastAsia="zh-CN"/>
        </w:rPr>
        <w:t>1</w:t>
      </w:r>
      <w:r>
        <w:rPr>
          <w:rFonts w:hint="eastAsia" w:ascii="宋体" w:hAnsi="宋体" w:eastAsia="宋体" w:cs="宋体"/>
          <w:b/>
          <w:bCs/>
          <w:color w:val="0000FF"/>
          <w:szCs w:val="21"/>
          <w:highlight w:val="none"/>
          <w:lang w:val="en-US" w:eastAsia="zh-CN"/>
        </w:rPr>
        <w:t>个月的缴纳税收的完税凭证，依法免税的投标人应提供相应文件证明其依法免税）；</w:t>
      </w:r>
    </w:p>
    <w:p w14:paraId="3A1A92BD">
      <w:pPr>
        <w:numPr>
          <w:ilvl w:val="0"/>
          <w:numId w:val="0"/>
        </w:numPr>
        <w:shd w:val="clear" w:color="auto" w:fill="auto"/>
        <w:spacing w:line="440" w:lineRule="exact"/>
        <w:ind w:left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3</w:t>
      </w:r>
      <w:r>
        <w:rPr>
          <w:rFonts w:hint="eastAsia" w:ascii="宋体" w:hAnsi="宋体" w:eastAsia="宋体" w:cs="宋体"/>
          <w:b/>
          <w:bCs/>
          <w:color w:val="0000FF"/>
          <w:szCs w:val="21"/>
          <w:highlight w:val="none"/>
          <w:lang w:val="en-US" w:eastAsia="zh-CN"/>
        </w:rPr>
        <w:t>、法定代表人投标需提供法定代表人资格证明书，委托代理人投标需提供法定代表人授权委托书及被授权在职人员近6个月内任意1个月有效的社保证明；</w:t>
      </w:r>
    </w:p>
    <w:p w14:paraId="55EEDE91">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4</w:t>
      </w:r>
      <w:r>
        <w:rPr>
          <w:rFonts w:hint="eastAsia" w:ascii="宋体" w:hAnsi="宋体" w:eastAsia="宋体" w:cs="宋体"/>
          <w:b/>
          <w:bCs/>
          <w:color w:val="0000FF"/>
          <w:szCs w:val="21"/>
          <w:highlight w:val="none"/>
          <w:lang w:val="en-US" w:eastAsia="zh-CN"/>
        </w:rPr>
        <w:t>、</w:t>
      </w:r>
      <w:r>
        <w:rPr>
          <w:rFonts w:hint="eastAsia" w:ascii="宋体" w:hAnsi="宋体" w:cs="宋体"/>
          <w:b/>
          <w:bCs/>
          <w:color w:val="0000FF"/>
          <w:szCs w:val="21"/>
          <w:highlight w:val="none"/>
          <w:lang w:val="en-US" w:eastAsia="zh-CN"/>
        </w:rPr>
        <w:t>投标保证金汇款凭证或保函等票据</w:t>
      </w:r>
      <w:r>
        <w:rPr>
          <w:rFonts w:hint="eastAsia" w:ascii="宋体" w:hAnsi="宋体" w:eastAsia="宋体" w:cs="宋体"/>
          <w:b/>
          <w:bCs/>
          <w:color w:val="0000FF"/>
          <w:szCs w:val="21"/>
          <w:highlight w:val="none"/>
          <w:lang w:val="en-US" w:eastAsia="zh-CN"/>
        </w:rPr>
        <w:t>；</w:t>
      </w:r>
    </w:p>
    <w:p w14:paraId="37711F7F">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kern w:val="2"/>
          <w:sz w:val="21"/>
          <w:szCs w:val="24"/>
          <w:lang w:val="en-US" w:eastAsia="zh-CN" w:bidi="ar-SA"/>
        </w:rPr>
        <w:t>5</w:t>
      </w:r>
      <w:r>
        <w:rPr>
          <w:rFonts w:hint="eastAsia" w:ascii="宋体" w:hAnsi="宋体" w:eastAsia="宋体" w:cs="宋体"/>
          <w:b/>
          <w:bCs/>
          <w:color w:val="0000FF"/>
          <w:kern w:val="2"/>
          <w:sz w:val="21"/>
          <w:szCs w:val="24"/>
          <w:lang w:val="en-US" w:eastAsia="zh-CN" w:bidi="ar-SA"/>
        </w:rPr>
        <w:t>、在“信用</w:t>
      </w:r>
      <w:r>
        <w:rPr>
          <w:rFonts w:hint="eastAsia" w:ascii="宋体" w:hAnsi="宋体" w:eastAsia="宋体" w:cs="宋体"/>
          <w:b/>
          <w:bCs/>
          <w:color w:val="0000FF"/>
          <w:szCs w:val="21"/>
          <w:highlight w:val="none"/>
          <w:lang w:val="en-US" w:eastAsia="zh-CN"/>
        </w:rPr>
        <w:t>中国”及“中国政府采购网”网站上未被列入失信被执行人、重大税收违法案件当事人名单以及政府采购严重违法失信行为记录名单的投标企业；</w:t>
      </w:r>
    </w:p>
    <w:p w14:paraId="6F46FF0A">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6</w:t>
      </w:r>
      <w:r>
        <w:rPr>
          <w:rFonts w:hint="eastAsia" w:ascii="宋体" w:hAnsi="宋体" w:eastAsia="宋体" w:cs="宋体"/>
          <w:b/>
          <w:bCs/>
          <w:color w:val="0000FF"/>
          <w:szCs w:val="21"/>
          <w:highlight w:val="none"/>
          <w:lang w:val="en-US" w:eastAsia="zh-CN"/>
        </w:rPr>
        <w:t>、具有良好的商业信誉和健全的财务会计制度（经审计的近3年内任意1年的财务审计报告（新成立不足一年的提供成立之日起至今的财务报表）或基本开户银行出具的资信证明）</w:t>
      </w:r>
    </w:p>
    <w:p w14:paraId="77B311C8">
      <w:pPr>
        <w:shd w:val="clear" w:color="auto" w:fill="auto"/>
        <w:spacing w:line="440" w:lineRule="exact"/>
        <w:ind w:firstLine="287" w:firstLineChars="135"/>
        <w:rPr>
          <w:rFonts w:hint="eastAsia" w:ascii="宋体" w:hAnsi="宋体" w:cs="宋体"/>
          <w:b/>
          <w:color w:val="auto"/>
          <w:szCs w:val="21"/>
          <w:highlight w:val="none"/>
        </w:rPr>
      </w:pPr>
      <w:r>
        <w:rPr>
          <w:rFonts w:hint="eastAsia" w:ascii="宋体" w:hAnsi="宋体" w:cs="宋体"/>
          <w:b/>
          <w:bCs/>
          <w:color w:val="0000FF"/>
          <w:szCs w:val="21"/>
          <w:highlight w:val="none"/>
          <w:lang w:val="en-US" w:eastAsia="zh-CN"/>
        </w:rPr>
        <w:t>7</w:t>
      </w:r>
      <w:r>
        <w:rPr>
          <w:rFonts w:hint="eastAsia" w:ascii="宋体" w:hAnsi="宋体" w:eastAsia="宋体" w:cs="宋体"/>
          <w:b/>
          <w:bCs/>
          <w:color w:val="0000FF"/>
          <w:szCs w:val="21"/>
          <w:highlight w:val="none"/>
          <w:lang w:val="en-US" w:eastAsia="zh-CN"/>
        </w:rPr>
        <w:t>、</w:t>
      </w:r>
      <w:r>
        <w:rPr>
          <w:rFonts w:hint="eastAsia" w:ascii="宋体" w:hAnsi="宋体" w:eastAsia="宋体" w:cs="宋体"/>
          <w:b/>
          <w:bCs/>
          <w:color w:val="0000FF"/>
          <w:kern w:val="2"/>
          <w:sz w:val="21"/>
          <w:szCs w:val="21"/>
          <w:lang w:val="en-US" w:eastAsia="zh-CN" w:bidi="ar-SA"/>
        </w:rPr>
        <w:t>提供</w:t>
      </w:r>
      <w:r>
        <w:rPr>
          <w:rFonts w:hint="eastAsia" w:ascii="宋体" w:hAnsi="宋体" w:cs="宋体"/>
          <w:b/>
          <w:bCs/>
          <w:color w:val="0000FF"/>
          <w:kern w:val="2"/>
          <w:sz w:val="21"/>
          <w:szCs w:val="21"/>
          <w:lang w:val="en-US" w:eastAsia="zh-CN" w:bidi="ar-SA"/>
        </w:rPr>
        <w:t>本次投标中小</w:t>
      </w:r>
      <w:r>
        <w:rPr>
          <w:rFonts w:hint="eastAsia" w:ascii="宋体" w:hAnsi="宋体" w:eastAsia="宋体" w:cs="宋体"/>
          <w:b/>
          <w:bCs/>
          <w:color w:val="0000FF"/>
          <w:kern w:val="2"/>
          <w:sz w:val="21"/>
          <w:szCs w:val="21"/>
          <w:lang w:val="en-US" w:eastAsia="zh-CN" w:bidi="ar-SA"/>
        </w:rPr>
        <w:t>企业的</w:t>
      </w:r>
      <w:r>
        <w:rPr>
          <w:rFonts w:hint="eastAsia" w:ascii="宋体" w:hAnsi="宋体" w:cs="宋体"/>
          <w:b/>
          <w:bCs/>
          <w:color w:val="0000FF"/>
          <w:kern w:val="2"/>
          <w:sz w:val="21"/>
          <w:szCs w:val="21"/>
          <w:lang w:val="en-US" w:eastAsia="zh-CN" w:bidi="ar-SA"/>
        </w:rPr>
        <w:t>《</w:t>
      </w:r>
      <w:r>
        <w:rPr>
          <w:rFonts w:hint="eastAsia" w:ascii="宋体" w:hAnsi="宋体" w:eastAsia="宋体" w:cs="宋体"/>
          <w:b/>
          <w:bCs/>
          <w:color w:val="0000FF"/>
          <w:kern w:val="2"/>
          <w:sz w:val="21"/>
          <w:szCs w:val="21"/>
          <w:lang w:val="en-US" w:eastAsia="zh-CN" w:bidi="ar-SA"/>
        </w:rPr>
        <w:t>中小企业声明函</w:t>
      </w:r>
      <w:r>
        <w:rPr>
          <w:rFonts w:hint="eastAsia" w:ascii="宋体" w:hAnsi="宋体" w:cs="宋体"/>
          <w:b/>
          <w:bCs/>
          <w:color w:val="0000FF"/>
          <w:kern w:val="2"/>
          <w:sz w:val="21"/>
          <w:szCs w:val="21"/>
          <w:lang w:val="en-US" w:eastAsia="zh-CN" w:bidi="ar-SA"/>
        </w:rPr>
        <w:t>》</w:t>
      </w:r>
    </w:p>
    <w:p w14:paraId="3A2946CC">
      <w:pPr>
        <w:shd w:val="clear" w:color="auto" w:fill="auto"/>
        <w:spacing w:line="440" w:lineRule="exact"/>
        <w:ind w:firstLine="426" w:firstLineChars="200"/>
        <w:rPr>
          <w:rFonts w:hint="eastAsia" w:ascii="宋体" w:hAnsi="宋体" w:eastAsia="宋体" w:cs="宋体"/>
          <w:b/>
          <w:bCs w:val="0"/>
          <w:color w:val="0000FF"/>
          <w:sz w:val="21"/>
          <w:szCs w:val="21"/>
          <w:highlight w:val="none"/>
          <w:lang w:val="en-US" w:eastAsia="zh-CN"/>
        </w:rPr>
      </w:pPr>
    </w:p>
    <w:p w14:paraId="0E6D265D">
      <w:pPr>
        <w:shd w:val="clear" w:color="auto" w:fill="auto"/>
        <w:spacing w:line="440" w:lineRule="exact"/>
        <w:ind w:firstLine="426" w:firstLineChars="200"/>
        <w:jc w:val="center"/>
        <w:rPr>
          <w:rFonts w:hint="eastAsia" w:ascii="宋体" w:hAnsi="宋体" w:eastAsia="宋体" w:cs="宋体"/>
          <w:b/>
          <w:bCs w:val="0"/>
          <w:color w:val="0000FF"/>
          <w:sz w:val="21"/>
          <w:szCs w:val="21"/>
          <w:highlight w:val="none"/>
          <w:lang w:val="en-US" w:eastAsia="zh-CN"/>
        </w:rPr>
      </w:pPr>
      <w:r>
        <w:rPr>
          <w:rFonts w:hint="eastAsia" w:ascii="宋体" w:hAnsi="宋体" w:eastAsia="宋体" w:cs="宋体"/>
          <w:b/>
          <w:bCs w:val="0"/>
          <w:color w:val="0000FF"/>
          <w:sz w:val="21"/>
          <w:szCs w:val="21"/>
          <w:highlight w:val="none"/>
          <w:lang w:val="en-US" w:eastAsia="zh-CN"/>
        </w:rPr>
        <w:t>报价文件</w:t>
      </w:r>
      <w:r>
        <w:rPr>
          <w:rFonts w:hint="eastAsia" w:ascii="宋体" w:hAnsi="宋体" w:cs="宋体"/>
          <w:b/>
          <w:bCs w:val="0"/>
          <w:color w:val="0000FF"/>
          <w:sz w:val="21"/>
          <w:szCs w:val="21"/>
          <w:highlight w:val="none"/>
          <w:lang w:val="en-US" w:eastAsia="zh-CN"/>
        </w:rPr>
        <w:t>（目录）</w:t>
      </w:r>
    </w:p>
    <w:p w14:paraId="752B6311">
      <w:pPr>
        <w:shd w:val="clear" w:color="auto" w:fill="auto"/>
        <w:spacing w:line="440" w:lineRule="exact"/>
        <w:ind w:firstLine="426" w:firstLineChars="200"/>
        <w:rPr>
          <w:rFonts w:hint="eastAsia" w:ascii="宋体" w:hAnsi="宋体" w:eastAsia="宋体" w:cs="宋体"/>
          <w:b/>
          <w:bCs w:val="0"/>
          <w:color w:val="0000FF"/>
          <w:sz w:val="21"/>
          <w:szCs w:val="21"/>
          <w:highlight w:val="none"/>
          <w:lang w:val="en-US" w:eastAsia="zh-CN"/>
        </w:rPr>
      </w:pPr>
      <w:r>
        <w:rPr>
          <w:rFonts w:hint="eastAsia" w:ascii="宋体" w:hAnsi="宋体" w:eastAsia="宋体" w:cs="宋体"/>
          <w:b/>
          <w:bCs w:val="0"/>
          <w:color w:val="0000FF"/>
          <w:sz w:val="21"/>
          <w:szCs w:val="21"/>
          <w:highlight w:val="none"/>
          <w:lang w:val="en-US" w:eastAsia="zh-CN"/>
        </w:rPr>
        <w:t>1、开标一览表</w:t>
      </w:r>
    </w:p>
    <w:p w14:paraId="527CF33B">
      <w:pPr>
        <w:shd w:val="clear" w:color="auto" w:fill="auto"/>
        <w:spacing w:line="440" w:lineRule="exact"/>
        <w:ind w:firstLine="426" w:firstLineChars="200"/>
        <w:rPr>
          <w:rFonts w:hint="default" w:ascii="宋体" w:hAnsi="宋体" w:cs="宋体"/>
          <w:b/>
          <w:color w:val="auto"/>
          <w:szCs w:val="21"/>
          <w:highlight w:val="none"/>
          <w:lang w:val="en-US" w:eastAsia="zh-CN"/>
        </w:rPr>
      </w:pPr>
      <w:r>
        <w:rPr>
          <w:rFonts w:hint="eastAsia" w:ascii="宋体" w:hAnsi="宋体" w:cs="宋体"/>
          <w:b/>
          <w:bCs/>
          <w:color w:val="0000FF"/>
          <w:szCs w:val="21"/>
          <w:highlight w:val="none"/>
          <w:lang w:val="en-US" w:eastAsia="zh-CN"/>
        </w:rPr>
        <w:t>2</w:t>
      </w:r>
      <w:r>
        <w:rPr>
          <w:rFonts w:hint="eastAsia" w:ascii="宋体" w:hAnsi="宋体" w:eastAsia="宋体" w:cs="宋体"/>
          <w:b/>
          <w:bCs/>
          <w:color w:val="0000FF"/>
          <w:szCs w:val="21"/>
          <w:highlight w:val="none"/>
          <w:lang w:val="en-US" w:eastAsia="zh-CN"/>
        </w:rPr>
        <w:t>、投标分项报价表</w:t>
      </w:r>
    </w:p>
    <w:p w14:paraId="5960C6B6">
      <w:pPr>
        <w:shd w:val="clear" w:color="auto" w:fill="auto"/>
        <w:spacing w:line="440" w:lineRule="exact"/>
        <w:ind w:firstLine="312" w:firstLineChars="147"/>
        <w:jc w:val="center"/>
        <w:rPr>
          <w:rFonts w:hint="eastAsia" w:ascii="宋体" w:hAnsi="宋体" w:eastAsia="宋体" w:cs="宋体"/>
          <w:b/>
          <w:bCs/>
          <w:color w:val="0000FF"/>
          <w:sz w:val="21"/>
          <w:szCs w:val="21"/>
          <w:highlight w:val="none"/>
          <w:lang w:val="en-US" w:eastAsia="zh-CN"/>
        </w:rPr>
      </w:pPr>
      <w:r>
        <w:rPr>
          <w:rFonts w:hint="eastAsia" w:ascii="宋体" w:hAnsi="宋体" w:eastAsia="宋体" w:cs="宋体"/>
          <w:b/>
          <w:bCs/>
          <w:color w:val="0000FF"/>
          <w:sz w:val="21"/>
          <w:szCs w:val="21"/>
          <w:highlight w:val="none"/>
          <w:lang w:val="en-US" w:eastAsia="zh-CN"/>
        </w:rPr>
        <w:t>商务及技术文件（目录）</w:t>
      </w:r>
    </w:p>
    <w:p w14:paraId="4D05D29F">
      <w:pPr>
        <w:shd w:val="clear" w:color="auto" w:fill="auto"/>
        <w:spacing w:line="440" w:lineRule="exact"/>
        <w:ind w:firstLine="312" w:firstLineChars="147"/>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1、</w:t>
      </w:r>
      <w:r>
        <w:rPr>
          <w:rFonts w:hint="eastAsia" w:ascii="宋体" w:hAnsi="宋体" w:eastAsia="宋体" w:cs="宋体"/>
          <w:b/>
          <w:bCs/>
          <w:color w:val="0000FF"/>
          <w:szCs w:val="21"/>
          <w:highlight w:val="none"/>
          <w:lang w:val="en-US" w:eastAsia="zh-CN"/>
        </w:rPr>
        <w:t>投标函</w:t>
      </w:r>
    </w:p>
    <w:p w14:paraId="3EF8A73A">
      <w:pPr>
        <w:shd w:val="clear" w:color="auto" w:fill="auto"/>
        <w:spacing w:line="440" w:lineRule="exact"/>
        <w:ind w:firstLine="312" w:firstLineChars="147"/>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2</w:t>
      </w:r>
      <w:r>
        <w:rPr>
          <w:rFonts w:hint="eastAsia" w:ascii="宋体" w:hAnsi="宋体" w:eastAsia="宋体" w:cs="宋体"/>
          <w:b/>
          <w:bCs/>
          <w:color w:val="0000FF"/>
          <w:szCs w:val="21"/>
          <w:highlight w:val="none"/>
          <w:lang w:val="en-US" w:eastAsia="zh-CN"/>
        </w:rPr>
        <w:t>、</w:t>
      </w:r>
      <w:r>
        <w:rPr>
          <w:rFonts w:hint="eastAsia" w:ascii="宋体" w:hAnsi="宋体" w:cs="宋体"/>
          <w:b/>
          <w:bCs/>
          <w:color w:val="0000FF"/>
          <w:szCs w:val="21"/>
          <w:highlight w:val="none"/>
          <w:lang w:val="en-US" w:eastAsia="zh-CN"/>
        </w:rPr>
        <w:t>诚信声明</w:t>
      </w:r>
      <w:r>
        <w:rPr>
          <w:rFonts w:hint="eastAsia" w:ascii="宋体" w:hAnsi="宋体" w:eastAsia="宋体" w:cs="宋体"/>
          <w:b/>
          <w:bCs/>
          <w:color w:val="0000FF"/>
          <w:szCs w:val="21"/>
          <w:highlight w:val="none"/>
          <w:lang w:val="en-US" w:eastAsia="zh-CN"/>
        </w:rPr>
        <w:t>；</w:t>
      </w:r>
    </w:p>
    <w:p w14:paraId="49B41230">
      <w:pPr>
        <w:numPr>
          <w:ilvl w:val="0"/>
          <w:numId w:val="0"/>
        </w:numPr>
        <w:shd w:val="clear" w:color="auto" w:fill="auto"/>
        <w:spacing w:line="440" w:lineRule="exact"/>
        <w:ind w:left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3、</w:t>
      </w:r>
      <w:r>
        <w:rPr>
          <w:rFonts w:hint="eastAsia" w:ascii="宋体" w:hAnsi="宋体" w:eastAsia="宋体" w:cs="宋体"/>
          <w:b/>
          <w:bCs/>
          <w:color w:val="0000FF"/>
          <w:szCs w:val="21"/>
          <w:highlight w:val="none"/>
          <w:lang w:val="en-US" w:eastAsia="zh-CN"/>
        </w:rPr>
        <w:t>参加政府采购活动前三年内，在经营活动中没有重大违法记录（提供承诺函）；</w:t>
      </w:r>
    </w:p>
    <w:p w14:paraId="76760151">
      <w:pPr>
        <w:shd w:val="clear" w:color="auto" w:fill="auto"/>
        <w:spacing w:line="440" w:lineRule="exact"/>
        <w:ind w:firstLine="287" w:firstLineChars="135"/>
        <w:rPr>
          <w:rFonts w:hint="eastAsia" w:ascii="宋体" w:hAnsi="宋体" w:eastAsia="宋体" w:cs="宋体"/>
          <w:b/>
          <w:bCs/>
          <w:color w:val="0000FF"/>
          <w:kern w:val="2"/>
          <w:sz w:val="21"/>
          <w:szCs w:val="24"/>
          <w:lang w:val="en-US" w:eastAsia="zh-CN" w:bidi="ar-SA"/>
        </w:rPr>
      </w:pPr>
      <w:r>
        <w:rPr>
          <w:rFonts w:hint="eastAsia" w:ascii="宋体" w:hAnsi="宋体" w:cs="宋体"/>
          <w:b/>
          <w:bCs/>
          <w:color w:val="0000FF"/>
          <w:szCs w:val="21"/>
          <w:highlight w:val="none"/>
          <w:lang w:val="en-US" w:eastAsia="zh-CN"/>
        </w:rPr>
        <w:t>4</w:t>
      </w:r>
      <w:r>
        <w:rPr>
          <w:rFonts w:hint="eastAsia" w:ascii="宋体" w:hAnsi="宋体" w:eastAsia="宋体" w:cs="宋体"/>
          <w:b/>
          <w:bCs/>
          <w:color w:val="0000FF"/>
          <w:kern w:val="2"/>
          <w:sz w:val="21"/>
          <w:szCs w:val="24"/>
          <w:lang w:val="en-US" w:eastAsia="zh-CN" w:bidi="ar-SA"/>
        </w:rPr>
        <w:t>、针对本次采购项目《反商业贿赂承诺书》；</w:t>
      </w:r>
    </w:p>
    <w:p w14:paraId="2544F059">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5</w:t>
      </w:r>
      <w:r>
        <w:rPr>
          <w:rFonts w:hint="eastAsia" w:ascii="宋体" w:hAnsi="宋体" w:eastAsia="宋体" w:cs="宋体"/>
          <w:b/>
          <w:bCs/>
          <w:color w:val="0000FF"/>
          <w:szCs w:val="21"/>
          <w:highlight w:val="none"/>
          <w:lang w:val="en-US" w:eastAsia="zh-CN"/>
        </w:rPr>
        <w:t>、投标人关联单位的说明</w:t>
      </w:r>
    </w:p>
    <w:p w14:paraId="44EEA49E">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6</w:t>
      </w:r>
      <w:r>
        <w:rPr>
          <w:rFonts w:hint="eastAsia" w:ascii="宋体" w:hAnsi="宋体" w:eastAsia="宋体" w:cs="宋体"/>
          <w:b/>
          <w:bCs/>
          <w:color w:val="0000FF"/>
          <w:szCs w:val="21"/>
          <w:highlight w:val="none"/>
          <w:lang w:val="en-US" w:eastAsia="zh-CN"/>
        </w:rPr>
        <w:t>、技术规格偏离表</w:t>
      </w:r>
    </w:p>
    <w:p w14:paraId="4C131D0A">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7</w:t>
      </w:r>
      <w:r>
        <w:rPr>
          <w:rFonts w:hint="eastAsia" w:ascii="宋体" w:hAnsi="宋体" w:eastAsia="宋体" w:cs="宋体"/>
          <w:b/>
          <w:bCs/>
          <w:color w:val="0000FF"/>
          <w:szCs w:val="21"/>
          <w:highlight w:val="none"/>
          <w:lang w:val="en-US" w:eastAsia="zh-CN"/>
        </w:rPr>
        <w:t>、商务条款偏离表</w:t>
      </w:r>
    </w:p>
    <w:p w14:paraId="79DC1D0E">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8</w:t>
      </w:r>
      <w:r>
        <w:rPr>
          <w:rFonts w:hint="eastAsia" w:ascii="宋体" w:hAnsi="宋体" w:eastAsia="宋体" w:cs="宋体"/>
          <w:b/>
          <w:bCs/>
          <w:color w:val="0000FF"/>
          <w:szCs w:val="21"/>
          <w:highlight w:val="none"/>
          <w:lang w:val="en-US" w:eastAsia="zh-CN"/>
        </w:rPr>
        <w:t>、投标人基本情况表</w:t>
      </w:r>
    </w:p>
    <w:p w14:paraId="376DC918">
      <w:pPr>
        <w:shd w:val="clear" w:color="auto" w:fill="auto"/>
        <w:spacing w:line="440" w:lineRule="exact"/>
        <w:ind w:firstLine="287" w:firstLineChars="135"/>
        <w:rPr>
          <w:rFonts w:hint="eastAsia" w:ascii="宋体" w:hAnsi="宋体" w:eastAsia="宋体" w:cs="宋体"/>
          <w:b/>
          <w:bCs/>
          <w:color w:val="0000FF"/>
          <w:szCs w:val="21"/>
          <w:highlight w:val="none"/>
          <w:lang w:val="en-US" w:eastAsia="zh-CN"/>
        </w:rPr>
      </w:pPr>
      <w:r>
        <w:rPr>
          <w:rFonts w:hint="eastAsia" w:ascii="宋体" w:hAnsi="宋体" w:cs="宋体"/>
          <w:b/>
          <w:bCs/>
          <w:color w:val="0000FF"/>
          <w:szCs w:val="21"/>
          <w:highlight w:val="none"/>
          <w:lang w:val="en-US" w:eastAsia="zh-CN"/>
        </w:rPr>
        <w:t>9</w:t>
      </w:r>
      <w:r>
        <w:rPr>
          <w:rFonts w:hint="eastAsia" w:ascii="宋体" w:hAnsi="宋体" w:eastAsia="宋体" w:cs="宋体"/>
          <w:b/>
          <w:bCs/>
          <w:color w:val="0000FF"/>
          <w:szCs w:val="21"/>
          <w:highlight w:val="none"/>
          <w:lang w:val="en-US" w:eastAsia="zh-CN"/>
        </w:rPr>
        <w:t>、投标人认为有必要提供的其他证明材料</w:t>
      </w:r>
    </w:p>
    <w:p w14:paraId="346E847C">
      <w:pPr>
        <w:numPr>
          <w:ilvl w:val="0"/>
          <w:numId w:val="0"/>
        </w:numPr>
        <w:shd w:val="clear" w:color="auto" w:fill="auto"/>
        <w:spacing w:line="360" w:lineRule="auto"/>
        <w:ind w:leftChars="0"/>
        <w:jc w:val="both"/>
        <w:rPr>
          <w:rFonts w:hint="eastAsia" w:ascii="宋体" w:hAnsi="宋体" w:eastAsia="宋体" w:cs="宋体"/>
          <w:b/>
          <w:bCs/>
          <w:color w:val="auto"/>
          <w:sz w:val="24"/>
          <w:szCs w:val="24"/>
          <w:highlight w:val="none"/>
          <w:lang w:val="en-US" w:eastAsia="zh-CN"/>
        </w:rPr>
      </w:pPr>
    </w:p>
    <w:p w14:paraId="4EC162FE">
      <w:pPr>
        <w:numPr>
          <w:ilvl w:val="0"/>
          <w:numId w:val="0"/>
        </w:numPr>
        <w:shd w:val="clear" w:color="auto" w:fill="auto"/>
        <w:spacing w:line="360" w:lineRule="auto"/>
        <w:ind w:leftChars="0"/>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14:paraId="7FA8B16B">
      <w:pPr>
        <w:numPr>
          <w:ilvl w:val="0"/>
          <w:numId w:val="0"/>
        </w:numPr>
        <w:shd w:val="clear" w:color="auto" w:fill="auto"/>
        <w:spacing w:line="480" w:lineRule="auto"/>
        <w:ind w:leftChars="0"/>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0000FF"/>
          <w:sz w:val="21"/>
          <w:szCs w:val="21"/>
          <w:highlight w:val="none"/>
          <w:lang w:val="en-US" w:eastAsia="zh-CN"/>
        </w:rPr>
        <w:t>1、为方便专家评审建议供应商编制目录对应页码。</w:t>
      </w:r>
    </w:p>
    <w:p w14:paraId="2CDE4801">
      <w:pPr>
        <w:spacing w:line="480" w:lineRule="auto"/>
        <w:rPr>
          <w:rFonts w:hint="eastAsia" w:ascii="宋体" w:hAnsi="宋体" w:eastAsia="宋体" w:cs="宋体"/>
          <w:b/>
          <w:bCs/>
          <w:color w:val="0000FF"/>
          <w:sz w:val="21"/>
          <w:szCs w:val="21"/>
          <w:highlight w:val="none"/>
          <w:lang w:val="en-US" w:eastAsia="zh-CN"/>
        </w:rPr>
      </w:pPr>
      <w:r>
        <w:rPr>
          <w:rFonts w:hint="eastAsia" w:ascii="宋体" w:hAnsi="宋体" w:eastAsia="宋体" w:cs="宋体"/>
          <w:b/>
          <w:bCs/>
          <w:color w:val="0000FF"/>
          <w:sz w:val="21"/>
          <w:szCs w:val="21"/>
          <w:highlight w:val="none"/>
          <w:lang w:val="en-US" w:eastAsia="zh-CN"/>
        </w:rPr>
        <w:t>2、招标文件提供格式的请严格按照格式要求填写，未提供格式的请供应商自行编辑提供。</w:t>
      </w:r>
    </w:p>
    <w:p w14:paraId="3D86B747">
      <w:pPr>
        <w:spacing w:line="480" w:lineRule="auto"/>
        <w:rPr>
          <w:rFonts w:hint="eastAsia" w:ascii="宋体" w:hAnsi="宋体" w:eastAsia="宋体" w:cs="宋体"/>
          <w:b/>
          <w:bCs/>
          <w:color w:val="0000FF"/>
          <w:sz w:val="21"/>
          <w:szCs w:val="21"/>
          <w:highlight w:val="none"/>
          <w:lang w:val="en-US" w:eastAsia="zh-CN"/>
        </w:rPr>
      </w:pPr>
      <w:r>
        <w:rPr>
          <w:rFonts w:hint="eastAsia" w:ascii="宋体" w:hAnsi="宋体" w:eastAsia="宋体" w:cs="宋体"/>
          <w:b/>
          <w:bCs/>
          <w:color w:val="0000FF"/>
          <w:sz w:val="21"/>
          <w:szCs w:val="21"/>
          <w:highlight w:val="none"/>
          <w:lang w:val="en-US" w:eastAsia="zh-CN"/>
        </w:rPr>
        <w:t>3、投标文件须逐页加盖投标单位公章。</w:t>
      </w:r>
    </w:p>
    <w:p w14:paraId="2A8C1DF0">
      <w:pPr>
        <w:shd w:val="clear" w:color="auto" w:fill="auto"/>
        <w:tabs>
          <w:tab w:val="left" w:pos="5580"/>
        </w:tabs>
        <w:spacing w:line="240" w:lineRule="atLeast"/>
        <w:ind w:left="1" w:firstLine="571" w:firstLineChars="235"/>
        <w:rPr>
          <w:rFonts w:hint="eastAsia" w:ascii="宋体" w:hAnsi="宋体" w:eastAsia="宋体" w:cs="宋体"/>
          <w:color w:val="auto"/>
          <w:sz w:val="24"/>
          <w:highlight w:val="none"/>
        </w:rPr>
      </w:pPr>
    </w:p>
    <w:p w14:paraId="36821F7D">
      <w:pPr>
        <w:shd w:val="clear" w:color="auto" w:fill="auto"/>
        <w:tabs>
          <w:tab w:val="left" w:pos="5580"/>
        </w:tabs>
        <w:spacing w:line="240" w:lineRule="atLeast"/>
        <w:ind w:left="1" w:firstLine="571" w:firstLineChars="235"/>
        <w:rPr>
          <w:rFonts w:hint="eastAsia" w:ascii="宋体" w:hAnsi="宋体" w:eastAsia="宋体" w:cs="宋体"/>
          <w:color w:val="auto"/>
          <w:sz w:val="24"/>
          <w:highlight w:val="none"/>
        </w:rPr>
      </w:pPr>
    </w:p>
    <w:p w14:paraId="69761772">
      <w:pPr>
        <w:shd w:val="clear" w:color="auto" w:fill="auto"/>
        <w:tabs>
          <w:tab w:val="left" w:pos="5580"/>
        </w:tabs>
        <w:spacing w:line="240" w:lineRule="atLeast"/>
        <w:ind w:left="1" w:firstLine="571" w:firstLineChars="235"/>
        <w:rPr>
          <w:rFonts w:hint="eastAsia" w:ascii="宋体" w:hAnsi="宋体" w:eastAsia="宋体" w:cs="宋体"/>
          <w:color w:val="auto"/>
          <w:sz w:val="24"/>
          <w:highlight w:val="none"/>
        </w:rPr>
      </w:pPr>
    </w:p>
    <w:p w14:paraId="0F6A8002">
      <w:pPr>
        <w:shd w:val="clear" w:color="auto" w:fill="auto"/>
        <w:tabs>
          <w:tab w:val="left" w:pos="5580"/>
        </w:tabs>
        <w:spacing w:line="240" w:lineRule="atLeast"/>
        <w:ind w:left="1" w:firstLine="571" w:firstLineChars="235"/>
        <w:rPr>
          <w:rFonts w:hint="eastAsia" w:ascii="宋体" w:hAnsi="宋体" w:eastAsia="宋体" w:cs="宋体"/>
          <w:color w:val="auto"/>
          <w:sz w:val="24"/>
          <w:highlight w:val="none"/>
        </w:rPr>
      </w:pPr>
    </w:p>
    <w:p w14:paraId="598B9E9D">
      <w:pPr>
        <w:shd w:val="clear" w:color="auto" w:fill="auto"/>
        <w:tabs>
          <w:tab w:val="left" w:pos="5580"/>
        </w:tabs>
        <w:spacing w:line="240" w:lineRule="atLeast"/>
        <w:ind w:left="1" w:firstLine="571" w:firstLineChars="235"/>
        <w:rPr>
          <w:rFonts w:hint="eastAsia" w:ascii="宋体" w:hAnsi="宋体" w:eastAsia="宋体" w:cs="宋体"/>
          <w:color w:val="auto"/>
          <w:sz w:val="24"/>
          <w:highlight w:val="none"/>
        </w:rPr>
      </w:pPr>
    </w:p>
    <w:p w14:paraId="7C5D80BE">
      <w:pPr>
        <w:shd w:val="clear" w:color="auto" w:fill="auto"/>
        <w:tabs>
          <w:tab w:val="left" w:pos="5580"/>
        </w:tabs>
        <w:spacing w:line="240" w:lineRule="atLeast"/>
        <w:ind w:left="1" w:firstLine="571" w:firstLineChars="235"/>
        <w:rPr>
          <w:rFonts w:hint="eastAsia" w:ascii="宋体" w:hAnsi="宋体" w:eastAsia="宋体" w:cs="宋体"/>
          <w:color w:val="auto"/>
          <w:sz w:val="24"/>
          <w:highlight w:val="none"/>
        </w:rPr>
      </w:pPr>
    </w:p>
    <w:p w14:paraId="53E1F64D">
      <w:pPr>
        <w:shd w:val="clear" w:color="auto" w:fill="auto"/>
        <w:tabs>
          <w:tab w:val="left" w:pos="5580"/>
        </w:tabs>
        <w:spacing w:line="240" w:lineRule="atLeast"/>
        <w:ind w:left="1" w:firstLine="571" w:firstLineChars="235"/>
        <w:rPr>
          <w:rFonts w:hint="eastAsia" w:ascii="宋体" w:hAnsi="宋体" w:eastAsia="宋体" w:cs="宋体"/>
          <w:color w:val="auto"/>
          <w:sz w:val="24"/>
          <w:highlight w:val="none"/>
        </w:rPr>
      </w:pPr>
    </w:p>
    <w:p w14:paraId="0EA11AF4">
      <w:pPr>
        <w:shd w:val="clear" w:color="auto" w:fill="auto"/>
        <w:tabs>
          <w:tab w:val="left" w:pos="5580"/>
        </w:tabs>
        <w:spacing w:line="240" w:lineRule="atLeast"/>
        <w:ind w:left="1" w:firstLine="571" w:firstLineChars="235"/>
        <w:rPr>
          <w:rFonts w:hint="eastAsia" w:ascii="宋体" w:hAnsi="宋体" w:eastAsia="宋体" w:cs="宋体"/>
          <w:color w:val="auto"/>
          <w:sz w:val="24"/>
          <w:highlight w:val="none"/>
        </w:rPr>
      </w:pPr>
    </w:p>
    <w:p w14:paraId="6CCDB429">
      <w:pPr>
        <w:shd w:val="clear" w:color="auto" w:fill="auto"/>
        <w:tabs>
          <w:tab w:val="left" w:pos="5580"/>
        </w:tabs>
        <w:spacing w:line="240" w:lineRule="atLeast"/>
        <w:ind w:left="1" w:firstLine="571" w:firstLineChars="235"/>
        <w:rPr>
          <w:rFonts w:hint="eastAsia" w:ascii="宋体" w:hAnsi="宋体" w:eastAsia="宋体" w:cs="宋体"/>
          <w:color w:val="auto"/>
          <w:sz w:val="24"/>
          <w:highlight w:val="none"/>
        </w:rPr>
      </w:pPr>
    </w:p>
    <w:p w14:paraId="11ABEF29">
      <w:pPr>
        <w:shd w:val="clear" w:color="auto" w:fill="auto"/>
        <w:tabs>
          <w:tab w:val="left" w:pos="5580"/>
        </w:tabs>
        <w:spacing w:line="240" w:lineRule="atLeast"/>
        <w:ind w:left="1" w:firstLine="571" w:firstLineChars="235"/>
        <w:rPr>
          <w:rFonts w:hint="eastAsia" w:ascii="宋体" w:hAnsi="宋体" w:eastAsia="宋体" w:cs="宋体"/>
          <w:color w:val="auto"/>
          <w:sz w:val="24"/>
          <w:highlight w:val="none"/>
        </w:rPr>
      </w:pPr>
    </w:p>
    <w:p w14:paraId="10BE2D77">
      <w:pPr>
        <w:pStyle w:val="4"/>
        <w:rPr>
          <w:rFonts w:hint="eastAsia" w:ascii="宋体" w:hAnsi="宋体" w:eastAsia="宋体" w:cs="宋体"/>
          <w:color w:val="auto"/>
          <w:sz w:val="24"/>
          <w:highlight w:val="none"/>
        </w:rPr>
      </w:pPr>
    </w:p>
    <w:p w14:paraId="11F6405E">
      <w:pPr>
        <w:rPr>
          <w:rFonts w:hint="eastAsia" w:ascii="宋体" w:hAnsi="宋体" w:eastAsia="宋体" w:cs="宋体"/>
          <w:color w:val="auto"/>
          <w:sz w:val="24"/>
          <w:highlight w:val="none"/>
        </w:rPr>
      </w:pPr>
    </w:p>
    <w:p w14:paraId="675F0639">
      <w:pPr>
        <w:rPr>
          <w:rFonts w:hint="eastAsia" w:ascii="宋体" w:hAnsi="宋体" w:eastAsia="宋体" w:cs="宋体"/>
          <w:color w:val="auto"/>
          <w:sz w:val="24"/>
          <w:highlight w:val="none"/>
        </w:rPr>
      </w:pPr>
    </w:p>
    <w:p w14:paraId="113176E4">
      <w:pPr>
        <w:rPr>
          <w:rFonts w:hint="eastAsia" w:ascii="宋体" w:hAnsi="宋体" w:eastAsia="宋体" w:cs="宋体"/>
          <w:color w:val="auto"/>
          <w:sz w:val="24"/>
          <w:highlight w:val="none"/>
        </w:rPr>
      </w:pPr>
    </w:p>
    <w:p w14:paraId="515638D3">
      <w:pPr>
        <w:rPr>
          <w:rFonts w:hint="eastAsia" w:ascii="宋体" w:hAnsi="宋体" w:eastAsia="宋体" w:cs="宋体"/>
          <w:color w:val="auto"/>
          <w:sz w:val="24"/>
          <w:highlight w:val="none"/>
        </w:rPr>
      </w:pPr>
    </w:p>
    <w:p w14:paraId="63D8EE46">
      <w:pPr>
        <w:rPr>
          <w:rFonts w:hint="eastAsia" w:ascii="宋体" w:hAnsi="宋体" w:eastAsia="宋体" w:cs="宋体"/>
          <w:color w:val="auto"/>
          <w:sz w:val="24"/>
          <w:highlight w:val="none"/>
        </w:rPr>
      </w:pPr>
    </w:p>
    <w:p w14:paraId="2D0504D1">
      <w:pPr>
        <w:rPr>
          <w:rFonts w:hint="eastAsia" w:ascii="宋体" w:hAnsi="宋体" w:eastAsia="宋体" w:cs="宋体"/>
          <w:color w:val="auto"/>
          <w:sz w:val="24"/>
          <w:highlight w:val="none"/>
        </w:rPr>
      </w:pPr>
    </w:p>
    <w:p w14:paraId="3164C0F6">
      <w:pPr>
        <w:rPr>
          <w:rFonts w:hint="eastAsia" w:ascii="宋体" w:hAnsi="宋体" w:eastAsia="宋体" w:cs="宋体"/>
          <w:color w:val="auto"/>
          <w:sz w:val="24"/>
          <w:highlight w:val="none"/>
        </w:rPr>
      </w:pPr>
    </w:p>
    <w:p w14:paraId="09E481E7">
      <w:pPr>
        <w:rPr>
          <w:rFonts w:hint="eastAsia" w:ascii="宋体" w:hAnsi="宋体" w:eastAsia="宋体" w:cs="宋体"/>
          <w:color w:val="auto"/>
          <w:sz w:val="24"/>
          <w:highlight w:val="none"/>
        </w:rPr>
      </w:pPr>
    </w:p>
    <w:p w14:paraId="50ED1E33">
      <w:pPr>
        <w:rPr>
          <w:rFonts w:hint="eastAsia" w:ascii="宋体" w:hAnsi="宋体" w:eastAsia="宋体" w:cs="宋体"/>
          <w:color w:val="auto"/>
          <w:sz w:val="24"/>
          <w:highlight w:val="none"/>
        </w:rPr>
      </w:pPr>
    </w:p>
    <w:p w14:paraId="242C1AC8">
      <w:pPr>
        <w:rPr>
          <w:rFonts w:hint="eastAsia" w:ascii="宋体" w:hAnsi="宋体" w:eastAsia="宋体" w:cs="宋体"/>
          <w:color w:val="auto"/>
          <w:sz w:val="24"/>
          <w:highlight w:val="none"/>
        </w:rPr>
      </w:pPr>
    </w:p>
    <w:p w14:paraId="3D962139">
      <w:pPr>
        <w:rPr>
          <w:rFonts w:hint="eastAsia" w:ascii="宋体" w:hAnsi="宋体" w:eastAsia="宋体" w:cs="宋体"/>
          <w:color w:val="auto"/>
          <w:sz w:val="24"/>
          <w:highlight w:val="none"/>
        </w:rPr>
      </w:pPr>
    </w:p>
    <w:p w14:paraId="7510303A">
      <w:pPr>
        <w:rPr>
          <w:rFonts w:hint="eastAsia" w:ascii="宋体" w:hAnsi="宋体" w:eastAsia="宋体" w:cs="宋体"/>
          <w:color w:val="auto"/>
          <w:sz w:val="24"/>
          <w:highlight w:val="none"/>
        </w:rPr>
      </w:pPr>
    </w:p>
    <w:p w14:paraId="69830A1A">
      <w:pPr>
        <w:rPr>
          <w:rFonts w:hint="eastAsia" w:ascii="宋体" w:hAnsi="宋体" w:eastAsia="宋体" w:cs="宋体"/>
          <w:color w:val="auto"/>
          <w:sz w:val="24"/>
          <w:highlight w:val="none"/>
        </w:rPr>
      </w:pPr>
    </w:p>
    <w:p w14:paraId="78952037">
      <w:pPr>
        <w:rPr>
          <w:rFonts w:hint="eastAsia" w:ascii="宋体" w:hAnsi="宋体" w:eastAsia="宋体" w:cs="宋体"/>
          <w:color w:val="auto"/>
          <w:sz w:val="24"/>
          <w:highlight w:val="none"/>
        </w:rPr>
      </w:pPr>
    </w:p>
    <w:p w14:paraId="1A3B5D03">
      <w:pPr>
        <w:pStyle w:val="15"/>
        <w:shd w:val="clear" w:color="auto" w:fill="auto"/>
        <w:tabs>
          <w:tab w:val="left" w:pos="5580"/>
        </w:tabs>
        <w:spacing w:line="360" w:lineRule="auto"/>
        <w:rPr>
          <w:rFonts w:hint="eastAsia" w:ascii="宋体" w:hAnsi="宋体" w:eastAsia="宋体" w:cs="宋体"/>
          <w:b/>
          <w:bCs/>
          <w:color w:val="auto"/>
          <w:sz w:val="24"/>
          <w:highlight w:val="none"/>
          <w:lang w:val="en-US" w:eastAsia="zh-CN"/>
        </w:rPr>
      </w:pPr>
      <w:bookmarkStart w:id="83" w:name="_Toc21312"/>
      <w:bookmarkStart w:id="84" w:name="_Toc30795"/>
      <w:bookmarkStart w:id="85" w:name="_Toc28099"/>
      <w:bookmarkStart w:id="86" w:name="_Toc515647823"/>
      <w:bookmarkStart w:id="87" w:name="_Toc10725"/>
      <w:bookmarkStart w:id="88" w:name="_Toc2963"/>
      <w:bookmarkStart w:id="89" w:name="_Toc515647827"/>
    </w:p>
    <w:p w14:paraId="54C565E3">
      <w:pPr>
        <w:pStyle w:val="15"/>
        <w:shd w:val="clear" w:color="auto" w:fill="auto"/>
        <w:tabs>
          <w:tab w:val="left" w:pos="5580"/>
        </w:tabs>
        <w:spacing w:line="360" w:lineRule="auto"/>
        <w:rPr>
          <w:rFonts w:hint="eastAsia" w:ascii="宋体" w:hAnsi="宋体" w:eastAsia="宋体" w:cs="宋体"/>
          <w:b/>
          <w:bCs/>
          <w:color w:val="auto"/>
          <w:sz w:val="24"/>
          <w:highlight w:val="none"/>
          <w:lang w:val="en-US" w:eastAsia="zh-CN"/>
        </w:rPr>
      </w:pPr>
    </w:p>
    <w:p w14:paraId="44E126E9">
      <w:pPr>
        <w:pStyle w:val="15"/>
        <w:shd w:val="clear" w:color="auto" w:fill="auto"/>
        <w:tabs>
          <w:tab w:val="left" w:pos="5580"/>
        </w:tabs>
        <w:spacing w:line="360" w:lineRule="auto"/>
        <w:rPr>
          <w:rFonts w:hint="eastAsia" w:ascii="宋体" w:hAnsi="宋体" w:eastAsia="宋体" w:cs="宋体"/>
          <w:b/>
          <w:bCs/>
          <w:color w:val="auto"/>
          <w:sz w:val="24"/>
          <w:highlight w:val="none"/>
          <w:lang w:val="en-US" w:eastAsia="zh-CN"/>
        </w:rPr>
      </w:pPr>
    </w:p>
    <w:p w14:paraId="4B174444">
      <w:pPr>
        <w:pStyle w:val="15"/>
        <w:shd w:val="clear" w:color="auto" w:fill="auto"/>
        <w:tabs>
          <w:tab w:val="left" w:pos="5580"/>
        </w:tabs>
        <w:spacing w:line="360" w:lineRule="auto"/>
        <w:rPr>
          <w:rFonts w:hint="eastAsia" w:ascii="宋体" w:hAnsi="宋体" w:eastAsia="宋体" w:cs="宋体"/>
          <w:b/>
          <w:bCs/>
          <w:color w:val="auto"/>
          <w:sz w:val="24"/>
          <w:highlight w:val="none"/>
          <w:lang w:val="en-US" w:eastAsia="zh-CN"/>
        </w:rPr>
      </w:pPr>
    </w:p>
    <w:p w14:paraId="57A0D034">
      <w:pPr>
        <w:pStyle w:val="15"/>
        <w:shd w:val="clear" w:color="auto" w:fill="auto"/>
        <w:tabs>
          <w:tab w:val="left" w:pos="5580"/>
        </w:tabs>
        <w:spacing w:line="360" w:lineRule="auto"/>
        <w:ind w:left="272" w:leftChars="128"/>
        <w:rPr>
          <w:rFonts w:hint="eastAsia" w:ascii="宋体" w:hAnsi="宋体" w:eastAsia="宋体" w:cs="宋体"/>
          <w:color w:val="auto"/>
          <w:sz w:val="24"/>
          <w:highlight w:val="none"/>
          <w:lang w:val="en-US" w:eastAsia="zh-CN"/>
        </w:rPr>
      </w:pPr>
      <w:r>
        <w:rPr>
          <w:rFonts w:hint="eastAsia" w:ascii="宋体" w:hAnsi="宋体" w:eastAsia="宋体" w:cs="宋体"/>
          <w:b/>
          <w:bCs/>
          <w:color w:val="auto"/>
          <w:sz w:val="24"/>
          <w:highlight w:val="none"/>
          <w:lang w:val="en-US" w:eastAsia="zh-CN"/>
        </w:rPr>
        <w:t>投标文件格式1</w:t>
      </w:r>
      <w:r>
        <w:rPr>
          <w:rFonts w:hint="eastAsia" w:ascii="宋体" w:hAnsi="宋体" w:eastAsia="宋体" w:cs="宋体"/>
          <w:color w:val="auto"/>
          <w:sz w:val="24"/>
          <w:highlight w:val="none"/>
          <w:lang w:val="en-US" w:eastAsia="zh-CN"/>
        </w:rPr>
        <w:t>：</w:t>
      </w:r>
    </w:p>
    <w:p w14:paraId="654A3001">
      <w:pPr>
        <w:pStyle w:val="47"/>
        <w:shd w:val="clear" w:color="auto" w:fill="auto"/>
        <w:spacing w:line="360" w:lineRule="auto"/>
        <w:ind w:left="0" w:leftChars="0" w:firstLine="0" w:firstLineChars="0"/>
        <w:rPr>
          <w:rFonts w:hint="eastAsia" w:ascii="宋体" w:hAnsi="宋体" w:eastAsia="宋体" w:cs="宋体"/>
          <w:color w:val="auto"/>
          <w:sz w:val="24"/>
          <w:highlight w:val="none"/>
        </w:rPr>
      </w:pPr>
      <w:bookmarkStart w:id="90" w:name="_Toc23503"/>
      <w:bookmarkStart w:id="91" w:name="_Toc515647807"/>
      <w:bookmarkStart w:id="92" w:name="_Toc1083"/>
      <w:bookmarkStart w:id="93" w:name="_Toc22472"/>
      <w:bookmarkStart w:id="94" w:name="_Toc515647808"/>
      <w:bookmarkStart w:id="95" w:name="_Toc32520"/>
      <w:bookmarkStart w:id="96" w:name="_Toc7039"/>
      <w:bookmarkStart w:id="97" w:name="_Ref467988698"/>
      <w:bookmarkStart w:id="98" w:name="_Toc520356217"/>
      <w:bookmarkStart w:id="99" w:name="_Toc216582813"/>
      <w:bookmarkStart w:id="100" w:name="_Toc480942349"/>
    </w:p>
    <w:p w14:paraId="40CAA393">
      <w:pPr>
        <w:pStyle w:val="3"/>
        <w:numPr>
          <w:ilvl w:val="0"/>
          <w:numId w:val="0"/>
        </w:numPr>
        <w:shd w:val="clear" w:color="auto" w:fill="auto"/>
        <w:spacing w:before="0" w:line="360" w:lineRule="auto"/>
        <w:jc w:val="center"/>
        <w:rPr>
          <w:rFonts w:hint="eastAsia" w:ascii="宋体" w:hAnsi="宋体" w:eastAsia="宋体" w:cs="宋体"/>
          <w:b w:val="0"/>
          <w:color w:val="auto"/>
          <w:sz w:val="24"/>
          <w:highlight w:val="none"/>
          <w:u w:val="single"/>
        </w:rPr>
      </w:pPr>
      <w:bookmarkStart w:id="101" w:name="_Toc30244"/>
      <w:r>
        <w:rPr>
          <w:rFonts w:hint="eastAsia" w:ascii="宋体" w:hAnsi="宋体" w:eastAsia="宋体" w:cs="宋体"/>
          <w:b/>
          <w:bCs/>
          <w:color w:val="auto"/>
          <w:sz w:val="24"/>
          <w:highlight w:val="none"/>
        </w:rPr>
        <w:t>法定代表人资格证明书</w:t>
      </w:r>
    </w:p>
    <w:p w14:paraId="10D22FDD">
      <w:pPr>
        <w:adjustRightInd w:val="0"/>
        <w:snapToGrid w:val="0"/>
        <w:spacing w:before="240" w:beforeLines="100" w:after="240" w:afterLines="10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p>
    <w:p w14:paraId="6C063E05">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同志，现任我单位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职务，为法定代表人，特此证明。</w:t>
      </w:r>
    </w:p>
    <w:p w14:paraId="4A0B5319">
      <w:pPr>
        <w:spacing w:line="360" w:lineRule="auto"/>
        <w:ind w:firstLine="213"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成立日期</w:t>
      </w:r>
      <w:r>
        <w:rPr>
          <w:rFonts w:hint="eastAsia" w:ascii="宋体" w:hAnsi="宋体" w:eastAsia="宋体" w:cs="宋体"/>
          <w:color w:val="auto"/>
          <w:sz w:val="21"/>
          <w:szCs w:val="21"/>
          <w:highlight w:val="none"/>
        </w:rPr>
        <w:t xml:space="preserve">：          单位：          </w:t>
      </w:r>
    </w:p>
    <w:p w14:paraId="36C1354D">
      <w:pPr>
        <w:spacing w:line="360" w:lineRule="auto"/>
        <w:ind w:firstLine="213"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附：代表人性别：            年龄：           身份证号码：</w:t>
      </w:r>
    </w:p>
    <w:p w14:paraId="580F812C">
      <w:pPr>
        <w:spacing w:line="360" w:lineRule="auto"/>
        <w:ind w:firstLine="213"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p>
    <w:p w14:paraId="75FB877D">
      <w:pPr>
        <w:spacing w:line="360" w:lineRule="auto"/>
        <w:ind w:firstLine="213"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营业执照号码：              经济性质：</w:t>
      </w:r>
    </w:p>
    <w:p w14:paraId="047390C9">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7E805407">
      <w:pPr>
        <w:spacing w:line="360" w:lineRule="auto"/>
        <w:ind w:firstLine="213"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1、法定代表人为企业事业单位、机关、社会团体的主要行政负责人。</w:t>
      </w:r>
    </w:p>
    <w:p w14:paraId="34691C11">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2、内容必须填写真实、清楚、涂改无效，不得转让。</w:t>
      </w:r>
    </w:p>
    <w:p w14:paraId="7AE7FCD5">
      <w:pPr>
        <w:spacing w:line="360" w:lineRule="auto"/>
        <w:ind w:firstLine="213"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3、将此证明书原件提交采购代理机构作为投标文件附件。</w:t>
      </w:r>
    </w:p>
    <w:p w14:paraId="4B380337">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(为避免废标，请投标人务必提供本附件)</w:t>
      </w:r>
    </w:p>
    <w:p w14:paraId="392EF0FC">
      <w:pPr>
        <w:spacing w:line="360" w:lineRule="auto"/>
        <w:rPr>
          <w:rFonts w:hint="eastAsia" w:ascii="宋体" w:hAnsi="宋体" w:eastAsia="宋体" w:cs="宋体"/>
          <w:color w:val="auto"/>
          <w:sz w:val="24"/>
          <w:szCs w:val="24"/>
          <w:highlight w:val="none"/>
        </w:rPr>
      </w:pPr>
    </w:p>
    <w:p w14:paraId="454D56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mc:AlternateContent>
          <mc:Choice Requires="wps">
            <w:drawing>
              <wp:anchor distT="0" distB="0" distL="114300" distR="114300" simplePos="0" relativeHeight="251663360" behindDoc="0" locked="0" layoutInCell="1" allowOverlap="1">
                <wp:simplePos x="0" y="0"/>
                <wp:positionH relativeFrom="column">
                  <wp:posOffset>398780</wp:posOffset>
                </wp:positionH>
                <wp:positionV relativeFrom="paragraph">
                  <wp:posOffset>38100</wp:posOffset>
                </wp:positionV>
                <wp:extent cx="2333625" cy="1584325"/>
                <wp:effectExtent l="4445" t="4445" r="11430" b="11430"/>
                <wp:wrapNone/>
                <wp:docPr id="10" name="流程图: 可选过程 10"/>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D20302F">
                            <w:pPr>
                              <w:jc w:val="center"/>
                              <w:rPr>
                                <w:rFonts w:hint="eastAsia" w:hAnsi="宋体"/>
                                <w:szCs w:val="21"/>
                              </w:rPr>
                            </w:pPr>
                          </w:p>
                          <w:p w14:paraId="19E34211">
                            <w:pPr>
                              <w:jc w:val="center"/>
                              <w:rPr>
                                <w:rFonts w:hint="eastAsia" w:hAnsi="宋体"/>
                                <w:szCs w:val="21"/>
                              </w:rPr>
                            </w:pPr>
                          </w:p>
                          <w:p w14:paraId="763937B1">
                            <w:pPr>
                              <w:jc w:val="center"/>
                              <w:rPr>
                                <w:rFonts w:hint="eastAsia" w:hAnsi="宋体"/>
                                <w:szCs w:val="21"/>
                              </w:rPr>
                            </w:pPr>
                          </w:p>
                          <w:p w14:paraId="612F2E33">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正面</w:t>
                            </w:r>
                          </w:p>
                        </w:txbxContent>
                      </wps:txbx>
                      <wps:bodyPr upright="1"/>
                    </wps:wsp>
                  </a:graphicData>
                </a:graphic>
              </wp:anchor>
            </w:drawing>
          </mc:Choice>
          <mc:Fallback>
            <w:pict>
              <v:shape id="_x0000_s1026" o:spid="_x0000_s1026" o:spt="176" type="#_x0000_t176" style="position:absolute;left:0pt;margin-left:31.4pt;margin-top:3pt;height:124.75pt;width:183.75pt;z-index:251663360;mso-width-relative:page;mso-height-relative:page;" fillcolor="#FFFFFF" filled="t" stroked="t" coordsize="21600,21600" o:gfxdata="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FwXx41gAAAAgBAAAPAAAAAAAAAAEAIAAAACIAAABkcnMvZG93bnJldi54bWxQSwECFAAUAAAA&#10;CACHTuJAcS+LcykCAABSBAAADgAAAAAAAAABACAAAAAlAQAAZHJzL2Uyb0RvYy54bWxQSwUGAAAA&#10;AAYABgBZAQAAwAUAAAAA&#10;">
                <v:fill on="t" focussize="0,0"/>
                <v:stroke color="#000000" joinstyle="miter"/>
                <v:imagedata o:title=""/>
                <o:lock v:ext="edit" aspectratio="f"/>
                <v:textbox>
                  <w:txbxContent>
                    <w:p w14:paraId="4D20302F">
                      <w:pPr>
                        <w:jc w:val="center"/>
                        <w:rPr>
                          <w:rFonts w:hint="eastAsia" w:hAnsi="宋体"/>
                          <w:szCs w:val="21"/>
                        </w:rPr>
                      </w:pPr>
                    </w:p>
                    <w:p w14:paraId="19E34211">
                      <w:pPr>
                        <w:jc w:val="center"/>
                        <w:rPr>
                          <w:rFonts w:hint="eastAsia" w:hAnsi="宋体"/>
                          <w:szCs w:val="21"/>
                        </w:rPr>
                      </w:pPr>
                    </w:p>
                    <w:p w14:paraId="763937B1">
                      <w:pPr>
                        <w:jc w:val="center"/>
                        <w:rPr>
                          <w:rFonts w:hint="eastAsia" w:hAnsi="宋体"/>
                          <w:szCs w:val="21"/>
                        </w:rPr>
                      </w:pPr>
                    </w:p>
                    <w:p w14:paraId="612F2E33">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正面</w:t>
                      </w:r>
                    </w:p>
                  </w:txbxContent>
                </v:textbox>
              </v:shape>
            </w:pict>
          </mc:Fallback>
        </mc:AlternateContent>
      </w:r>
      <w:r>
        <w:rPr>
          <w:rFonts w:hint="eastAsia" w:ascii="宋体" w:hAnsi="宋体" w:eastAsia="宋体" w:cs="宋体"/>
          <w:color w:val="auto"/>
          <w:sz w:val="24"/>
          <w:szCs w:val="24"/>
          <w:highlight w:val="none"/>
        </w:rPr>
        <mc:AlternateContent>
          <mc:Choice Requires="wps">
            <w:drawing>
              <wp:anchor distT="0" distB="0" distL="114300" distR="114300" simplePos="0" relativeHeight="251664384" behindDoc="0" locked="0" layoutInCell="1" allowOverlap="1">
                <wp:simplePos x="0" y="0"/>
                <wp:positionH relativeFrom="column">
                  <wp:posOffset>3226435</wp:posOffset>
                </wp:positionH>
                <wp:positionV relativeFrom="paragraph">
                  <wp:posOffset>34290</wp:posOffset>
                </wp:positionV>
                <wp:extent cx="2333625" cy="1584325"/>
                <wp:effectExtent l="4445" t="4445" r="11430" b="11430"/>
                <wp:wrapNone/>
                <wp:docPr id="11" name="流程图: 可选过程 11"/>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17075BD">
                            <w:pPr>
                              <w:jc w:val="center"/>
                              <w:rPr>
                                <w:rFonts w:hint="eastAsia" w:hAnsi="宋体"/>
                                <w:szCs w:val="21"/>
                              </w:rPr>
                            </w:pPr>
                          </w:p>
                          <w:p w14:paraId="2A2679BF">
                            <w:pPr>
                              <w:jc w:val="center"/>
                              <w:rPr>
                                <w:rFonts w:hint="eastAsia" w:hAnsi="宋体"/>
                                <w:szCs w:val="21"/>
                              </w:rPr>
                            </w:pPr>
                          </w:p>
                          <w:p w14:paraId="3519168D">
                            <w:pPr>
                              <w:jc w:val="center"/>
                              <w:rPr>
                                <w:rFonts w:hint="eastAsia" w:hAnsi="宋体"/>
                                <w:szCs w:val="21"/>
                              </w:rPr>
                            </w:pPr>
                          </w:p>
                          <w:p w14:paraId="57541968">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反面</w:t>
                            </w:r>
                          </w:p>
                        </w:txbxContent>
                      </wps:txbx>
                      <wps:bodyPr upright="1"/>
                    </wps:wsp>
                  </a:graphicData>
                </a:graphic>
              </wp:anchor>
            </w:drawing>
          </mc:Choice>
          <mc:Fallback>
            <w:pict>
              <v:shape id="_x0000_s1026" o:spid="_x0000_s1026" o:spt="176" type="#_x0000_t176" style="position:absolute;left:0pt;margin-left:254.05pt;margin-top:2.7pt;height:124.75pt;width:183.75pt;z-index:251664384;mso-width-relative:page;mso-height-relative:page;" fillcolor="#FFFFFF" filled="t" stroked="t" coordsize="21600,21600" o:gfxdata="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FoTxGHYAAAACQEAAA8AAAAAAAAAAQAgAAAAIgAAAGRycy9kb3ducmV2LnhtbFBLAQIUABQA&#10;AAAIAIdO4kAB7+mmKQIAAFIEAAAOAAAAAAAAAAEAIAAAACcBAABkcnMvZTJvRG9jLnhtbFBLBQYA&#10;AAAABgAGAFkBAADCBQAAAAA=&#10;">
                <v:fill on="t" focussize="0,0"/>
                <v:stroke color="#000000" joinstyle="miter"/>
                <v:imagedata o:title=""/>
                <o:lock v:ext="edit" aspectratio="f"/>
                <v:textbox>
                  <w:txbxContent>
                    <w:p w14:paraId="217075BD">
                      <w:pPr>
                        <w:jc w:val="center"/>
                        <w:rPr>
                          <w:rFonts w:hint="eastAsia" w:hAnsi="宋体"/>
                          <w:szCs w:val="21"/>
                        </w:rPr>
                      </w:pPr>
                    </w:p>
                    <w:p w14:paraId="2A2679BF">
                      <w:pPr>
                        <w:jc w:val="center"/>
                        <w:rPr>
                          <w:rFonts w:hint="eastAsia" w:hAnsi="宋体"/>
                          <w:szCs w:val="21"/>
                        </w:rPr>
                      </w:pPr>
                    </w:p>
                    <w:p w14:paraId="3519168D">
                      <w:pPr>
                        <w:jc w:val="center"/>
                        <w:rPr>
                          <w:rFonts w:hint="eastAsia" w:hAnsi="宋体"/>
                          <w:szCs w:val="21"/>
                        </w:rPr>
                      </w:pPr>
                    </w:p>
                    <w:p w14:paraId="57541968">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反面</w:t>
                      </w:r>
                    </w:p>
                  </w:txbxContent>
                </v:textbox>
              </v:shape>
            </w:pict>
          </mc:Fallback>
        </mc:AlternateContent>
      </w:r>
    </w:p>
    <w:p w14:paraId="17435FBC">
      <w:pPr>
        <w:spacing w:line="360" w:lineRule="auto"/>
        <w:rPr>
          <w:rFonts w:hint="eastAsia" w:ascii="宋体" w:hAnsi="宋体" w:eastAsia="宋体" w:cs="宋体"/>
          <w:color w:val="auto"/>
          <w:sz w:val="24"/>
          <w:szCs w:val="24"/>
          <w:highlight w:val="none"/>
        </w:rPr>
      </w:pPr>
    </w:p>
    <w:p w14:paraId="1D489FEC">
      <w:pPr>
        <w:spacing w:line="360" w:lineRule="auto"/>
        <w:rPr>
          <w:rFonts w:hint="eastAsia" w:ascii="宋体" w:hAnsi="宋体" w:eastAsia="宋体" w:cs="宋体"/>
          <w:color w:val="auto"/>
          <w:sz w:val="24"/>
          <w:szCs w:val="24"/>
          <w:highlight w:val="none"/>
        </w:rPr>
      </w:pPr>
    </w:p>
    <w:p w14:paraId="766F279C">
      <w:pPr>
        <w:tabs>
          <w:tab w:val="left" w:pos="654"/>
          <w:tab w:val="left" w:pos="1734"/>
          <w:tab w:val="left" w:pos="2814"/>
          <w:tab w:val="left" w:pos="3894"/>
          <w:tab w:val="left" w:pos="5334"/>
          <w:tab w:val="left" w:pos="6414"/>
          <w:tab w:val="left" w:pos="7254"/>
          <w:tab w:val="left" w:pos="8574"/>
          <w:tab w:val="left" w:pos="9654"/>
        </w:tabs>
        <w:spacing w:line="360" w:lineRule="auto"/>
        <w:rPr>
          <w:rFonts w:hint="eastAsia" w:ascii="宋体" w:hAnsi="宋体" w:eastAsia="宋体" w:cs="宋体"/>
          <w:color w:val="auto"/>
          <w:sz w:val="24"/>
          <w:szCs w:val="24"/>
          <w:highlight w:val="none"/>
        </w:rPr>
      </w:pPr>
    </w:p>
    <w:p w14:paraId="26A86A98">
      <w:pPr>
        <w:spacing w:line="360" w:lineRule="auto"/>
        <w:jc w:val="center"/>
        <w:rPr>
          <w:rFonts w:hint="eastAsia" w:ascii="宋体" w:hAnsi="宋体" w:eastAsia="宋体" w:cs="宋体"/>
          <w:color w:val="auto"/>
          <w:sz w:val="24"/>
          <w:szCs w:val="24"/>
          <w:highlight w:val="none"/>
        </w:rPr>
      </w:pPr>
    </w:p>
    <w:p w14:paraId="1E9C7E7F">
      <w:pPr>
        <w:autoSpaceDE w:val="0"/>
        <w:autoSpaceDN w:val="0"/>
        <w:adjustRightInd w:val="0"/>
        <w:spacing w:line="360" w:lineRule="auto"/>
        <w:ind w:right="246" w:firstLine="793" w:firstLineChars="327"/>
        <w:rPr>
          <w:rFonts w:hint="eastAsia" w:ascii="宋体" w:hAnsi="宋体" w:eastAsia="宋体" w:cs="宋体"/>
          <w:color w:val="auto"/>
          <w:kern w:val="0"/>
          <w:sz w:val="24"/>
          <w:szCs w:val="24"/>
          <w:highlight w:val="none"/>
        </w:rPr>
      </w:pPr>
    </w:p>
    <w:p w14:paraId="6DCA8B14">
      <w:pPr>
        <w:pStyle w:val="15"/>
        <w:shd w:val="clear" w:color="auto" w:fill="auto"/>
        <w:tabs>
          <w:tab w:val="left" w:pos="5580"/>
        </w:tabs>
        <w:spacing w:line="360" w:lineRule="auto"/>
        <w:ind w:firstLine="426" w:firstLineChars="200"/>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 xml:space="preserve">投标人（盖单位章）：                           </w:t>
      </w:r>
    </w:p>
    <w:p w14:paraId="42E8D545">
      <w:pPr>
        <w:pStyle w:val="15"/>
        <w:shd w:val="clear" w:color="auto" w:fill="auto"/>
        <w:tabs>
          <w:tab w:val="left" w:pos="5580"/>
        </w:tabs>
        <w:spacing w:line="360" w:lineRule="auto"/>
        <w:ind w:firstLine="426" w:firstLineChars="200"/>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 xml:space="preserve">法定代表人（签字或盖章）：                     </w:t>
      </w:r>
    </w:p>
    <w:p w14:paraId="0A42C034">
      <w:pPr>
        <w:shd w:val="clear" w:color="auto" w:fill="auto"/>
        <w:spacing w:line="360" w:lineRule="auto"/>
        <w:ind w:firstLine="426" w:firstLineChars="20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 xml:space="preserve">年   月   日 </w:t>
      </w:r>
    </w:p>
    <w:p w14:paraId="7EB49053">
      <w:pPr>
        <w:pStyle w:val="47"/>
        <w:spacing w:line="360" w:lineRule="auto"/>
        <w:ind w:left="0" w:leftChars="0" w:firstLine="0" w:firstLineChars="0"/>
        <w:rPr>
          <w:rFonts w:hint="eastAsia" w:ascii="宋体" w:hAnsi="宋体" w:eastAsia="宋体" w:cs="宋体"/>
          <w:b/>
          <w:color w:val="auto"/>
          <w:sz w:val="28"/>
          <w:szCs w:val="28"/>
          <w:highlight w:val="none"/>
        </w:rPr>
      </w:pPr>
    </w:p>
    <w:p w14:paraId="40F38A33">
      <w:pPr>
        <w:pStyle w:val="47"/>
        <w:spacing w:line="360" w:lineRule="auto"/>
        <w:ind w:left="0" w:leftChars="0" w:firstLine="0" w:firstLineChars="0"/>
        <w:rPr>
          <w:rFonts w:hint="eastAsia" w:ascii="宋体" w:hAnsi="宋体" w:eastAsia="宋体" w:cs="宋体"/>
          <w:b/>
          <w:color w:val="auto"/>
          <w:sz w:val="28"/>
          <w:szCs w:val="28"/>
          <w:highlight w:val="none"/>
        </w:rPr>
      </w:pPr>
    </w:p>
    <w:p w14:paraId="41584150">
      <w:pPr>
        <w:pStyle w:val="15"/>
        <w:shd w:val="clear" w:color="auto" w:fill="auto"/>
        <w:tabs>
          <w:tab w:val="left" w:pos="5580"/>
        </w:tabs>
        <w:spacing w:line="360" w:lineRule="auto"/>
        <w:rPr>
          <w:rFonts w:hint="eastAsia" w:ascii="宋体" w:hAnsi="宋体" w:eastAsia="宋体" w:cs="宋体"/>
          <w:b/>
          <w:bCs/>
          <w:color w:val="auto"/>
          <w:sz w:val="24"/>
          <w:highlight w:val="none"/>
          <w:lang w:val="en-US" w:eastAsia="zh-CN"/>
        </w:rPr>
      </w:pPr>
    </w:p>
    <w:p w14:paraId="3D77CA08">
      <w:pPr>
        <w:pStyle w:val="15"/>
        <w:shd w:val="clear" w:color="auto" w:fill="auto"/>
        <w:tabs>
          <w:tab w:val="left" w:pos="5580"/>
        </w:tabs>
        <w:spacing w:line="360" w:lineRule="auto"/>
        <w:ind w:left="272" w:leftChars="128"/>
        <w:rPr>
          <w:rFonts w:hint="eastAsia" w:ascii="宋体" w:hAnsi="宋体" w:eastAsia="宋体" w:cs="宋体"/>
          <w:color w:val="auto"/>
          <w:sz w:val="24"/>
          <w:highlight w:val="none"/>
          <w:lang w:val="en-US" w:eastAsia="zh-CN"/>
        </w:rPr>
      </w:pPr>
      <w:r>
        <w:rPr>
          <w:rFonts w:hint="eastAsia" w:ascii="宋体" w:hAnsi="宋体" w:eastAsia="宋体" w:cs="宋体"/>
          <w:b/>
          <w:bCs/>
          <w:color w:val="auto"/>
          <w:sz w:val="24"/>
          <w:highlight w:val="none"/>
          <w:lang w:val="en-US" w:eastAsia="zh-CN"/>
        </w:rPr>
        <w:t>投标文件格式2</w:t>
      </w:r>
      <w:r>
        <w:rPr>
          <w:rFonts w:hint="eastAsia" w:ascii="宋体" w:hAnsi="宋体" w:eastAsia="宋体" w:cs="宋体"/>
          <w:color w:val="auto"/>
          <w:sz w:val="24"/>
          <w:highlight w:val="none"/>
          <w:lang w:val="en-US" w:eastAsia="zh-CN"/>
        </w:rPr>
        <w:t>：</w:t>
      </w:r>
    </w:p>
    <w:p w14:paraId="7A3E8495">
      <w:pPr>
        <w:pStyle w:val="47"/>
        <w:spacing w:line="360" w:lineRule="auto"/>
        <w:rPr>
          <w:rFonts w:hint="eastAsia" w:ascii="宋体" w:hAnsi="宋体" w:eastAsia="宋体" w:cs="宋体"/>
          <w:b/>
          <w:color w:val="auto"/>
          <w:sz w:val="28"/>
          <w:szCs w:val="28"/>
          <w:highlight w:val="none"/>
        </w:rPr>
      </w:pPr>
    </w:p>
    <w:p w14:paraId="791B2FF0">
      <w:pPr>
        <w:pStyle w:val="3"/>
        <w:numPr>
          <w:ilvl w:val="0"/>
          <w:numId w:val="0"/>
        </w:numPr>
        <w:shd w:val="clear" w:color="auto" w:fill="auto"/>
        <w:spacing w:before="0" w:line="360" w:lineRule="auto"/>
        <w:jc w:val="center"/>
        <w:rPr>
          <w:rFonts w:hint="eastAsia" w:ascii="宋体" w:hAnsi="宋体" w:eastAsia="宋体" w:cs="宋体"/>
          <w:b/>
          <w:bCs/>
          <w:color w:val="auto"/>
          <w:sz w:val="24"/>
          <w:highlight w:val="none"/>
          <w:u w:val="single"/>
          <w:lang w:eastAsia="zh-CN"/>
        </w:rPr>
      </w:pPr>
      <w:r>
        <w:rPr>
          <w:rFonts w:hint="eastAsia" w:ascii="宋体" w:hAnsi="宋体" w:eastAsia="宋体" w:cs="宋体"/>
          <w:b/>
          <w:bCs/>
          <w:color w:val="auto"/>
          <w:sz w:val="24"/>
          <w:highlight w:val="none"/>
        </w:rPr>
        <w:t>法定代表人授权委托书</w:t>
      </w:r>
      <w:bookmarkEnd w:id="90"/>
      <w:bookmarkEnd w:id="91"/>
      <w:bookmarkEnd w:id="92"/>
      <w:bookmarkEnd w:id="93"/>
      <w:bookmarkEnd w:id="101"/>
    </w:p>
    <w:p w14:paraId="0BF8D8EA">
      <w:pPr>
        <w:pStyle w:val="15"/>
        <w:shd w:val="clear" w:color="auto" w:fill="auto"/>
        <w:spacing w:line="360" w:lineRule="auto"/>
        <w:ind w:left="1087"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cr/>
      </w:r>
    </w:p>
    <w:p w14:paraId="2EFAAEBF">
      <w:pPr>
        <w:pStyle w:val="15"/>
        <w:shd w:val="clear" w:color="auto" w:fill="auto"/>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szCs w:val="20"/>
          <w:highlight w:val="none"/>
        </w:rPr>
        <w:t xml:space="preserve">  </w:t>
      </w:r>
      <w:r>
        <w:rPr>
          <w:rFonts w:hint="eastAsia" w:ascii="宋体" w:hAnsi="宋体" w:eastAsia="宋体" w:cs="宋体"/>
          <w:color w:val="auto"/>
          <w:sz w:val="22"/>
          <w:szCs w:val="18"/>
          <w:highlight w:val="none"/>
        </w:rPr>
        <w:t xml:space="preserve"> </w:t>
      </w:r>
      <w:r>
        <w:rPr>
          <w:rFonts w:hint="eastAsia" w:ascii="宋体" w:hAnsi="宋体" w:eastAsia="宋体" w:cs="宋体"/>
          <w:color w:val="auto"/>
          <w:sz w:val="21"/>
          <w:szCs w:val="16"/>
          <w:highlight w:val="none"/>
        </w:rPr>
        <w:t>本授权书声明</w:t>
      </w:r>
      <w:r>
        <w:rPr>
          <w:rFonts w:hint="eastAsia" w:ascii="宋体" w:hAnsi="宋体" w:eastAsia="宋体" w:cs="宋体"/>
          <w:i w:val="0"/>
          <w:iCs w:val="0"/>
          <w:color w:val="auto"/>
          <w:sz w:val="21"/>
          <w:szCs w:val="16"/>
          <w:highlight w:val="none"/>
        </w:rPr>
        <w:t>：注册于</w:t>
      </w:r>
      <w:r>
        <w:rPr>
          <w:rFonts w:hint="eastAsia" w:ascii="宋体" w:hAnsi="宋体" w:eastAsia="宋体" w:cs="宋体"/>
          <w:i w:val="0"/>
          <w:iCs w:val="0"/>
          <w:color w:val="auto"/>
          <w:sz w:val="21"/>
          <w:szCs w:val="16"/>
          <w:highlight w:val="none"/>
          <w:u w:val="single"/>
        </w:rPr>
        <w:t>（国家或地区的名称）</w:t>
      </w:r>
      <w:r>
        <w:rPr>
          <w:rFonts w:hint="eastAsia" w:ascii="宋体" w:hAnsi="宋体" w:eastAsia="宋体" w:cs="宋体"/>
          <w:i w:val="0"/>
          <w:iCs w:val="0"/>
          <w:color w:val="auto"/>
          <w:sz w:val="21"/>
          <w:szCs w:val="16"/>
          <w:highlight w:val="none"/>
        </w:rPr>
        <w:t>的（</w:t>
      </w:r>
      <w:r>
        <w:rPr>
          <w:rFonts w:hint="eastAsia" w:ascii="宋体" w:hAnsi="宋体" w:eastAsia="宋体" w:cs="宋体"/>
          <w:i w:val="0"/>
          <w:iCs w:val="0"/>
          <w:color w:val="auto"/>
          <w:sz w:val="21"/>
          <w:szCs w:val="16"/>
          <w:highlight w:val="none"/>
          <w:u w:val="single"/>
        </w:rPr>
        <w:t>投标人</w:t>
      </w:r>
      <w:r>
        <w:rPr>
          <w:rFonts w:hint="eastAsia" w:ascii="宋体" w:hAnsi="宋体" w:eastAsia="宋体" w:cs="宋体"/>
          <w:i w:val="0"/>
          <w:iCs w:val="0"/>
          <w:color w:val="auto"/>
          <w:sz w:val="21"/>
          <w:szCs w:val="16"/>
          <w:highlight w:val="none"/>
        </w:rPr>
        <w:t>）的在下面签字的（</w:t>
      </w:r>
      <w:r>
        <w:rPr>
          <w:rFonts w:hint="eastAsia" w:ascii="宋体" w:hAnsi="宋体" w:eastAsia="宋体" w:cs="宋体"/>
          <w:i w:val="0"/>
          <w:iCs w:val="0"/>
          <w:color w:val="auto"/>
          <w:sz w:val="21"/>
          <w:szCs w:val="16"/>
          <w:highlight w:val="none"/>
          <w:u w:val="single"/>
        </w:rPr>
        <w:t>法人代表姓名、职务</w:t>
      </w:r>
      <w:r>
        <w:rPr>
          <w:rFonts w:hint="eastAsia" w:ascii="宋体" w:hAnsi="宋体" w:eastAsia="宋体" w:cs="宋体"/>
          <w:i w:val="0"/>
          <w:iCs w:val="0"/>
          <w:color w:val="auto"/>
          <w:sz w:val="21"/>
          <w:szCs w:val="16"/>
          <w:highlight w:val="none"/>
        </w:rPr>
        <w:t>）代表我单位授权（</w:t>
      </w:r>
      <w:r>
        <w:rPr>
          <w:rFonts w:hint="eastAsia" w:ascii="宋体" w:hAnsi="宋体" w:eastAsia="宋体" w:cs="宋体"/>
          <w:i w:val="0"/>
          <w:iCs w:val="0"/>
          <w:color w:val="auto"/>
          <w:sz w:val="21"/>
          <w:szCs w:val="16"/>
          <w:highlight w:val="none"/>
          <w:u w:val="single"/>
        </w:rPr>
        <w:t>单位名称</w:t>
      </w:r>
      <w:r>
        <w:rPr>
          <w:rFonts w:hint="eastAsia" w:ascii="宋体" w:hAnsi="宋体" w:eastAsia="宋体" w:cs="宋体"/>
          <w:i w:val="0"/>
          <w:iCs w:val="0"/>
          <w:color w:val="auto"/>
          <w:sz w:val="21"/>
          <w:szCs w:val="16"/>
          <w:highlight w:val="none"/>
        </w:rPr>
        <w:t>）的在下面签字的（</w:t>
      </w:r>
      <w:r>
        <w:rPr>
          <w:rFonts w:hint="eastAsia" w:ascii="宋体" w:hAnsi="宋体" w:eastAsia="宋体" w:cs="宋体"/>
          <w:i w:val="0"/>
          <w:iCs w:val="0"/>
          <w:color w:val="auto"/>
          <w:sz w:val="21"/>
          <w:szCs w:val="16"/>
          <w:highlight w:val="none"/>
          <w:u w:val="single"/>
        </w:rPr>
        <w:t>被授权人的姓名、职务</w:t>
      </w:r>
      <w:r>
        <w:rPr>
          <w:rFonts w:hint="eastAsia" w:ascii="宋体" w:hAnsi="宋体" w:eastAsia="宋体" w:cs="宋体"/>
          <w:i w:val="0"/>
          <w:iCs w:val="0"/>
          <w:color w:val="auto"/>
          <w:sz w:val="21"/>
          <w:szCs w:val="16"/>
          <w:highlight w:val="none"/>
        </w:rPr>
        <w:t>）</w:t>
      </w:r>
      <w:r>
        <w:rPr>
          <w:rFonts w:hint="eastAsia" w:ascii="宋体" w:hAnsi="宋体" w:eastAsia="宋体" w:cs="宋体"/>
          <w:color w:val="auto"/>
          <w:sz w:val="21"/>
          <w:szCs w:val="16"/>
          <w:highlight w:val="none"/>
        </w:rPr>
        <w:t>为我单位的合法代理人，</w:t>
      </w:r>
      <w:r>
        <w:rPr>
          <w:rFonts w:hint="eastAsia" w:ascii="宋体" w:hAnsi="宋体" w:eastAsia="宋体" w:cs="宋体"/>
          <w:i w:val="0"/>
          <w:iCs w:val="0"/>
          <w:color w:val="auto"/>
          <w:sz w:val="21"/>
          <w:szCs w:val="16"/>
          <w:highlight w:val="none"/>
        </w:rPr>
        <w:t>就（</w:t>
      </w:r>
      <w:r>
        <w:rPr>
          <w:rFonts w:hint="eastAsia" w:ascii="宋体" w:hAnsi="宋体" w:eastAsia="宋体" w:cs="宋体"/>
          <w:i w:val="0"/>
          <w:iCs w:val="0"/>
          <w:color w:val="auto"/>
          <w:sz w:val="21"/>
          <w:szCs w:val="16"/>
          <w:highlight w:val="none"/>
          <w:u w:val="single"/>
        </w:rPr>
        <w:t>项目名称</w:t>
      </w:r>
      <w:r>
        <w:rPr>
          <w:rFonts w:hint="eastAsia" w:ascii="宋体" w:hAnsi="宋体" w:eastAsia="宋体" w:cs="宋体"/>
          <w:color w:val="auto"/>
          <w:sz w:val="21"/>
          <w:szCs w:val="16"/>
          <w:highlight w:val="none"/>
        </w:rPr>
        <w:t>）投标，以我单位名义处理一切与之有关的事务。</w:t>
      </w:r>
      <w:r>
        <w:rPr>
          <w:rFonts w:hint="eastAsia" w:ascii="宋体" w:hAnsi="宋体" w:eastAsia="宋体" w:cs="宋体"/>
          <w:color w:val="auto"/>
          <w:sz w:val="21"/>
          <w:szCs w:val="16"/>
          <w:highlight w:val="none"/>
        </w:rPr>
        <w:cr/>
      </w:r>
      <w:r>
        <w:rPr>
          <w:rFonts w:hint="eastAsia" w:ascii="宋体" w:hAnsi="宋体" w:eastAsia="宋体" w:cs="宋体"/>
          <w:color w:val="auto"/>
          <w:sz w:val="21"/>
          <w:szCs w:val="16"/>
          <w:highlight w:val="none"/>
        </w:rPr>
        <w:t>　　本授权书于</w:t>
      </w:r>
      <w:r>
        <w:rPr>
          <w:rFonts w:hint="eastAsia" w:ascii="宋体" w:hAnsi="宋体" w:eastAsia="宋体" w:cs="宋体"/>
          <w:color w:val="auto"/>
          <w:sz w:val="21"/>
          <w:szCs w:val="16"/>
          <w:highlight w:val="none"/>
          <w:u w:val="single"/>
        </w:rPr>
        <w:t xml:space="preserve">           </w:t>
      </w:r>
      <w:r>
        <w:rPr>
          <w:rFonts w:hint="eastAsia" w:ascii="宋体" w:hAnsi="宋体" w:eastAsia="宋体" w:cs="宋体"/>
          <w:color w:val="auto"/>
          <w:sz w:val="21"/>
          <w:szCs w:val="16"/>
          <w:highlight w:val="none"/>
        </w:rPr>
        <w:t>年</w:t>
      </w:r>
      <w:r>
        <w:rPr>
          <w:rFonts w:hint="eastAsia" w:ascii="宋体" w:hAnsi="宋体" w:eastAsia="宋体" w:cs="宋体"/>
          <w:color w:val="auto"/>
          <w:sz w:val="21"/>
          <w:szCs w:val="16"/>
          <w:highlight w:val="none"/>
          <w:u w:val="single"/>
        </w:rPr>
        <w:t xml:space="preserve">     </w:t>
      </w:r>
      <w:r>
        <w:rPr>
          <w:rFonts w:hint="eastAsia" w:ascii="宋体" w:hAnsi="宋体" w:eastAsia="宋体" w:cs="宋体"/>
          <w:color w:val="auto"/>
          <w:sz w:val="21"/>
          <w:szCs w:val="16"/>
          <w:highlight w:val="none"/>
        </w:rPr>
        <w:t>月</w:t>
      </w:r>
      <w:r>
        <w:rPr>
          <w:rFonts w:hint="eastAsia" w:ascii="宋体" w:hAnsi="宋体" w:eastAsia="宋体" w:cs="宋体"/>
          <w:color w:val="auto"/>
          <w:sz w:val="21"/>
          <w:szCs w:val="16"/>
          <w:highlight w:val="none"/>
          <w:u w:val="single"/>
        </w:rPr>
        <w:t xml:space="preserve">     </w:t>
      </w:r>
      <w:r>
        <w:rPr>
          <w:rFonts w:hint="eastAsia" w:ascii="宋体" w:hAnsi="宋体" w:eastAsia="宋体" w:cs="宋体"/>
          <w:color w:val="auto"/>
          <w:sz w:val="21"/>
          <w:szCs w:val="16"/>
          <w:highlight w:val="none"/>
        </w:rPr>
        <w:t>日签字生效,特此声明。</w:t>
      </w:r>
      <w:r>
        <w:rPr>
          <w:rFonts w:hint="eastAsia" w:ascii="宋体" w:hAnsi="宋体" w:eastAsia="宋体" w:cs="宋体"/>
          <w:color w:val="auto"/>
          <w:sz w:val="22"/>
          <w:szCs w:val="18"/>
          <w:highlight w:val="none"/>
        </w:rPr>
        <w:cr/>
      </w:r>
    </w:p>
    <w:p w14:paraId="73B53727">
      <w:pPr>
        <w:pStyle w:val="15"/>
        <w:shd w:val="clear" w:color="auto" w:fill="auto"/>
        <w:tabs>
          <w:tab w:val="left" w:pos="5580"/>
        </w:tabs>
        <w:spacing w:line="360" w:lineRule="auto"/>
        <w:ind w:left="-547" w:leftChars="-257" w:firstLine="911" w:firstLineChars="375"/>
        <w:rPr>
          <w:rFonts w:hint="eastAsia" w:ascii="宋体" w:hAnsi="宋体" w:eastAsia="宋体" w:cs="宋体"/>
          <w:color w:val="auto"/>
          <w:sz w:val="24"/>
          <w:highlight w:val="none"/>
        </w:rPr>
      </w:pPr>
      <w:r>
        <w:rPr>
          <w:rFonts w:hint="eastAsia" w:ascii="宋体" w:hAnsi="宋体" w:eastAsia="宋体" w:cs="宋体"/>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3039110</wp:posOffset>
                </wp:positionH>
                <wp:positionV relativeFrom="paragraph">
                  <wp:posOffset>167640</wp:posOffset>
                </wp:positionV>
                <wp:extent cx="2478405" cy="1125220"/>
                <wp:effectExtent l="7620" t="7620" r="15875" b="10160"/>
                <wp:wrapNone/>
                <wp:docPr id="4" name="圆角矩形 4"/>
                <wp:cNvGraphicFramePr/>
                <a:graphic xmlns:a="http://schemas.openxmlformats.org/drawingml/2006/main">
                  <a:graphicData uri="http://schemas.microsoft.com/office/word/2010/wordprocessingShape">
                    <wps:wsp>
                      <wps:cNvSpPr/>
                      <wps:spPr>
                        <a:xfrm>
                          <a:off x="0" y="0"/>
                          <a:ext cx="2478405" cy="112522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57FB7495">
                            <w:pPr>
                              <w:rPr>
                                <w:rFonts w:hint="eastAsia" w:hAnsi="宋体"/>
                              </w:rPr>
                            </w:pPr>
                          </w:p>
                          <w:p w14:paraId="56B4E05F">
                            <w:pPr>
                              <w:rPr>
                                <w:rFonts w:hint="eastAsia" w:hAnsi="宋体"/>
                              </w:rPr>
                            </w:pPr>
                          </w:p>
                          <w:p w14:paraId="4998DCCE">
                            <w:pPr>
                              <w:jc w:val="center"/>
                              <w:rPr>
                                <w:rFonts w:hint="eastAsia" w:hAnsi="宋体"/>
                              </w:rPr>
                            </w:pPr>
                            <w:r>
                              <w:rPr>
                                <w:rFonts w:hint="eastAsia" w:hAnsi="宋体"/>
                              </w:rPr>
                              <w:t>法人身份证复印件反面</w:t>
                            </w:r>
                          </w:p>
                          <w:p w14:paraId="0FF3CD5B"/>
                        </w:txbxContent>
                      </wps:txbx>
                      <wps:bodyPr upright="1"/>
                    </wps:wsp>
                  </a:graphicData>
                </a:graphic>
              </wp:anchor>
            </w:drawing>
          </mc:Choice>
          <mc:Fallback>
            <w:pict>
              <v:roundrect id="_x0000_s1026" o:spid="_x0000_s1026" o:spt="2" style="position:absolute;left:0pt;margin-left:239.3pt;margin-top:13.2pt;height:88.6pt;width:195.15pt;z-index:251660288;mso-width-relative:page;mso-height-relative:page;" fillcolor="#FFFFFF" filled="t" stroked="t" coordsize="21600,21600" arcsize="0.166666666666667" o:gfxdata="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oXJItsAAAAKAQAADwAAAAAAAAABACAAAAAiAAAAZHJzL2Rvd25yZXYueG1sUEsB&#10;AhQAFAAAAAgAh07iQKUw96QrAgAAZgQAAA4AAAAAAAAAAQAgAAAAKgEAAGRycy9lMm9Eb2MueG1s&#10;UEsFBgAAAAAGAAYAWQEAAMcFAAAAAA==&#10;">
                <v:fill on="t" focussize="0,0"/>
                <v:stroke weight="1.25pt" color="#808080" joinstyle="round"/>
                <v:imagedata o:title=""/>
                <o:lock v:ext="edit" aspectratio="f"/>
                <v:textbox>
                  <w:txbxContent>
                    <w:p w14:paraId="57FB7495">
                      <w:pPr>
                        <w:rPr>
                          <w:rFonts w:hint="eastAsia" w:hAnsi="宋体"/>
                        </w:rPr>
                      </w:pPr>
                    </w:p>
                    <w:p w14:paraId="56B4E05F">
                      <w:pPr>
                        <w:rPr>
                          <w:rFonts w:hint="eastAsia" w:hAnsi="宋体"/>
                        </w:rPr>
                      </w:pPr>
                    </w:p>
                    <w:p w14:paraId="4998DCCE">
                      <w:pPr>
                        <w:jc w:val="center"/>
                        <w:rPr>
                          <w:rFonts w:hint="eastAsia" w:hAnsi="宋体"/>
                        </w:rPr>
                      </w:pPr>
                      <w:r>
                        <w:rPr>
                          <w:rFonts w:hint="eastAsia" w:hAnsi="宋体"/>
                        </w:rPr>
                        <w:t>法人身份证复印件反面</w:t>
                      </w:r>
                    </w:p>
                    <w:p w14:paraId="0FF3CD5B"/>
                  </w:txbxContent>
                </v:textbox>
              </v:roundrect>
            </w:pict>
          </mc:Fallback>
        </mc:AlternateContent>
      </w:r>
      <w:r>
        <w:rPr>
          <w:rFonts w:hint="eastAsia" w:ascii="宋体" w:hAnsi="宋体" w:eastAsia="宋体" w:cs="宋体"/>
          <w:color w:val="auto"/>
          <w:sz w:val="24"/>
          <w:highlight w:val="none"/>
        </w:rPr>
        <mc:AlternateContent>
          <mc:Choice Requires="wps">
            <w:drawing>
              <wp:anchor distT="0" distB="0" distL="114300" distR="114300" simplePos="0" relativeHeight="251659264" behindDoc="0" locked="0" layoutInCell="1" allowOverlap="1">
                <wp:simplePos x="0" y="0"/>
                <wp:positionH relativeFrom="column">
                  <wp:posOffset>20955</wp:posOffset>
                </wp:positionH>
                <wp:positionV relativeFrom="paragraph">
                  <wp:posOffset>135890</wp:posOffset>
                </wp:positionV>
                <wp:extent cx="2507615" cy="1143000"/>
                <wp:effectExtent l="4445" t="4445" r="15240" b="8255"/>
                <wp:wrapNone/>
                <wp:docPr id="6" name="流程图: 可选过程 6"/>
                <wp:cNvGraphicFramePr/>
                <a:graphic xmlns:a="http://schemas.openxmlformats.org/drawingml/2006/main">
                  <a:graphicData uri="http://schemas.microsoft.com/office/word/2010/wordprocessingShape">
                    <wps:wsp>
                      <wps:cNvSpPr/>
                      <wps:spPr>
                        <a:xfrm>
                          <a:off x="0" y="0"/>
                          <a:ext cx="2507615" cy="11430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485A277E">
                            <w:pPr>
                              <w:jc w:val="center"/>
                              <w:rPr>
                                <w:rFonts w:hint="eastAsia" w:hAnsi="宋体"/>
                              </w:rPr>
                            </w:pPr>
                          </w:p>
                          <w:p w14:paraId="794EDBA8">
                            <w:pPr>
                              <w:jc w:val="center"/>
                              <w:rPr>
                                <w:rFonts w:hint="eastAsia" w:hAnsi="宋体"/>
                              </w:rPr>
                            </w:pPr>
                          </w:p>
                          <w:p w14:paraId="3F83C31D">
                            <w:pPr>
                              <w:jc w:val="center"/>
                            </w:pPr>
                            <w:r>
                              <w:rPr>
                                <w:rFonts w:hint="eastAsia" w:hAnsi="宋体"/>
                              </w:rPr>
                              <w:t>法人身份证复印件正面</w:t>
                            </w:r>
                          </w:p>
                          <w:p w14:paraId="2AAB3096">
                            <w:pPr>
                              <w:jc w:val="center"/>
                              <w:rPr>
                                <w:rFonts w:hint="eastAsia" w:hAnsi="宋体"/>
                              </w:rPr>
                            </w:pPr>
                          </w:p>
                        </w:txbxContent>
                      </wps:txbx>
                      <wps:bodyPr upright="1"/>
                    </wps:wsp>
                  </a:graphicData>
                </a:graphic>
              </wp:anchor>
            </w:drawing>
          </mc:Choice>
          <mc:Fallback>
            <w:pict>
              <v:shape id="_x0000_s1026" o:spid="_x0000_s1026" o:spt="176" type="#_x0000_t176" style="position:absolute;left:0pt;margin-left:1.65pt;margin-top:10.7pt;height:90pt;width:197.45pt;z-index:251659264;mso-width-relative:page;mso-height-relative:page;" fillcolor="#FFFFFF" filled="t" stroked="t" coordsize="21600,21600" o:gfxdata="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gSMjDWAAAACAEAAA8AAAAAAAAAAQAgAAAAIgAAAGRycy9kb3ducmV2LnhtbFBL&#10;AQIUABQAAAAIAIdO4kDJH0QGMQIAAF4EAAAOAAAAAAAAAAEAIAAAACUBAABkcnMvZTJvRG9jLnht&#10;bFBLBQYAAAAABgAGAFkBAADIBQAAAAA=&#10;">
                <v:fill on="t" focussize="0,0"/>
                <v:stroke color="#000000" joinstyle="miter"/>
                <v:imagedata o:title=""/>
                <o:lock v:ext="edit" aspectratio="f"/>
                <v:textbox>
                  <w:txbxContent>
                    <w:p w14:paraId="485A277E">
                      <w:pPr>
                        <w:jc w:val="center"/>
                        <w:rPr>
                          <w:rFonts w:hint="eastAsia" w:hAnsi="宋体"/>
                        </w:rPr>
                      </w:pPr>
                    </w:p>
                    <w:p w14:paraId="794EDBA8">
                      <w:pPr>
                        <w:jc w:val="center"/>
                        <w:rPr>
                          <w:rFonts w:hint="eastAsia" w:hAnsi="宋体"/>
                        </w:rPr>
                      </w:pPr>
                    </w:p>
                    <w:p w14:paraId="3F83C31D">
                      <w:pPr>
                        <w:jc w:val="center"/>
                      </w:pPr>
                      <w:r>
                        <w:rPr>
                          <w:rFonts w:hint="eastAsia" w:hAnsi="宋体"/>
                        </w:rPr>
                        <w:t>法人身份证复印件正面</w:t>
                      </w:r>
                    </w:p>
                    <w:p w14:paraId="2AAB3096">
                      <w:pPr>
                        <w:jc w:val="center"/>
                        <w:rPr>
                          <w:rFonts w:hint="eastAsia" w:hAnsi="宋体"/>
                        </w:rPr>
                      </w:pPr>
                    </w:p>
                  </w:txbxContent>
                </v:textbox>
              </v:shape>
            </w:pict>
          </mc:Fallback>
        </mc:AlternateContent>
      </w:r>
    </w:p>
    <w:p w14:paraId="70F8A24A">
      <w:pPr>
        <w:shd w:val="clear" w:color="auto" w:fill="auto"/>
        <w:spacing w:line="360" w:lineRule="auto"/>
        <w:ind w:firstLine="243" w:firstLineChars="100"/>
        <w:rPr>
          <w:rFonts w:hint="eastAsia" w:ascii="宋体" w:hAnsi="宋体" w:eastAsia="宋体" w:cs="宋体"/>
          <w:color w:val="auto"/>
          <w:sz w:val="24"/>
          <w:highlight w:val="none"/>
        </w:rPr>
      </w:pPr>
    </w:p>
    <w:p w14:paraId="438DEBAA">
      <w:pPr>
        <w:shd w:val="clear" w:color="auto" w:fill="auto"/>
        <w:spacing w:line="360" w:lineRule="auto"/>
        <w:ind w:firstLine="243" w:firstLineChars="100"/>
        <w:rPr>
          <w:rFonts w:hint="eastAsia" w:ascii="宋体" w:hAnsi="宋体" w:eastAsia="宋体" w:cs="宋体"/>
          <w:color w:val="auto"/>
          <w:sz w:val="24"/>
          <w:highlight w:val="none"/>
        </w:rPr>
      </w:pPr>
    </w:p>
    <w:p w14:paraId="752ED6E1">
      <w:pPr>
        <w:shd w:val="clear" w:color="auto" w:fill="auto"/>
        <w:spacing w:line="360" w:lineRule="auto"/>
        <w:ind w:firstLine="243" w:firstLineChars="100"/>
        <w:rPr>
          <w:rFonts w:hint="eastAsia" w:ascii="宋体" w:hAnsi="宋体" w:eastAsia="宋体" w:cs="宋体"/>
          <w:color w:val="auto"/>
          <w:sz w:val="24"/>
          <w:highlight w:val="none"/>
        </w:rPr>
      </w:pPr>
    </w:p>
    <w:p w14:paraId="44C585DE">
      <w:pPr>
        <w:shd w:val="clear" w:color="auto" w:fill="auto"/>
        <w:spacing w:line="360" w:lineRule="auto"/>
        <w:ind w:firstLine="243" w:firstLineChars="100"/>
        <w:rPr>
          <w:rFonts w:hint="eastAsia" w:ascii="宋体" w:hAnsi="宋体" w:eastAsia="宋体" w:cs="宋体"/>
          <w:color w:val="auto"/>
          <w:sz w:val="24"/>
          <w:highlight w:val="none"/>
        </w:rPr>
      </w:pPr>
    </w:p>
    <w:p w14:paraId="56FDDF2F">
      <w:pPr>
        <w:shd w:val="clear" w:color="auto" w:fill="auto"/>
        <w:spacing w:line="360" w:lineRule="auto"/>
        <w:ind w:firstLine="243"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3018155</wp:posOffset>
                </wp:positionH>
                <wp:positionV relativeFrom="paragraph">
                  <wp:posOffset>53975</wp:posOffset>
                </wp:positionV>
                <wp:extent cx="2535555" cy="1029335"/>
                <wp:effectExtent l="7620" t="7620" r="9525" b="17145"/>
                <wp:wrapNone/>
                <wp:docPr id="5" name="圆角矩形 5"/>
                <wp:cNvGraphicFramePr/>
                <a:graphic xmlns:a="http://schemas.openxmlformats.org/drawingml/2006/main">
                  <a:graphicData uri="http://schemas.microsoft.com/office/word/2010/wordprocessingShape">
                    <wps:wsp>
                      <wps:cNvSpPr/>
                      <wps:spPr>
                        <a:xfrm>
                          <a:off x="0" y="0"/>
                          <a:ext cx="2535555" cy="1029335"/>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4138FAF2">
                            <w:pPr>
                              <w:jc w:val="center"/>
                              <w:rPr>
                                <w:rFonts w:hint="eastAsia" w:hAnsi="宋体"/>
                              </w:rPr>
                            </w:pPr>
                            <w:r>
                              <w:rPr>
                                <w:rFonts w:hint="eastAsia" w:hAnsi="宋体"/>
                              </w:rPr>
                              <w:t xml:space="preserve">  </w:t>
                            </w:r>
                          </w:p>
                          <w:p w14:paraId="5D3067F4">
                            <w:pPr>
                              <w:jc w:val="both"/>
                              <w:rPr>
                                <w:rFonts w:hint="eastAsia" w:hAnsi="宋体"/>
                              </w:rPr>
                            </w:pPr>
                          </w:p>
                          <w:p w14:paraId="2DFD8DA8">
                            <w:pPr>
                              <w:jc w:val="center"/>
                            </w:pPr>
                            <w:r>
                              <w:rPr>
                                <w:rFonts w:hint="eastAsia" w:hAnsi="宋体"/>
                              </w:rPr>
                              <w:t>授权委托人身份证复印件反面</w:t>
                            </w:r>
                          </w:p>
                          <w:p w14:paraId="7C77C824">
                            <w:pPr>
                              <w:jc w:val="center"/>
                            </w:pPr>
                          </w:p>
                          <w:p w14:paraId="2F3A1046"/>
                        </w:txbxContent>
                      </wps:txbx>
                      <wps:bodyPr upright="1"/>
                    </wps:wsp>
                  </a:graphicData>
                </a:graphic>
              </wp:anchor>
            </w:drawing>
          </mc:Choice>
          <mc:Fallback>
            <w:pict>
              <v:roundrect id="_x0000_s1026" o:spid="_x0000_s1026" o:spt="2" style="position:absolute;left:0pt;margin-left:237.65pt;margin-top:4.25pt;height:81.05pt;width:199.65pt;z-index:251662336;mso-width-relative:page;mso-height-relative:page;" fillcolor="#FFFFFF" filled="t" stroked="t" coordsize="21600,21600" arcsize="0.166666666666667" o:gfxdata="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UHNIL2gAAAAkBAAAPAAAAAAAAAAEAIAAAACIAAABkcnMvZG93bnJldi54bWxQSwEC&#10;FAAUAAAACACHTuJAq/jkISsCAABmBAAADgAAAAAAAAABACAAAAApAQAAZHJzL2Uyb0RvYy54bWxQ&#10;SwUGAAAAAAYABgBZAQAAxgUAAAAA&#10;">
                <v:fill on="t" focussize="0,0"/>
                <v:stroke weight="1.25pt" color="#808080" joinstyle="round"/>
                <v:imagedata o:title=""/>
                <o:lock v:ext="edit" aspectratio="f"/>
                <v:textbox>
                  <w:txbxContent>
                    <w:p w14:paraId="4138FAF2">
                      <w:pPr>
                        <w:jc w:val="center"/>
                        <w:rPr>
                          <w:rFonts w:hint="eastAsia" w:hAnsi="宋体"/>
                        </w:rPr>
                      </w:pPr>
                      <w:r>
                        <w:rPr>
                          <w:rFonts w:hint="eastAsia" w:hAnsi="宋体"/>
                        </w:rPr>
                        <w:t xml:space="preserve">  </w:t>
                      </w:r>
                    </w:p>
                    <w:p w14:paraId="5D3067F4">
                      <w:pPr>
                        <w:jc w:val="both"/>
                        <w:rPr>
                          <w:rFonts w:hint="eastAsia" w:hAnsi="宋体"/>
                        </w:rPr>
                      </w:pPr>
                    </w:p>
                    <w:p w14:paraId="2DFD8DA8">
                      <w:pPr>
                        <w:jc w:val="center"/>
                      </w:pPr>
                      <w:r>
                        <w:rPr>
                          <w:rFonts w:hint="eastAsia" w:hAnsi="宋体"/>
                        </w:rPr>
                        <w:t>授权委托人身份证复印件反面</w:t>
                      </w:r>
                    </w:p>
                    <w:p w14:paraId="7C77C824">
                      <w:pPr>
                        <w:jc w:val="center"/>
                      </w:pPr>
                    </w:p>
                    <w:p w14:paraId="2F3A1046"/>
                  </w:txbxContent>
                </v:textbox>
              </v:roundrect>
            </w:pict>
          </mc:Fallback>
        </mc:AlternateContent>
      </w:r>
      <w:r>
        <w:rPr>
          <w:rFonts w:hint="eastAsia" w:ascii="宋体" w:hAnsi="宋体" w:eastAsia="宋体" w:cs="宋体"/>
          <w:color w:val="auto"/>
          <w:sz w:val="24"/>
          <w:highlight w:val="none"/>
        </w:rPr>
        <mc:AlternateContent>
          <mc:Choice Requires="wps">
            <w:drawing>
              <wp:anchor distT="0" distB="0" distL="114300" distR="114300" simplePos="0" relativeHeight="251661312" behindDoc="0" locked="0" layoutInCell="1" allowOverlap="1">
                <wp:simplePos x="0" y="0"/>
                <wp:positionH relativeFrom="column">
                  <wp:posOffset>-10795</wp:posOffset>
                </wp:positionH>
                <wp:positionV relativeFrom="paragraph">
                  <wp:posOffset>29845</wp:posOffset>
                </wp:positionV>
                <wp:extent cx="2555240" cy="1024890"/>
                <wp:effectExtent l="7620" t="7620" r="15240" b="8890"/>
                <wp:wrapNone/>
                <wp:docPr id="3" name="圆角矩形 3"/>
                <wp:cNvGraphicFramePr/>
                <a:graphic xmlns:a="http://schemas.openxmlformats.org/drawingml/2006/main">
                  <a:graphicData uri="http://schemas.microsoft.com/office/word/2010/wordprocessingShape">
                    <wps:wsp>
                      <wps:cNvSpPr/>
                      <wps:spPr>
                        <a:xfrm>
                          <a:off x="0" y="0"/>
                          <a:ext cx="2555240" cy="102489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1D955EFD">
                            <w:pPr>
                              <w:jc w:val="center"/>
                              <w:rPr>
                                <w:rFonts w:hint="eastAsia" w:hAnsi="宋体"/>
                              </w:rPr>
                            </w:pPr>
                          </w:p>
                          <w:p w14:paraId="25888FC2">
                            <w:pPr>
                              <w:jc w:val="center"/>
                              <w:rPr>
                                <w:rFonts w:hint="eastAsia" w:hAnsi="宋体"/>
                              </w:rPr>
                            </w:pPr>
                          </w:p>
                          <w:p w14:paraId="57CBF625">
                            <w:pPr>
                              <w:jc w:val="center"/>
                            </w:pPr>
                            <w:r>
                              <w:rPr>
                                <w:rFonts w:hint="eastAsia" w:hAnsi="宋体"/>
                              </w:rPr>
                              <w:t>授权委托人身份证复印件正面</w:t>
                            </w:r>
                          </w:p>
                          <w:p w14:paraId="0A98508B">
                            <w:pPr>
                              <w:jc w:val="center"/>
                              <w:rPr>
                                <w:rFonts w:hint="eastAsia" w:hAnsi="宋体"/>
                              </w:rPr>
                            </w:pPr>
                          </w:p>
                          <w:p w14:paraId="4A83317A"/>
                        </w:txbxContent>
                      </wps:txbx>
                      <wps:bodyPr upright="1"/>
                    </wps:wsp>
                  </a:graphicData>
                </a:graphic>
              </wp:anchor>
            </w:drawing>
          </mc:Choice>
          <mc:Fallback>
            <w:pict>
              <v:roundrect id="_x0000_s1026" o:spid="_x0000_s1026" o:spt="2" style="position:absolute;left:0pt;margin-left:-0.85pt;margin-top:2.35pt;height:80.7pt;width:201.2pt;z-index:251661312;mso-width-relative:page;mso-height-relative:page;" fillcolor="#FFFFFF" filled="t" stroked="t" coordsize="21600,21600" arcsize="0.166666666666667" o:gfxdata="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U74Le9gAAAAIAQAADwAAAAAAAAABACAAAAAiAAAAZHJzL2Rvd25yZXYueG1sUEsB&#10;AhQAFAAAAAgAh07iQPP4MUouAgAAZgQAAA4AAAAAAAAAAQAgAAAAJwEAAGRycy9lMm9Eb2MueG1s&#10;UEsFBgAAAAAGAAYAWQEAAMcFAAAAAA==&#10;">
                <v:fill on="t" focussize="0,0"/>
                <v:stroke weight="1.25pt" color="#808080" joinstyle="round"/>
                <v:imagedata o:title=""/>
                <o:lock v:ext="edit" aspectratio="f"/>
                <v:textbox>
                  <w:txbxContent>
                    <w:p w14:paraId="1D955EFD">
                      <w:pPr>
                        <w:jc w:val="center"/>
                        <w:rPr>
                          <w:rFonts w:hint="eastAsia" w:hAnsi="宋体"/>
                        </w:rPr>
                      </w:pPr>
                    </w:p>
                    <w:p w14:paraId="25888FC2">
                      <w:pPr>
                        <w:jc w:val="center"/>
                        <w:rPr>
                          <w:rFonts w:hint="eastAsia" w:hAnsi="宋体"/>
                        </w:rPr>
                      </w:pPr>
                    </w:p>
                    <w:p w14:paraId="57CBF625">
                      <w:pPr>
                        <w:jc w:val="center"/>
                      </w:pPr>
                      <w:r>
                        <w:rPr>
                          <w:rFonts w:hint="eastAsia" w:hAnsi="宋体"/>
                        </w:rPr>
                        <w:t>授权委托人身份证复印件正面</w:t>
                      </w:r>
                    </w:p>
                    <w:p w14:paraId="0A98508B">
                      <w:pPr>
                        <w:jc w:val="center"/>
                        <w:rPr>
                          <w:rFonts w:hint="eastAsia" w:hAnsi="宋体"/>
                        </w:rPr>
                      </w:pPr>
                    </w:p>
                    <w:p w14:paraId="4A83317A"/>
                  </w:txbxContent>
                </v:textbox>
              </v:roundrect>
            </w:pict>
          </mc:Fallback>
        </mc:AlternateContent>
      </w:r>
    </w:p>
    <w:p w14:paraId="5C4E8111">
      <w:pPr>
        <w:shd w:val="clear" w:color="auto" w:fill="auto"/>
        <w:spacing w:line="360" w:lineRule="auto"/>
        <w:ind w:firstLine="243" w:firstLineChars="100"/>
        <w:rPr>
          <w:rFonts w:hint="eastAsia" w:ascii="宋体" w:hAnsi="宋体" w:eastAsia="宋体" w:cs="宋体"/>
          <w:color w:val="auto"/>
          <w:sz w:val="24"/>
          <w:highlight w:val="none"/>
        </w:rPr>
      </w:pPr>
    </w:p>
    <w:p w14:paraId="55D03C53">
      <w:pPr>
        <w:shd w:val="clear" w:color="auto" w:fill="auto"/>
        <w:spacing w:line="360" w:lineRule="auto"/>
        <w:ind w:firstLine="243" w:firstLineChars="100"/>
        <w:rPr>
          <w:rFonts w:hint="eastAsia" w:ascii="宋体" w:hAnsi="宋体" w:eastAsia="宋体" w:cs="宋体"/>
          <w:color w:val="auto"/>
          <w:sz w:val="24"/>
          <w:highlight w:val="none"/>
        </w:rPr>
      </w:pPr>
    </w:p>
    <w:p w14:paraId="33EF8421">
      <w:pPr>
        <w:shd w:val="clear" w:color="auto" w:fill="auto"/>
        <w:spacing w:line="360" w:lineRule="auto"/>
        <w:ind w:firstLine="243" w:firstLineChars="100"/>
        <w:rPr>
          <w:rFonts w:hint="eastAsia" w:ascii="宋体" w:hAnsi="宋体" w:eastAsia="宋体" w:cs="宋体"/>
          <w:color w:val="auto"/>
          <w:sz w:val="24"/>
          <w:highlight w:val="none"/>
        </w:rPr>
      </w:pPr>
    </w:p>
    <w:p w14:paraId="658ACB8D">
      <w:pPr>
        <w:pStyle w:val="15"/>
        <w:shd w:val="clear" w:color="auto" w:fill="auto"/>
        <w:tabs>
          <w:tab w:val="left" w:pos="5580"/>
        </w:tabs>
        <w:spacing w:line="360" w:lineRule="auto"/>
        <w:rPr>
          <w:rFonts w:hint="eastAsia" w:ascii="宋体" w:hAnsi="宋体" w:eastAsia="宋体" w:cs="宋体"/>
          <w:color w:val="auto"/>
          <w:sz w:val="24"/>
          <w:highlight w:val="none"/>
        </w:rPr>
      </w:pPr>
    </w:p>
    <w:p w14:paraId="7B179036">
      <w:pPr>
        <w:pStyle w:val="15"/>
        <w:shd w:val="clear" w:color="auto" w:fill="auto"/>
        <w:tabs>
          <w:tab w:val="left" w:pos="5580"/>
        </w:tabs>
        <w:spacing w:line="360" w:lineRule="auto"/>
        <w:ind w:firstLine="426" w:firstLineChars="200"/>
        <w:rPr>
          <w:rFonts w:hint="eastAsia" w:ascii="宋体" w:hAnsi="宋体" w:eastAsia="宋体" w:cs="宋体"/>
          <w:color w:val="auto"/>
          <w:sz w:val="21"/>
          <w:szCs w:val="16"/>
          <w:highlight w:val="none"/>
          <w:u w:val="single"/>
        </w:rPr>
      </w:pPr>
      <w:r>
        <w:rPr>
          <w:rFonts w:hint="eastAsia" w:ascii="宋体" w:hAnsi="宋体" w:eastAsia="宋体" w:cs="宋体"/>
          <w:color w:val="auto"/>
          <w:sz w:val="21"/>
          <w:szCs w:val="16"/>
          <w:highlight w:val="none"/>
        </w:rPr>
        <w:t>投标人（盖单位章）;</w:t>
      </w:r>
      <w:r>
        <w:rPr>
          <w:rFonts w:hint="eastAsia" w:ascii="宋体" w:hAnsi="宋体" w:eastAsia="宋体" w:cs="宋体"/>
          <w:color w:val="auto"/>
          <w:sz w:val="21"/>
          <w:szCs w:val="16"/>
          <w:highlight w:val="none"/>
          <w:u w:val="single"/>
        </w:rPr>
        <w:t xml:space="preserve">                           </w:t>
      </w:r>
    </w:p>
    <w:p w14:paraId="247DE98E">
      <w:pPr>
        <w:pStyle w:val="15"/>
        <w:shd w:val="clear" w:color="auto" w:fill="auto"/>
        <w:tabs>
          <w:tab w:val="left" w:pos="5580"/>
        </w:tabs>
        <w:spacing w:line="360" w:lineRule="auto"/>
        <w:ind w:firstLine="426"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法定代表人（签字或</w:t>
      </w:r>
      <w:r>
        <w:rPr>
          <w:rFonts w:hint="eastAsia" w:ascii="宋体" w:hAnsi="宋体" w:eastAsia="宋体" w:cs="宋体"/>
          <w:color w:val="auto"/>
          <w:sz w:val="21"/>
          <w:szCs w:val="16"/>
          <w:highlight w:val="none"/>
          <w:lang w:val="en-US" w:eastAsia="zh-CN"/>
        </w:rPr>
        <w:t>盖章</w:t>
      </w:r>
      <w:r>
        <w:rPr>
          <w:rFonts w:hint="eastAsia" w:ascii="宋体" w:hAnsi="宋体" w:eastAsia="宋体" w:cs="宋体"/>
          <w:color w:val="auto"/>
          <w:sz w:val="21"/>
          <w:szCs w:val="16"/>
          <w:highlight w:val="none"/>
        </w:rPr>
        <w:t>）：</w:t>
      </w:r>
      <w:r>
        <w:rPr>
          <w:rFonts w:hint="eastAsia" w:ascii="宋体" w:hAnsi="宋体" w:eastAsia="宋体" w:cs="宋体"/>
          <w:color w:val="auto"/>
          <w:sz w:val="21"/>
          <w:szCs w:val="16"/>
          <w:highlight w:val="none"/>
          <w:u w:val="single"/>
        </w:rPr>
        <w:t xml:space="preserve">                     </w:t>
      </w:r>
    </w:p>
    <w:p w14:paraId="0F96BA45">
      <w:pPr>
        <w:pStyle w:val="15"/>
        <w:shd w:val="clear" w:color="auto" w:fill="auto"/>
        <w:tabs>
          <w:tab w:val="left" w:pos="5580"/>
        </w:tabs>
        <w:spacing w:line="360" w:lineRule="auto"/>
        <w:ind w:firstLine="426" w:firstLineChars="200"/>
        <w:rPr>
          <w:rFonts w:hint="eastAsia" w:ascii="宋体" w:hAnsi="宋体" w:eastAsia="宋体" w:cs="宋体"/>
          <w:color w:val="auto"/>
          <w:sz w:val="21"/>
          <w:szCs w:val="16"/>
          <w:highlight w:val="none"/>
          <w:u w:val="single"/>
        </w:rPr>
      </w:pPr>
      <w:r>
        <w:rPr>
          <w:rFonts w:hint="eastAsia" w:ascii="宋体" w:hAnsi="宋体" w:eastAsia="宋体" w:cs="宋体"/>
          <w:color w:val="auto"/>
          <w:sz w:val="21"/>
          <w:szCs w:val="16"/>
          <w:highlight w:val="none"/>
        </w:rPr>
        <w:t>委托代理人：</w:t>
      </w:r>
      <w:r>
        <w:rPr>
          <w:rFonts w:hint="eastAsia" w:ascii="宋体" w:hAnsi="宋体" w:eastAsia="宋体" w:cs="宋体"/>
          <w:color w:val="auto"/>
          <w:sz w:val="21"/>
          <w:szCs w:val="16"/>
          <w:highlight w:val="none"/>
          <w:u w:val="single"/>
        </w:rPr>
        <w:t xml:space="preserve">                                   </w:t>
      </w:r>
    </w:p>
    <w:p w14:paraId="18D88640">
      <w:pPr>
        <w:shd w:val="clear" w:color="auto" w:fill="auto"/>
        <w:spacing w:line="360" w:lineRule="auto"/>
        <w:ind w:firstLine="426"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kern w:val="2"/>
          <w:sz w:val="21"/>
          <w:szCs w:val="16"/>
          <w:highlight w:val="none"/>
          <w:u w:val="none" w:color="000000"/>
          <w:lang w:val="en-US" w:eastAsia="zh-CN" w:bidi="ar-SA"/>
        </w:rPr>
        <w:t xml:space="preserve">年   月   日 </w:t>
      </w:r>
    </w:p>
    <w:p w14:paraId="5E3EDFBB">
      <w:pPr>
        <w:shd w:val="clear" w:color="auto" w:fill="auto"/>
        <w:spacing w:line="360" w:lineRule="auto"/>
        <w:ind w:firstLine="274" w:firstLineChars="135"/>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注：委托代理人投标的还须提供投标人（被授权人）投标截止时间前半年内任意1个月的社保证明，后附社保证明文件。</w:t>
      </w:r>
    </w:p>
    <w:p w14:paraId="23DE5008">
      <w:pPr>
        <w:pStyle w:val="3"/>
        <w:numPr>
          <w:ilvl w:val="0"/>
          <w:numId w:val="0"/>
        </w:numPr>
        <w:shd w:val="clear" w:color="auto" w:fill="auto"/>
        <w:spacing w:before="0" w:line="360" w:lineRule="auto"/>
        <w:ind w:leftChars="257"/>
        <w:rPr>
          <w:rFonts w:hint="eastAsia" w:ascii="宋体" w:hAnsi="宋体" w:eastAsia="宋体" w:cs="宋体"/>
          <w:b/>
          <w:bCs/>
          <w:color w:val="auto"/>
          <w:sz w:val="24"/>
          <w:highlight w:val="none"/>
          <w:lang w:val="en-US" w:eastAsia="zh-CN"/>
        </w:rPr>
      </w:pPr>
      <w:r>
        <w:rPr>
          <w:rFonts w:hint="eastAsia" w:ascii="宋体" w:hAnsi="宋体" w:eastAsia="宋体" w:cs="宋体"/>
          <w:color w:val="auto"/>
          <w:sz w:val="24"/>
          <w:highlight w:val="none"/>
        </w:rPr>
        <w:br w:type="page"/>
      </w:r>
      <w:bookmarkStart w:id="102" w:name="_Toc26357"/>
    </w:p>
    <w:bookmarkEnd w:id="94"/>
    <w:bookmarkEnd w:id="95"/>
    <w:bookmarkEnd w:id="96"/>
    <w:bookmarkEnd w:id="102"/>
    <w:p w14:paraId="37CB30FC">
      <w:pPr>
        <w:pStyle w:val="15"/>
        <w:shd w:val="clear" w:color="auto" w:fill="auto"/>
        <w:tabs>
          <w:tab w:val="left" w:pos="5580"/>
        </w:tabs>
        <w:spacing w:line="360" w:lineRule="auto"/>
        <w:ind w:left="272" w:leftChars="128"/>
        <w:rPr>
          <w:rFonts w:hint="eastAsia" w:ascii="宋体" w:hAnsi="宋体" w:eastAsia="宋体" w:cs="宋体"/>
          <w:color w:val="auto"/>
          <w:sz w:val="24"/>
          <w:highlight w:val="none"/>
          <w:lang w:val="en-US" w:eastAsia="zh-CN"/>
        </w:rPr>
      </w:pPr>
      <w:r>
        <w:rPr>
          <w:rFonts w:hint="eastAsia" w:ascii="宋体" w:hAnsi="宋体" w:eastAsia="宋体" w:cs="宋体"/>
          <w:b/>
          <w:bCs/>
          <w:color w:val="auto"/>
          <w:sz w:val="24"/>
          <w:highlight w:val="none"/>
          <w:lang w:val="en-US" w:eastAsia="zh-CN"/>
        </w:rPr>
        <w:t>投标文件格式3</w:t>
      </w:r>
      <w:r>
        <w:rPr>
          <w:rFonts w:hint="eastAsia" w:ascii="宋体" w:hAnsi="宋体" w:eastAsia="宋体" w:cs="宋体"/>
          <w:color w:val="auto"/>
          <w:sz w:val="24"/>
          <w:highlight w:val="none"/>
          <w:lang w:val="en-US" w:eastAsia="zh-CN"/>
        </w:rPr>
        <w:t>：</w:t>
      </w:r>
    </w:p>
    <w:p w14:paraId="5A3A3C89">
      <w:pPr>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 xml:space="preserve">    </w:t>
      </w:r>
    </w:p>
    <w:p w14:paraId="0068CE2C">
      <w:pPr>
        <w:spacing w:line="360" w:lineRule="auto"/>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诚 信 声 明</w:t>
      </w:r>
    </w:p>
    <w:p w14:paraId="154EA3EE">
      <w:pPr>
        <w:tabs>
          <w:tab w:val="left" w:pos="6300"/>
        </w:tabs>
        <w:snapToGrid w:val="0"/>
        <w:spacing w:line="360" w:lineRule="auto"/>
        <w:ind w:firstLine="426" w:firstLineChars="200"/>
        <w:rPr>
          <w:rFonts w:hint="eastAsia" w:ascii="宋体" w:hAnsi="宋体" w:eastAsia="宋体" w:cs="宋体"/>
          <w:sz w:val="21"/>
          <w:szCs w:val="21"/>
        </w:rPr>
      </w:pPr>
      <w:r>
        <w:rPr>
          <w:rFonts w:hint="eastAsia" w:ascii="宋体" w:hAnsi="宋体" w:eastAsia="宋体" w:cs="宋体"/>
          <w:sz w:val="21"/>
          <w:szCs w:val="21"/>
        </w:rPr>
        <w:t>采购项目名称：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14:paraId="3181CC54">
      <w:pPr>
        <w:tabs>
          <w:tab w:val="left" w:pos="6300"/>
        </w:tabs>
        <w:snapToGrid w:val="0"/>
        <w:spacing w:line="360" w:lineRule="auto"/>
        <w:ind w:firstLine="570"/>
        <w:rPr>
          <w:rFonts w:hint="eastAsia" w:ascii="宋体" w:hAnsi="宋体" w:eastAsia="宋体" w:cs="宋体"/>
          <w:sz w:val="21"/>
          <w:szCs w:val="21"/>
        </w:rPr>
      </w:pPr>
    </w:p>
    <w:p w14:paraId="6ACD61B0">
      <w:pPr>
        <w:tabs>
          <w:tab w:val="left" w:pos="6300"/>
        </w:tabs>
        <w:snapToGrid w:val="0"/>
        <w:spacing w:line="360" w:lineRule="auto"/>
        <w:ind w:firstLine="426" w:firstLineChars="200"/>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sz w:val="21"/>
          <w:szCs w:val="21"/>
          <w:u w:val="single"/>
        </w:rPr>
        <w:t xml:space="preserve">                          （采购人）</w:t>
      </w:r>
      <w:r>
        <w:rPr>
          <w:rFonts w:hint="eastAsia" w:ascii="宋体" w:hAnsi="宋体" w:eastAsia="宋体" w:cs="宋体"/>
          <w:sz w:val="21"/>
          <w:szCs w:val="21"/>
        </w:rPr>
        <w:t>：</w:t>
      </w:r>
    </w:p>
    <w:p w14:paraId="1EB9496C">
      <w:pPr>
        <w:tabs>
          <w:tab w:val="left" w:pos="6300"/>
        </w:tabs>
        <w:snapToGrid w:val="0"/>
        <w:spacing w:line="360" w:lineRule="auto"/>
        <w:ind w:firstLine="426" w:firstLineChars="200"/>
        <w:rPr>
          <w:rFonts w:hint="eastAsia"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rPr>
        <w:t>（投标人名称）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三年内无重大违法活动记录，符合《政府采购法》规定的供应商资格条件。申明内容如有不实，我方愿意承担全部责任，自觉接受相关处罚。</w:t>
      </w:r>
    </w:p>
    <w:p w14:paraId="5AE7FE78">
      <w:pPr>
        <w:tabs>
          <w:tab w:val="left" w:pos="6300"/>
        </w:tabs>
        <w:snapToGrid w:val="0"/>
        <w:spacing w:line="360" w:lineRule="auto"/>
        <w:ind w:firstLine="426" w:firstLineChars="200"/>
        <w:rPr>
          <w:rFonts w:hint="eastAsia" w:ascii="宋体" w:hAnsi="宋体" w:eastAsia="宋体" w:cs="宋体"/>
          <w:sz w:val="21"/>
          <w:szCs w:val="21"/>
        </w:rPr>
      </w:pPr>
    </w:p>
    <w:p w14:paraId="64C2B0FB">
      <w:pPr>
        <w:tabs>
          <w:tab w:val="left" w:pos="6300"/>
        </w:tabs>
        <w:snapToGrid w:val="0"/>
        <w:spacing w:line="360" w:lineRule="auto"/>
        <w:ind w:firstLine="426" w:firstLineChars="200"/>
        <w:rPr>
          <w:rFonts w:hint="eastAsia" w:ascii="宋体" w:hAnsi="宋体" w:eastAsia="宋体" w:cs="宋体"/>
          <w:sz w:val="21"/>
          <w:szCs w:val="21"/>
        </w:rPr>
      </w:pPr>
      <w:r>
        <w:rPr>
          <w:rFonts w:hint="eastAsia" w:ascii="宋体" w:hAnsi="宋体" w:eastAsia="宋体" w:cs="宋体"/>
          <w:sz w:val="21"/>
          <w:szCs w:val="21"/>
        </w:rPr>
        <w:t xml:space="preserve">特此声明。                                  </w:t>
      </w:r>
    </w:p>
    <w:p w14:paraId="698CA4B8">
      <w:pPr>
        <w:tabs>
          <w:tab w:val="left" w:pos="6300"/>
        </w:tabs>
        <w:snapToGrid w:val="0"/>
        <w:spacing w:line="360" w:lineRule="auto"/>
        <w:ind w:firstLine="426" w:firstLineChars="200"/>
        <w:rPr>
          <w:rFonts w:hint="eastAsia" w:ascii="宋体" w:hAnsi="宋体" w:eastAsia="宋体" w:cs="宋体"/>
          <w:sz w:val="21"/>
          <w:szCs w:val="21"/>
        </w:rPr>
      </w:pPr>
    </w:p>
    <w:p w14:paraId="2DA4A893">
      <w:pPr>
        <w:tabs>
          <w:tab w:val="left" w:pos="6300"/>
        </w:tabs>
        <w:snapToGrid w:val="0"/>
        <w:spacing w:line="360" w:lineRule="auto"/>
        <w:ind w:firstLine="426" w:firstLineChars="200"/>
        <w:rPr>
          <w:rFonts w:hint="eastAsia" w:ascii="宋体" w:hAnsi="宋体" w:eastAsia="宋体" w:cs="宋体"/>
          <w:sz w:val="21"/>
          <w:szCs w:val="21"/>
        </w:rPr>
      </w:pPr>
    </w:p>
    <w:p w14:paraId="14737593">
      <w:pPr>
        <w:tabs>
          <w:tab w:val="left" w:pos="6300"/>
        </w:tabs>
        <w:snapToGrid w:val="0"/>
        <w:spacing w:line="360" w:lineRule="auto"/>
        <w:ind w:firstLine="4473" w:firstLineChars="2100"/>
        <w:rPr>
          <w:rFonts w:hint="eastAsia" w:ascii="宋体" w:hAnsi="宋体" w:eastAsia="宋体" w:cs="宋体"/>
          <w:sz w:val="21"/>
          <w:szCs w:val="21"/>
        </w:rPr>
      </w:pPr>
      <w:r>
        <w:rPr>
          <w:rFonts w:hint="eastAsia" w:ascii="宋体" w:hAnsi="宋体" w:eastAsia="宋体" w:cs="宋体"/>
          <w:sz w:val="21"/>
          <w:szCs w:val="21"/>
        </w:rPr>
        <w:t>（投标人公章）</w:t>
      </w:r>
    </w:p>
    <w:p w14:paraId="192DC65B">
      <w:pPr>
        <w:tabs>
          <w:tab w:val="left" w:pos="6300"/>
        </w:tabs>
        <w:snapToGrid w:val="0"/>
        <w:spacing w:line="360" w:lineRule="auto"/>
        <w:ind w:right="480" w:firstLine="570"/>
        <w:jc w:val="center"/>
        <w:rPr>
          <w:rFonts w:hint="eastAsia" w:ascii="宋体" w:hAnsi="宋体" w:eastAsia="宋体" w:cs="宋体"/>
          <w:bCs/>
          <w:sz w:val="21"/>
          <w:szCs w:val="21"/>
        </w:rPr>
      </w:pPr>
      <w:r>
        <w:rPr>
          <w:rFonts w:hint="eastAsia" w:ascii="宋体" w:hAnsi="宋体" w:eastAsia="宋体" w:cs="宋体"/>
          <w:sz w:val="21"/>
          <w:szCs w:val="21"/>
        </w:rPr>
        <w:t xml:space="preserve">                     年   月   日</w:t>
      </w:r>
    </w:p>
    <w:p w14:paraId="70BF4BDB">
      <w:pPr>
        <w:widowControl/>
        <w:numPr>
          <w:ilvl w:val="0"/>
          <w:numId w:val="0"/>
        </w:numPr>
        <w:kinsoku/>
        <w:topLinePunct w:val="0"/>
        <w:bidi w:val="0"/>
        <w:spacing w:before="100" w:beforeAutospacing="1" w:after="100" w:afterAutospacing="1" w:line="360" w:lineRule="auto"/>
        <w:jc w:val="left"/>
        <w:rPr>
          <w:rFonts w:hint="eastAsia" w:ascii="宋体" w:hAnsi="宋体" w:eastAsia="宋体" w:cs="宋体"/>
          <w:color w:val="auto"/>
          <w:sz w:val="24"/>
          <w:highlight w:val="none"/>
          <w:lang w:val="en-US" w:eastAsia="zh-CN"/>
        </w:rPr>
      </w:pPr>
    </w:p>
    <w:p w14:paraId="4F1EB1DD">
      <w:pPr>
        <w:widowControl/>
        <w:numPr>
          <w:ilvl w:val="0"/>
          <w:numId w:val="0"/>
        </w:numPr>
        <w:kinsoku/>
        <w:topLinePunct w:val="0"/>
        <w:bidi w:val="0"/>
        <w:spacing w:before="100" w:beforeAutospacing="1" w:after="100" w:afterAutospacing="1" w:line="360" w:lineRule="auto"/>
        <w:jc w:val="left"/>
        <w:rPr>
          <w:rFonts w:hint="eastAsia" w:ascii="宋体" w:hAnsi="宋体" w:eastAsia="宋体" w:cs="宋体"/>
          <w:color w:val="auto"/>
          <w:sz w:val="24"/>
          <w:highlight w:val="none"/>
          <w:lang w:val="en-US" w:eastAsia="zh-CN"/>
        </w:rPr>
      </w:pPr>
    </w:p>
    <w:p w14:paraId="0A327BBC">
      <w:pPr>
        <w:widowControl/>
        <w:numPr>
          <w:ilvl w:val="0"/>
          <w:numId w:val="0"/>
        </w:numPr>
        <w:kinsoku/>
        <w:topLinePunct w:val="0"/>
        <w:bidi w:val="0"/>
        <w:spacing w:before="100" w:beforeAutospacing="1" w:after="100" w:afterAutospacing="1" w:line="360" w:lineRule="auto"/>
        <w:jc w:val="left"/>
        <w:rPr>
          <w:rFonts w:hint="eastAsia" w:ascii="宋体" w:hAnsi="宋体" w:eastAsia="宋体" w:cs="宋体"/>
          <w:color w:val="auto"/>
          <w:sz w:val="24"/>
          <w:highlight w:val="none"/>
          <w:lang w:val="en-US" w:eastAsia="zh-CN"/>
        </w:rPr>
      </w:pPr>
    </w:p>
    <w:p w14:paraId="4E6F710A">
      <w:pPr>
        <w:widowControl/>
        <w:numPr>
          <w:ilvl w:val="0"/>
          <w:numId w:val="0"/>
        </w:numPr>
        <w:kinsoku/>
        <w:topLinePunct w:val="0"/>
        <w:bidi w:val="0"/>
        <w:spacing w:before="100" w:beforeAutospacing="1" w:after="100" w:afterAutospacing="1" w:line="360" w:lineRule="auto"/>
        <w:jc w:val="left"/>
        <w:rPr>
          <w:rFonts w:hint="eastAsia" w:ascii="宋体" w:hAnsi="宋体" w:eastAsia="宋体" w:cs="宋体"/>
          <w:color w:val="auto"/>
          <w:sz w:val="24"/>
          <w:highlight w:val="none"/>
          <w:lang w:val="en-US" w:eastAsia="zh-CN"/>
        </w:rPr>
      </w:pPr>
    </w:p>
    <w:p w14:paraId="2C0C5DFD">
      <w:pPr>
        <w:widowControl/>
        <w:numPr>
          <w:ilvl w:val="0"/>
          <w:numId w:val="0"/>
        </w:numPr>
        <w:kinsoku/>
        <w:topLinePunct w:val="0"/>
        <w:bidi w:val="0"/>
        <w:spacing w:before="100" w:beforeAutospacing="1" w:after="100" w:afterAutospacing="1" w:line="360" w:lineRule="auto"/>
        <w:jc w:val="left"/>
        <w:rPr>
          <w:rFonts w:hint="eastAsia" w:ascii="宋体" w:hAnsi="宋体" w:eastAsia="宋体" w:cs="宋体"/>
          <w:color w:val="auto"/>
          <w:sz w:val="24"/>
          <w:highlight w:val="none"/>
          <w:lang w:val="en-US" w:eastAsia="zh-CN"/>
        </w:rPr>
      </w:pPr>
    </w:p>
    <w:p w14:paraId="2A129989">
      <w:pPr>
        <w:widowControl/>
        <w:numPr>
          <w:ilvl w:val="0"/>
          <w:numId w:val="0"/>
        </w:numPr>
        <w:kinsoku/>
        <w:topLinePunct w:val="0"/>
        <w:bidi w:val="0"/>
        <w:spacing w:before="100" w:beforeAutospacing="1" w:after="100" w:afterAutospacing="1" w:line="360" w:lineRule="auto"/>
        <w:jc w:val="left"/>
        <w:rPr>
          <w:rFonts w:hint="eastAsia" w:ascii="宋体" w:hAnsi="宋体" w:eastAsia="宋体" w:cs="宋体"/>
          <w:color w:val="auto"/>
          <w:sz w:val="24"/>
          <w:highlight w:val="none"/>
          <w:lang w:val="en-US" w:eastAsia="zh-CN"/>
        </w:rPr>
      </w:pPr>
    </w:p>
    <w:p w14:paraId="2A34C392">
      <w:pPr>
        <w:widowControl/>
        <w:numPr>
          <w:ilvl w:val="0"/>
          <w:numId w:val="0"/>
        </w:numPr>
        <w:kinsoku/>
        <w:topLinePunct w:val="0"/>
        <w:bidi w:val="0"/>
        <w:spacing w:before="100" w:beforeAutospacing="1" w:after="100" w:afterAutospacing="1" w:line="360" w:lineRule="auto"/>
        <w:jc w:val="left"/>
        <w:rPr>
          <w:rFonts w:hint="eastAsia" w:ascii="宋体" w:hAnsi="宋体" w:eastAsia="宋体" w:cs="宋体"/>
          <w:color w:val="auto"/>
          <w:sz w:val="24"/>
          <w:highlight w:val="none"/>
          <w:lang w:val="en-US" w:eastAsia="zh-CN"/>
        </w:rPr>
      </w:pPr>
    </w:p>
    <w:p w14:paraId="43EA4E0D">
      <w:pPr>
        <w:widowControl/>
        <w:numPr>
          <w:ilvl w:val="0"/>
          <w:numId w:val="0"/>
        </w:numPr>
        <w:kinsoku/>
        <w:topLinePunct w:val="0"/>
        <w:bidi w:val="0"/>
        <w:spacing w:before="100" w:beforeAutospacing="1" w:after="100" w:afterAutospacing="1" w:line="360" w:lineRule="auto"/>
        <w:jc w:val="left"/>
        <w:rPr>
          <w:rFonts w:hint="eastAsia" w:ascii="宋体" w:hAnsi="宋体" w:eastAsia="宋体" w:cs="宋体"/>
          <w:color w:val="auto"/>
          <w:sz w:val="24"/>
          <w:highlight w:val="none"/>
          <w:lang w:val="en-US" w:eastAsia="zh-CN"/>
        </w:rPr>
      </w:pPr>
    </w:p>
    <w:p w14:paraId="2E45C9AE">
      <w:pPr>
        <w:widowControl/>
        <w:numPr>
          <w:ilvl w:val="0"/>
          <w:numId w:val="0"/>
        </w:numPr>
        <w:kinsoku/>
        <w:topLinePunct w:val="0"/>
        <w:bidi w:val="0"/>
        <w:spacing w:before="100" w:beforeAutospacing="1" w:after="100" w:afterAutospacing="1" w:line="480" w:lineRule="auto"/>
        <w:jc w:val="left"/>
        <w:rPr>
          <w:rFonts w:hint="eastAsia" w:ascii="宋体" w:hAnsi="宋体" w:cs="宋体"/>
          <w:b/>
          <w:bCs/>
          <w:color w:val="auto"/>
          <w:sz w:val="24"/>
          <w:highlight w:val="none"/>
          <w:lang w:val="en-US" w:eastAsia="zh-CN"/>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b/>
          <w:bCs/>
          <w:color w:val="auto"/>
          <w:sz w:val="24"/>
          <w:highlight w:val="none"/>
          <w:lang w:val="en-US" w:eastAsia="zh-CN"/>
        </w:rPr>
        <w:t>投标文件格式</w:t>
      </w:r>
      <w:r>
        <w:rPr>
          <w:rFonts w:hint="eastAsia" w:ascii="宋体" w:hAnsi="宋体" w:cs="宋体"/>
          <w:b/>
          <w:bCs/>
          <w:color w:val="auto"/>
          <w:sz w:val="24"/>
          <w:highlight w:val="none"/>
          <w:lang w:val="en-US" w:eastAsia="zh-CN"/>
        </w:rPr>
        <w:t>4</w:t>
      </w:r>
    </w:p>
    <w:p w14:paraId="389FC722">
      <w:pPr>
        <w:spacing w:line="480" w:lineRule="auto"/>
        <w:jc w:val="center"/>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反</w:t>
      </w:r>
      <w:r>
        <w:rPr>
          <w:rFonts w:hint="eastAsia" w:ascii="宋体" w:hAnsi="宋体" w:eastAsia="宋体" w:cs="宋体"/>
          <w:b/>
          <w:bCs/>
          <w:color w:val="auto"/>
          <w:sz w:val="24"/>
          <w:highlight w:val="none"/>
          <w:lang w:val="en-US" w:eastAsia="zh-CN"/>
        </w:rPr>
        <w:t>商业贿赂承诺书</w:t>
      </w:r>
    </w:p>
    <w:p w14:paraId="117B842F">
      <w:pPr>
        <w:autoSpaceDE w:val="0"/>
        <w:autoSpaceDN w:val="0"/>
        <w:adjustRightInd w:val="0"/>
        <w:snapToGrid w:val="0"/>
        <w:spacing w:line="480" w:lineRule="auto"/>
        <w:ind w:firstLine="366" w:firstLineChars="200"/>
        <w:jc w:val="left"/>
        <w:outlineLvl w:val="9"/>
        <w:rPr>
          <w:rFonts w:hint="eastAsia" w:ascii="宋体" w:hAnsi="宋体" w:eastAsia="宋体" w:cs="宋体"/>
          <w:color w:val="000000"/>
          <w:kern w:val="0"/>
          <w:sz w:val="18"/>
          <w:szCs w:val="18"/>
          <w:highlight w:val="none"/>
          <w:lang w:val="zh-CN"/>
        </w:rPr>
      </w:pPr>
    </w:p>
    <w:p w14:paraId="23BB38F6">
      <w:pPr>
        <w:autoSpaceDE w:val="0"/>
        <w:autoSpaceDN w:val="0"/>
        <w:adjustRightInd w:val="0"/>
        <w:snapToGrid w:val="0"/>
        <w:spacing w:line="480" w:lineRule="auto"/>
        <w:ind w:firstLine="406" w:firstLineChars="200"/>
        <w:jc w:val="left"/>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在</w:t>
      </w:r>
      <w:r>
        <w:rPr>
          <w:rFonts w:hint="eastAsia" w:ascii="宋体" w:hAnsi="宋体" w:eastAsia="宋体" w:cs="宋体"/>
          <w:color w:val="000000"/>
          <w:kern w:val="0"/>
          <w:sz w:val="20"/>
          <w:szCs w:val="20"/>
          <w:highlight w:val="none"/>
          <w:u w:val="single"/>
        </w:rPr>
        <w:t xml:space="preserve">          </w:t>
      </w:r>
      <w:r>
        <w:rPr>
          <w:rFonts w:hint="eastAsia" w:ascii="宋体" w:hAnsi="宋体" w:eastAsia="宋体" w:cs="宋体"/>
          <w:color w:val="000000"/>
          <w:kern w:val="0"/>
          <w:sz w:val="20"/>
          <w:szCs w:val="20"/>
          <w:highlight w:val="none"/>
          <w:u w:val="none"/>
          <w:lang w:val="en-US" w:eastAsia="zh-CN"/>
        </w:rPr>
        <w:t>项目编</w:t>
      </w:r>
      <w:r>
        <w:rPr>
          <w:rFonts w:hint="eastAsia" w:ascii="宋体" w:hAnsi="宋体" w:eastAsia="宋体" w:cs="宋体"/>
          <w:color w:val="000000"/>
          <w:kern w:val="0"/>
          <w:sz w:val="20"/>
          <w:szCs w:val="20"/>
          <w:highlight w:val="none"/>
          <w:u w:val="none"/>
        </w:rPr>
        <w:t>号</w:t>
      </w:r>
      <w:r>
        <w:rPr>
          <w:rFonts w:hint="eastAsia" w:ascii="宋体" w:hAnsi="宋体" w:eastAsia="宋体" w:cs="宋体"/>
          <w:color w:val="000000"/>
          <w:kern w:val="0"/>
          <w:sz w:val="20"/>
          <w:szCs w:val="20"/>
          <w:highlight w:val="none"/>
        </w:rPr>
        <w:t>（</w:t>
      </w:r>
      <w:r>
        <w:rPr>
          <w:rFonts w:hint="eastAsia" w:ascii="宋体" w:hAnsi="宋体" w:eastAsia="宋体" w:cs="宋体"/>
          <w:color w:val="000000"/>
          <w:kern w:val="0"/>
          <w:sz w:val="20"/>
          <w:szCs w:val="20"/>
          <w:highlight w:val="none"/>
          <w:u w:val="single"/>
        </w:rPr>
        <w:t xml:space="preserve">              </w:t>
      </w:r>
      <w:r>
        <w:rPr>
          <w:rFonts w:hint="eastAsia" w:ascii="宋体" w:hAnsi="宋体" w:eastAsia="宋体" w:cs="宋体"/>
          <w:color w:val="000000"/>
          <w:kern w:val="0"/>
          <w:sz w:val="20"/>
          <w:szCs w:val="20"/>
          <w:highlight w:val="none"/>
        </w:rPr>
        <w:t>项目）招标活动中，我公司承诺如下 ：</w:t>
      </w:r>
    </w:p>
    <w:p w14:paraId="355A30F0">
      <w:pPr>
        <w:tabs>
          <w:tab w:val="left" w:pos="6300"/>
        </w:tabs>
        <w:snapToGrid w:val="0"/>
        <w:spacing w:line="480" w:lineRule="auto"/>
        <w:ind w:firstLine="426" w:firstLineChars="200"/>
        <w:rPr>
          <w:rFonts w:hint="eastAsia" w:ascii="宋体" w:hAnsi="宋体" w:eastAsia="宋体" w:cs="宋体"/>
          <w:sz w:val="21"/>
          <w:szCs w:val="21"/>
        </w:rPr>
      </w:pPr>
      <w:r>
        <w:rPr>
          <w:rFonts w:hint="eastAsia" w:ascii="宋体" w:hAnsi="宋体" w:eastAsia="宋体" w:cs="宋体"/>
          <w:sz w:val="21"/>
          <w:szCs w:val="21"/>
        </w:rPr>
        <w:t>1、不给予工作人员及其亲属各种形式的商业贿赂（包括送礼金礼品、有价证券、购物券、回扣、佣金、咨询费、劳务费、赞助费、宣传费、支付旅游费用、报销各种消费凭证、宴请、娱乐等）；</w:t>
      </w:r>
    </w:p>
    <w:p w14:paraId="59B3996B">
      <w:pPr>
        <w:tabs>
          <w:tab w:val="left" w:pos="6300"/>
        </w:tabs>
        <w:snapToGrid w:val="0"/>
        <w:spacing w:line="480" w:lineRule="auto"/>
        <w:ind w:firstLine="426" w:firstLineChars="200"/>
        <w:rPr>
          <w:rFonts w:hint="eastAsia" w:ascii="宋体" w:hAnsi="宋体" w:eastAsia="宋体" w:cs="宋体"/>
          <w:sz w:val="21"/>
          <w:szCs w:val="21"/>
        </w:rPr>
      </w:pPr>
      <w:r>
        <w:rPr>
          <w:rFonts w:hint="eastAsia" w:ascii="宋体" w:hAnsi="宋体" w:eastAsia="宋体" w:cs="宋体"/>
          <w:sz w:val="21"/>
          <w:szCs w:val="21"/>
        </w:rPr>
        <w:t>2、不与采购人相互勾结私下协议，弄虚作假，搞假投标、陪标、串通投标，明招暗定，暗箱操作。</w:t>
      </w:r>
    </w:p>
    <w:p w14:paraId="3488571A">
      <w:pPr>
        <w:tabs>
          <w:tab w:val="left" w:pos="6300"/>
        </w:tabs>
        <w:snapToGrid w:val="0"/>
        <w:spacing w:line="480" w:lineRule="auto"/>
        <w:ind w:firstLine="426" w:firstLineChars="200"/>
        <w:rPr>
          <w:rFonts w:hint="eastAsia" w:ascii="宋体" w:hAnsi="宋体" w:eastAsia="宋体" w:cs="宋体"/>
          <w:sz w:val="21"/>
          <w:szCs w:val="21"/>
        </w:rPr>
      </w:pPr>
      <w:r>
        <w:rPr>
          <w:rFonts w:hint="eastAsia" w:ascii="宋体" w:hAnsi="宋体" w:eastAsia="宋体" w:cs="宋体"/>
          <w:sz w:val="21"/>
          <w:szCs w:val="21"/>
        </w:rPr>
        <w:t>3、我公司及项目参与人员有亲戚担任业主方副科级以上领导职务时，自愿放弃此次投标权。</w:t>
      </w:r>
    </w:p>
    <w:p w14:paraId="4233C4A4">
      <w:pPr>
        <w:tabs>
          <w:tab w:val="left" w:pos="6300"/>
        </w:tabs>
        <w:snapToGrid w:val="0"/>
        <w:spacing w:line="480" w:lineRule="auto"/>
        <w:ind w:firstLine="426" w:firstLineChars="200"/>
        <w:rPr>
          <w:rFonts w:hint="eastAsia" w:ascii="宋体" w:hAnsi="宋体" w:eastAsia="宋体" w:cs="宋体"/>
          <w:sz w:val="21"/>
          <w:szCs w:val="21"/>
        </w:rPr>
      </w:pPr>
      <w:r>
        <w:rPr>
          <w:rFonts w:hint="eastAsia" w:ascii="宋体" w:hAnsi="宋体" w:eastAsia="宋体" w:cs="宋体"/>
          <w:sz w:val="21"/>
          <w:szCs w:val="21"/>
        </w:rPr>
        <w:t>如有上述行为，一经发现，我公司及项目参与人员愿意按照《政府采购法》、《招投标法》、《反不正当竞争法》的有关规定接受处罚。</w:t>
      </w:r>
    </w:p>
    <w:p w14:paraId="7E3A7754">
      <w:pPr>
        <w:tabs>
          <w:tab w:val="left" w:pos="6300"/>
        </w:tabs>
        <w:snapToGrid w:val="0"/>
        <w:spacing w:line="480" w:lineRule="auto"/>
        <w:ind w:firstLine="426" w:firstLineChars="200"/>
        <w:rPr>
          <w:rFonts w:hint="eastAsia" w:ascii="宋体" w:hAnsi="宋体" w:eastAsia="宋体" w:cs="宋体"/>
          <w:sz w:val="21"/>
          <w:szCs w:val="21"/>
        </w:rPr>
      </w:pPr>
    </w:p>
    <w:p w14:paraId="1A0E7D30">
      <w:pPr>
        <w:tabs>
          <w:tab w:val="left" w:pos="6300"/>
        </w:tabs>
        <w:snapToGrid w:val="0"/>
        <w:spacing w:line="480" w:lineRule="auto"/>
        <w:ind w:firstLine="426" w:firstLineChars="200"/>
        <w:rPr>
          <w:rFonts w:hint="eastAsia" w:ascii="宋体" w:hAnsi="宋体" w:eastAsia="宋体" w:cs="宋体"/>
          <w:sz w:val="21"/>
          <w:szCs w:val="21"/>
        </w:rPr>
      </w:pPr>
      <w:r>
        <w:rPr>
          <w:rFonts w:hint="eastAsia" w:ascii="宋体" w:hAnsi="宋体" w:eastAsia="宋体" w:cs="宋体"/>
          <w:sz w:val="21"/>
          <w:szCs w:val="21"/>
          <w:lang w:val="en-US" w:eastAsia="zh-CN"/>
        </w:rPr>
        <w:t>投标单位名称</w:t>
      </w:r>
      <w:r>
        <w:rPr>
          <w:rFonts w:hint="eastAsia" w:ascii="宋体" w:hAnsi="宋体" w:eastAsia="宋体" w:cs="宋体"/>
          <w:sz w:val="21"/>
          <w:szCs w:val="21"/>
        </w:rPr>
        <w:t>：（公章）</w:t>
      </w:r>
    </w:p>
    <w:p w14:paraId="2155DF41">
      <w:pPr>
        <w:tabs>
          <w:tab w:val="left" w:pos="6300"/>
        </w:tabs>
        <w:snapToGrid w:val="0"/>
        <w:spacing w:line="480" w:lineRule="auto"/>
        <w:ind w:firstLine="426"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lang w:val="en-US" w:eastAsia="zh-CN"/>
        </w:rPr>
        <w:t>或</w:t>
      </w:r>
      <w:r>
        <w:rPr>
          <w:rFonts w:hint="eastAsia" w:ascii="宋体" w:hAnsi="宋体" w:eastAsia="宋体" w:cs="宋体"/>
          <w:sz w:val="21"/>
          <w:szCs w:val="21"/>
        </w:rPr>
        <w:t>法定代表授权委托人：（签字</w:t>
      </w:r>
      <w:r>
        <w:rPr>
          <w:rFonts w:hint="eastAsia" w:ascii="宋体" w:hAnsi="宋体" w:cs="宋体"/>
          <w:sz w:val="21"/>
          <w:szCs w:val="21"/>
          <w:lang w:val="en-US" w:eastAsia="zh-CN"/>
        </w:rPr>
        <w:t>或盖章</w:t>
      </w:r>
      <w:r>
        <w:rPr>
          <w:rFonts w:hint="eastAsia" w:ascii="宋体" w:hAnsi="宋体" w:eastAsia="宋体" w:cs="宋体"/>
          <w:sz w:val="21"/>
          <w:szCs w:val="21"/>
        </w:rPr>
        <w:t>）</w:t>
      </w:r>
    </w:p>
    <w:p w14:paraId="26A1943F">
      <w:pPr>
        <w:tabs>
          <w:tab w:val="left" w:pos="6300"/>
        </w:tabs>
        <w:snapToGrid w:val="0"/>
        <w:spacing w:line="480" w:lineRule="auto"/>
        <w:ind w:firstLine="426" w:firstLineChars="200"/>
        <w:rPr>
          <w:rFonts w:hint="eastAsia" w:ascii="宋体" w:hAnsi="宋体" w:eastAsia="宋体" w:cs="宋体"/>
          <w:sz w:val="21"/>
          <w:szCs w:val="21"/>
        </w:rPr>
      </w:pPr>
      <w:r>
        <w:rPr>
          <w:rFonts w:hint="eastAsia" w:ascii="宋体" w:hAnsi="宋体" w:eastAsia="宋体" w:cs="宋体"/>
          <w:sz w:val="21"/>
          <w:szCs w:val="21"/>
        </w:rPr>
        <w:t>年      月     日</w:t>
      </w:r>
    </w:p>
    <w:p w14:paraId="03C8233E">
      <w:pPr>
        <w:widowControl/>
        <w:numPr>
          <w:ilvl w:val="0"/>
          <w:numId w:val="0"/>
        </w:numPr>
        <w:kinsoku/>
        <w:topLinePunct w:val="0"/>
        <w:bidi w:val="0"/>
        <w:spacing w:before="100" w:beforeAutospacing="1" w:after="100" w:afterAutospacing="1" w:line="360" w:lineRule="auto"/>
        <w:jc w:val="left"/>
        <w:rPr>
          <w:rFonts w:hint="eastAsia" w:ascii="宋体" w:hAnsi="宋体" w:cs="宋体"/>
          <w:b/>
          <w:bCs/>
          <w:color w:val="auto"/>
          <w:sz w:val="24"/>
          <w:highlight w:val="none"/>
          <w:lang w:val="en-US" w:eastAsia="zh-CN"/>
        </w:rPr>
      </w:pPr>
    </w:p>
    <w:p w14:paraId="3C7DB43E">
      <w:pPr>
        <w:pStyle w:val="4"/>
        <w:rPr>
          <w:rFonts w:hint="eastAsia" w:ascii="宋体" w:hAnsi="宋体" w:cs="宋体"/>
          <w:b/>
          <w:bCs/>
          <w:color w:val="auto"/>
          <w:sz w:val="24"/>
          <w:highlight w:val="none"/>
          <w:lang w:val="en-US" w:eastAsia="zh-CN"/>
        </w:rPr>
      </w:pPr>
    </w:p>
    <w:p w14:paraId="2917DABD">
      <w:pPr>
        <w:rPr>
          <w:rFonts w:hint="eastAsia" w:ascii="宋体" w:hAnsi="宋体" w:cs="宋体"/>
          <w:b/>
          <w:bCs/>
          <w:color w:val="auto"/>
          <w:sz w:val="24"/>
          <w:highlight w:val="none"/>
          <w:lang w:val="en-US" w:eastAsia="zh-CN"/>
        </w:rPr>
      </w:pPr>
    </w:p>
    <w:p w14:paraId="69C2A205">
      <w:pPr>
        <w:pStyle w:val="4"/>
        <w:rPr>
          <w:rFonts w:hint="eastAsia" w:ascii="宋体" w:hAnsi="宋体" w:cs="宋体"/>
          <w:b/>
          <w:bCs/>
          <w:color w:val="auto"/>
          <w:sz w:val="24"/>
          <w:highlight w:val="none"/>
          <w:lang w:val="en-US" w:eastAsia="zh-CN"/>
        </w:rPr>
      </w:pPr>
    </w:p>
    <w:p w14:paraId="0DE2F9E6">
      <w:pPr>
        <w:rPr>
          <w:rFonts w:hint="eastAsia" w:ascii="宋体" w:hAnsi="宋体" w:cs="宋体"/>
          <w:b/>
          <w:bCs/>
          <w:color w:val="auto"/>
          <w:sz w:val="24"/>
          <w:highlight w:val="none"/>
          <w:lang w:val="en-US" w:eastAsia="zh-CN"/>
        </w:rPr>
      </w:pPr>
    </w:p>
    <w:p w14:paraId="6D49C3F7">
      <w:pPr>
        <w:pStyle w:val="12"/>
        <w:ind w:left="0" w:leftChars="0" w:firstLine="0" w:firstLineChars="0"/>
        <w:rPr>
          <w:rFonts w:hint="eastAsia"/>
          <w:lang w:val="en-US" w:eastAsia="zh-CN"/>
        </w:rPr>
      </w:pPr>
    </w:p>
    <w:p w14:paraId="4B229F5B">
      <w:pPr>
        <w:widowControl/>
        <w:numPr>
          <w:ilvl w:val="0"/>
          <w:numId w:val="0"/>
        </w:numPr>
        <w:kinsoku/>
        <w:topLinePunct w:val="0"/>
        <w:bidi w:val="0"/>
        <w:spacing w:before="100" w:beforeAutospacing="1" w:after="100" w:afterAutospacing="1" w:line="360" w:lineRule="auto"/>
        <w:jc w:val="left"/>
        <w:rPr>
          <w:rFonts w:hint="eastAsia" w:ascii="宋体" w:hAnsi="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投标文件格式</w:t>
      </w:r>
      <w:r>
        <w:rPr>
          <w:rFonts w:hint="eastAsia" w:ascii="宋体" w:hAnsi="宋体" w:cs="宋体"/>
          <w:b/>
          <w:bCs/>
          <w:color w:val="auto"/>
          <w:sz w:val="24"/>
          <w:highlight w:val="none"/>
          <w:lang w:val="en-US" w:eastAsia="zh-CN"/>
        </w:rPr>
        <w:t>5</w:t>
      </w:r>
    </w:p>
    <w:p w14:paraId="57F90B28">
      <w:pPr>
        <w:widowControl/>
        <w:numPr>
          <w:ilvl w:val="0"/>
          <w:numId w:val="0"/>
        </w:numPr>
        <w:kinsoku/>
        <w:topLinePunct w:val="0"/>
        <w:bidi w:val="0"/>
        <w:spacing w:before="100" w:beforeAutospacing="1" w:after="100" w:afterAutospacing="1" w:line="360" w:lineRule="auto"/>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kern w:val="0"/>
          <w:sz w:val="24"/>
          <w:szCs w:val="20"/>
          <w:highlight w:val="none"/>
          <w:u w:val="none"/>
          <w:lang w:val="en-US" w:eastAsia="zh-CN" w:bidi="ar-SA"/>
        </w:rPr>
        <w:t>中小企业声明函</w:t>
      </w:r>
      <w:r>
        <w:rPr>
          <w:rFonts w:hint="eastAsia" w:ascii="宋体" w:hAnsi="宋体" w:cs="宋体"/>
          <w:b/>
          <w:bCs/>
          <w:color w:val="auto"/>
          <w:kern w:val="0"/>
          <w:sz w:val="24"/>
          <w:szCs w:val="20"/>
          <w:highlight w:val="none"/>
          <w:u w:val="none"/>
          <w:lang w:val="en-US" w:eastAsia="zh-CN" w:bidi="ar-SA"/>
        </w:rPr>
        <w:t>（工程、服务）</w:t>
      </w:r>
    </w:p>
    <w:p w14:paraId="3C1944BB">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本公司（联合体）郑重声明，根据《政府采购促进中小企业发展管理办法》（财库﹝2020﹞46 号）的规定，本公司（联合体）参加</w:t>
      </w:r>
      <w:r>
        <w:rPr>
          <w:rFonts w:hint="eastAsia" w:ascii="宋体" w:hAnsi="宋体" w:eastAsia="宋体" w:cs="宋体"/>
          <w:color w:val="auto"/>
          <w:kern w:val="0"/>
          <w:sz w:val="24"/>
          <w:highlight w:val="none"/>
          <w:u w:val="single"/>
          <w:lang w:val="en-US" w:eastAsia="zh-CN"/>
        </w:rPr>
        <w:t>（单位名称）</w:t>
      </w:r>
      <w:r>
        <w:rPr>
          <w:rFonts w:hint="eastAsia" w:ascii="宋体" w:hAnsi="宋体" w:eastAsia="宋体" w:cs="宋体"/>
          <w:color w:val="auto"/>
          <w:kern w:val="0"/>
          <w:sz w:val="24"/>
          <w:highlight w:val="none"/>
          <w:lang w:val="en-US" w:eastAsia="zh-CN"/>
        </w:rPr>
        <w:t>的</w:t>
      </w:r>
      <w:r>
        <w:rPr>
          <w:rFonts w:hint="eastAsia" w:ascii="宋体" w:hAnsi="宋体" w:eastAsia="宋体" w:cs="宋体"/>
          <w:color w:val="auto"/>
          <w:kern w:val="0"/>
          <w:sz w:val="24"/>
          <w:highlight w:val="none"/>
          <w:u w:val="single"/>
          <w:lang w:val="en-US" w:eastAsia="zh-CN"/>
        </w:rPr>
        <w:t>（项目名称）</w:t>
      </w:r>
      <w:r>
        <w:rPr>
          <w:rFonts w:hint="eastAsia" w:ascii="宋体" w:hAnsi="宋体" w:eastAsia="宋体" w:cs="宋体"/>
          <w:color w:val="auto"/>
          <w:kern w:val="0"/>
          <w:sz w:val="24"/>
          <w:highlight w:val="none"/>
          <w:lang w:val="en-US" w:eastAsia="zh-CN"/>
        </w:rPr>
        <w:t xml:space="preserve">采购活动，工程的施工单位全部为符合政策要求的中小企业（或者：服务全部由符合政策要求的中小企业承接）。相关企业（含联合体中的中小企业、签订分包意向协议的中小企业）的具体情况如下： </w:t>
      </w:r>
    </w:p>
    <w:p w14:paraId="20EC253C">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1. </w:t>
      </w:r>
      <w:r>
        <w:rPr>
          <w:rFonts w:hint="eastAsia" w:ascii="宋体" w:hAnsi="宋体" w:eastAsia="宋体" w:cs="宋体"/>
          <w:color w:val="auto"/>
          <w:kern w:val="0"/>
          <w:sz w:val="24"/>
          <w:highlight w:val="none"/>
          <w:u w:val="single"/>
          <w:lang w:val="en-US" w:eastAsia="zh-CN"/>
        </w:rPr>
        <w:t>（标的名称）</w:t>
      </w:r>
      <w:r>
        <w:rPr>
          <w:rFonts w:hint="eastAsia" w:ascii="宋体" w:hAnsi="宋体" w:eastAsia="宋体" w:cs="宋体"/>
          <w:color w:val="auto"/>
          <w:kern w:val="0"/>
          <w:sz w:val="24"/>
          <w:highlight w:val="none"/>
          <w:lang w:val="en-US" w:eastAsia="zh-CN"/>
        </w:rPr>
        <w:t xml:space="preserve"> ，属于</w:t>
      </w:r>
      <w:r>
        <w:rPr>
          <w:rFonts w:hint="eastAsia" w:ascii="宋体" w:hAnsi="宋体" w:eastAsia="宋体" w:cs="宋体"/>
          <w:color w:val="auto"/>
          <w:kern w:val="0"/>
          <w:sz w:val="24"/>
          <w:highlight w:val="none"/>
          <w:u w:val="single"/>
          <w:lang w:val="en-US" w:eastAsia="zh-CN"/>
        </w:rPr>
        <w:t>（采购文件中明确的所属行业）</w:t>
      </w:r>
      <w:r>
        <w:rPr>
          <w:rFonts w:hint="eastAsia" w:ascii="宋体" w:hAnsi="宋体" w:eastAsia="宋体" w:cs="宋体"/>
          <w:color w:val="auto"/>
          <w:kern w:val="0"/>
          <w:sz w:val="24"/>
          <w:highlight w:val="none"/>
          <w:lang w:val="en-US" w:eastAsia="zh-CN"/>
        </w:rPr>
        <w:t>；承建（承接）企业为</w:t>
      </w:r>
      <w:r>
        <w:rPr>
          <w:rFonts w:hint="eastAsia" w:ascii="宋体" w:hAnsi="宋体" w:eastAsia="宋体" w:cs="宋体"/>
          <w:color w:val="auto"/>
          <w:kern w:val="0"/>
          <w:sz w:val="24"/>
          <w:highlight w:val="none"/>
          <w:u w:val="single"/>
          <w:lang w:val="en-US" w:eastAsia="zh-CN"/>
        </w:rPr>
        <w:t>（企业名称）</w:t>
      </w:r>
      <w:r>
        <w:rPr>
          <w:rFonts w:hint="eastAsia" w:ascii="宋体" w:hAnsi="宋体" w:eastAsia="宋体" w:cs="宋体"/>
          <w:color w:val="auto"/>
          <w:kern w:val="0"/>
          <w:sz w:val="24"/>
          <w:highlight w:val="none"/>
          <w:lang w:val="en-US" w:eastAsia="zh-CN"/>
        </w:rPr>
        <w:t>，从业人员</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人，营业收入为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万元，资产总额为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 ，属于</w:t>
      </w:r>
      <w:r>
        <w:rPr>
          <w:rFonts w:hint="eastAsia" w:ascii="宋体" w:hAnsi="宋体" w:eastAsia="宋体" w:cs="宋体"/>
          <w:color w:val="auto"/>
          <w:kern w:val="0"/>
          <w:sz w:val="24"/>
          <w:highlight w:val="none"/>
          <w:u w:val="single"/>
          <w:lang w:val="en-US" w:eastAsia="zh-CN"/>
        </w:rPr>
        <w:t>（中型企业、小型企业、微型企业）</w:t>
      </w:r>
      <w:r>
        <w:rPr>
          <w:rFonts w:hint="eastAsia" w:ascii="宋体" w:hAnsi="宋体" w:eastAsia="宋体" w:cs="宋体"/>
          <w:color w:val="auto"/>
          <w:kern w:val="0"/>
          <w:sz w:val="24"/>
          <w:highlight w:val="none"/>
          <w:lang w:val="en-US" w:eastAsia="zh-CN"/>
        </w:rPr>
        <w:t xml:space="preserve">； </w:t>
      </w:r>
    </w:p>
    <w:p w14:paraId="423E0ED9">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2. </w:t>
      </w:r>
      <w:r>
        <w:rPr>
          <w:rFonts w:hint="eastAsia" w:ascii="宋体" w:hAnsi="宋体" w:eastAsia="宋体" w:cs="宋体"/>
          <w:color w:val="auto"/>
          <w:kern w:val="0"/>
          <w:sz w:val="24"/>
          <w:highlight w:val="none"/>
          <w:u w:val="single"/>
          <w:lang w:val="en-US" w:eastAsia="zh-CN"/>
        </w:rPr>
        <w:t xml:space="preserve">（标的名称） </w:t>
      </w:r>
      <w:r>
        <w:rPr>
          <w:rFonts w:hint="eastAsia" w:ascii="宋体" w:hAnsi="宋体" w:eastAsia="宋体" w:cs="宋体"/>
          <w:color w:val="auto"/>
          <w:kern w:val="0"/>
          <w:sz w:val="24"/>
          <w:highlight w:val="none"/>
          <w:lang w:val="en-US" w:eastAsia="zh-CN"/>
        </w:rPr>
        <w:t>，属于</w:t>
      </w:r>
      <w:r>
        <w:rPr>
          <w:rFonts w:hint="eastAsia" w:ascii="宋体" w:hAnsi="宋体" w:eastAsia="宋体" w:cs="宋体"/>
          <w:color w:val="auto"/>
          <w:kern w:val="0"/>
          <w:sz w:val="24"/>
          <w:highlight w:val="none"/>
          <w:u w:val="single"/>
          <w:lang w:val="en-US" w:eastAsia="zh-CN"/>
        </w:rPr>
        <w:t>（采购文件中明确的所属行业）</w:t>
      </w:r>
      <w:r>
        <w:rPr>
          <w:rFonts w:hint="eastAsia" w:ascii="宋体" w:hAnsi="宋体" w:eastAsia="宋体" w:cs="宋体"/>
          <w:color w:val="auto"/>
          <w:kern w:val="0"/>
          <w:sz w:val="24"/>
          <w:highlight w:val="none"/>
          <w:lang w:val="en-US" w:eastAsia="zh-CN"/>
        </w:rPr>
        <w:t>；承建（承接）企业为</w:t>
      </w:r>
      <w:r>
        <w:rPr>
          <w:rFonts w:hint="eastAsia" w:ascii="宋体" w:hAnsi="宋体" w:eastAsia="宋体" w:cs="宋体"/>
          <w:color w:val="auto"/>
          <w:kern w:val="0"/>
          <w:sz w:val="24"/>
          <w:highlight w:val="none"/>
          <w:u w:val="single"/>
          <w:lang w:val="en-US" w:eastAsia="zh-CN"/>
        </w:rPr>
        <w:t>（企业名称）</w:t>
      </w:r>
      <w:r>
        <w:rPr>
          <w:rFonts w:hint="eastAsia" w:ascii="宋体" w:hAnsi="宋体" w:eastAsia="宋体" w:cs="宋体"/>
          <w:color w:val="auto"/>
          <w:kern w:val="0"/>
          <w:sz w:val="24"/>
          <w:highlight w:val="none"/>
          <w:lang w:val="en-US" w:eastAsia="zh-CN"/>
        </w:rPr>
        <w:t>，从业人员</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人，营业 收入为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万元，资产总额为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万元，属于</w:t>
      </w:r>
      <w:r>
        <w:rPr>
          <w:rFonts w:hint="eastAsia" w:ascii="宋体" w:hAnsi="宋体" w:eastAsia="宋体" w:cs="宋体"/>
          <w:color w:val="auto"/>
          <w:kern w:val="0"/>
          <w:sz w:val="24"/>
          <w:highlight w:val="none"/>
          <w:u w:val="single"/>
          <w:lang w:val="en-US" w:eastAsia="zh-CN"/>
        </w:rPr>
        <w:t>（中型企业、 小型企业、微型企业）</w:t>
      </w:r>
      <w:r>
        <w:rPr>
          <w:rFonts w:hint="eastAsia" w:ascii="宋体" w:hAnsi="宋体" w:eastAsia="宋体" w:cs="宋体"/>
          <w:color w:val="auto"/>
          <w:kern w:val="0"/>
          <w:sz w:val="24"/>
          <w:highlight w:val="none"/>
          <w:lang w:val="en-US" w:eastAsia="zh-CN"/>
        </w:rPr>
        <w:t xml:space="preserve">； </w:t>
      </w:r>
    </w:p>
    <w:p w14:paraId="4D06E3AE">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 </w:t>
      </w:r>
    </w:p>
    <w:p w14:paraId="3ED5E0DC">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以上企业，不属于大企业的分支机构，不存在控股股东为大企业的情形，也不存在与大企业的负责人为同一人的情形。 </w:t>
      </w:r>
    </w:p>
    <w:p w14:paraId="4AE85E71">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本企业对上述声明内容的真实性负责。如有虚假，将依法承担相应责任。 </w:t>
      </w:r>
    </w:p>
    <w:p w14:paraId="10214213">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lang w:val="en-US" w:eastAsia="zh-CN"/>
        </w:rPr>
      </w:pPr>
    </w:p>
    <w:p w14:paraId="3707934F">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企业名称（盖章）： </w:t>
      </w:r>
    </w:p>
    <w:p w14:paraId="3A104F41">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日 期：</w:t>
      </w:r>
    </w:p>
    <w:p w14:paraId="6C53ABF2">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0DD36103">
      <w:pPr>
        <w:pStyle w:val="47"/>
        <w:kinsoku/>
        <w:topLinePunct w:val="0"/>
        <w:bidi w:val="0"/>
        <w:spacing w:line="380" w:lineRule="exact"/>
        <w:rPr>
          <w:rFonts w:hint="eastAsia" w:ascii="宋体" w:hAnsi="宋体" w:eastAsia="宋体" w:cs="宋体"/>
          <w:color w:val="auto"/>
          <w:kern w:val="0"/>
          <w:sz w:val="24"/>
          <w:highlight w:val="none"/>
        </w:rPr>
      </w:pPr>
    </w:p>
    <w:p w14:paraId="75D14D89">
      <w:pPr>
        <w:pStyle w:val="47"/>
        <w:kinsoku/>
        <w:topLinePunct w:val="0"/>
        <w:bidi w:val="0"/>
        <w:spacing w:line="380" w:lineRule="exact"/>
        <w:rPr>
          <w:rFonts w:hint="eastAsia" w:ascii="宋体" w:hAnsi="宋体" w:eastAsia="宋体" w:cs="宋体"/>
          <w:color w:val="auto"/>
          <w:kern w:val="0"/>
          <w:sz w:val="24"/>
          <w:highlight w:val="none"/>
        </w:rPr>
      </w:pPr>
    </w:p>
    <w:p w14:paraId="445028CE">
      <w:pPr>
        <w:pStyle w:val="47"/>
        <w:kinsoku/>
        <w:topLinePunct w:val="0"/>
        <w:bidi w:val="0"/>
        <w:spacing w:line="380" w:lineRule="exact"/>
        <w:rPr>
          <w:rFonts w:hint="eastAsia" w:ascii="宋体" w:hAnsi="宋体" w:eastAsia="宋体" w:cs="宋体"/>
          <w:color w:val="auto"/>
          <w:kern w:val="0"/>
          <w:sz w:val="24"/>
          <w:highlight w:val="none"/>
        </w:rPr>
      </w:pPr>
    </w:p>
    <w:p w14:paraId="67AC54CA">
      <w:pPr>
        <w:pStyle w:val="47"/>
        <w:kinsoku/>
        <w:topLinePunct w:val="0"/>
        <w:bidi w:val="0"/>
        <w:spacing w:line="380" w:lineRule="exact"/>
        <w:rPr>
          <w:rFonts w:hint="eastAsia" w:ascii="宋体" w:hAnsi="宋体" w:eastAsia="宋体" w:cs="宋体"/>
          <w:color w:val="auto"/>
          <w:kern w:val="0"/>
          <w:sz w:val="24"/>
          <w:highlight w:val="none"/>
        </w:rPr>
      </w:pPr>
    </w:p>
    <w:p w14:paraId="56EC47C0">
      <w:pPr>
        <w:rPr>
          <w:rFonts w:hint="eastAsia" w:ascii="宋体" w:hAnsi="宋体" w:eastAsia="宋体" w:cs="宋体"/>
          <w:lang w:val="en-US" w:eastAsia="zh-CN"/>
        </w:rPr>
      </w:pPr>
      <w:r>
        <w:rPr>
          <w:rFonts w:hint="eastAsia" w:ascii="宋体" w:hAnsi="宋体" w:eastAsia="宋体" w:cs="宋体"/>
          <w:color w:val="auto"/>
          <w:kern w:val="0"/>
          <w:sz w:val="18"/>
          <w:szCs w:val="18"/>
          <w:highlight w:val="none"/>
          <w:lang w:val="en-US" w:eastAsia="zh-CN" w:bidi="ar"/>
        </w:rPr>
        <w:t>注：从业人员、营业收入、资产总额填报上一年度数据，无上一年度数据的新成立企业可不填报。</w:t>
      </w:r>
    </w:p>
    <w:p w14:paraId="3D4080AC">
      <w:pPr>
        <w:pStyle w:val="3"/>
        <w:numPr>
          <w:ilvl w:val="0"/>
          <w:numId w:val="0"/>
        </w:numPr>
        <w:kinsoku/>
        <w:topLinePunct w:val="0"/>
        <w:bidi w:val="0"/>
        <w:spacing w:line="360" w:lineRule="auto"/>
        <w:jc w:val="center"/>
        <w:rPr>
          <w:rFonts w:hint="eastAsia" w:ascii="宋体" w:hAnsi="宋体" w:eastAsia="宋体" w:cs="宋体"/>
          <w:b/>
          <w:bCs/>
        </w:rPr>
      </w:pPr>
      <w:r>
        <w:rPr>
          <w:rFonts w:hint="eastAsia" w:ascii="宋体" w:hAnsi="宋体" w:eastAsia="宋体" w:cs="宋体"/>
          <w:b/>
          <w:bCs/>
        </w:rPr>
        <w:t xml:space="preserve"> 残疾人福利性单位声明函</w:t>
      </w:r>
    </w:p>
    <w:p w14:paraId="66B97A76">
      <w:pPr>
        <w:kinsoku/>
        <w:topLinePunct w:val="0"/>
        <w:bidi w:val="0"/>
        <w:spacing w:line="360" w:lineRule="auto"/>
        <w:ind w:left="1087" w:leftChars="257" w:hanging="540"/>
        <w:jc w:val="center"/>
        <w:rPr>
          <w:rFonts w:hint="eastAsia" w:ascii="宋体" w:hAnsi="宋体" w:eastAsia="宋体" w:cs="宋体"/>
          <w:kern w:val="0"/>
          <w:sz w:val="24"/>
          <w:szCs w:val="20"/>
        </w:rPr>
      </w:pPr>
    </w:p>
    <w:p w14:paraId="7DC9D8CC">
      <w:pPr>
        <w:widowControl/>
        <w:kinsoku/>
        <w:topLinePunct w:val="0"/>
        <w:bidi w:val="0"/>
        <w:spacing w:before="100" w:beforeAutospacing="1" w:after="100" w:afterAutospacing="1" w:line="360" w:lineRule="auto"/>
        <w:ind w:firstLine="420"/>
        <w:jc w:val="left"/>
        <w:rPr>
          <w:rFonts w:hint="eastAsia" w:ascii="宋体" w:hAnsi="宋体" w:eastAsia="宋体" w:cs="宋体"/>
          <w:color w:val="auto"/>
          <w:kern w:val="2"/>
          <w:sz w:val="21"/>
          <w:szCs w:val="21"/>
          <w:u w:val="none" w:color="000000"/>
          <w:lang w:val="en-US" w:eastAsia="zh-CN" w:bidi="ar-SA"/>
        </w:rPr>
      </w:pPr>
      <w:r>
        <w:rPr>
          <w:rFonts w:hint="eastAsia" w:ascii="宋体" w:hAnsi="宋体" w:eastAsia="宋体" w:cs="宋体"/>
          <w:color w:val="auto"/>
          <w:kern w:val="2"/>
          <w:sz w:val="21"/>
          <w:szCs w:val="21"/>
          <w:u w:val="none" w:color="000000"/>
          <w:lang w:val="en-US" w:eastAsia="zh-CN" w:bidi="ar-SA"/>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14:paraId="48C0E544">
      <w:pPr>
        <w:widowControl/>
        <w:kinsoku/>
        <w:topLinePunct w:val="0"/>
        <w:bidi w:val="0"/>
        <w:spacing w:before="100" w:beforeAutospacing="1" w:after="100" w:afterAutospacing="1" w:line="360" w:lineRule="auto"/>
        <w:ind w:firstLine="420"/>
        <w:jc w:val="left"/>
        <w:rPr>
          <w:rFonts w:hint="eastAsia" w:ascii="宋体" w:hAnsi="宋体" w:eastAsia="宋体" w:cs="宋体"/>
          <w:color w:val="auto"/>
          <w:kern w:val="2"/>
          <w:sz w:val="21"/>
          <w:szCs w:val="21"/>
          <w:u w:val="none" w:color="000000"/>
          <w:lang w:val="en-US" w:eastAsia="zh-CN" w:bidi="ar-SA"/>
        </w:rPr>
      </w:pPr>
      <w:r>
        <w:rPr>
          <w:rFonts w:hint="eastAsia" w:ascii="宋体" w:hAnsi="宋体" w:eastAsia="宋体" w:cs="宋体"/>
          <w:color w:val="auto"/>
          <w:kern w:val="2"/>
          <w:sz w:val="21"/>
          <w:szCs w:val="21"/>
          <w:u w:val="none" w:color="000000"/>
          <w:lang w:val="en-US" w:eastAsia="zh-CN" w:bidi="ar-SA"/>
        </w:rPr>
        <w:t>本单位对上述声明的真实性负责。如有虚假，将依法承担相应责任。</w:t>
      </w:r>
    </w:p>
    <w:p w14:paraId="5C629C7B">
      <w:pPr>
        <w:widowControl/>
        <w:kinsoku/>
        <w:topLinePunct w:val="0"/>
        <w:bidi w:val="0"/>
        <w:spacing w:before="100" w:beforeAutospacing="1" w:after="100" w:afterAutospacing="1" w:line="360" w:lineRule="auto"/>
        <w:ind w:firstLine="420"/>
        <w:jc w:val="left"/>
        <w:rPr>
          <w:rFonts w:hint="eastAsia" w:ascii="宋体" w:hAnsi="宋体" w:eastAsia="宋体" w:cs="宋体"/>
          <w:color w:val="auto"/>
          <w:kern w:val="2"/>
          <w:sz w:val="21"/>
          <w:szCs w:val="21"/>
          <w:u w:val="none" w:color="000000"/>
          <w:lang w:val="en-US" w:eastAsia="zh-CN" w:bidi="ar-SA"/>
        </w:rPr>
      </w:pPr>
      <w:r>
        <w:rPr>
          <w:rFonts w:hint="eastAsia" w:ascii="宋体" w:hAnsi="宋体" w:eastAsia="宋体" w:cs="宋体"/>
          <w:color w:val="auto"/>
          <w:kern w:val="2"/>
          <w:sz w:val="21"/>
          <w:szCs w:val="21"/>
          <w:u w:val="none" w:color="000000"/>
          <w:lang w:val="en-US" w:eastAsia="zh-CN" w:bidi="ar-SA"/>
        </w:rPr>
        <w:t xml:space="preserve">        残疾人福利性单位名称（盖单位章）：______________</w:t>
      </w:r>
    </w:p>
    <w:p w14:paraId="710647A8">
      <w:pPr>
        <w:widowControl/>
        <w:kinsoku/>
        <w:topLinePunct w:val="0"/>
        <w:bidi w:val="0"/>
        <w:spacing w:before="100" w:beforeAutospacing="1" w:after="100" w:afterAutospacing="1" w:line="360" w:lineRule="auto"/>
        <w:ind w:firstLine="420"/>
        <w:jc w:val="left"/>
        <w:rPr>
          <w:rFonts w:hint="eastAsia" w:ascii="宋体" w:hAnsi="宋体" w:eastAsia="宋体" w:cs="宋体"/>
          <w:kern w:val="0"/>
          <w:sz w:val="24"/>
          <w:szCs w:val="20"/>
        </w:rPr>
      </w:pPr>
      <w:r>
        <w:rPr>
          <w:rFonts w:hint="eastAsia" w:ascii="宋体" w:hAnsi="宋体" w:eastAsia="宋体" w:cs="宋体"/>
          <w:color w:val="auto"/>
          <w:kern w:val="2"/>
          <w:sz w:val="21"/>
          <w:szCs w:val="21"/>
          <w:u w:val="none" w:color="000000"/>
          <w:lang w:val="en-US" w:eastAsia="zh-CN" w:bidi="ar-SA"/>
        </w:rPr>
        <w:t xml:space="preserve">         日  期：____________________</w:t>
      </w:r>
      <w:r>
        <w:rPr>
          <w:rFonts w:hint="eastAsia" w:ascii="宋体" w:hAnsi="宋体" w:eastAsia="宋体" w:cs="宋体"/>
          <w:kern w:val="0"/>
          <w:sz w:val="24"/>
          <w:szCs w:val="20"/>
        </w:rPr>
        <w:t>_________________________</w:t>
      </w:r>
    </w:p>
    <w:p w14:paraId="11F11911">
      <w:pPr>
        <w:pStyle w:val="3"/>
        <w:numPr>
          <w:ilvl w:val="0"/>
          <w:numId w:val="0"/>
        </w:numPr>
        <w:shd w:val="clear" w:color="auto" w:fill="auto"/>
        <w:spacing w:before="0" w:line="360" w:lineRule="auto"/>
        <w:rPr>
          <w:rFonts w:hint="eastAsia" w:ascii="宋体" w:hAnsi="宋体" w:eastAsia="宋体" w:cs="宋体"/>
          <w:color w:val="auto"/>
          <w:sz w:val="24"/>
          <w:highlight w:val="none"/>
        </w:rPr>
      </w:pPr>
    </w:p>
    <w:p w14:paraId="1CD3FB53">
      <w:pPr>
        <w:pStyle w:val="3"/>
        <w:numPr>
          <w:ilvl w:val="0"/>
          <w:numId w:val="0"/>
        </w:numPr>
        <w:shd w:val="clear" w:color="auto" w:fill="auto"/>
        <w:spacing w:before="0" w:line="360" w:lineRule="auto"/>
        <w:rPr>
          <w:rFonts w:hint="eastAsia" w:ascii="宋体" w:hAnsi="宋体" w:eastAsia="宋体" w:cs="宋体"/>
          <w:color w:val="auto"/>
          <w:sz w:val="24"/>
          <w:highlight w:val="none"/>
        </w:rPr>
      </w:pPr>
    </w:p>
    <w:p w14:paraId="6AE0D18F">
      <w:pPr>
        <w:pStyle w:val="90"/>
        <w:ind w:left="0" w:leftChars="0" w:firstLine="0" w:firstLineChars="0"/>
        <w:rPr>
          <w:rFonts w:hint="eastAsia" w:ascii="宋体" w:hAnsi="宋体" w:eastAsia="宋体" w:cs="宋体"/>
          <w:color w:val="auto"/>
          <w:sz w:val="24"/>
          <w:highlight w:val="none"/>
        </w:rPr>
      </w:pPr>
    </w:p>
    <w:p w14:paraId="2CC48222">
      <w:pPr>
        <w:pStyle w:val="90"/>
        <w:rPr>
          <w:rFonts w:hint="eastAsia" w:ascii="宋体" w:hAnsi="宋体" w:eastAsia="宋体" w:cs="宋体"/>
          <w:color w:val="auto"/>
          <w:sz w:val="24"/>
          <w:highlight w:val="none"/>
        </w:rPr>
      </w:pPr>
    </w:p>
    <w:bookmarkEnd w:id="97"/>
    <w:bookmarkEnd w:id="98"/>
    <w:bookmarkEnd w:id="99"/>
    <w:bookmarkEnd w:id="100"/>
    <w:p w14:paraId="7C287D45">
      <w:pPr>
        <w:rPr>
          <w:rFonts w:hint="eastAsia" w:ascii="宋体" w:hAnsi="宋体" w:eastAsia="宋体" w:cs="宋体"/>
          <w:b/>
          <w:bCs/>
          <w:color w:val="auto"/>
          <w:sz w:val="28"/>
          <w:szCs w:val="28"/>
          <w:lang w:val="en-US" w:eastAsia="zh-CN"/>
        </w:rPr>
      </w:pPr>
      <w:bookmarkStart w:id="103" w:name="_Toc1266"/>
      <w:bookmarkStart w:id="104" w:name="_Toc23473"/>
      <w:bookmarkStart w:id="105" w:name="_Toc10107"/>
    </w:p>
    <w:p w14:paraId="4A83A279">
      <w:pPr>
        <w:rPr>
          <w:rFonts w:hint="eastAsia" w:ascii="宋体" w:hAnsi="宋体" w:eastAsia="宋体" w:cs="宋体"/>
          <w:b/>
          <w:bCs/>
          <w:color w:val="auto"/>
          <w:sz w:val="28"/>
          <w:szCs w:val="28"/>
          <w:lang w:val="en-US" w:eastAsia="zh-CN"/>
        </w:rPr>
      </w:pPr>
    </w:p>
    <w:p w14:paraId="23411644">
      <w:pPr>
        <w:rPr>
          <w:rFonts w:hint="eastAsia" w:ascii="宋体" w:hAnsi="宋体" w:eastAsia="宋体" w:cs="宋体"/>
          <w:b/>
          <w:bCs/>
          <w:color w:val="auto"/>
          <w:sz w:val="28"/>
          <w:szCs w:val="28"/>
          <w:lang w:val="en-US" w:eastAsia="zh-CN"/>
        </w:rPr>
      </w:pPr>
    </w:p>
    <w:p w14:paraId="22152720">
      <w:pPr>
        <w:rPr>
          <w:rFonts w:hint="eastAsia" w:ascii="宋体" w:hAnsi="宋体" w:eastAsia="宋体" w:cs="宋体"/>
          <w:b/>
          <w:bCs/>
          <w:color w:val="auto"/>
          <w:sz w:val="28"/>
          <w:szCs w:val="28"/>
          <w:lang w:val="en-US" w:eastAsia="zh-CN"/>
        </w:rPr>
      </w:pPr>
    </w:p>
    <w:p w14:paraId="141E560E">
      <w:pPr>
        <w:rPr>
          <w:rFonts w:hint="eastAsia" w:ascii="宋体" w:hAnsi="宋体" w:eastAsia="宋体" w:cs="宋体"/>
          <w:b/>
          <w:bCs/>
          <w:color w:val="auto"/>
          <w:sz w:val="28"/>
          <w:szCs w:val="28"/>
          <w:lang w:val="en-US" w:eastAsia="zh-CN"/>
        </w:rPr>
      </w:pPr>
    </w:p>
    <w:p w14:paraId="1818AC75">
      <w:pPr>
        <w:rPr>
          <w:rFonts w:hint="eastAsia" w:ascii="宋体" w:hAnsi="宋体" w:eastAsia="宋体" w:cs="宋体"/>
          <w:b/>
          <w:bCs/>
          <w:color w:val="auto"/>
          <w:sz w:val="28"/>
          <w:szCs w:val="28"/>
          <w:lang w:val="en-US" w:eastAsia="zh-CN"/>
        </w:rPr>
      </w:pPr>
    </w:p>
    <w:p w14:paraId="006AAB0C">
      <w:pPr>
        <w:pStyle w:val="15"/>
        <w:shd w:val="clear" w:color="auto" w:fill="auto"/>
        <w:tabs>
          <w:tab w:val="left" w:pos="5580"/>
        </w:tabs>
        <w:spacing w:line="240" w:lineRule="atLeast"/>
        <w:rPr>
          <w:rFonts w:hint="eastAsia" w:ascii="宋体" w:hAnsi="宋体" w:eastAsia="宋体" w:cs="宋体"/>
          <w:color w:val="auto"/>
          <w:highlight w:val="none"/>
        </w:rPr>
      </w:pPr>
    </w:p>
    <w:p w14:paraId="649EE334">
      <w:pPr>
        <w:pStyle w:val="15"/>
        <w:shd w:val="clear" w:color="auto" w:fill="auto"/>
        <w:tabs>
          <w:tab w:val="left" w:pos="5580"/>
        </w:tabs>
        <w:spacing w:line="360" w:lineRule="auto"/>
        <w:ind w:left="272" w:leftChars="128"/>
        <w:rPr>
          <w:rFonts w:hint="eastAsia" w:ascii="宋体" w:hAnsi="宋体" w:eastAsia="宋体" w:cs="宋体"/>
          <w:b/>
          <w:bCs/>
          <w:color w:val="auto"/>
          <w:sz w:val="24"/>
          <w:highlight w:val="none"/>
          <w:lang w:val="en-US" w:eastAsia="zh-CN"/>
        </w:rPr>
      </w:pPr>
    </w:p>
    <w:p w14:paraId="143C00C5">
      <w:pPr>
        <w:pStyle w:val="15"/>
        <w:shd w:val="clear" w:color="auto" w:fill="auto"/>
        <w:tabs>
          <w:tab w:val="left" w:pos="5580"/>
        </w:tabs>
        <w:spacing w:line="360" w:lineRule="auto"/>
        <w:rPr>
          <w:rFonts w:hint="eastAsia" w:ascii="宋体" w:hAnsi="宋体" w:eastAsia="宋体" w:cs="宋体"/>
          <w:b/>
          <w:bCs/>
          <w:color w:val="auto"/>
          <w:sz w:val="24"/>
          <w:highlight w:val="none"/>
          <w:lang w:val="en-US" w:eastAsia="zh-CN"/>
        </w:rPr>
      </w:pPr>
    </w:p>
    <w:p w14:paraId="1605A80C">
      <w:pPr>
        <w:pStyle w:val="15"/>
        <w:shd w:val="clear" w:color="auto" w:fill="auto"/>
        <w:tabs>
          <w:tab w:val="left" w:pos="5580"/>
        </w:tabs>
        <w:spacing w:line="360" w:lineRule="auto"/>
        <w:rPr>
          <w:rFonts w:hint="eastAsia" w:ascii="宋体" w:hAnsi="宋体" w:eastAsia="宋体" w:cs="宋体"/>
          <w:b/>
          <w:bCs/>
          <w:color w:val="auto"/>
          <w:sz w:val="24"/>
          <w:highlight w:val="none"/>
          <w:lang w:val="en-US" w:eastAsia="zh-CN"/>
        </w:rPr>
      </w:pPr>
    </w:p>
    <w:p w14:paraId="66492D66">
      <w:pPr>
        <w:pStyle w:val="15"/>
        <w:shd w:val="clear" w:color="auto" w:fill="auto"/>
        <w:tabs>
          <w:tab w:val="left" w:pos="5580"/>
        </w:tabs>
        <w:spacing w:line="360" w:lineRule="auto"/>
        <w:rPr>
          <w:rFonts w:hint="eastAsia" w:ascii="宋体" w:hAnsi="宋体" w:eastAsia="宋体" w:cs="宋体"/>
          <w:b/>
          <w:bCs/>
          <w:color w:val="auto"/>
          <w:sz w:val="24"/>
          <w:highlight w:val="none"/>
          <w:lang w:val="en-US" w:eastAsia="zh-CN"/>
        </w:rPr>
      </w:pPr>
    </w:p>
    <w:p w14:paraId="7E50127A">
      <w:pPr>
        <w:pStyle w:val="15"/>
        <w:shd w:val="clear" w:color="auto" w:fill="auto"/>
        <w:tabs>
          <w:tab w:val="left" w:pos="5580"/>
        </w:tabs>
        <w:spacing w:line="360" w:lineRule="auto"/>
        <w:ind w:left="272" w:leftChars="128"/>
        <w:rPr>
          <w:rFonts w:hint="eastAsia" w:ascii="宋体" w:hAnsi="宋体" w:eastAsia="宋体" w:cs="宋体"/>
          <w:color w:val="auto"/>
          <w:sz w:val="24"/>
          <w:highlight w:val="none"/>
          <w:lang w:val="en-US" w:eastAsia="zh-CN"/>
        </w:rPr>
      </w:pPr>
      <w:r>
        <w:rPr>
          <w:rFonts w:hint="eastAsia" w:ascii="宋体" w:hAnsi="宋体" w:eastAsia="宋体" w:cs="宋体"/>
          <w:b/>
          <w:bCs/>
          <w:color w:val="auto"/>
          <w:sz w:val="24"/>
          <w:highlight w:val="none"/>
          <w:lang w:val="en-US" w:eastAsia="zh-CN"/>
        </w:rPr>
        <w:t>投标文件格式</w:t>
      </w:r>
      <w:r>
        <w:rPr>
          <w:rFonts w:hint="eastAsia" w:hAnsi="宋体" w:cs="宋体"/>
          <w:b/>
          <w:bCs/>
          <w:color w:val="auto"/>
          <w:sz w:val="24"/>
          <w:highlight w:val="none"/>
          <w:lang w:val="en-US" w:eastAsia="zh-CN"/>
        </w:rPr>
        <w:t>6</w:t>
      </w:r>
      <w:r>
        <w:rPr>
          <w:rFonts w:hint="eastAsia" w:ascii="宋体" w:hAnsi="宋体" w:eastAsia="宋体" w:cs="宋体"/>
          <w:color w:val="auto"/>
          <w:sz w:val="24"/>
          <w:highlight w:val="none"/>
          <w:lang w:val="en-US" w:eastAsia="zh-CN"/>
        </w:rPr>
        <w:t>：</w:t>
      </w:r>
    </w:p>
    <w:p w14:paraId="1CBA7B0E">
      <w:pPr>
        <w:pStyle w:val="11"/>
        <w:numPr>
          <w:ilvl w:val="0"/>
          <w:numId w:val="0"/>
        </w:numPr>
        <w:kinsoku w:val="0"/>
        <w:overflowPunct w:val="0"/>
        <w:spacing w:before="130" w:line="360" w:lineRule="auto"/>
        <w:ind w:left="480" w:leftChars="0" w:right="7" w:rightChars="0"/>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投标函</w:t>
      </w:r>
    </w:p>
    <w:p w14:paraId="0B019354">
      <w:pPr>
        <w:keepNext w:val="0"/>
        <w:keepLines w:val="0"/>
        <w:pageBreakBefore w:val="0"/>
        <w:widowControl w:val="0"/>
        <w:topLinePunct w:val="0"/>
        <w:autoSpaceDE/>
        <w:autoSpaceDN/>
        <w:bidi w:val="0"/>
        <w:adjustRightInd/>
        <w:snapToGrid/>
        <w:spacing w:line="360" w:lineRule="auto"/>
        <w:textAlignment w:val="auto"/>
        <w:rPr>
          <w:rFonts w:hint="eastAsia" w:ascii="宋体" w:hAnsi="宋体" w:eastAsia="宋体" w:cs="宋体"/>
          <w:color w:val="auto"/>
          <w:kern w:val="0"/>
          <w:sz w:val="21"/>
          <w:szCs w:val="21"/>
          <w:u w:val="single"/>
          <w:lang w:eastAsia="zh-CN"/>
        </w:rPr>
      </w:pPr>
      <w:r>
        <w:rPr>
          <w:rFonts w:hint="eastAsia" w:ascii="宋体" w:hAnsi="宋体" w:eastAsia="宋体" w:cs="宋体"/>
          <w:color w:val="auto"/>
          <w:kern w:val="0"/>
          <w:sz w:val="21"/>
          <w:szCs w:val="21"/>
        </w:rPr>
        <w:t>致：</w:t>
      </w:r>
      <w:r>
        <w:rPr>
          <w:rFonts w:hint="eastAsia" w:ascii="宋体" w:hAnsi="宋体" w:eastAsia="宋体" w:cs="宋体"/>
          <w:sz w:val="21"/>
          <w:szCs w:val="21"/>
          <w:u w:val="single"/>
          <w:lang w:eastAsia="zh-CN"/>
        </w:rPr>
        <w:t>（</w:t>
      </w:r>
      <w:r>
        <w:rPr>
          <w:rFonts w:hint="eastAsia" w:ascii="宋体" w:hAnsi="宋体" w:eastAsia="宋体" w:cs="宋体"/>
          <w:sz w:val="21"/>
          <w:szCs w:val="21"/>
          <w:u w:val="single"/>
        </w:rPr>
        <w:t>采购代理机构</w:t>
      </w:r>
      <w:r>
        <w:rPr>
          <w:rFonts w:hint="eastAsia" w:ascii="宋体" w:hAnsi="宋体" w:eastAsia="宋体" w:cs="宋体"/>
          <w:sz w:val="21"/>
          <w:szCs w:val="21"/>
          <w:u w:val="single"/>
          <w:lang w:eastAsia="zh-CN"/>
        </w:rPr>
        <w:t>）</w:t>
      </w:r>
    </w:p>
    <w:p w14:paraId="792E7309">
      <w:pPr>
        <w:keepNext w:val="0"/>
        <w:keepLines w:val="0"/>
        <w:pageBreakBefore w:val="0"/>
        <w:widowControl w:val="0"/>
        <w:topLinePunct w:val="0"/>
        <w:autoSpaceDE/>
        <w:autoSpaceDN/>
        <w:bidi w:val="0"/>
        <w:adjustRightInd/>
        <w:snapToGrid/>
        <w:spacing w:line="360" w:lineRule="auto"/>
        <w:ind w:firstLine="426"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为响应你方组织的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项目的招标项目编号为：</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，我方愿参与投标。</w:t>
      </w:r>
    </w:p>
    <w:p w14:paraId="206B46D8">
      <w:pPr>
        <w:keepNext w:val="0"/>
        <w:keepLines w:val="0"/>
        <w:pageBreakBefore w:val="0"/>
        <w:widowControl w:val="0"/>
        <w:topLinePunct w:val="0"/>
        <w:autoSpaceDE/>
        <w:autoSpaceDN/>
        <w:bidi w:val="0"/>
        <w:adjustRightInd/>
        <w:snapToGrid/>
        <w:spacing w:line="360" w:lineRule="auto"/>
        <w:ind w:firstLine="426"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我方确认收到贵方提供的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none"/>
        </w:rPr>
        <w:t>招标</w:t>
      </w:r>
      <w:r>
        <w:rPr>
          <w:rFonts w:hint="eastAsia" w:ascii="宋体" w:hAnsi="宋体" w:eastAsia="宋体" w:cs="宋体"/>
          <w:color w:val="auto"/>
          <w:kern w:val="0"/>
          <w:sz w:val="21"/>
          <w:szCs w:val="21"/>
        </w:rPr>
        <w:t>文件的全部内容</w:t>
      </w:r>
      <w:r>
        <w:rPr>
          <w:rFonts w:hint="eastAsia" w:ascii="宋体" w:hAnsi="宋体" w:eastAsia="宋体" w:cs="宋体"/>
          <w:color w:val="auto"/>
          <w:kern w:val="0"/>
          <w:sz w:val="21"/>
          <w:szCs w:val="21"/>
          <w:u w:val="none"/>
        </w:rPr>
        <w:t>。并出具的金额为人民币</w:t>
      </w:r>
      <w:r>
        <w:rPr>
          <w:rFonts w:hint="eastAsia" w:ascii="宋体" w:hAnsi="宋体" w:eastAsia="宋体" w:cs="宋体"/>
          <w:i/>
          <w:iCs/>
          <w:color w:val="auto"/>
          <w:kern w:val="0"/>
          <w:sz w:val="21"/>
          <w:szCs w:val="21"/>
          <w:u w:val="single"/>
          <w:lang w:val="en-US" w:eastAsia="zh-CN"/>
        </w:rPr>
        <w:t xml:space="preserve">           </w:t>
      </w:r>
      <w:r>
        <w:rPr>
          <w:rFonts w:hint="eastAsia" w:ascii="宋体" w:hAnsi="宋体" w:eastAsia="宋体" w:cs="宋体"/>
          <w:color w:val="auto"/>
          <w:kern w:val="0"/>
          <w:sz w:val="21"/>
          <w:szCs w:val="21"/>
          <w:u w:val="none"/>
        </w:rPr>
        <w:t>元的投标保证金。</w:t>
      </w:r>
    </w:p>
    <w:p w14:paraId="7A80A4E0">
      <w:pPr>
        <w:keepNext w:val="0"/>
        <w:keepLines w:val="0"/>
        <w:pageBreakBefore w:val="0"/>
        <w:widowControl w:val="0"/>
        <w:topLinePunct w:val="0"/>
        <w:autoSpaceDE/>
        <w:autoSpaceDN/>
        <w:bidi w:val="0"/>
        <w:adjustRightInd/>
        <w:snapToGrid/>
        <w:spacing w:line="360" w:lineRule="auto"/>
        <w:ind w:firstLine="426"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报价投标人的内容，我方同意招标文件的相关条款，放弃对招标文件提出误解和质疑的一切权力。</w:t>
      </w:r>
    </w:p>
    <w:p w14:paraId="68D49409">
      <w:pPr>
        <w:keepNext w:val="0"/>
        <w:keepLines w:val="0"/>
        <w:pageBreakBefore w:val="0"/>
        <w:widowControl w:val="0"/>
        <w:topLinePunct w:val="0"/>
        <w:autoSpaceDE/>
        <w:autoSpaceDN/>
        <w:bidi w:val="0"/>
        <w:adjustRightInd/>
        <w:snapToGrid/>
        <w:spacing w:line="360" w:lineRule="auto"/>
        <w:ind w:firstLine="426"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u w:val="single"/>
        </w:rPr>
        <w:t xml:space="preserve">      (投标人名称)      </w:t>
      </w:r>
      <w:r>
        <w:rPr>
          <w:rFonts w:hint="eastAsia" w:ascii="宋体" w:hAnsi="宋体" w:eastAsia="宋体" w:cs="宋体"/>
          <w:color w:val="auto"/>
          <w:kern w:val="0"/>
          <w:sz w:val="21"/>
          <w:szCs w:val="21"/>
        </w:rPr>
        <w:t>作为投标人正式授权</w:t>
      </w:r>
      <w:r>
        <w:rPr>
          <w:rFonts w:hint="eastAsia" w:ascii="宋体" w:hAnsi="宋体" w:eastAsia="宋体" w:cs="宋体"/>
          <w:color w:val="auto"/>
          <w:kern w:val="0"/>
          <w:sz w:val="21"/>
          <w:szCs w:val="21"/>
          <w:u w:val="single"/>
        </w:rPr>
        <w:t xml:space="preserve">  (授权代表全名, 职务)  </w:t>
      </w:r>
      <w:r>
        <w:rPr>
          <w:rFonts w:hint="eastAsia" w:ascii="宋体" w:hAnsi="宋体" w:eastAsia="宋体" w:cs="宋体"/>
          <w:color w:val="auto"/>
          <w:kern w:val="0"/>
          <w:sz w:val="21"/>
          <w:szCs w:val="21"/>
        </w:rPr>
        <w:t>代表我方全权处理有关本报价的一切事宜。</w:t>
      </w:r>
    </w:p>
    <w:p w14:paraId="5178BD1B">
      <w:pPr>
        <w:keepNext w:val="0"/>
        <w:keepLines w:val="0"/>
        <w:pageBreakBefore w:val="0"/>
        <w:widowControl w:val="0"/>
        <w:topLinePunct w:val="0"/>
        <w:autoSpaceDE/>
        <w:autoSpaceDN/>
        <w:bidi w:val="0"/>
        <w:adjustRightInd/>
        <w:snapToGrid/>
        <w:spacing w:line="360" w:lineRule="auto"/>
        <w:ind w:firstLine="426"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我方已完全明白招标文件的所有条款要求，并申明如下：</w:t>
      </w:r>
    </w:p>
    <w:p w14:paraId="7D5C1369">
      <w:pPr>
        <w:spacing w:line="360" w:lineRule="auto"/>
        <w:ind w:firstLine="426"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（一）按招标文件提供的全部货物与相关服务的投标总价详见《</w:t>
      </w:r>
      <w:r>
        <w:rPr>
          <w:rFonts w:hint="eastAsia" w:ascii="宋体" w:hAnsi="宋体" w:eastAsia="宋体" w:cs="宋体"/>
          <w:color w:val="auto"/>
          <w:kern w:val="0"/>
          <w:sz w:val="21"/>
          <w:szCs w:val="21"/>
          <w:lang w:val="en-US" w:eastAsia="zh-CN"/>
        </w:rPr>
        <w:t>开标</w:t>
      </w:r>
      <w:r>
        <w:rPr>
          <w:rFonts w:hint="eastAsia" w:ascii="宋体" w:hAnsi="宋体" w:eastAsia="宋体" w:cs="宋体"/>
          <w:color w:val="auto"/>
          <w:kern w:val="0"/>
          <w:sz w:val="21"/>
          <w:szCs w:val="21"/>
        </w:rPr>
        <w:t>一览表》。</w:t>
      </w:r>
    </w:p>
    <w:p w14:paraId="13FB79A7">
      <w:pPr>
        <w:spacing w:line="360" w:lineRule="auto"/>
        <w:ind w:firstLine="426"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（二）本投标文件的有效期为投标截止时间起</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6CE52C6F">
      <w:pPr>
        <w:spacing w:line="360" w:lineRule="auto"/>
        <w:ind w:firstLine="426"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（三）我方同意按照贵方可能提出的要求而提供与投标有关的任何其它数据、信息或资料。</w:t>
      </w:r>
    </w:p>
    <w:p w14:paraId="4AA44593">
      <w:pPr>
        <w:spacing w:line="360" w:lineRule="auto"/>
        <w:ind w:firstLine="426"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四</w:t>
      </w:r>
      <w:r>
        <w:rPr>
          <w:rFonts w:hint="eastAsia" w:ascii="宋体" w:hAnsi="宋体" w:eastAsia="宋体" w:cs="宋体"/>
          <w:color w:val="auto"/>
          <w:kern w:val="0"/>
          <w:sz w:val="21"/>
          <w:szCs w:val="21"/>
        </w:rPr>
        <w:t>）我方理解贵方不一定接受最低投标价或任何贵方可能收到的投标。</w:t>
      </w:r>
    </w:p>
    <w:p w14:paraId="31BC7F1A">
      <w:pPr>
        <w:spacing w:line="360" w:lineRule="auto"/>
        <w:ind w:firstLine="426"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五</w:t>
      </w:r>
      <w:r>
        <w:rPr>
          <w:rFonts w:hint="eastAsia" w:ascii="宋体" w:hAnsi="宋体" w:eastAsia="宋体" w:cs="宋体"/>
          <w:color w:val="auto"/>
          <w:kern w:val="0"/>
          <w:sz w:val="21"/>
          <w:szCs w:val="21"/>
        </w:rPr>
        <w:t>）我方如果中标，将保证履行招标文件及其澄清、修改文件（如果有）中的全部责任和义务，按质、按量、按期完成《招标内容》及《合同书》中的全部任务。</w:t>
      </w:r>
    </w:p>
    <w:p w14:paraId="223D33FE">
      <w:pPr>
        <w:spacing w:line="360" w:lineRule="auto"/>
        <w:ind w:firstLine="426" w:firstLineChars="200"/>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六</w:t>
      </w:r>
      <w:r>
        <w:rPr>
          <w:rFonts w:hint="eastAsia" w:ascii="宋体" w:hAnsi="宋体" w:eastAsia="宋体" w:cs="宋体"/>
          <w:color w:val="auto"/>
          <w:kern w:val="0"/>
          <w:sz w:val="21"/>
          <w:szCs w:val="21"/>
        </w:rPr>
        <w:t>）如我方被授予合同，我方承诺一次性支付就本次招标应支付或将支付的中标服务费。</w:t>
      </w:r>
    </w:p>
    <w:p w14:paraId="6107232E">
      <w:pPr>
        <w:spacing w:line="360" w:lineRule="auto"/>
        <w:ind w:firstLine="426"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七</w:t>
      </w:r>
      <w:r>
        <w:rPr>
          <w:rFonts w:hint="eastAsia" w:ascii="宋体" w:hAnsi="宋体" w:eastAsia="宋体" w:cs="宋体"/>
          <w:color w:val="auto"/>
          <w:kern w:val="0"/>
          <w:sz w:val="21"/>
          <w:szCs w:val="21"/>
        </w:rPr>
        <w:t>）我方作为在法律、财务和运作上独立于采购人、招标代理机构的投标人，在此保证所提交的所有文件和全部说明是真实的和正确的。</w:t>
      </w:r>
    </w:p>
    <w:p w14:paraId="20F7A1D8">
      <w:pPr>
        <w:spacing w:line="360" w:lineRule="auto"/>
        <w:ind w:firstLine="426"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八</w:t>
      </w:r>
      <w:r>
        <w:rPr>
          <w:rFonts w:hint="eastAsia" w:ascii="宋体" w:hAnsi="宋体" w:eastAsia="宋体" w:cs="宋体"/>
          <w:color w:val="auto"/>
          <w:kern w:val="0"/>
          <w:sz w:val="21"/>
          <w:szCs w:val="21"/>
        </w:rPr>
        <w:t>）我方投标报价已包含应向知识产权所有权人支付的所有相关税费，并保证采购人在中国使用我方提供的货物时，如有第三方提出侵犯其知识产权主张的，责任由我方承担。</w:t>
      </w:r>
    </w:p>
    <w:p w14:paraId="0456DF1D">
      <w:pPr>
        <w:spacing w:line="360" w:lineRule="auto"/>
        <w:ind w:firstLine="426"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九</w:t>
      </w:r>
      <w:r>
        <w:rPr>
          <w:rFonts w:hint="eastAsia" w:ascii="宋体" w:hAnsi="宋体" w:eastAsia="宋体" w:cs="宋体"/>
          <w:color w:val="auto"/>
          <w:kern w:val="0"/>
          <w:sz w:val="21"/>
          <w:szCs w:val="21"/>
        </w:rPr>
        <w:t>）我方与其他投标人不存在单位负责人为同一人或者存在直接控股、管理关系。</w:t>
      </w:r>
    </w:p>
    <w:p w14:paraId="434A50AA">
      <w:pPr>
        <w:spacing w:line="360" w:lineRule="auto"/>
        <w:ind w:firstLine="426"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（十）我方承诺未为本项目提供整体设计、规范编制或者项目管理、监理、检测等服务。</w:t>
      </w:r>
    </w:p>
    <w:p w14:paraId="79DF4D4C">
      <w:pPr>
        <w:spacing w:line="360" w:lineRule="auto"/>
        <w:ind w:firstLine="426"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（十</w:t>
      </w:r>
      <w:r>
        <w:rPr>
          <w:rFonts w:hint="eastAsia" w:ascii="宋体" w:hAnsi="宋体" w:eastAsia="宋体" w:cs="宋体"/>
          <w:color w:val="auto"/>
          <w:kern w:val="0"/>
          <w:sz w:val="21"/>
          <w:szCs w:val="21"/>
          <w:lang w:eastAsia="zh-CN"/>
        </w:rPr>
        <w:t>一</w:t>
      </w:r>
      <w:r>
        <w:rPr>
          <w:rFonts w:hint="eastAsia" w:ascii="宋体" w:hAnsi="宋体" w:eastAsia="宋体" w:cs="宋体"/>
          <w:color w:val="auto"/>
          <w:kern w:val="0"/>
          <w:sz w:val="21"/>
          <w:szCs w:val="21"/>
        </w:rPr>
        <w:t>）我方具备《政府采购法》第二十二条规定的条件，承诺如下：</w:t>
      </w:r>
    </w:p>
    <w:p w14:paraId="2768C2BE">
      <w:pPr>
        <w:keepNext w:val="0"/>
        <w:keepLines w:val="0"/>
        <w:pageBreakBefore w:val="0"/>
        <w:widowControl w:val="0"/>
        <w:topLinePunct w:val="0"/>
        <w:autoSpaceDE/>
        <w:autoSpaceDN/>
        <w:bidi w:val="0"/>
        <w:adjustRightInd/>
        <w:snapToGrid/>
        <w:spacing w:line="360" w:lineRule="auto"/>
        <w:ind w:firstLine="426"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（1）我方已依法缴纳了各项税费及社会保险费用，如有需要，可随时向采购人提供近三个月内的相关缴费证明，以便核查。</w:t>
      </w:r>
    </w:p>
    <w:p w14:paraId="3E7CE520">
      <w:pPr>
        <w:keepNext w:val="0"/>
        <w:keepLines w:val="0"/>
        <w:pageBreakBefore w:val="0"/>
        <w:widowControl w:val="0"/>
        <w:topLinePunct w:val="0"/>
        <w:autoSpaceDE/>
        <w:autoSpaceDN/>
        <w:bidi w:val="0"/>
        <w:adjustRightInd/>
        <w:snapToGrid/>
        <w:spacing w:line="360" w:lineRule="auto"/>
        <w:ind w:firstLine="426"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（2）我方已依法建立健全的财务会计制度，如有需要，可随时向采购人提供相关的证明材料，以便核查。</w:t>
      </w:r>
    </w:p>
    <w:p w14:paraId="233203B2">
      <w:pPr>
        <w:keepNext w:val="0"/>
        <w:keepLines w:val="0"/>
        <w:pageBreakBefore w:val="0"/>
        <w:widowControl w:val="0"/>
        <w:topLinePunct w:val="0"/>
        <w:autoSpaceDE/>
        <w:autoSpaceDN/>
        <w:bidi w:val="0"/>
        <w:adjustRightInd/>
        <w:snapToGrid/>
        <w:spacing w:line="360" w:lineRule="auto"/>
        <w:ind w:firstLine="426"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（3）我方参加本项目政府采购活动前3年内在经营活动中没有重大违法记录。</w:t>
      </w:r>
    </w:p>
    <w:p w14:paraId="431EEA68">
      <w:pPr>
        <w:keepNext w:val="0"/>
        <w:keepLines w:val="0"/>
        <w:pageBreakBefore w:val="0"/>
        <w:widowControl w:val="0"/>
        <w:topLinePunct w:val="0"/>
        <w:autoSpaceDE/>
        <w:autoSpaceDN/>
        <w:bidi w:val="0"/>
        <w:adjustRightInd/>
        <w:snapToGrid/>
        <w:spacing w:line="360" w:lineRule="auto"/>
        <w:ind w:firstLine="426"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（4）我方具备履行合同所必需的设备和专业技术能力。</w:t>
      </w:r>
    </w:p>
    <w:p w14:paraId="2B95EEA9">
      <w:pPr>
        <w:keepNext w:val="0"/>
        <w:keepLines w:val="0"/>
        <w:pageBreakBefore w:val="0"/>
        <w:widowControl w:val="0"/>
        <w:topLinePunct w:val="0"/>
        <w:autoSpaceDE/>
        <w:autoSpaceDN/>
        <w:bidi w:val="0"/>
        <w:adjustRightInd/>
        <w:snapToGrid/>
        <w:spacing w:line="360" w:lineRule="auto"/>
        <w:ind w:firstLine="426"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（5）我方符合法律、行政法规规定的其他条件。</w:t>
      </w:r>
    </w:p>
    <w:p w14:paraId="25D0CE7F">
      <w:pPr>
        <w:keepNext w:val="0"/>
        <w:keepLines w:val="0"/>
        <w:pageBreakBefore w:val="0"/>
        <w:widowControl w:val="0"/>
        <w:topLinePunct w:val="0"/>
        <w:autoSpaceDE/>
        <w:autoSpaceDN/>
        <w:bidi w:val="0"/>
        <w:adjustRightInd/>
        <w:snapToGrid/>
        <w:spacing w:line="360" w:lineRule="auto"/>
        <w:ind w:firstLine="426"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以上内容如有虚假或与事实不符的，评审委员会可将我方做无效投标处理，我方愿意承担相应的法律责任。</w:t>
      </w:r>
    </w:p>
    <w:p w14:paraId="69CAE4F8">
      <w:pPr>
        <w:keepNext w:val="0"/>
        <w:keepLines w:val="0"/>
        <w:pageBreakBefore w:val="0"/>
        <w:widowControl w:val="0"/>
        <w:topLinePunct w:val="0"/>
        <w:autoSpaceDE/>
        <w:autoSpaceDN/>
        <w:bidi w:val="0"/>
        <w:adjustRightInd/>
        <w:snapToGrid/>
        <w:spacing w:line="360" w:lineRule="auto"/>
        <w:ind w:firstLine="426"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（十</w:t>
      </w:r>
      <w:r>
        <w:rPr>
          <w:rFonts w:hint="eastAsia" w:ascii="宋体" w:hAnsi="宋体" w:eastAsia="宋体" w:cs="宋体"/>
          <w:color w:val="auto"/>
          <w:kern w:val="0"/>
          <w:sz w:val="21"/>
          <w:szCs w:val="21"/>
          <w:lang w:val="en-US" w:eastAsia="zh-CN"/>
        </w:rPr>
        <w:t>二</w:t>
      </w:r>
      <w:r>
        <w:rPr>
          <w:rFonts w:hint="eastAsia" w:ascii="宋体" w:hAnsi="宋体" w:eastAsia="宋体" w:cs="宋体"/>
          <w:color w:val="auto"/>
          <w:kern w:val="0"/>
          <w:sz w:val="21"/>
          <w:szCs w:val="21"/>
        </w:rPr>
        <w:t>）我方对在本函及投标文件中所作的所有承诺承担法律责任。</w:t>
      </w:r>
    </w:p>
    <w:p w14:paraId="79D9942C">
      <w:pPr>
        <w:keepNext w:val="0"/>
        <w:keepLines w:val="0"/>
        <w:pageBreakBefore w:val="0"/>
        <w:widowControl w:val="0"/>
        <w:topLinePunct w:val="0"/>
        <w:autoSpaceDE/>
        <w:autoSpaceDN/>
        <w:bidi w:val="0"/>
        <w:adjustRightInd/>
        <w:snapToGrid/>
        <w:spacing w:line="360" w:lineRule="auto"/>
        <w:ind w:firstLine="426"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（十</w:t>
      </w:r>
      <w:r>
        <w:rPr>
          <w:rFonts w:hint="eastAsia" w:ascii="宋体" w:hAnsi="宋体" w:eastAsia="宋体" w:cs="宋体"/>
          <w:color w:val="auto"/>
          <w:kern w:val="0"/>
          <w:sz w:val="21"/>
          <w:szCs w:val="21"/>
          <w:lang w:val="en-US" w:eastAsia="zh-CN"/>
        </w:rPr>
        <w:t>三</w:t>
      </w:r>
      <w:r>
        <w:rPr>
          <w:rFonts w:hint="eastAsia" w:ascii="宋体" w:hAnsi="宋体" w:eastAsia="宋体" w:cs="宋体"/>
          <w:color w:val="auto"/>
          <w:kern w:val="0"/>
          <w:sz w:val="21"/>
          <w:szCs w:val="21"/>
        </w:rPr>
        <w:t>）所有与本招标有关的函件请发往下列地址：</w:t>
      </w:r>
    </w:p>
    <w:p w14:paraId="74A1A7C7">
      <w:pPr>
        <w:keepNext w:val="0"/>
        <w:keepLines w:val="0"/>
        <w:pageBreakBefore w:val="0"/>
        <w:widowControl w:val="0"/>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地    址：</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.邮政编码：</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4FC6A831">
      <w:pPr>
        <w:keepNext w:val="0"/>
        <w:keepLines w:val="0"/>
        <w:pageBreakBefore w:val="0"/>
        <w:widowControl w:val="0"/>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电    话：</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09F8A10D">
      <w:pPr>
        <w:keepNext w:val="0"/>
        <w:keepLines w:val="0"/>
        <w:pageBreakBefore w:val="0"/>
        <w:widowControl w:val="0"/>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传    真：</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5C761143">
      <w:pPr>
        <w:keepNext w:val="0"/>
        <w:keepLines w:val="0"/>
        <w:pageBreakBefore w:val="0"/>
        <w:widowControl w:val="0"/>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代表姓名：</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.职    务：</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344DA980">
      <w:pPr>
        <w:keepNext w:val="0"/>
        <w:keepLines w:val="0"/>
        <w:pageBreakBefore w:val="0"/>
        <w:widowControl w:val="0"/>
        <w:topLinePunct w:val="0"/>
        <w:autoSpaceDE/>
        <w:autoSpaceDN/>
        <w:bidi w:val="0"/>
        <w:adjustRightInd/>
        <w:snapToGrid/>
        <w:spacing w:line="360" w:lineRule="auto"/>
        <w:ind w:right="480"/>
        <w:jc w:val="righ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投标人：</w:t>
      </w:r>
      <w:r>
        <w:rPr>
          <w:rFonts w:hint="eastAsia" w:ascii="宋体" w:hAnsi="宋体" w:eastAsia="宋体" w:cs="宋体"/>
          <w:color w:val="auto"/>
          <w:kern w:val="0"/>
          <w:sz w:val="21"/>
          <w:szCs w:val="21"/>
          <w:u w:val="single"/>
        </w:rPr>
        <w:tab/>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 xml:space="preserve">（公章） </w:t>
      </w:r>
    </w:p>
    <w:p w14:paraId="3FD38E48">
      <w:pPr>
        <w:keepNext w:val="0"/>
        <w:keepLines w:val="0"/>
        <w:pageBreakBefore w:val="0"/>
        <w:widowControl w:val="0"/>
        <w:wordWrap w:val="0"/>
        <w:topLinePunct w:val="0"/>
        <w:autoSpaceDE/>
        <w:autoSpaceDN/>
        <w:bidi w:val="0"/>
        <w:adjustRightInd/>
        <w:snapToGrid/>
        <w:spacing w:line="360" w:lineRule="auto"/>
        <w:ind w:firstLine="426" w:firstLineChars="200"/>
        <w:jc w:val="righ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法定代表人或委托人：</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签字或盖章</w:t>
      </w:r>
      <w:r>
        <w:rPr>
          <w:rFonts w:hint="eastAsia" w:ascii="宋体" w:hAnsi="宋体" w:eastAsia="宋体" w:cs="宋体"/>
          <w:color w:val="auto"/>
          <w:kern w:val="0"/>
          <w:sz w:val="21"/>
          <w:szCs w:val="21"/>
        </w:rPr>
        <w:t xml:space="preserve">）  </w:t>
      </w:r>
    </w:p>
    <w:p w14:paraId="4328FA6D">
      <w:pPr>
        <w:keepNext w:val="0"/>
        <w:keepLines w:val="0"/>
        <w:pageBreakBefore w:val="0"/>
        <w:widowControl w:val="0"/>
        <w:wordWrap w:val="0"/>
        <w:topLinePunct w:val="0"/>
        <w:autoSpaceDE/>
        <w:autoSpaceDN/>
        <w:bidi w:val="0"/>
        <w:adjustRightInd/>
        <w:snapToGrid/>
        <w:spacing w:line="360" w:lineRule="auto"/>
        <w:ind w:firstLine="426" w:firstLineChars="200"/>
        <w:jc w:val="right"/>
        <w:textAlignment w:val="auto"/>
        <w:rPr>
          <w:rFonts w:hint="eastAsia" w:ascii="宋体" w:hAnsi="宋体" w:eastAsia="宋体" w:cs="宋体"/>
          <w:b/>
          <w:color w:val="auto"/>
          <w:sz w:val="28"/>
          <w:szCs w:val="21"/>
          <w:highlight w:val="none"/>
        </w:rPr>
      </w:pP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rPr>
        <w:tab/>
      </w:r>
      <w:r>
        <w:rPr>
          <w:rFonts w:hint="eastAsia" w:ascii="宋体" w:hAnsi="宋体" w:eastAsia="宋体" w:cs="宋体"/>
          <w:color w:val="auto"/>
          <w:kern w:val="0"/>
          <w:sz w:val="21"/>
          <w:szCs w:val="21"/>
        </w:rPr>
        <w:t>年</w:t>
      </w:r>
      <w:r>
        <w:rPr>
          <w:rFonts w:hint="eastAsia" w:ascii="宋体" w:hAnsi="宋体" w:eastAsia="宋体" w:cs="宋体"/>
          <w:color w:val="auto"/>
          <w:kern w:val="0"/>
          <w:sz w:val="21"/>
          <w:szCs w:val="21"/>
          <w:u w:val="single"/>
        </w:rPr>
        <w:tab/>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月</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日</w:t>
      </w:r>
      <w:bookmarkStart w:id="106" w:name="_Toc494296984"/>
    </w:p>
    <w:p w14:paraId="4D4F5B16">
      <w:pPr>
        <w:pStyle w:val="15"/>
        <w:shd w:val="clear" w:color="auto" w:fill="auto"/>
        <w:tabs>
          <w:tab w:val="left" w:pos="5580"/>
        </w:tabs>
        <w:spacing w:line="360" w:lineRule="auto"/>
        <w:ind w:left="272" w:leftChars="128"/>
        <w:rPr>
          <w:rFonts w:hint="eastAsia" w:ascii="宋体" w:hAnsi="宋体" w:eastAsia="宋体" w:cs="宋体"/>
          <w:b/>
          <w:bCs/>
          <w:color w:val="auto"/>
          <w:sz w:val="24"/>
          <w:highlight w:val="none"/>
          <w:lang w:val="en-US" w:eastAsia="zh-CN"/>
        </w:rPr>
      </w:pPr>
    </w:p>
    <w:p w14:paraId="238E8B1B">
      <w:pPr>
        <w:pStyle w:val="15"/>
        <w:shd w:val="clear" w:color="auto" w:fill="auto"/>
        <w:tabs>
          <w:tab w:val="left" w:pos="5580"/>
        </w:tabs>
        <w:spacing w:line="360" w:lineRule="auto"/>
        <w:rPr>
          <w:rFonts w:hint="eastAsia" w:ascii="宋体" w:hAnsi="宋体" w:eastAsia="宋体" w:cs="宋体"/>
          <w:b/>
          <w:bCs/>
          <w:color w:val="auto"/>
          <w:sz w:val="24"/>
          <w:highlight w:val="none"/>
          <w:lang w:val="en-US" w:eastAsia="zh-CN"/>
        </w:rPr>
      </w:pPr>
    </w:p>
    <w:p w14:paraId="0FE43ACF">
      <w:pPr>
        <w:pStyle w:val="15"/>
        <w:shd w:val="clear" w:color="auto" w:fill="auto"/>
        <w:tabs>
          <w:tab w:val="left" w:pos="5580"/>
        </w:tabs>
        <w:spacing w:line="360" w:lineRule="auto"/>
        <w:ind w:left="272" w:leftChars="128"/>
        <w:rPr>
          <w:rFonts w:hint="eastAsia" w:ascii="宋体" w:hAnsi="宋体" w:eastAsia="宋体" w:cs="宋体"/>
          <w:color w:val="auto"/>
          <w:sz w:val="24"/>
          <w:highlight w:val="none"/>
          <w:lang w:val="en-US" w:eastAsia="zh-CN"/>
        </w:rPr>
      </w:pPr>
      <w:r>
        <w:rPr>
          <w:rFonts w:hint="eastAsia" w:ascii="宋体" w:hAnsi="宋体" w:eastAsia="宋体" w:cs="宋体"/>
          <w:b/>
          <w:bCs/>
          <w:color w:val="auto"/>
          <w:sz w:val="24"/>
          <w:highlight w:val="none"/>
          <w:lang w:val="en-US" w:eastAsia="zh-CN"/>
        </w:rPr>
        <w:t>投标文件格式</w:t>
      </w:r>
      <w:r>
        <w:rPr>
          <w:rFonts w:hint="eastAsia" w:hAnsi="宋体" w:cs="宋体"/>
          <w:b/>
          <w:bCs/>
          <w:color w:val="auto"/>
          <w:sz w:val="24"/>
          <w:highlight w:val="none"/>
          <w:lang w:val="en-US" w:eastAsia="zh-CN"/>
        </w:rPr>
        <w:t>7</w:t>
      </w:r>
      <w:r>
        <w:rPr>
          <w:rFonts w:hint="eastAsia" w:ascii="宋体" w:hAnsi="宋体" w:eastAsia="宋体" w:cs="宋体"/>
          <w:color w:val="auto"/>
          <w:sz w:val="24"/>
          <w:highlight w:val="none"/>
          <w:lang w:val="en-US" w:eastAsia="zh-CN"/>
        </w:rPr>
        <w:t>：</w:t>
      </w:r>
    </w:p>
    <w:p w14:paraId="1BBAC224">
      <w:pPr>
        <w:pStyle w:val="6"/>
        <w:numPr>
          <w:ilvl w:val="0"/>
          <w:numId w:val="0"/>
        </w:numPr>
        <w:shd w:val="clear" w:color="auto" w:fill="auto"/>
        <w:tabs>
          <w:tab w:val="left" w:pos="5580"/>
        </w:tabs>
        <w:spacing w:line="360" w:lineRule="auto"/>
        <w:ind w:leftChars="0"/>
        <w:jc w:val="center"/>
        <w:rPr>
          <w:rFonts w:hint="eastAsia" w:ascii="宋体" w:hAnsi="宋体" w:eastAsia="宋体" w:cs="宋体"/>
          <w:b/>
          <w:color w:val="auto"/>
          <w:sz w:val="28"/>
          <w:szCs w:val="21"/>
          <w:highlight w:val="none"/>
        </w:rPr>
      </w:pPr>
      <w:r>
        <w:rPr>
          <w:rFonts w:hint="eastAsia" w:ascii="宋体" w:hAnsi="宋体" w:eastAsia="宋体" w:cs="宋体"/>
          <w:b/>
          <w:color w:val="auto"/>
          <w:sz w:val="28"/>
          <w:szCs w:val="21"/>
          <w:highlight w:val="none"/>
        </w:rPr>
        <w:t>开标一览表</w:t>
      </w:r>
      <w:bookmarkEnd w:id="106"/>
    </w:p>
    <w:p w14:paraId="5E5545C3">
      <w:pPr>
        <w:pStyle w:val="6"/>
        <w:numPr>
          <w:ilvl w:val="0"/>
          <w:numId w:val="0"/>
        </w:numPr>
        <w:shd w:val="clear" w:color="auto" w:fill="auto"/>
        <w:tabs>
          <w:tab w:val="left" w:pos="5580"/>
        </w:tabs>
        <w:spacing w:line="360" w:lineRule="auto"/>
        <w:ind w:leftChars="0"/>
        <w:jc w:val="both"/>
        <w:rPr>
          <w:rFonts w:hint="eastAsia" w:ascii="宋体" w:hAnsi="宋体" w:eastAsia="宋体" w:cs="宋体"/>
          <w:color w:val="auto"/>
          <w:szCs w:val="21"/>
          <w:highlight w:val="none"/>
          <w:u w:val="single"/>
        </w:rPr>
      </w:pPr>
      <w:r>
        <w:rPr>
          <w:rFonts w:hint="eastAsia" w:ascii="宋体" w:hAnsi="宋体" w:eastAsia="宋体" w:cs="宋体"/>
          <w:color w:val="auto"/>
          <w:sz w:val="21"/>
          <w:szCs w:val="21"/>
          <w:highlight w:val="none"/>
        </w:rPr>
        <w:t>招标项目名称</w:t>
      </w:r>
      <w:r>
        <w:rPr>
          <w:rFonts w:hint="eastAsia" w:ascii="宋体" w:hAnsi="宋体" w:eastAsia="宋体" w:cs="宋体"/>
          <w:color w:val="auto"/>
          <w:szCs w:val="21"/>
          <w:highlight w:val="none"/>
        </w:rPr>
        <w:t>：</w:t>
      </w:r>
    </w:p>
    <w:p w14:paraId="629CF3DA">
      <w:pPr>
        <w:shd w:val="clear" w:color="auto" w:fill="auto"/>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招标项目编号： </w:t>
      </w:r>
      <w:r>
        <w:rPr>
          <w:rFonts w:hint="eastAsia" w:ascii="宋体" w:hAnsi="宋体" w:cs="宋体"/>
          <w:color w:val="auto"/>
          <w:szCs w:val="21"/>
          <w:highlight w:val="none"/>
          <w:lang w:val="en-US" w:eastAsia="zh-CN"/>
        </w:rPr>
        <w:t>KZZB-2025118</w:t>
      </w:r>
      <w:r>
        <w:rPr>
          <w:rFonts w:hint="eastAsia" w:ascii="宋体" w:hAnsi="宋体" w:eastAsia="宋体" w:cs="宋体"/>
          <w:color w:val="auto"/>
          <w:szCs w:val="21"/>
          <w:highlight w:val="none"/>
        </w:rPr>
        <w:t xml:space="preserve">                                               </w:t>
      </w:r>
    </w:p>
    <w:p w14:paraId="6799C9B9">
      <w:pPr>
        <w:shd w:val="clear" w:color="auto" w:fill="auto"/>
        <w:spacing w:line="360" w:lineRule="auto"/>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单位：元（人民币）</w:t>
      </w:r>
    </w:p>
    <w:tbl>
      <w:tblPr>
        <w:tblStyle w:val="28"/>
        <w:tblW w:w="8780"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6185"/>
      </w:tblGrid>
      <w:tr w14:paraId="407AC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2595" w:type="dxa"/>
            <w:gridSpan w:val="2"/>
            <w:noWrap w:val="0"/>
            <w:vAlign w:val="center"/>
          </w:tcPr>
          <w:p w14:paraId="3B59FFA7">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项目名称</w:t>
            </w:r>
          </w:p>
        </w:tc>
        <w:tc>
          <w:tcPr>
            <w:tcW w:w="6185" w:type="dxa"/>
            <w:noWrap w:val="0"/>
            <w:vAlign w:val="center"/>
          </w:tcPr>
          <w:p w14:paraId="4A807E07">
            <w:pPr>
              <w:shd w:val="clear" w:color="auto" w:fill="auto"/>
              <w:spacing w:line="360" w:lineRule="auto"/>
              <w:rPr>
                <w:rFonts w:hint="eastAsia" w:ascii="宋体" w:hAnsi="宋体" w:eastAsia="宋体" w:cs="宋体"/>
                <w:color w:val="auto"/>
                <w:szCs w:val="21"/>
                <w:highlight w:val="none"/>
              </w:rPr>
            </w:pPr>
          </w:p>
        </w:tc>
      </w:tr>
      <w:tr w14:paraId="01CE5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2595" w:type="dxa"/>
            <w:gridSpan w:val="2"/>
            <w:noWrap w:val="0"/>
            <w:vAlign w:val="center"/>
          </w:tcPr>
          <w:p w14:paraId="35E958EA">
            <w:pPr>
              <w:shd w:val="clear" w:color="auto" w:fill="auto"/>
              <w:spacing w:line="360" w:lineRule="auto"/>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服务期限</w:t>
            </w:r>
          </w:p>
        </w:tc>
        <w:tc>
          <w:tcPr>
            <w:tcW w:w="6185" w:type="dxa"/>
            <w:noWrap w:val="0"/>
            <w:vAlign w:val="center"/>
          </w:tcPr>
          <w:p w14:paraId="11DF1E1B">
            <w:pPr>
              <w:shd w:val="clear" w:color="auto" w:fill="auto"/>
              <w:spacing w:line="360" w:lineRule="auto"/>
              <w:jc w:val="center"/>
              <w:rPr>
                <w:rFonts w:hint="eastAsia" w:ascii="宋体" w:hAnsi="宋体" w:eastAsia="宋体" w:cs="宋体"/>
                <w:color w:val="auto"/>
                <w:szCs w:val="21"/>
                <w:highlight w:val="none"/>
              </w:rPr>
            </w:pPr>
          </w:p>
        </w:tc>
      </w:tr>
      <w:tr w14:paraId="1A44F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2595" w:type="dxa"/>
            <w:gridSpan w:val="2"/>
            <w:tcBorders>
              <w:top w:val="single" w:color="auto" w:sz="4" w:space="0"/>
            </w:tcBorders>
            <w:noWrap w:val="0"/>
            <w:vAlign w:val="center"/>
          </w:tcPr>
          <w:p w14:paraId="0DA3BA62">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投标有效期</w:t>
            </w:r>
          </w:p>
        </w:tc>
        <w:tc>
          <w:tcPr>
            <w:tcW w:w="6185" w:type="dxa"/>
            <w:noWrap w:val="0"/>
            <w:vAlign w:val="center"/>
          </w:tcPr>
          <w:p w14:paraId="1862F49B">
            <w:pPr>
              <w:shd w:val="clear" w:color="auto" w:fill="auto"/>
              <w:spacing w:line="360" w:lineRule="auto"/>
              <w:jc w:val="center"/>
              <w:rPr>
                <w:rFonts w:hint="eastAsia" w:ascii="宋体" w:hAnsi="宋体" w:eastAsia="宋体" w:cs="宋体"/>
                <w:color w:val="auto"/>
                <w:szCs w:val="21"/>
                <w:highlight w:val="none"/>
              </w:rPr>
            </w:pPr>
          </w:p>
        </w:tc>
      </w:tr>
      <w:tr w14:paraId="362F9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restart"/>
            <w:noWrap w:val="0"/>
            <w:vAlign w:val="center"/>
          </w:tcPr>
          <w:p w14:paraId="6BC2E44C">
            <w:pPr>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w:t>
            </w:r>
            <w:r>
              <w:rPr>
                <w:rFonts w:hint="eastAsia" w:ascii="宋体" w:hAnsi="宋体" w:eastAsia="宋体" w:cs="宋体"/>
                <w:color w:val="auto"/>
                <w:szCs w:val="21"/>
                <w:highlight w:val="none"/>
                <w:lang w:val="en-US" w:eastAsia="zh-CN"/>
              </w:rPr>
              <w:t>总</w:t>
            </w:r>
            <w:r>
              <w:rPr>
                <w:rFonts w:hint="eastAsia" w:ascii="宋体" w:hAnsi="宋体" w:eastAsia="宋体" w:cs="宋体"/>
                <w:color w:val="auto"/>
                <w:szCs w:val="21"/>
                <w:highlight w:val="none"/>
              </w:rPr>
              <w:t>报价</w:t>
            </w:r>
          </w:p>
          <w:p w14:paraId="15843707">
            <w:pPr>
              <w:shd w:val="clear" w:color="auto" w:fill="auto"/>
              <w:spacing w:line="360" w:lineRule="auto"/>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实付工资的</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w:t>
            </w:r>
          </w:p>
        </w:tc>
        <w:tc>
          <w:tcPr>
            <w:tcW w:w="974" w:type="dxa"/>
            <w:tcBorders>
              <w:top w:val="single" w:color="auto" w:sz="4" w:space="0"/>
              <w:bottom w:val="single" w:color="auto" w:sz="4" w:space="0"/>
            </w:tcBorders>
            <w:noWrap w:val="0"/>
            <w:vAlign w:val="center"/>
          </w:tcPr>
          <w:p w14:paraId="45F751EA">
            <w:pPr>
              <w:widowControl/>
              <w:shd w:val="clear" w:color="auto" w:fill="auto"/>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小写</w:t>
            </w:r>
          </w:p>
        </w:tc>
        <w:tc>
          <w:tcPr>
            <w:tcW w:w="6185" w:type="dxa"/>
            <w:noWrap w:val="0"/>
            <w:vAlign w:val="center"/>
          </w:tcPr>
          <w:p w14:paraId="507ECCDC">
            <w:pPr>
              <w:shd w:val="clear" w:color="auto" w:fill="auto"/>
              <w:spacing w:line="360" w:lineRule="auto"/>
              <w:jc w:val="center"/>
              <w:rPr>
                <w:rFonts w:hint="eastAsia" w:ascii="宋体" w:hAnsi="宋体" w:eastAsia="宋体" w:cs="宋体"/>
                <w:color w:val="auto"/>
                <w:szCs w:val="21"/>
                <w:highlight w:val="none"/>
              </w:rPr>
            </w:pPr>
          </w:p>
        </w:tc>
      </w:tr>
      <w:tr w14:paraId="71BE5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continue"/>
            <w:noWrap w:val="0"/>
            <w:vAlign w:val="center"/>
          </w:tcPr>
          <w:p w14:paraId="0B836868">
            <w:pPr>
              <w:shd w:val="clear" w:color="auto" w:fill="auto"/>
              <w:spacing w:line="360" w:lineRule="auto"/>
              <w:jc w:val="center"/>
              <w:rPr>
                <w:rFonts w:hint="eastAsia" w:ascii="宋体" w:hAnsi="宋体" w:eastAsia="宋体" w:cs="宋体"/>
                <w:color w:val="auto"/>
                <w:szCs w:val="21"/>
                <w:highlight w:val="none"/>
              </w:rPr>
            </w:pPr>
          </w:p>
        </w:tc>
        <w:tc>
          <w:tcPr>
            <w:tcW w:w="974" w:type="dxa"/>
            <w:tcBorders>
              <w:top w:val="single" w:color="auto" w:sz="4" w:space="0"/>
              <w:bottom w:val="single" w:color="auto" w:sz="4" w:space="0"/>
            </w:tcBorders>
            <w:noWrap w:val="0"/>
            <w:vAlign w:val="center"/>
          </w:tcPr>
          <w:p w14:paraId="102106C7">
            <w:pPr>
              <w:widowControl/>
              <w:shd w:val="clear" w:color="auto" w:fill="auto"/>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大写</w:t>
            </w:r>
          </w:p>
        </w:tc>
        <w:tc>
          <w:tcPr>
            <w:tcW w:w="6185" w:type="dxa"/>
            <w:noWrap w:val="0"/>
            <w:vAlign w:val="center"/>
          </w:tcPr>
          <w:p w14:paraId="759BBE44">
            <w:pPr>
              <w:shd w:val="clear" w:color="auto" w:fill="auto"/>
              <w:spacing w:line="360" w:lineRule="auto"/>
              <w:jc w:val="center"/>
              <w:rPr>
                <w:rFonts w:hint="eastAsia" w:ascii="宋体" w:hAnsi="宋体" w:eastAsia="宋体" w:cs="宋体"/>
                <w:color w:val="auto"/>
                <w:szCs w:val="21"/>
                <w:highlight w:val="none"/>
              </w:rPr>
            </w:pPr>
          </w:p>
        </w:tc>
      </w:tr>
    </w:tbl>
    <w:p w14:paraId="6F8CCBAD">
      <w:pPr>
        <w:shd w:val="clear" w:color="auto" w:fill="auto"/>
        <w:spacing w:line="360" w:lineRule="auto"/>
        <w:ind w:firstLine="416"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填写说明：</w:t>
      </w:r>
    </w:p>
    <w:p w14:paraId="61AEDF15">
      <w:pPr>
        <w:shd w:val="clear" w:color="auto" w:fill="auto"/>
        <w:spacing w:line="360" w:lineRule="auto"/>
        <w:ind w:firstLine="426"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.开标时，本表中的内容与投标文件中的投标函、分项</w:t>
      </w:r>
      <w:r>
        <w:rPr>
          <w:rFonts w:hint="eastAsia" w:ascii="宋体" w:hAnsi="宋体" w:eastAsia="宋体" w:cs="宋体"/>
          <w:color w:val="auto"/>
          <w:szCs w:val="21"/>
          <w:highlight w:val="none"/>
          <w:lang w:val="en-US" w:eastAsia="zh-CN"/>
        </w:rPr>
        <w:t>报价表</w:t>
      </w:r>
      <w:r>
        <w:rPr>
          <w:rFonts w:hint="eastAsia" w:ascii="宋体" w:hAnsi="宋体" w:eastAsia="宋体" w:cs="宋体"/>
          <w:color w:val="auto"/>
          <w:szCs w:val="21"/>
          <w:highlight w:val="none"/>
        </w:rPr>
        <w:t>的内容不一致的，以本表为准；大写金额与小写金额不一致的，以大写金额为准；总价金额与按单价汇总金额不一致的，以单价金额计算结果为准；单价金额小数点有明显错位的，应以总价为准，并修改单价。</w:t>
      </w:r>
    </w:p>
    <w:p w14:paraId="05F469A5">
      <w:pPr>
        <w:shd w:val="clear" w:color="auto" w:fill="auto"/>
        <w:spacing w:line="360" w:lineRule="auto"/>
        <w:ind w:firstLine="426"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.投标总价为招标范围所列全部招标项目的报价总和，并应与分项价格表</w:t>
      </w:r>
      <w:r>
        <w:rPr>
          <w:rFonts w:hint="eastAsia" w:ascii="宋体" w:hAnsi="宋体" w:eastAsia="宋体" w:cs="宋体"/>
          <w:color w:val="auto"/>
          <w:szCs w:val="21"/>
          <w:highlight w:val="none"/>
          <w:lang w:val="en-US" w:eastAsia="zh-CN"/>
        </w:rPr>
        <w:t>的合计</w:t>
      </w:r>
      <w:r>
        <w:rPr>
          <w:rFonts w:hint="eastAsia" w:ascii="宋体" w:hAnsi="宋体" w:eastAsia="宋体" w:cs="宋体"/>
          <w:color w:val="auto"/>
          <w:szCs w:val="21"/>
          <w:highlight w:val="none"/>
        </w:rPr>
        <w:t>保持一致。</w:t>
      </w:r>
    </w:p>
    <w:p w14:paraId="1DC7948C">
      <w:pPr>
        <w:shd w:val="clear" w:color="auto" w:fill="auto"/>
        <w:spacing w:line="360" w:lineRule="auto"/>
        <w:ind w:firstLine="426"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.投标报价不得填报选择性报价。</w:t>
      </w:r>
    </w:p>
    <w:p w14:paraId="66F3C893">
      <w:pPr>
        <w:shd w:val="clear" w:color="auto" w:fill="auto"/>
        <w:spacing w:line="360" w:lineRule="auto"/>
        <w:ind w:firstLine="426"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r>
        <w:rPr>
          <w:rFonts w:hint="eastAsia" w:ascii="宋体" w:hAnsi="宋体" w:eastAsia="宋体" w:cs="宋体"/>
          <w:color w:val="auto"/>
          <w:szCs w:val="21"/>
          <w:highlight w:val="none"/>
          <w:u w:val="single"/>
        </w:rPr>
        <w:t xml:space="preserve">    （加盖公章）     </w:t>
      </w:r>
      <w:r>
        <w:rPr>
          <w:rFonts w:hint="eastAsia" w:ascii="宋体" w:hAnsi="宋体" w:eastAsia="宋体" w:cs="宋体"/>
          <w:color w:val="auto"/>
          <w:szCs w:val="21"/>
          <w:highlight w:val="none"/>
        </w:rPr>
        <w:t xml:space="preserve">       </w:t>
      </w:r>
    </w:p>
    <w:p w14:paraId="704A7EBC">
      <w:pPr>
        <w:shd w:val="clear" w:color="auto" w:fill="auto"/>
        <w:spacing w:line="360" w:lineRule="auto"/>
        <w:ind w:firstLine="426"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法定代表人签字或盖章：</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45EBCF06">
      <w:pPr>
        <w:shd w:val="clear" w:color="auto" w:fill="auto"/>
        <w:spacing w:line="360" w:lineRule="auto"/>
        <w:ind w:firstLine="426"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授权代表签字或盖章：</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2196A8FA">
      <w:pPr>
        <w:shd w:val="clear" w:color="auto" w:fill="auto"/>
        <w:spacing w:line="360" w:lineRule="auto"/>
        <w:ind w:firstLine="426" w:firstLineChars="200"/>
        <w:rPr>
          <w:rFonts w:hint="eastAsia" w:ascii="宋体" w:hAnsi="宋体" w:eastAsia="宋体" w:cs="宋体"/>
          <w:b/>
          <w:bCs/>
          <w:color w:val="auto"/>
          <w:sz w:val="24"/>
          <w:highlight w:val="none"/>
        </w:rPr>
      </w:pPr>
      <w:r>
        <w:rPr>
          <w:rFonts w:hint="eastAsia" w:ascii="宋体" w:hAnsi="宋体" w:eastAsia="宋体" w:cs="宋体"/>
          <w:color w:val="auto"/>
          <w:szCs w:val="21"/>
          <w:highlight w:val="none"/>
        </w:rPr>
        <w:t>签署日期：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月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bookmarkEnd w:id="103"/>
    <w:bookmarkEnd w:id="104"/>
    <w:bookmarkEnd w:id="105"/>
    <w:p w14:paraId="70BCE560">
      <w:pPr>
        <w:pStyle w:val="15"/>
        <w:shd w:val="clear" w:color="auto" w:fill="auto"/>
        <w:tabs>
          <w:tab w:val="left" w:pos="5580"/>
        </w:tabs>
        <w:spacing w:line="360" w:lineRule="auto"/>
        <w:ind w:left="272" w:leftChars="128"/>
        <w:rPr>
          <w:rFonts w:hint="eastAsia" w:ascii="宋体" w:hAnsi="宋体" w:eastAsia="宋体" w:cs="宋体"/>
          <w:b/>
          <w:bCs/>
          <w:color w:val="auto"/>
          <w:sz w:val="24"/>
          <w:highlight w:val="none"/>
          <w:lang w:val="en-US" w:eastAsia="zh-CN"/>
        </w:rPr>
      </w:pPr>
      <w:bookmarkStart w:id="107" w:name="_Toc10313"/>
      <w:bookmarkStart w:id="108" w:name="_Toc515647818"/>
      <w:bookmarkStart w:id="109" w:name="_Toc216582815"/>
      <w:bookmarkStart w:id="110" w:name="_Toc1881"/>
      <w:bookmarkStart w:id="111" w:name="_Toc20897"/>
      <w:bookmarkStart w:id="112" w:name="_Toc216582817"/>
      <w:bookmarkStart w:id="113" w:name="_Toc22563"/>
      <w:bookmarkStart w:id="114" w:name="_Toc28959"/>
      <w:bookmarkStart w:id="115" w:name="_Toc515647820"/>
    </w:p>
    <w:p w14:paraId="5606946D">
      <w:pPr>
        <w:pStyle w:val="15"/>
        <w:shd w:val="clear" w:color="auto" w:fill="auto"/>
        <w:tabs>
          <w:tab w:val="left" w:pos="5580"/>
        </w:tabs>
        <w:spacing w:line="360" w:lineRule="auto"/>
        <w:rPr>
          <w:rFonts w:hint="eastAsia" w:ascii="宋体" w:hAnsi="宋体" w:eastAsia="宋体" w:cs="宋体"/>
          <w:b/>
          <w:bCs/>
          <w:color w:val="auto"/>
          <w:sz w:val="24"/>
          <w:highlight w:val="none"/>
          <w:lang w:val="en-US" w:eastAsia="zh-CN"/>
        </w:rPr>
      </w:pPr>
    </w:p>
    <w:p w14:paraId="393CB445">
      <w:pPr>
        <w:pStyle w:val="15"/>
        <w:shd w:val="clear" w:color="auto" w:fill="auto"/>
        <w:tabs>
          <w:tab w:val="left" w:pos="5580"/>
        </w:tabs>
        <w:spacing w:line="360" w:lineRule="auto"/>
        <w:ind w:left="272" w:leftChars="128"/>
        <w:rPr>
          <w:rFonts w:hint="eastAsia" w:ascii="宋体" w:hAnsi="宋体" w:eastAsia="宋体" w:cs="宋体"/>
          <w:b/>
          <w:bCs/>
          <w:color w:val="auto"/>
          <w:sz w:val="24"/>
          <w:highlight w:val="none"/>
          <w:lang w:val="en-US" w:eastAsia="zh-CN"/>
        </w:rPr>
      </w:pPr>
    </w:p>
    <w:p w14:paraId="21595EE2">
      <w:pPr>
        <w:pStyle w:val="15"/>
        <w:shd w:val="clear" w:color="auto" w:fill="auto"/>
        <w:tabs>
          <w:tab w:val="left" w:pos="5580"/>
        </w:tabs>
        <w:spacing w:line="360" w:lineRule="auto"/>
        <w:ind w:left="272" w:leftChars="128"/>
        <w:rPr>
          <w:rFonts w:hint="eastAsia" w:ascii="宋体" w:hAnsi="宋体" w:eastAsia="宋体" w:cs="宋体"/>
          <w:b/>
          <w:bCs/>
          <w:color w:val="auto"/>
          <w:sz w:val="24"/>
          <w:highlight w:val="none"/>
          <w:lang w:val="en-US" w:eastAsia="zh-CN"/>
        </w:rPr>
      </w:pPr>
    </w:p>
    <w:p w14:paraId="512171BE">
      <w:pPr>
        <w:pStyle w:val="15"/>
        <w:shd w:val="clear" w:color="auto" w:fill="auto"/>
        <w:tabs>
          <w:tab w:val="left" w:pos="5580"/>
        </w:tabs>
        <w:spacing w:line="360" w:lineRule="auto"/>
        <w:ind w:left="272" w:leftChars="128"/>
        <w:rPr>
          <w:rFonts w:hint="eastAsia" w:ascii="宋体" w:hAnsi="宋体" w:eastAsia="宋体" w:cs="宋体"/>
          <w:color w:val="auto"/>
          <w:sz w:val="24"/>
          <w:highlight w:val="none"/>
          <w:lang w:val="en-US" w:eastAsia="zh-CN"/>
        </w:rPr>
      </w:pPr>
      <w:r>
        <w:rPr>
          <w:rFonts w:hint="eastAsia" w:ascii="宋体" w:hAnsi="宋体" w:eastAsia="宋体" w:cs="宋体"/>
          <w:b/>
          <w:bCs/>
          <w:color w:val="auto"/>
          <w:sz w:val="24"/>
          <w:highlight w:val="none"/>
          <w:lang w:val="en-US" w:eastAsia="zh-CN"/>
        </w:rPr>
        <w:t>投标文件格式</w:t>
      </w:r>
      <w:r>
        <w:rPr>
          <w:rFonts w:hint="eastAsia" w:hAnsi="宋体" w:cs="宋体"/>
          <w:b/>
          <w:bCs/>
          <w:color w:val="auto"/>
          <w:sz w:val="24"/>
          <w:highlight w:val="none"/>
          <w:lang w:val="en-US" w:eastAsia="zh-CN"/>
        </w:rPr>
        <w:t>7</w:t>
      </w:r>
      <w:r>
        <w:rPr>
          <w:rFonts w:hint="eastAsia" w:ascii="宋体" w:hAnsi="宋体" w:eastAsia="宋体" w:cs="宋体"/>
          <w:color w:val="auto"/>
          <w:sz w:val="24"/>
          <w:highlight w:val="none"/>
          <w:lang w:val="en-US" w:eastAsia="zh-CN"/>
        </w:rPr>
        <w:t>：</w:t>
      </w:r>
    </w:p>
    <w:bookmarkEnd w:id="107"/>
    <w:bookmarkEnd w:id="108"/>
    <w:bookmarkEnd w:id="109"/>
    <w:bookmarkEnd w:id="110"/>
    <w:bookmarkEnd w:id="111"/>
    <w:p w14:paraId="321BDE2C">
      <w:pPr>
        <w:keepNext w:val="0"/>
        <w:keepLines w:val="0"/>
        <w:widowControl/>
        <w:suppressLineNumbers w:val="0"/>
        <w:kinsoku w:val="0"/>
        <w:autoSpaceDE w:val="0"/>
        <w:autoSpaceDN w:val="0"/>
        <w:adjustRightInd w:val="0"/>
        <w:snapToGrid w:val="0"/>
        <w:spacing w:before="74" w:beforeAutospacing="0" w:after="0" w:afterAutospacing="0" w:line="240" w:lineRule="auto"/>
        <w:ind w:left="3482" w:right="0"/>
        <w:jc w:val="left"/>
        <w:textAlignment w:val="baseline"/>
        <w:rPr>
          <w:rFonts w:hint="eastAsia"/>
        </w:rPr>
      </w:pPr>
      <w:r>
        <w:rPr>
          <w:rFonts w:hint="eastAsia" w:ascii="宋体" w:hAnsi="宋体" w:eastAsia="宋体" w:cs="宋体"/>
          <w:snapToGrid w:val="0"/>
          <w:color w:val="auto"/>
          <w:spacing w:val="8"/>
          <w:kern w:val="0"/>
          <w:sz w:val="28"/>
          <w:szCs w:val="28"/>
          <w:lang w:val="en-US" w:eastAsia="zh-CN" w:bidi="ar"/>
        </w:rPr>
        <w:t>投标报价明细表</w:t>
      </w:r>
    </w:p>
    <w:p w14:paraId="101354BC">
      <w:pPr>
        <w:pStyle w:val="2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color w:val="auto"/>
          <w:kern w:val="0"/>
          <w:sz w:val="28"/>
          <w:szCs w:val="28"/>
          <w:lang w:val="en-US" w:eastAsia="zh-CN" w:bidi="ar"/>
        </w:rPr>
        <w:t xml:space="preserve"> </w:t>
      </w:r>
    </w:p>
    <w:tbl>
      <w:tblPr>
        <w:tblStyle w:val="97"/>
        <w:tblW w:w="8025" w:type="dxa"/>
        <w:tblInd w:w="26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707"/>
        <w:gridCol w:w="1599"/>
        <w:gridCol w:w="1558"/>
        <w:gridCol w:w="727"/>
        <w:gridCol w:w="989"/>
        <w:gridCol w:w="1193"/>
        <w:gridCol w:w="1252"/>
      </w:tblGrid>
      <w:tr w14:paraId="6C94D4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51" w:hRule="atLeast"/>
        </w:trPr>
        <w:tc>
          <w:tcPr>
            <w:tcW w:w="707" w:type="dxa"/>
            <w:tcBorders>
              <w:top w:val="single" w:color="000000" w:sz="2" w:space="0"/>
              <w:left w:val="single" w:color="000000" w:sz="2" w:space="0"/>
              <w:bottom w:val="single" w:color="000000" w:sz="2" w:space="0"/>
              <w:right w:val="single" w:color="000000" w:sz="2" w:space="0"/>
            </w:tcBorders>
            <w:shd w:val="clear" w:color="auto" w:fill="auto"/>
            <w:vAlign w:val="top"/>
          </w:tcPr>
          <w:p w14:paraId="57E2F8F0">
            <w:pPr>
              <w:keepNext w:val="0"/>
              <w:keepLines w:val="0"/>
              <w:widowControl/>
              <w:suppressLineNumbers w:val="0"/>
              <w:kinsoku w:val="0"/>
              <w:autoSpaceDE w:val="0"/>
              <w:autoSpaceDN w:val="0"/>
              <w:adjustRightInd w:val="0"/>
              <w:snapToGrid w:val="0"/>
              <w:spacing w:before="165" w:beforeAutospacing="0" w:after="0" w:afterAutospacing="0" w:line="240" w:lineRule="auto"/>
              <w:ind w:left="139" w:right="0"/>
              <w:jc w:val="left"/>
              <w:textAlignment w:val="baseline"/>
              <w:outlineLvl w:val="2"/>
              <w:rPr>
                <w:rFonts w:hint="eastAsia" w:ascii="宋体" w:hAnsi="宋体" w:eastAsia="宋体" w:cs="宋体"/>
                <w:color w:val="auto"/>
                <w:kern w:val="0"/>
                <w:sz w:val="28"/>
                <w:szCs w:val="28"/>
              </w:rPr>
            </w:pPr>
            <w:r>
              <w:rPr>
                <w:rFonts w:hint="eastAsia" w:ascii="宋体" w:hAnsi="宋体" w:eastAsia="宋体" w:cs="宋体"/>
                <w:snapToGrid w:val="0"/>
                <w:color w:val="auto"/>
                <w:spacing w:val="-2"/>
                <w:kern w:val="0"/>
                <w:sz w:val="28"/>
                <w:szCs w:val="28"/>
                <w:lang w:val="en-US" w:eastAsia="zh-CN" w:bidi="ar"/>
              </w:rPr>
              <w:t>序号</w:t>
            </w:r>
          </w:p>
        </w:tc>
        <w:tc>
          <w:tcPr>
            <w:tcW w:w="1599" w:type="dxa"/>
            <w:tcBorders>
              <w:top w:val="single" w:color="000000" w:sz="2" w:space="0"/>
              <w:left w:val="single" w:color="000000" w:sz="2" w:space="0"/>
              <w:bottom w:val="single" w:color="000000" w:sz="2" w:space="0"/>
              <w:right w:val="single" w:color="000000" w:sz="2" w:space="0"/>
            </w:tcBorders>
            <w:shd w:val="clear" w:color="auto" w:fill="auto"/>
            <w:vAlign w:val="top"/>
          </w:tcPr>
          <w:p w14:paraId="27094386">
            <w:pPr>
              <w:keepNext w:val="0"/>
              <w:keepLines w:val="0"/>
              <w:widowControl/>
              <w:suppressLineNumbers w:val="0"/>
              <w:kinsoku w:val="0"/>
              <w:autoSpaceDE w:val="0"/>
              <w:autoSpaceDN w:val="0"/>
              <w:adjustRightInd w:val="0"/>
              <w:snapToGrid w:val="0"/>
              <w:spacing w:before="165" w:beforeAutospacing="0" w:after="0" w:afterAutospacing="0" w:line="240" w:lineRule="auto"/>
              <w:ind w:left="587"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val="0"/>
                <w:color w:val="auto"/>
                <w:spacing w:val="-3"/>
                <w:kern w:val="0"/>
                <w:sz w:val="28"/>
                <w:szCs w:val="28"/>
                <w:lang w:val="en-US" w:eastAsia="zh-CN" w:bidi="ar"/>
              </w:rPr>
              <w:t>名称</w:t>
            </w:r>
          </w:p>
        </w:tc>
        <w:tc>
          <w:tcPr>
            <w:tcW w:w="1558" w:type="dxa"/>
            <w:tcBorders>
              <w:top w:val="single" w:color="000000" w:sz="2" w:space="0"/>
              <w:left w:val="single" w:color="000000" w:sz="2" w:space="0"/>
              <w:bottom w:val="single" w:color="000000" w:sz="2" w:space="0"/>
              <w:right w:val="single" w:color="000000" w:sz="2" w:space="0"/>
            </w:tcBorders>
            <w:shd w:val="clear" w:color="auto" w:fill="auto"/>
            <w:vAlign w:val="top"/>
          </w:tcPr>
          <w:p w14:paraId="3D7179BD">
            <w:pPr>
              <w:keepNext w:val="0"/>
              <w:keepLines w:val="0"/>
              <w:widowControl/>
              <w:suppressLineNumbers w:val="0"/>
              <w:kinsoku w:val="0"/>
              <w:autoSpaceDE w:val="0"/>
              <w:autoSpaceDN w:val="0"/>
              <w:adjustRightInd w:val="0"/>
              <w:snapToGrid w:val="0"/>
              <w:spacing w:before="165" w:beforeAutospacing="0" w:after="0" w:afterAutospacing="0" w:line="240" w:lineRule="auto"/>
              <w:ind w:left="566"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val="0"/>
                <w:color w:val="auto"/>
                <w:spacing w:val="-3"/>
                <w:kern w:val="0"/>
                <w:sz w:val="28"/>
                <w:szCs w:val="28"/>
                <w:lang w:val="en-US" w:eastAsia="zh-CN" w:bidi="ar"/>
              </w:rPr>
              <w:t>数量</w:t>
            </w:r>
          </w:p>
        </w:tc>
        <w:tc>
          <w:tcPr>
            <w:tcW w:w="727" w:type="dxa"/>
            <w:tcBorders>
              <w:top w:val="single" w:color="000000" w:sz="2" w:space="0"/>
              <w:left w:val="single" w:color="000000" w:sz="2" w:space="0"/>
              <w:bottom w:val="single" w:color="000000" w:sz="2" w:space="0"/>
              <w:right w:val="single" w:color="000000" w:sz="2" w:space="0"/>
            </w:tcBorders>
            <w:shd w:val="clear" w:color="auto" w:fill="auto"/>
            <w:vAlign w:val="top"/>
          </w:tcPr>
          <w:p w14:paraId="23BDE006">
            <w:pPr>
              <w:keepNext w:val="0"/>
              <w:keepLines w:val="0"/>
              <w:widowControl/>
              <w:suppressLineNumbers w:val="0"/>
              <w:kinsoku w:val="0"/>
              <w:autoSpaceDE w:val="0"/>
              <w:autoSpaceDN w:val="0"/>
              <w:adjustRightInd w:val="0"/>
              <w:snapToGrid w:val="0"/>
              <w:spacing w:before="165" w:beforeAutospacing="0" w:after="0" w:afterAutospacing="0" w:line="240" w:lineRule="auto"/>
              <w:ind w:left="151"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val="0"/>
                <w:color w:val="auto"/>
                <w:spacing w:val="-3"/>
                <w:kern w:val="0"/>
                <w:sz w:val="28"/>
                <w:szCs w:val="28"/>
                <w:lang w:val="en-US" w:eastAsia="zh-CN" w:bidi="ar"/>
              </w:rPr>
              <w:t>单位</w:t>
            </w:r>
          </w:p>
        </w:tc>
        <w:tc>
          <w:tcPr>
            <w:tcW w:w="989" w:type="dxa"/>
            <w:tcBorders>
              <w:top w:val="single" w:color="000000" w:sz="2" w:space="0"/>
              <w:left w:val="single" w:color="000000" w:sz="2" w:space="0"/>
              <w:bottom w:val="single" w:color="000000" w:sz="2" w:space="0"/>
              <w:right w:val="single" w:color="000000" w:sz="2" w:space="0"/>
            </w:tcBorders>
            <w:shd w:val="clear" w:color="auto" w:fill="auto"/>
            <w:vAlign w:val="top"/>
          </w:tcPr>
          <w:p w14:paraId="7A67297B">
            <w:pPr>
              <w:keepNext w:val="0"/>
              <w:keepLines w:val="0"/>
              <w:widowControl/>
              <w:suppressLineNumbers w:val="0"/>
              <w:kinsoku w:val="0"/>
              <w:autoSpaceDE w:val="0"/>
              <w:autoSpaceDN w:val="0"/>
              <w:adjustRightInd w:val="0"/>
              <w:snapToGrid w:val="0"/>
              <w:spacing w:before="165" w:beforeAutospacing="0" w:after="0" w:afterAutospacing="0" w:line="240" w:lineRule="auto"/>
              <w:ind w:left="283"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val="0"/>
                <w:color w:val="auto"/>
                <w:spacing w:val="-3"/>
                <w:kern w:val="0"/>
                <w:sz w:val="28"/>
                <w:szCs w:val="28"/>
                <w:lang w:val="en-US" w:eastAsia="zh-CN" w:bidi="ar"/>
              </w:rPr>
              <w:t>单价</w:t>
            </w:r>
          </w:p>
        </w:tc>
        <w:tc>
          <w:tcPr>
            <w:tcW w:w="1193" w:type="dxa"/>
            <w:tcBorders>
              <w:top w:val="single" w:color="000000" w:sz="2" w:space="0"/>
              <w:left w:val="single" w:color="000000" w:sz="2" w:space="0"/>
              <w:bottom w:val="single" w:color="000000" w:sz="2" w:space="0"/>
              <w:right w:val="single" w:color="000000" w:sz="2" w:space="0"/>
            </w:tcBorders>
            <w:shd w:val="clear" w:color="auto" w:fill="auto"/>
            <w:vAlign w:val="top"/>
          </w:tcPr>
          <w:p w14:paraId="690408F1">
            <w:pPr>
              <w:keepNext w:val="0"/>
              <w:keepLines w:val="0"/>
              <w:widowControl/>
              <w:suppressLineNumbers w:val="0"/>
              <w:kinsoku w:val="0"/>
              <w:autoSpaceDE w:val="0"/>
              <w:autoSpaceDN w:val="0"/>
              <w:adjustRightInd w:val="0"/>
              <w:snapToGrid w:val="0"/>
              <w:spacing w:before="165" w:beforeAutospacing="0" w:after="0" w:afterAutospacing="0" w:line="240" w:lineRule="auto"/>
              <w:ind w:left="390"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val="0"/>
                <w:color w:val="auto"/>
                <w:spacing w:val="-4"/>
                <w:kern w:val="0"/>
                <w:sz w:val="28"/>
                <w:szCs w:val="28"/>
                <w:lang w:val="en-US" w:eastAsia="zh-CN" w:bidi="ar"/>
              </w:rPr>
              <w:t>总价</w:t>
            </w:r>
          </w:p>
        </w:tc>
        <w:tc>
          <w:tcPr>
            <w:tcW w:w="1252" w:type="dxa"/>
            <w:tcBorders>
              <w:top w:val="single" w:color="000000" w:sz="2" w:space="0"/>
              <w:left w:val="single" w:color="000000" w:sz="2" w:space="0"/>
              <w:bottom w:val="single" w:color="000000" w:sz="2" w:space="0"/>
              <w:right w:val="single" w:color="000000" w:sz="2" w:space="0"/>
            </w:tcBorders>
            <w:shd w:val="clear" w:color="auto" w:fill="auto"/>
            <w:vAlign w:val="top"/>
          </w:tcPr>
          <w:p w14:paraId="28A1E89D">
            <w:pPr>
              <w:keepNext w:val="0"/>
              <w:keepLines w:val="0"/>
              <w:widowControl/>
              <w:suppressLineNumbers w:val="0"/>
              <w:kinsoku w:val="0"/>
              <w:autoSpaceDE w:val="0"/>
              <w:autoSpaceDN w:val="0"/>
              <w:adjustRightInd w:val="0"/>
              <w:snapToGrid w:val="0"/>
              <w:spacing w:before="165" w:beforeAutospacing="0" w:after="0" w:afterAutospacing="0" w:line="240" w:lineRule="auto"/>
              <w:ind w:left="415"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val="0"/>
                <w:color w:val="auto"/>
                <w:spacing w:val="-3"/>
                <w:kern w:val="0"/>
                <w:sz w:val="28"/>
                <w:szCs w:val="28"/>
                <w:lang w:val="en-US" w:eastAsia="zh-CN" w:bidi="ar"/>
              </w:rPr>
              <w:t>备注</w:t>
            </w:r>
          </w:p>
        </w:tc>
      </w:tr>
      <w:tr w14:paraId="6C2FBC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707" w:type="dxa"/>
            <w:tcBorders>
              <w:top w:val="single" w:color="000000" w:sz="2" w:space="0"/>
              <w:left w:val="single" w:color="000000" w:sz="2" w:space="0"/>
              <w:bottom w:val="single" w:color="000000" w:sz="2" w:space="0"/>
              <w:right w:val="single" w:color="000000" w:sz="2" w:space="0"/>
            </w:tcBorders>
            <w:shd w:val="clear" w:color="auto" w:fill="auto"/>
            <w:vAlign w:val="top"/>
          </w:tcPr>
          <w:p w14:paraId="0FAB66E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99" w:type="dxa"/>
            <w:tcBorders>
              <w:top w:val="single" w:color="000000" w:sz="2" w:space="0"/>
              <w:left w:val="single" w:color="000000" w:sz="2" w:space="0"/>
              <w:bottom w:val="single" w:color="000000" w:sz="2" w:space="0"/>
              <w:right w:val="single" w:color="000000" w:sz="2" w:space="0"/>
            </w:tcBorders>
            <w:shd w:val="clear" w:color="auto" w:fill="auto"/>
            <w:vAlign w:val="top"/>
          </w:tcPr>
          <w:p w14:paraId="66385AB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58" w:type="dxa"/>
            <w:tcBorders>
              <w:top w:val="single" w:color="000000" w:sz="2" w:space="0"/>
              <w:left w:val="single" w:color="000000" w:sz="2" w:space="0"/>
              <w:bottom w:val="single" w:color="000000" w:sz="2" w:space="0"/>
              <w:right w:val="single" w:color="000000" w:sz="2" w:space="0"/>
            </w:tcBorders>
            <w:shd w:val="clear" w:color="auto" w:fill="auto"/>
            <w:vAlign w:val="top"/>
          </w:tcPr>
          <w:p w14:paraId="3E526B71">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727" w:type="dxa"/>
            <w:tcBorders>
              <w:top w:val="single" w:color="000000" w:sz="2" w:space="0"/>
              <w:left w:val="single" w:color="000000" w:sz="2" w:space="0"/>
              <w:bottom w:val="single" w:color="000000" w:sz="2" w:space="0"/>
              <w:right w:val="single" w:color="000000" w:sz="2" w:space="0"/>
            </w:tcBorders>
            <w:shd w:val="clear" w:color="auto" w:fill="auto"/>
            <w:vAlign w:val="top"/>
          </w:tcPr>
          <w:p w14:paraId="6B2ED05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989" w:type="dxa"/>
            <w:tcBorders>
              <w:top w:val="single" w:color="000000" w:sz="2" w:space="0"/>
              <w:left w:val="single" w:color="000000" w:sz="2" w:space="0"/>
              <w:bottom w:val="single" w:color="000000" w:sz="2" w:space="0"/>
              <w:right w:val="single" w:color="000000" w:sz="2" w:space="0"/>
            </w:tcBorders>
            <w:shd w:val="clear" w:color="auto" w:fill="auto"/>
            <w:vAlign w:val="top"/>
          </w:tcPr>
          <w:p w14:paraId="4C9E581C">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193" w:type="dxa"/>
            <w:tcBorders>
              <w:top w:val="single" w:color="000000" w:sz="2" w:space="0"/>
              <w:left w:val="single" w:color="000000" w:sz="2" w:space="0"/>
              <w:bottom w:val="single" w:color="000000" w:sz="2" w:space="0"/>
              <w:right w:val="single" w:color="000000" w:sz="2" w:space="0"/>
            </w:tcBorders>
            <w:shd w:val="clear" w:color="auto" w:fill="auto"/>
            <w:vAlign w:val="top"/>
          </w:tcPr>
          <w:p w14:paraId="17AEE6D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252" w:type="dxa"/>
            <w:tcBorders>
              <w:top w:val="single" w:color="000000" w:sz="2" w:space="0"/>
              <w:left w:val="single" w:color="000000" w:sz="2" w:space="0"/>
              <w:bottom w:val="single" w:color="000000" w:sz="2" w:space="0"/>
              <w:right w:val="single" w:color="000000" w:sz="2" w:space="0"/>
            </w:tcBorders>
            <w:shd w:val="clear" w:color="auto" w:fill="auto"/>
            <w:vAlign w:val="top"/>
          </w:tcPr>
          <w:p w14:paraId="7635C572">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r>
      <w:tr w14:paraId="278803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3" w:hRule="atLeast"/>
        </w:trPr>
        <w:tc>
          <w:tcPr>
            <w:tcW w:w="707" w:type="dxa"/>
            <w:tcBorders>
              <w:top w:val="single" w:color="000000" w:sz="2" w:space="0"/>
              <w:left w:val="single" w:color="000000" w:sz="2" w:space="0"/>
              <w:bottom w:val="single" w:color="000000" w:sz="2" w:space="0"/>
              <w:right w:val="single" w:color="000000" w:sz="2" w:space="0"/>
            </w:tcBorders>
            <w:shd w:val="clear" w:color="auto" w:fill="auto"/>
            <w:vAlign w:val="top"/>
          </w:tcPr>
          <w:p w14:paraId="2C6A5A4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99" w:type="dxa"/>
            <w:tcBorders>
              <w:top w:val="single" w:color="000000" w:sz="2" w:space="0"/>
              <w:left w:val="single" w:color="000000" w:sz="2" w:space="0"/>
              <w:bottom w:val="single" w:color="000000" w:sz="2" w:space="0"/>
              <w:right w:val="single" w:color="000000" w:sz="2" w:space="0"/>
            </w:tcBorders>
            <w:shd w:val="clear" w:color="auto" w:fill="auto"/>
            <w:vAlign w:val="top"/>
          </w:tcPr>
          <w:p w14:paraId="3BC3CA5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58" w:type="dxa"/>
            <w:tcBorders>
              <w:top w:val="single" w:color="000000" w:sz="2" w:space="0"/>
              <w:left w:val="single" w:color="000000" w:sz="2" w:space="0"/>
              <w:bottom w:val="single" w:color="000000" w:sz="2" w:space="0"/>
              <w:right w:val="single" w:color="000000" w:sz="2" w:space="0"/>
            </w:tcBorders>
            <w:shd w:val="clear" w:color="auto" w:fill="auto"/>
            <w:vAlign w:val="top"/>
          </w:tcPr>
          <w:p w14:paraId="18C7779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727" w:type="dxa"/>
            <w:tcBorders>
              <w:top w:val="single" w:color="000000" w:sz="2" w:space="0"/>
              <w:left w:val="single" w:color="000000" w:sz="2" w:space="0"/>
              <w:bottom w:val="single" w:color="000000" w:sz="2" w:space="0"/>
              <w:right w:val="single" w:color="000000" w:sz="2" w:space="0"/>
            </w:tcBorders>
            <w:shd w:val="clear" w:color="auto" w:fill="auto"/>
            <w:vAlign w:val="top"/>
          </w:tcPr>
          <w:p w14:paraId="1614E4C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989" w:type="dxa"/>
            <w:tcBorders>
              <w:top w:val="single" w:color="000000" w:sz="2" w:space="0"/>
              <w:left w:val="single" w:color="000000" w:sz="2" w:space="0"/>
              <w:bottom w:val="single" w:color="000000" w:sz="2" w:space="0"/>
              <w:right w:val="single" w:color="000000" w:sz="2" w:space="0"/>
            </w:tcBorders>
            <w:shd w:val="clear" w:color="auto" w:fill="auto"/>
            <w:vAlign w:val="top"/>
          </w:tcPr>
          <w:p w14:paraId="4349A624">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193" w:type="dxa"/>
            <w:tcBorders>
              <w:top w:val="single" w:color="000000" w:sz="2" w:space="0"/>
              <w:left w:val="single" w:color="000000" w:sz="2" w:space="0"/>
              <w:bottom w:val="single" w:color="000000" w:sz="2" w:space="0"/>
              <w:right w:val="single" w:color="000000" w:sz="2" w:space="0"/>
            </w:tcBorders>
            <w:shd w:val="clear" w:color="auto" w:fill="auto"/>
            <w:vAlign w:val="top"/>
          </w:tcPr>
          <w:p w14:paraId="2F779BF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252" w:type="dxa"/>
            <w:tcBorders>
              <w:top w:val="single" w:color="000000" w:sz="2" w:space="0"/>
              <w:left w:val="single" w:color="000000" w:sz="2" w:space="0"/>
              <w:bottom w:val="single" w:color="000000" w:sz="2" w:space="0"/>
              <w:right w:val="single" w:color="000000" w:sz="2" w:space="0"/>
            </w:tcBorders>
            <w:shd w:val="clear" w:color="auto" w:fill="auto"/>
            <w:vAlign w:val="top"/>
          </w:tcPr>
          <w:p w14:paraId="0E109731">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r>
      <w:tr w14:paraId="7A8D1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84" w:hRule="atLeast"/>
        </w:trPr>
        <w:tc>
          <w:tcPr>
            <w:tcW w:w="707" w:type="dxa"/>
            <w:tcBorders>
              <w:top w:val="single" w:color="000000" w:sz="2" w:space="0"/>
              <w:left w:val="single" w:color="000000" w:sz="2" w:space="0"/>
              <w:bottom w:val="single" w:color="000000" w:sz="2" w:space="0"/>
              <w:right w:val="single" w:color="000000" w:sz="2" w:space="0"/>
            </w:tcBorders>
            <w:shd w:val="clear" w:color="auto" w:fill="auto"/>
            <w:vAlign w:val="top"/>
          </w:tcPr>
          <w:p w14:paraId="1E20306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99" w:type="dxa"/>
            <w:tcBorders>
              <w:top w:val="single" w:color="000000" w:sz="2" w:space="0"/>
              <w:left w:val="single" w:color="000000" w:sz="2" w:space="0"/>
              <w:bottom w:val="single" w:color="000000" w:sz="2" w:space="0"/>
              <w:right w:val="single" w:color="000000" w:sz="2" w:space="0"/>
            </w:tcBorders>
            <w:shd w:val="clear" w:color="auto" w:fill="auto"/>
            <w:vAlign w:val="top"/>
          </w:tcPr>
          <w:p w14:paraId="4683DCA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58" w:type="dxa"/>
            <w:tcBorders>
              <w:top w:val="single" w:color="000000" w:sz="2" w:space="0"/>
              <w:left w:val="single" w:color="000000" w:sz="2" w:space="0"/>
              <w:bottom w:val="single" w:color="000000" w:sz="2" w:space="0"/>
              <w:right w:val="single" w:color="000000" w:sz="2" w:space="0"/>
            </w:tcBorders>
            <w:shd w:val="clear" w:color="auto" w:fill="auto"/>
            <w:vAlign w:val="top"/>
          </w:tcPr>
          <w:p w14:paraId="6455DB56">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727" w:type="dxa"/>
            <w:tcBorders>
              <w:top w:val="single" w:color="000000" w:sz="2" w:space="0"/>
              <w:left w:val="single" w:color="000000" w:sz="2" w:space="0"/>
              <w:bottom w:val="single" w:color="000000" w:sz="2" w:space="0"/>
              <w:right w:val="single" w:color="000000" w:sz="2" w:space="0"/>
            </w:tcBorders>
            <w:shd w:val="clear" w:color="auto" w:fill="auto"/>
            <w:vAlign w:val="top"/>
          </w:tcPr>
          <w:p w14:paraId="4E829C0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989" w:type="dxa"/>
            <w:tcBorders>
              <w:top w:val="single" w:color="000000" w:sz="2" w:space="0"/>
              <w:left w:val="single" w:color="000000" w:sz="2" w:space="0"/>
              <w:bottom w:val="single" w:color="000000" w:sz="2" w:space="0"/>
              <w:right w:val="single" w:color="000000" w:sz="2" w:space="0"/>
            </w:tcBorders>
            <w:shd w:val="clear" w:color="auto" w:fill="auto"/>
            <w:vAlign w:val="top"/>
          </w:tcPr>
          <w:p w14:paraId="43EE631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193" w:type="dxa"/>
            <w:tcBorders>
              <w:top w:val="single" w:color="000000" w:sz="2" w:space="0"/>
              <w:left w:val="single" w:color="000000" w:sz="2" w:space="0"/>
              <w:bottom w:val="single" w:color="000000" w:sz="2" w:space="0"/>
              <w:right w:val="single" w:color="000000" w:sz="2" w:space="0"/>
            </w:tcBorders>
            <w:shd w:val="clear" w:color="auto" w:fill="auto"/>
            <w:vAlign w:val="top"/>
          </w:tcPr>
          <w:p w14:paraId="50B40D0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252" w:type="dxa"/>
            <w:tcBorders>
              <w:top w:val="single" w:color="000000" w:sz="2" w:space="0"/>
              <w:left w:val="single" w:color="000000" w:sz="2" w:space="0"/>
              <w:bottom w:val="single" w:color="000000" w:sz="2" w:space="0"/>
              <w:right w:val="single" w:color="000000" w:sz="2" w:space="0"/>
            </w:tcBorders>
            <w:shd w:val="clear" w:color="auto" w:fill="auto"/>
            <w:vAlign w:val="top"/>
          </w:tcPr>
          <w:p w14:paraId="76FA7B92">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r>
      <w:tr w14:paraId="2B95B1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83" w:hRule="atLeast"/>
        </w:trPr>
        <w:tc>
          <w:tcPr>
            <w:tcW w:w="707" w:type="dxa"/>
            <w:tcBorders>
              <w:top w:val="single" w:color="000000" w:sz="2" w:space="0"/>
              <w:left w:val="single" w:color="000000" w:sz="2" w:space="0"/>
              <w:bottom w:val="single" w:color="000000" w:sz="2" w:space="0"/>
              <w:right w:val="single" w:color="000000" w:sz="2" w:space="0"/>
            </w:tcBorders>
            <w:shd w:val="clear" w:color="auto" w:fill="auto"/>
            <w:vAlign w:val="top"/>
          </w:tcPr>
          <w:p w14:paraId="76A8E48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99" w:type="dxa"/>
            <w:tcBorders>
              <w:top w:val="single" w:color="000000" w:sz="2" w:space="0"/>
              <w:left w:val="single" w:color="000000" w:sz="2" w:space="0"/>
              <w:bottom w:val="single" w:color="000000" w:sz="2" w:space="0"/>
              <w:right w:val="single" w:color="000000" w:sz="2" w:space="0"/>
            </w:tcBorders>
            <w:shd w:val="clear" w:color="auto" w:fill="auto"/>
            <w:vAlign w:val="top"/>
          </w:tcPr>
          <w:p w14:paraId="3B79D1A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58" w:type="dxa"/>
            <w:tcBorders>
              <w:top w:val="single" w:color="000000" w:sz="2" w:space="0"/>
              <w:left w:val="single" w:color="000000" w:sz="2" w:space="0"/>
              <w:bottom w:val="single" w:color="000000" w:sz="2" w:space="0"/>
              <w:right w:val="single" w:color="000000" w:sz="2" w:space="0"/>
            </w:tcBorders>
            <w:shd w:val="clear" w:color="auto" w:fill="auto"/>
            <w:vAlign w:val="top"/>
          </w:tcPr>
          <w:p w14:paraId="4CF3641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727" w:type="dxa"/>
            <w:tcBorders>
              <w:top w:val="single" w:color="000000" w:sz="2" w:space="0"/>
              <w:left w:val="single" w:color="000000" w:sz="2" w:space="0"/>
              <w:bottom w:val="single" w:color="000000" w:sz="2" w:space="0"/>
              <w:right w:val="single" w:color="000000" w:sz="2" w:space="0"/>
            </w:tcBorders>
            <w:shd w:val="clear" w:color="auto" w:fill="auto"/>
            <w:vAlign w:val="top"/>
          </w:tcPr>
          <w:p w14:paraId="20C03D2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989" w:type="dxa"/>
            <w:tcBorders>
              <w:top w:val="single" w:color="000000" w:sz="2" w:space="0"/>
              <w:left w:val="single" w:color="000000" w:sz="2" w:space="0"/>
              <w:bottom w:val="single" w:color="000000" w:sz="2" w:space="0"/>
              <w:right w:val="single" w:color="000000" w:sz="2" w:space="0"/>
            </w:tcBorders>
            <w:shd w:val="clear" w:color="auto" w:fill="auto"/>
            <w:vAlign w:val="top"/>
          </w:tcPr>
          <w:p w14:paraId="502CE8D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193" w:type="dxa"/>
            <w:tcBorders>
              <w:top w:val="single" w:color="000000" w:sz="2" w:space="0"/>
              <w:left w:val="single" w:color="000000" w:sz="2" w:space="0"/>
              <w:bottom w:val="single" w:color="000000" w:sz="2" w:space="0"/>
              <w:right w:val="single" w:color="000000" w:sz="2" w:space="0"/>
            </w:tcBorders>
            <w:shd w:val="clear" w:color="auto" w:fill="auto"/>
            <w:vAlign w:val="top"/>
          </w:tcPr>
          <w:p w14:paraId="766072D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252" w:type="dxa"/>
            <w:tcBorders>
              <w:top w:val="single" w:color="000000" w:sz="2" w:space="0"/>
              <w:left w:val="single" w:color="000000" w:sz="2" w:space="0"/>
              <w:bottom w:val="single" w:color="000000" w:sz="2" w:space="0"/>
              <w:right w:val="single" w:color="000000" w:sz="2" w:space="0"/>
            </w:tcBorders>
            <w:shd w:val="clear" w:color="auto" w:fill="auto"/>
            <w:vAlign w:val="top"/>
          </w:tcPr>
          <w:p w14:paraId="3D87645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r>
      <w:tr w14:paraId="24D647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707" w:type="dxa"/>
            <w:tcBorders>
              <w:top w:val="single" w:color="000000" w:sz="2" w:space="0"/>
              <w:left w:val="single" w:color="000000" w:sz="2" w:space="0"/>
              <w:bottom w:val="single" w:color="000000" w:sz="2" w:space="0"/>
              <w:right w:val="single" w:color="000000" w:sz="2" w:space="0"/>
            </w:tcBorders>
            <w:shd w:val="clear" w:color="auto" w:fill="auto"/>
            <w:vAlign w:val="top"/>
          </w:tcPr>
          <w:p w14:paraId="19D7164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99" w:type="dxa"/>
            <w:tcBorders>
              <w:top w:val="single" w:color="000000" w:sz="2" w:space="0"/>
              <w:left w:val="single" w:color="000000" w:sz="2" w:space="0"/>
              <w:bottom w:val="single" w:color="000000" w:sz="2" w:space="0"/>
              <w:right w:val="single" w:color="000000" w:sz="2" w:space="0"/>
            </w:tcBorders>
            <w:shd w:val="clear" w:color="auto" w:fill="auto"/>
            <w:vAlign w:val="top"/>
          </w:tcPr>
          <w:p w14:paraId="37DC1C3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58" w:type="dxa"/>
            <w:tcBorders>
              <w:top w:val="single" w:color="000000" w:sz="2" w:space="0"/>
              <w:left w:val="single" w:color="000000" w:sz="2" w:space="0"/>
              <w:bottom w:val="single" w:color="000000" w:sz="2" w:space="0"/>
              <w:right w:val="single" w:color="000000" w:sz="2" w:space="0"/>
            </w:tcBorders>
            <w:shd w:val="clear" w:color="auto" w:fill="auto"/>
            <w:vAlign w:val="top"/>
          </w:tcPr>
          <w:p w14:paraId="19348CF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727" w:type="dxa"/>
            <w:tcBorders>
              <w:top w:val="single" w:color="000000" w:sz="2" w:space="0"/>
              <w:left w:val="single" w:color="000000" w:sz="2" w:space="0"/>
              <w:bottom w:val="single" w:color="000000" w:sz="2" w:space="0"/>
              <w:right w:val="single" w:color="000000" w:sz="2" w:space="0"/>
            </w:tcBorders>
            <w:shd w:val="clear" w:color="auto" w:fill="auto"/>
            <w:vAlign w:val="top"/>
          </w:tcPr>
          <w:p w14:paraId="02AF775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989" w:type="dxa"/>
            <w:tcBorders>
              <w:top w:val="single" w:color="000000" w:sz="2" w:space="0"/>
              <w:left w:val="single" w:color="000000" w:sz="2" w:space="0"/>
              <w:bottom w:val="single" w:color="000000" w:sz="2" w:space="0"/>
              <w:right w:val="single" w:color="000000" w:sz="2" w:space="0"/>
            </w:tcBorders>
            <w:shd w:val="clear" w:color="auto" w:fill="auto"/>
            <w:vAlign w:val="top"/>
          </w:tcPr>
          <w:p w14:paraId="0421FFD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193" w:type="dxa"/>
            <w:tcBorders>
              <w:top w:val="single" w:color="000000" w:sz="2" w:space="0"/>
              <w:left w:val="single" w:color="000000" w:sz="2" w:space="0"/>
              <w:bottom w:val="single" w:color="000000" w:sz="2" w:space="0"/>
              <w:right w:val="single" w:color="000000" w:sz="2" w:space="0"/>
            </w:tcBorders>
            <w:shd w:val="clear" w:color="auto" w:fill="auto"/>
            <w:vAlign w:val="top"/>
          </w:tcPr>
          <w:p w14:paraId="5CE36B7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252" w:type="dxa"/>
            <w:tcBorders>
              <w:top w:val="single" w:color="000000" w:sz="2" w:space="0"/>
              <w:left w:val="single" w:color="000000" w:sz="2" w:space="0"/>
              <w:bottom w:val="single" w:color="000000" w:sz="2" w:space="0"/>
              <w:right w:val="single" w:color="000000" w:sz="2" w:space="0"/>
            </w:tcBorders>
            <w:shd w:val="clear" w:color="auto" w:fill="auto"/>
            <w:vAlign w:val="top"/>
          </w:tcPr>
          <w:p w14:paraId="28DFE8E4">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r>
      <w:tr w14:paraId="71DED7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83" w:hRule="atLeast"/>
        </w:trPr>
        <w:tc>
          <w:tcPr>
            <w:tcW w:w="707" w:type="dxa"/>
            <w:tcBorders>
              <w:top w:val="single" w:color="000000" w:sz="2" w:space="0"/>
              <w:left w:val="single" w:color="000000" w:sz="2" w:space="0"/>
              <w:bottom w:val="single" w:color="000000" w:sz="2" w:space="0"/>
              <w:right w:val="single" w:color="000000" w:sz="2" w:space="0"/>
            </w:tcBorders>
            <w:shd w:val="clear" w:color="auto" w:fill="auto"/>
            <w:vAlign w:val="top"/>
          </w:tcPr>
          <w:p w14:paraId="0CF4231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99" w:type="dxa"/>
            <w:tcBorders>
              <w:top w:val="single" w:color="000000" w:sz="2" w:space="0"/>
              <w:left w:val="single" w:color="000000" w:sz="2" w:space="0"/>
              <w:bottom w:val="single" w:color="000000" w:sz="2" w:space="0"/>
              <w:right w:val="single" w:color="000000" w:sz="2" w:space="0"/>
            </w:tcBorders>
            <w:shd w:val="clear" w:color="auto" w:fill="auto"/>
            <w:vAlign w:val="top"/>
          </w:tcPr>
          <w:p w14:paraId="721CCAC4">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58" w:type="dxa"/>
            <w:tcBorders>
              <w:top w:val="single" w:color="000000" w:sz="2" w:space="0"/>
              <w:left w:val="single" w:color="000000" w:sz="2" w:space="0"/>
              <w:bottom w:val="single" w:color="000000" w:sz="2" w:space="0"/>
              <w:right w:val="single" w:color="000000" w:sz="2" w:space="0"/>
            </w:tcBorders>
            <w:shd w:val="clear" w:color="auto" w:fill="auto"/>
            <w:vAlign w:val="top"/>
          </w:tcPr>
          <w:p w14:paraId="28BC223C">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727" w:type="dxa"/>
            <w:tcBorders>
              <w:top w:val="single" w:color="000000" w:sz="2" w:space="0"/>
              <w:left w:val="single" w:color="000000" w:sz="2" w:space="0"/>
              <w:bottom w:val="single" w:color="000000" w:sz="2" w:space="0"/>
              <w:right w:val="single" w:color="000000" w:sz="2" w:space="0"/>
            </w:tcBorders>
            <w:shd w:val="clear" w:color="auto" w:fill="auto"/>
            <w:vAlign w:val="top"/>
          </w:tcPr>
          <w:p w14:paraId="397A5A3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989" w:type="dxa"/>
            <w:tcBorders>
              <w:top w:val="single" w:color="000000" w:sz="2" w:space="0"/>
              <w:left w:val="single" w:color="000000" w:sz="2" w:space="0"/>
              <w:bottom w:val="single" w:color="000000" w:sz="2" w:space="0"/>
              <w:right w:val="single" w:color="000000" w:sz="2" w:space="0"/>
            </w:tcBorders>
            <w:shd w:val="clear" w:color="auto" w:fill="auto"/>
            <w:vAlign w:val="top"/>
          </w:tcPr>
          <w:p w14:paraId="4236BEA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193" w:type="dxa"/>
            <w:tcBorders>
              <w:top w:val="single" w:color="000000" w:sz="2" w:space="0"/>
              <w:left w:val="single" w:color="000000" w:sz="2" w:space="0"/>
              <w:bottom w:val="single" w:color="000000" w:sz="2" w:space="0"/>
              <w:right w:val="single" w:color="000000" w:sz="2" w:space="0"/>
            </w:tcBorders>
            <w:shd w:val="clear" w:color="auto" w:fill="auto"/>
            <w:vAlign w:val="top"/>
          </w:tcPr>
          <w:p w14:paraId="6A76F99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252" w:type="dxa"/>
            <w:tcBorders>
              <w:top w:val="single" w:color="000000" w:sz="2" w:space="0"/>
              <w:left w:val="single" w:color="000000" w:sz="2" w:space="0"/>
              <w:bottom w:val="single" w:color="000000" w:sz="2" w:space="0"/>
              <w:right w:val="single" w:color="000000" w:sz="2" w:space="0"/>
            </w:tcBorders>
            <w:shd w:val="clear" w:color="auto" w:fill="auto"/>
            <w:vAlign w:val="top"/>
          </w:tcPr>
          <w:p w14:paraId="77A762E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r>
      <w:tr w14:paraId="21356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83" w:hRule="atLeast"/>
        </w:trPr>
        <w:tc>
          <w:tcPr>
            <w:tcW w:w="707" w:type="dxa"/>
            <w:tcBorders>
              <w:top w:val="single" w:color="000000" w:sz="2" w:space="0"/>
              <w:left w:val="single" w:color="000000" w:sz="2" w:space="0"/>
              <w:bottom w:val="single" w:color="000000" w:sz="2" w:space="0"/>
              <w:right w:val="single" w:color="000000" w:sz="2" w:space="0"/>
            </w:tcBorders>
            <w:shd w:val="clear" w:color="auto" w:fill="auto"/>
            <w:vAlign w:val="top"/>
          </w:tcPr>
          <w:p w14:paraId="73CBB32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99" w:type="dxa"/>
            <w:tcBorders>
              <w:top w:val="single" w:color="000000" w:sz="2" w:space="0"/>
              <w:left w:val="single" w:color="000000" w:sz="2" w:space="0"/>
              <w:bottom w:val="single" w:color="000000" w:sz="2" w:space="0"/>
              <w:right w:val="single" w:color="000000" w:sz="2" w:space="0"/>
            </w:tcBorders>
            <w:shd w:val="clear" w:color="auto" w:fill="auto"/>
            <w:vAlign w:val="top"/>
          </w:tcPr>
          <w:p w14:paraId="668BEAA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58" w:type="dxa"/>
            <w:tcBorders>
              <w:top w:val="single" w:color="000000" w:sz="2" w:space="0"/>
              <w:left w:val="single" w:color="000000" w:sz="2" w:space="0"/>
              <w:bottom w:val="single" w:color="000000" w:sz="2" w:space="0"/>
              <w:right w:val="single" w:color="000000" w:sz="2" w:space="0"/>
            </w:tcBorders>
            <w:shd w:val="clear" w:color="auto" w:fill="auto"/>
            <w:vAlign w:val="top"/>
          </w:tcPr>
          <w:p w14:paraId="488E2012">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727" w:type="dxa"/>
            <w:tcBorders>
              <w:top w:val="single" w:color="000000" w:sz="2" w:space="0"/>
              <w:left w:val="single" w:color="000000" w:sz="2" w:space="0"/>
              <w:bottom w:val="single" w:color="000000" w:sz="2" w:space="0"/>
              <w:right w:val="single" w:color="000000" w:sz="2" w:space="0"/>
            </w:tcBorders>
            <w:shd w:val="clear" w:color="auto" w:fill="auto"/>
            <w:vAlign w:val="top"/>
          </w:tcPr>
          <w:p w14:paraId="1F5999B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989" w:type="dxa"/>
            <w:tcBorders>
              <w:top w:val="single" w:color="000000" w:sz="2" w:space="0"/>
              <w:left w:val="single" w:color="000000" w:sz="2" w:space="0"/>
              <w:bottom w:val="single" w:color="000000" w:sz="2" w:space="0"/>
              <w:right w:val="single" w:color="000000" w:sz="2" w:space="0"/>
            </w:tcBorders>
            <w:shd w:val="clear" w:color="auto" w:fill="auto"/>
            <w:vAlign w:val="top"/>
          </w:tcPr>
          <w:p w14:paraId="7CE1C61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193" w:type="dxa"/>
            <w:tcBorders>
              <w:top w:val="single" w:color="000000" w:sz="2" w:space="0"/>
              <w:left w:val="single" w:color="000000" w:sz="2" w:space="0"/>
              <w:bottom w:val="single" w:color="000000" w:sz="2" w:space="0"/>
              <w:right w:val="single" w:color="000000" w:sz="2" w:space="0"/>
            </w:tcBorders>
            <w:shd w:val="clear" w:color="auto" w:fill="auto"/>
            <w:vAlign w:val="top"/>
          </w:tcPr>
          <w:p w14:paraId="1907A322">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252" w:type="dxa"/>
            <w:tcBorders>
              <w:top w:val="single" w:color="000000" w:sz="2" w:space="0"/>
              <w:left w:val="single" w:color="000000" w:sz="2" w:space="0"/>
              <w:bottom w:val="single" w:color="000000" w:sz="2" w:space="0"/>
              <w:right w:val="single" w:color="000000" w:sz="2" w:space="0"/>
            </w:tcBorders>
            <w:shd w:val="clear" w:color="auto" w:fill="auto"/>
            <w:vAlign w:val="top"/>
          </w:tcPr>
          <w:p w14:paraId="0B536D6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r>
      <w:tr w14:paraId="28A49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88" w:hRule="atLeast"/>
        </w:trPr>
        <w:tc>
          <w:tcPr>
            <w:tcW w:w="707" w:type="dxa"/>
            <w:tcBorders>
              <w:top w:val="single" w:color="000000" w:sz="2" w:space="0"/>
              <w:left w:val="single" w:color="000000" w:sz="2" w:space="0"/>
              <w:bottom w:val="single" w:color="000000" w:sz="2" w:space="0"/>
              <w:right w:val="single" w:color="000000" w:sz="2" w:space="0"/>
            </w:tcBorders>
            <w:shd w:val="clear" w:color="auto" w:fill="auto"/>
            <w:vAlign w:val="top"/>
          </w:tcPr>
          <w:p w14:paraId="6D48AE61">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99" w:type="dxa"/>
            <w:tcBorders>
              <w:top w:val="single" w:color="000000" w:sz="2" w:space="0"/>
              <w:left w:val="single" w:color="000000" w:sz="2" w:space="0"/>
              <w:bottom w:val="single" w:color="000000" w:sz="2" w:space="0"/>
              <w:right w:val="single" w:color="000000" w:sz="2" w:space="0"/>
            </w:tcBorders>
            <w:shd w:val="clear" w:color="auto" w:fill="auto"/>
            <w:vAlign w:val="top"/>
          </w:tcPr>
          <w:p w14:paraId="1B0D8F23">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558" w:type="dxa"/>
            <w:tcBorders>
              <w:top w:val="single" w:color="000000" w:sz="2" w:space="0"/>
              <w:left w:val="single" w:color="000000" w:sz="2" w:space="0"/>
              <w:bottom w:val="single" w:color="000000" w:sz="2" w:space="0"/>
              <w:right w:val="single" w:color="000000" w:sz="2" w:space="0"/>
            </w:tcBorders>
            <w:shd w:val="clear" w:color="auto" w:fill="auto"/>
            <w:vAlign w:val="top"/>
          </w:tcPr>
          <w:p w14:paraId="3AD0279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727" w:type="dxa"/>
            <w:tcBorders>
              <w:top w:val="single" w:color="000000" w:sz="2" w:space="0"/>
              <w:left w:val="single" w:color="000000" w:sz="2" w:space="0"/>
              <w:bottom w:val="single" w:color="000000" w:sz="2" w:space="0"/>
              <w:right w:val="single" w:color="000000" w:sz="2" w:space="0"/>
            </w:tcBorders>
            <w:shd w:val="clear" w:color="auto" w:fill="auto"/>
            <w:vAlign w:val="top"/>
          </w:tcPr>
          <w:p w14:paraId="1267DF3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989" w:type="dxa"/>
            <w:tcBorders>
              <w:top w:val="single" w:color="000000" w:sz="2" w:space="0"/>
              <w:left w:val="single" w:color="000000" w:sz="2" w:space="0"/>
              <w:bottom w:val="single" w:color="000000" w:sz="2" w:space="0"/>
              <w:right w:val="single" w:color="000000" w:sz="2" w:space="0"/>
            </w:tcBorders>
            <w:shd w:val="clear" w:color="auto" w:fill="auto"/>
            <w:vAlign w:val="top"/>
          </w:tcPr>
          <w:p w14:paraId="703636E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193" w:type="dxa"/>
            <w:tcBorders>
              <w:top w:val="single" w:color="000000" w:sz="2" w:space="0"/>
              <w:left w:val="single" w:color="000000" w:sz="2" w:space="0"/>
              <w:bottom w:val="single" w:color="000000" w:sz="2" w:space="0"/>
              <w:right w:val="single" w:color="000000" w:sz="2" w:space="0"/>
            </w:tcBorders>
            <w:shd w:val="clear" w:color="auto" w:fill="auto"/>
            <w:vAlign w:val="top"/>
          </w:tcPr>
          <w:p w14:paraId="7FDA855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c>
          <w:tcPr>
            <w:tcW w:w="1252" w:type="dxa"/>
            <w:tcBorders>
              <w:top w:val="single" w:color="000000" w:sz="2" w:space="0"/>
              <w:left w:val="single" w:color="000000" w:sz="2" w:space="0"/>
              <w:bottom w:val="single" w:color="000000" w:sz="2" w:space="0"/>
              <w:right w:val="single" w:color="000000" w:sz="2" w:space="0"/>
            </w:tcBorders>
            <w:shd w:val="clear" w:color="auto" w:fill="auto"/>
            <w:vAlign w:val="top"/>
          </w:tcPr>
          <w:p w14:paraId="17EB04A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p>
        </w:tc>
      </w:tr>
    </w:tbl>
    <w:p w14:paraId="2E4AF8AB">
      <w:pPr>
        <w:keepNext w:val="0"/>
        <w:keepLines w:val="0"/>
        <w:widowControl/>
        <w:suppressLineNumbers w:val="0"/>
        <w:kinsoku w:val="0"/>
        <w:autoSpaceDE w:val="0"/>
        <w:autoSpaceDN w:val="0"/>
        <w:adjustRightInd w:val="0"/>
        <w:snapToGrid w:val="0"/>
        <w:spacing w:before="44" w:beforeAutospacing="0" w:after="0" w:afterAutospacing="0" w:line="240" w:lineRule="auto"/>
        <w:ind w:left="29"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val="0"/>
          <w:color w:val="auto"/>
          <w:spacing w:val="-3"/>
          <w:kern w:val="0"/>
          <w:sz w:val="28"/>
          <w:szCs w:val="28"/>
          <w:lang w:val="en-US" w:eastAsia="zh-CN" w:bidi="ar"/>
        </w:rPr>
        <w:t>（此表可延长）</w:t>
      </w:r>
    </w:p>
    <w:p w14:paraId="2DCD3148">
      <w:pPr>
        <w:pStyle w:val="2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color w:val="auto"/>
          <w:kern w:val="0"/>
          <w:sz w:val="28"/>
          <w:szCs w:val="28"/>
          <w:lang w:val="en-US" w:eastAsia="zh-CN" w:bidi="ar"/>
        </w:rPr>
        <w:t xml:space="preserve"> </w:t>
      </w:r>
    </w:p>
    <w:p w14:paraId="2B9F2882">
      <w:pPr>
        <w:pStyle w:val="2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color w:val="auto"/>
          <w:kern w:val="0"/>
          <w:sz w:val="28"/>
          <w:szCs w:val="28"/>
          <w:lang w:val="en-US" w:eastAsia="zh-CN" w:bidi="ar"/>
        </w:rPr>
        <w:t xml:space="preserve"> </w:t>
      </w:r>
    </w:p>
    <w:p w14:paraId="20B069F2">
      <w:pPr>
        <w:keepNext w:val="0"/>
        <w:keepLines w:val="0"/>
        <w:widowControl/>
        <w:suppressLineNumbers w:val="0"/>
        <w:kinsoku w:val="0"/>
        <w:autoSpaceDE w:val="0"/>
        <w:autoSpaceDN w:val="0"/>
        <w:adjustRightInd w:val="0"/>
        <w:snapToGrid w:val="0"/>
        <w:spacing w:before="72" w:beforeAutospacing="0" w:after="0" w:afterAutospacing="0" w:line="240" w:lineRule="auto"/>
        <w:ind w:left="464"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val="0"/>
          <w:color w:val="auto"/>
          <w:spacing w:val="-6"/>
          <w:kern w:val="0"/>
          <w:sz w:val="28"/>
          <w:szCs w:val="28"/>
          <w:lang w:val="en-US" w:eastAsia="zh-CN" w:bidi="ar"/>
        </w:rPr>
        <w:t>投标单位（公章</w:t>
      </w:r>
      <w:r>
        <w:rPr>
          <w:rFonts w:hint="eastAsia" w:ascii="宋体" w:hAnsi="宋体" w:eastAsia="宋体" w:cs="宋体"/>
          <w:snapToGrid w:val="0"/>
          <w:color w:val="auto"/>
          <w:spacing w:val="15"/>
          <w:kern w:val="0"/>
          <w:sz w:val="28"/>
          <w:szCs w:val="28"/>
          <w:lang w:val="en-US" w:eastAsia="zh-CN" w:bidi="ar"/>
        </w:rPr>
        <w:t>）：</w:t>
      </w:r>
    </w:p>
    <w:p w14:paraId="33E81EE1">
      <w:pPr>
        <w:pStyle w:val="2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color w:val="auto"/>
          <w:kern w:val="0"/>
          <w:sz w:val="28"/>
          <w:szCs w:val="28"/>
          <w:lang w:val="en-US" w:eastAsia="zh-CN" w:bidi="ar"/>
        </w:rPr>
        <w:t xml:space="preserve"> </w:t>
      </w:r>
    </w:p>
    <w:p w14:paraId="27F259B8">
      <w:pPr>
        <w:pStyle w:val="2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color w:val="auto"/>
          <w:kern w:val="0"/>
          <w:sz w:val="28"/>
          <w:szCs w:val="28"/>
          <w:lang w:val="en-US" w:eastAsia="zh-CN" w:bidi="ar"/>
        </w:rPr>
        <w:t xml:space="preserve"> </w:t>
      </w:r>
    </w:p>
    <w:p w14:paraId="72535DB4">
      <w:pPr>
        <w:keepNext w:val="0"/>
        <w:keepLines w:val="0"/>
        <w:widowControl/>
        <w:suppressLineNumbers w:val="0"/>
        <w:kinsoku w:val="0"/>
        <w:autoSpaceDE w:val="0"/>
        <w:autoSpaceDN w:val="0"/>
        <w:adjustRightInd w:val="0"/>
        <w:snapToGrid w:val="0"/>
        <w:spacing w:before="72" w:beforeAutospacing="0" w:after="0" w:afterAutospacing="0" w:line="240" w:lineRule="auto"/>
        <w:ind w:left="462"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val="0"/>
          <w:color w:val="auto"/>
          <w:spacing w:val="-2"/>
          <w:kern w:val="0"/>
          <w:sz w:val="28"/>
          <w:szCs w:val="28"/>
          <w:lang w:val="en-US" w:eastAsia="zh-CN" w:bidi="ar"/>
        </w:rPr>
        <w:t>法定代表人或其授权委托人（签字或盖章）：</w:t>
      </w:r>
    </w:p>
    <w:p w14:paraId="0D7BDD53">
      <w:pPr>
        <w:pStyle w:val="2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color w:val="auto"/>
          <w:kern w:val="0"/>
          <w:sz w:val="28"/>
          <w:szCs w:val="28"/>
          <w:lang w:val="en-US" w:eastAsia="zh-CN" w:bidi="ar"/>
        </w:rPr>
        <w:t xml:space="preserve"> </w:t>
      </w:r>
    </w:p>
    <w:p w14:paraId="21825B5B">
      <w:pPr>
        <w:pStyle w:val="2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color w:val="auto"/>
          <w:kern w:val="0"/>
          <w:sz w:val="28"/>
          <w:szCs w:val="28"/>
          <w:lang w:val="en-US" w:eastAsia="zh-CN" w:bidi="ar"/>
        </w:rPr>
        <w:t xml:space="preserve"> </w:t>
      </w:r>
    </w:p>
    <w:p w14:paraId="6ACEF5B9">
      <w:pPr>
        <w:keepNext w:val="0"/>
        <w:keepLines w:val="0"/>
        <w:widowControl/>
        <w:suppressLineNumbers w:val="0"/>
        <w:kinsoku w:val="0"/>
        <w:autoSpaceDE w:val="0"/>
        <w:autoSpaceDN w:val="0"/>
        <w:adjustRightInd w:val="0"/>
        <w:snapToGrid w:val="0"/>
        <w:spacing w:before="72" w:beforeAutospacing="0" w:after="0" w:afterAutospacing="0" w:line="240" w:lineRule="auto"/>
        <w:ind w:left="462" w:right="0"/>
        <w:jc w:val="left"/>
        <w:textAlignment w:val="baseline"/>
        <w:rPr>
          <w:rFonts w:hint="eastAsia" w:ascii="宋体" w:hAnsi="宋体" w:eastAsia="宋体" w:cs="宋体"/>
          <w:color w:val="auto"/>
          <w:kern w:val="0"/>
          <w:sz w:val="28"/>
          <w:szCs w:val="28"/>
        </w:rPr>
      </w:pPr>
      <w:r>
        <w:rPr>
          <w:rFonts w:hint="eastAsia" w:ascii="宋体" w:hAnsi="宋体" w:eastAsia="宋体" w:cs="宋体"/>
          <w:snapToGrid w:val="0"/>
          <w:color w:val="auto"/>
          <w:spacing w:val="-8"/>
          <w:kern w:val="0"/>
          <w:sz w:val="28"/>
          <w:szCs w:val="28"/>
          <w:lang w:val="en-US" w:eastAsia="zh-CN" w:bidi="ar"/>
        </w:rPr>
        <w:t>年</w:t>
      </w:r>
      <w:r>
        <w:rPr>
          <w:rFonts w:hint="eastAsia" w:ascii="宋体" w:hAnsi="宋体" w:eastAsia="宋体" w:cs="宋体"/>
          <w:snapToGrid w:val="0"/>
          <w:color w:val="auto"/>
          <w:spacing w:val="4"/>
          <w:kern w:val="0"/>
          <w:sz w:val="28"/>
          <w:szCs w:val="28"/>
          <w:lang w:val="en-US" w:eastAsia="zh-CN" w:bidi="ar"/>
        </w:rPr>
        <w:t xml:space="preserve">   </w:t>
      </w:r>
      <w:r>
        <w:rPr>
          <w:rFonts w:hint="eastAsia" w:ascii="宋体" w:hAnsi="宋体" w:eastAsia="宋体" w:cs="宋体"/>
          <w:snapToGrid w:val="0"/>
          <w:color w:val="auto"/>
          <w:spacing w:val="-8"/>
          <w:kern w:val="0"/>
          <w:sz w:val="28"/>
          <w:szCs w:val="28"/>
          <w:lang w:val="en-US" w:eastAsia="zh-CN" w:bidi="ar"/>
        </w:rPr>
        <w:t>月</w:t>
      </w:r>
      <w:r>
        <w:rPr>
          <w:rFonts w:hint="eastAsia" w:ascii="宋体" w:hAnsi="宋体" w:eastAsia="宋体" w:cs="宋体"/>
          <w:snapToGrid w:val="0"/>
          <w:color w:val="auto"/>
          <w:spacing w:val="16"/>
          <w:kern w:val="0"/>
          <w:sz w:val="28"/>
          <w:szCs w:val="28"/>
          <w:lang w:val="en-US" w:eastAsia="zh-CN" w:bidi="ar"/>
        </w:rPr>
        <w:t xml:space="preserve">   </w:t>
      </w:r>
      <w:r>
        <w:rPr>
          <w:rFonts w:hint="eastAsia" w:ascii="宋体" w:hAnsi="宋体" w:eastAsia="宋体" w:cs="宋体"/>
          <w:snapToGrid w:val="0"/>
          <w:color w:val="auto"/>
          <w:spacing w:val="-8"/>
          <w:kern w:val="0"/>
          <w:sz w:val="28"/>
          <w:szCs w:val="28"/>
          <w:lang w:val="en-US" w:eastAsia="zh-CN" w:bidi="ar"/>
        </w:rPr>
        <w:t>日</w:t>
      </w:r>
    </w:p>
    <w:p w14:paraId="392817D8">
      <w:pPr>
        <w:pStyle w:val="15"/>
        <w:shd w:val="clear" w:color="auto" w:fill="auto"/>
        <w:spacing w:line="360" w:lineRule="auto"/>
        <w:ind w:left="1087" w:leftChars="257" w:hanging="540"/>
        <w:rPr>
          <w:rFonts w:hint="eastAsia" w:ascii="宋体" w:hAnsi="宋体" w:eastAsia="宋体" w:cs="宋体"/>
          <w:b/>
          <w:bCs/>
          <w:color w:val="auto"/>
          <w:sz w:val="24"/>
          <w:highlight w:val="none"/>
          <w:lang w:val="en-US" w:eastAsia="zh-CN"/>
        </w:rPr>
      </w:pPr>
      <w:r>
        <w:rPr>
          <w:rFonts w:hint="eastAsia" w:ascii="宋体" w:hAnsi="宋体" w:eastAsia="宋体" w:cs="宋体"/>
          <w:color w:val="auto"/>
          <w:sz w:val="24"/>
          <w:highlight w:val="none"/>
        </w:rPr>
        <w:br w:type="page"/>
      </w:r>
      <w:bookmarkStart w:id="116" w:name="_Toc12170"/>
    </w:p>
    <w:p w14:paraId="75F6EDA1">
      <w:pPr>
        <w:pStyle w:val="3"/>
        <w:numPr>
          <w:ilvl w:val="0"/>
          <w:numId w:val="0"/>
        </w:numPr>
        <w:shd w:val="clear" w:color="auto" w:fill="auto"/>
        <w:spacing w:before="0" w:line="360" w:lineRule="auto"/>
        <w:jc w:val="lef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投标文件格式</w:t>
      </w:r>
      <w:r>
        <w:rPr>
          <w:rFonts w:hint="eastAsia" w:ascii="宋体" w:hAnsi="宋体" w:cs="宋体"/>
          <w:b/>
          <w:bCs/>
          <w:color w:val="auto"/>
          <w:sz w:val="24"/>
          <w:highlight w:val="none"/>
          <w:lang w:val="en-US" w:eastAsia="zh-CN"/>
        </w:rPr>
        <w:t>8</w:t>
      </w:r>
      <w:r>
        <w:rPr>
          <w:rFonts w:hint="eastAsia" w:ascii="宋体" w:hAnsi="宋体" w:eastAsia="宋体" w:cs="宋体"/>
          <w:b/>
          <w:bCs/>
          <w:color w:val="auto"/>
          <w:sz w:val="24"/>
          <w:highlight w:val="none"/>
          <w:lang w:val="en-US" w:eastAsia="zh-CN"/>
        </w:rPr>
        <w:t>：</w:t>
      </w:r>
    </w:p>
    <w:p w14:paraId="26600881">
      <w:pPr>
        <w:pStyle w:val="3"/>
        <w:numPr>
          <w:ilvl w:val="0"/>
          <w:numId w:val="0"/>
        </w:numPr>
        <w:shd w:val="clear" w:color="auto" w:fill="auto"/>
        <w:spacing w:before="0" w:line="360" w:lineRule="auto"/>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技术规格偏离表</w:t>
      </w:r>
      <w:bookmarkEnd w:id="112"/>
      <w:bookmarkEnd w:id="113"/>
      <w:bookmarkEnd w:id="114"/>
      <w:bookmarkEnd w:id="115"/>
      <w:bookmarkEnd w:id="116"/>
    </w:p>
    <w:p w14:paraId="6212F10A">
      <w:pPr>
        <w:pStyle w:val="15"/>
        <w:shd w:val="clear" w:color="auto" w:fill="auto"/>
        <w:spacing w:line="360" w:lineRule="auto"/>
        <w:ind w:left="1087" w:leftChars="257" w:hanging="540"/>
        <w:rPr>
          <w:rFonts w:hint="eastAsia" w:ascii="宋体" w:hAnsi="宋体" w:eastAsia="宋体" w:cs="宋体"/>
          <w:color w:val="auto"/>
          <w:sz w:val="22"/>
          <w:szCs w:val="18"/>
          <w:highlight w:val="none"/>
        </w:rPr>
      </w:pPr>
    </w:p>
    <w:p w14:paraId="3E4FFB4A">
      <w:pPr>
        <w:pStyle w:val="15"/>
        <w:shd w:val="clear" w:color="auto" w:fill="auto"/>
        <w:spacing w:line="360" w:lineRule="auto"/>
        <w:ind w:firstLine="852" w:firstLineChars="4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项目名称:                       招标编号:                 </w:t>
      </w:r>
      <w:r>
        <w:rPr>
          <w:rFonts w:hint="eastAsia" w:hAnsi="宋体" w:cs="宋体"/>
          <w:color w:val="auto"/>
          <w:sz w:val="21"/>
          <w:szCs w:val="21"/>
          <w:highlight w:val="none"/>
          <w:lang w:val="en-US" w:eastAsia="zh-CN"/>
        </w:rPr>
        <w:t>标项</w:t>
      </w:r>
      <w:r>
        <w:rPr>
          <w:rFonts w:hint="eastAsia" w:ascii="宋体" w:hAnsi="宋体" w:eastAsia="宋体" w:cs="宋体"/>
          <w:color w:val="auto"/>
          <w:sz w:val="21"/>
          <w:szCs w:val="21"/>
          <w:highlight w:val="none"/>
        </w:rPr>
        <w:t>号:</w:t>
      </w:r>
    </w:p>
    <w:p w14:paraId="0FE8D223">
      <w:pPr>
        <w:pStyle w:val="15"/>
        <w:shd w:val="clear" w:color="auto" w:fill="auto"/>
        <w:spacing w:line="360" w:lineRule="auto"/>
        <w:ind w:left="1087" w:leftChars="257" w:hanging="540"/>
        <w:rPr>
          <w:rFonts w:hint="eastAsia" w:ascii="宋体" w:hAnsi="宋体" w:eastAsia="宋体" w:cs="宋体"/>
          <w:color w:val="auto"/>
          <w:sz w:val="21"/>
          <w:szCs w:val="21"/>
          <w:highlight w:val="none"/>
        </w:rPr>
      </w:pPr>
    </w:p>
    <w:tbl>
      <w:tblPr>
        <w:tblStyle w:val="28"/>
        <w:tblW w:w="8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412"/>
        <w:gridCol w:w="1412"/>
        <w:gridCol w:w="1412"/>
        <w:gridCol w:w="1412"/>
        <w:gridCol w:w="1417"/>
      </w:tblGrid>
      <w:tr w14:paraId="07D23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412" w:type="dxa"/>
            <w:noWrap w:val="0"/>
            <w:vAlign w:val="center"/>
          </w:tcPr>
          <w:p w14:paraId="4721AAED">
            <w:pPr>
              <w:pStyle w:val="15"/>
              <w:shd w:val="clear" w:color="auto" w:fill="auto"/>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序号</w:t>
            </w:r>
          </w:p>
        </w:tc>
        <w:tc>
          <w:tcPr>
            <w:tcW w:w="1412" w:type="dxa"/>
            <w:noWrap w:val="0"/>
            <w:vAlign w:val="center"/>
          </w:tcPr>
          <w:p w14:paraId="202FAB77">
            <w:pPr>
              <w:pStyle w:val="15"/>
              <w:shd w:val="clear" w:color="auto" w:fill="auto"/>
              <w:spacing w:line="360" w:lineRule="auto"/>
              <w:jc w:val="center"/>
              <w:rPr>
                <w:rFonts w:hint="eastAsia"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lang w:val="en-US" w:eastAsia="zh-CN"/>
              </w:rPr>
              <w:t>名称</w:t>
            </w:r>
          </w:p>
        </w:tc>
        <w:tc>
          <w:tcPr>
            <w:tcW w:w="1412" w:type="dxa"/>
            <w:noWrap w:val="0"/>
            <w:vAlign w:val="center"/>
          </w:tcPr>
          <w:p w14:paraId="1728A18A">
            <w:pPr>
              <w:pStyle w:val="15"/>
              <w:shd w:val="clear" w:color="auto" w:fill="auto"/>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招标规格</w:t>
            </w:r>
          </w:p>
        </w:tc>
        <w:tc>
          <w:tcPr>
            <w:tcW w:w="1412" w:type="dxa"/>
            <w:noWrap w:val="0"/>
            <w:vAlign w:val="center"/>
          </w:tcPr>
          <w:p w14:paraId="34B32E11">
            <w:pPr>
              <w:pStyle w:val="15"/>
              <w:shd w:val="clear" w:color="auto" w:fill="auto"/>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投标规格</w:t>
            </w:r>
          </w:p>
        </w:tc>
        <w:tc>
          <w:tcPr>
            <w:tcW w:w="1412" w:type="dxa"/>
            <w:noWrap w:val="0"/>
            <w:vAlign w:val="center"/>
          </w:tcPr>
          <w:p w14:paraId="21ECD4BB">
            <w:pPr>
              <w:pStyle w:val="15"/>
              <w:shd w:val="clear" w:color="auto" w:fill="auto"/>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偏离</w:t>
            </w:r>
          </w:p>
        </w:tc>
        <w:tc>
          <w:tcPr>
            <w:tcW w:w="1417" w:type="dxa"/>
            <w:noWrap w:val="0"/>
            <w:vAlign w:val="center"/>
          </w:tcPr>
          <w:p w14:paraId="6740FB34">
            <w:pPr>
              <w:pStyle w:val="15"/>
              <w:shd w:val="clear" w:color="auto" w:fill="auto"/>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说明</w:t>
            </w:r>
          </w:p>
        </w:tc>
      </w:tr>
      <w:tr w14:paraId="39683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412" w:type="dxa"/>
            <w:noWrap w:val="0"/>
            <w:vAlign w:val="top"/>
          </w:tcPr>
          <w:p w14:paraId="74FF8A68">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6F989CDF">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4301DD5F">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1F10EC11">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center"/>
          </w:tcPr>
          <w:p w14:paraId="3F0BA329">
            <w:pPr>
              <w:pStyle w:val="15"/>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p>
        </w:tc>
        <w:tc>
          <w:tcPr>
            <w:tcW w:w="1417" w:type="dxa"/>
            <w:noWrap w:val="0"/>
            <w:vAlign w:val="top"/>
          </w:tcPr>
          <w:p w14:paraId="542BEFE0">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r>
      <w:tr w14:paraId="1D8F9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412" w:type="dxa"/>
            <w:noWrap w:val="0"/>
            <w:vAlign w:val="top"/>
          </w:tcPr>
          <w:p w14:paraId="41C152E9">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3B9C7926">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52765A20">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6A393BA4">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5401A65C">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7" w:type="dxa"/>
            <w:noWrap w:val="0"/>
            <w:vAlign w:val="top"/>
          </w:tcPr>
          <w:p w14:paraId="4A7A4B63">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r>
      <w:tr w14:paraId="0E5F1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412" w:type="dxa"/>
            <w:noWrap w:val="0"/>
            <w:vAlign w:val="top"/>
          </w:tcPr>
          <w:p w14:paraId="61FB567B">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2C1EBAB8">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3577D1A4">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09AC3105">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41BB9807">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7" w:type="dxa"/>
            <w:noWrap w:val="0"/>
            <w:vAlign w:val="top"/>
          </w:tcPr>
          <w:p w14:paraId="6E02DC34">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r>
      <w:tr w14:paraId="23564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412" w:type="dxa"/>
            <w:noWrap w:val="0"/>
            <w:vAlign w:val="top"/>
          </w:tcPr>
          <w:p w14:paraId="60FE42F7">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1838F4FE">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7F42DFC0">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79FF8B81">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2A5A1789">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7" w:type="dxa"/>
            <w:noWrap w:val="0"/>
            <w:vAlign w:val="top"/>
          </w:tcPr>
          <w:p w14:paraId="1D172306">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r>
      <w:tr w14:paraId="2C42F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412" w:type="dxa"/>
            <w:noWrap w:val="0"/>
            <w:vAlign w:val="top"/>
          </w:tcPr>
          <w:p w14:paraId="64DC04DA">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60E92D3C">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5316AFE3">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72006243">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72330C3E">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7" w:type="dxa"/>
            <w:noWrap w:val="0"/>
            <w:vAlign w:val="top"/>
          </w:tcPr>
          <w:p w14:paraId="0191E63A">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r>
      <w:tr w14:paraId="36B16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412" w:type="dxa"/>
            <w:noWrap w:val="0"/>
            <w:vAlign w:val="top"/>
          </w:tcPr>
          <w:p w14:paraId="68DA6C95">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295109D4">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3571BB5C">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2311D4AA">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2B9F9F3F">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7" w:type="dxa"/>
            <w:noWrap w:val="0"/>
            <w:vAlign w:val="top"/>
          </w:tcPr>
          <w:p w14:paraId="19AAC1BE">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r>
      <w:tr w14:paraId="4FA10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412" w:type="dxa"/>
            <w:noWrap w:val="0"/>
            <w:vAlign w:val="top"/>
          </w:tcPr>
          <w:p w14:paraId="4B6A0F33">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4918A75D">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652CFF68">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27F2E006">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7701E3E5">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7" w:type="dxa"/>
            <w:noWrap w:val="0"/>
            <w:vAlign w:val="top"/>
          </w:tcPr>
          <w:p w14:paraId="35A507F1">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r>
      <w:tr w14:paraId="1165B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412" w:type="dxa"/>
            <w:noWrap w:val="0"/>
            <w:vAlign w:val="top"/>
          </w:tcPr>
          <w:p w14:paraId="571E33C6">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517DAA10">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6009984C">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728ED07F">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6E1268CC">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7" w:type="dxa"/>
            <w:noWrap w:val="0"/>
            <w:vAlign w:val="top"/>
          </w:tcPr>
          <w:p w14:paraId="4BAB6C52">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r>
      <w:tr w14:paraId="74490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412" w:type="dxa"/>
            <w:noWrap w:val="0"/>
            <w:vAlign w:val="top"/>
          </w:tcPr>
          <w:p w14:paraId="107A84A4">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3A971C26">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5140F789">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458B8BB1">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171F04E5">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7" w:type="dxa"/>
            <w:noWrap w:val="0"/>
            <w:vAlign w:val="top"/>
          </w:tcPr>
          <w:p w14:paraId="6F121CE5">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r>
      <w:tr w14:paraId="2EA14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412" w:type="dxa"/>
            <w:noWrap w:val="0"/>
            <w:vAlign w:val="top"/>
          </w:tcPr>
          <w:p w14:paraId="4EEE045A">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077F152B">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3EAEB2E6">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406FC07A">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3F60D47B">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7" w:type="dxa"/>
            <w:noWrap w:val="0"/>
            <w:vAlign w:val="top"/>
          </w:tcPr>
          <w:p w14:paraId="7144975D">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r>
      <w:tr w14:paraId="28D35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412" w:type="dxa"/>
            <w:noWrap w:val="0"/>
            <w:vAlign w:val="top"/>
          </w:tcPr>
          <w:p w14:paraId="7C76D399">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18C8B41C">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2C95D009">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501F3E4A">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0356B528">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7" w:type="dxa"/>
            <w:noWrap w:val="0"/>
            <w:vAlign w:val="top"/>
          </w:tcPr>
          <w:p w14:paraId="635D1372">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r>
      <w:tr w14:paraId="636F5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412" w:type="dxa"/>
            <w:noWrap w:val="0"/>
            <w:vAlign w:val="top"/>
          </w:tcPr>
          <w:p w14:paraId="42F341BB">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3802769D">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104BED93">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2759AD5A">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3BF03668">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7" w:type="dxa"/>
            <w:noWrap w:val="0"/>
            <w:vAlign w:val="top"/>
          </w:tcPr>
          <w:p w14:paraId="69478A3B">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r>
      <w:tr w14:paraId="65997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412" w:type="dxa"/>
            <w:noWrap w:val="0"/>
            <w:vAlign w:val="top"/>
          </w:tcPr>
          <w:p w14:paraId="3F5FCE94">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1BE84FBD">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774ED6A0">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4AB9339A">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2" w:type="dxa"/>
            <w:noWrap w:val="0"/>
            <w:vAlign w:val="top"/>
          </w:tcPr>
          <w:p w14:paraId="53C933B0">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c>
          <w:tcPr>
            <w:tcW w:w="1417" w:type="dxa"/>
            <w:noWrap w:val="0"/>
            <w:vAlign w:val="top"/>
          </w:tcPr>
          <w:p w14:paraId="00C6A28A">
            <w:pPr>
              <w:pStyle w:val="15"/>
              <w:shd w:val="clear" w:color="auto" w:fill="auto"/>
              <w:spacing w:line="360" w:lineRule="auto"/>
              <w:ind w:left="1087" w:leftChars="257" w:hanging="540"/>
              <w:rPr>
                <w:rFonts w:hint="eastAsia" w:ascii="宋体" w:hAnsi="宋体" w:eastAsia="宋体" w:cs="宋体"/>
                <w:color w:val="auto"/>
                <w:sz w:val="21"/>
                <w:szCs w:val="21"/>
                <w:highlight w:val="none"/>
                <w:lang w:val="en-US" w:eastAsia="zh-CN"/>
              </w:rPr>
            </w:pPr>
          </w:p>
        </w:tc>
      </w:tr>
    </w:tbl>
    <w:p w14:paraId="4AF49559">
      <w:pPr>
        <w:pStyle w:val="15"/>
        <w:shd w:val="clear" w:color="auto" w:fill="auto"/>
        <w:spacing w:line="360" w:lineRule="auto"/>
        <w:rPr>
          <w:rFonts w:hint="default" w:ascii="宋体" w:hAnsi="宋体" w:eastAsia="宋体" w:cs="宋体"/>
          <w:color w:val="auto"/>
          <w:sz w:val="21"/>
          <w:szCs w:val="21"/>
          <w:highlight w:val="none"/>
          <w:lang w:val="en-US" w:eastAsia="zh-CN"/>
        </w:rPr>
      </w:pPr>
    </w:p>
    <w:p w14:paraId="61725D1A">
      <w:pPr>
        <w:pStyle w:val="15"/>
        <w:shd w:val="clear" w:color="auto" w:fill="auto"/>
        <w:spacing w:line="360" w:lineRule="auto"/>
        <w:ind w:left="1087" w:leftChars="257" w:hanging="540"/>
        <w:rPr>
          <w:rFonts w:hint="eastAsia" w:ascii="宋体" w:hAnsi="宋体" w:eastAsia="宋体" w:cs="宋体"/>
          <w:color w:val="auto"/>
          <w:sz w:val="21"/>
          <w:szCs w:val="21"/>
          <w:highlight w:val="none"/>
          <w:lang w:eastAsia="zh-CN"/>
        </w:rPr>
      </w:pPr>
    </w:p>
    <w:p w14:paraId="7196D9A6">
      <w:pPr>
        <w:pStyle w:val="15"/>
        <w:shd w:val="clear" w:color="auto" w:fill="auto"/>
        <w:spacing w:line="360" w:lineRule="auto"/>
        <w:ind w:left="1087" w:leftChars="257" w:hanging="54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法定代表人或其委托代理人签字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u w:val="single"/>
        </w:rPr>
        <w:t xml:space="preserve">                 </w:t>
      </w:r>
    </w:p>
    <w:p w14:paraId="4FD3C75E">
      <w:pPr>
        <w:pStyle w:val="15"/>
        <w:shd w:val="clear" w:color="auto" w:fill="auto"/>
        <w:tabs>
          <w:tab w:val="left" w:pos="5370"/>
        </w:tabs>
        <w:spacing w:line="360" w:lineRule="auto"/>
        <w:ind w:left="1087" w:leftChars="257" w:hanging="54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投标人(盖单位章):</w:t>
      </w:r>
      <w:r>
        <w:rPr>
          <w:rFonts w:hint="eastAsia" w:ascii="宋体" w:hAnsi="宋体" w:eastAsia="宋体" w:cs="宋体"/>
          <w:color w:val="auto"/>
          <w:sz w:val="21"/>
          <w:szCs w:val="21"/>
          <w:highlight w:val="none"/>
          <w:u w:val="single"/>
        </w:rPr>
        <w:tab/>
      </w:r>
    </w:p>
    <w:p w14:paraId="02EEF22E">
      <w:pPr>
        <w:pStyle w:val="15"/>
        <w:shd w:val="clear" w:color="auto" w:fill="auto"/>
        <w:tabs>
          <w:tab w:val="left" w:pos="5580"/>
        </w:tabs>
        <w:spacing w:line="360" w:lineRule="auto"/>
        <w:ind w:left="1087" w:leftChars="257" w:hanging="540"/>
        <w:rPr>
          <w:rFonts w:hint="eastAsia" w:ascii="宋体" w:hAnsi="宋体" w:eastAsia="宋体" w:cs="宋体"/>
          <w:color w:val="auto"/>
          <w:sz w:val="24"/>
          <w:highlight w:val="yellow"/>
        </w:rPr>
      </w:pPr>
      <w:r>
        <w:rPr>
          <w:rFonts w:hint="eastAsia" w:ascii="宋体" w:hAnsi="宋体" w:eastAsia="宋体" w:cs="宋体"/>
          <w:color w:val="auto"/>
          <w:sz w:val="21"/>
          <w:szCs w:val="21"/>
          <w:highlight w:val="none"/>
          <w:lang w:val="en-US" w:eastAsia="zh-CN"/>
        </w:rPr>
        <w:t>日期：          年    月    日</w:t>
      </w:r>
      <w:r>
        <w:rPr>
          <w:rFonts w:hint="eastAsia" w:ascii="宋体" w:hAnsi="宋体" w:eastAsia="宋体" w:cs="宋体"/>
          <w:color w:val="auto"/>
          <w:sz w:val="24"/>
          <w:highlight w:val="yellow"/>
          <w:u w:val="single"/>
        </w:rPr>
        <w:br w:type="page"/>
      </w:r>
    </w:p>
    <w:p w14:paraId="029633FE">
      <w:pPr>
        <w:pStyle w:val="3"/>
        <w:numPr>
          <w:ilvl w:val="0"/>
          <w:numId w:val="0"/>
        </w:numPr>
        <w:shd w:val="clear" w:color="auto" w:fill="auto"/>
        <w:spacing w:before="0" w:line="360" w:lineRule="auto"/>
        <w:jc w:val="left"/>
        <w:rPr>
          <w:rFonts w:hint="eastAsia" w:ascii="宋体" w:hAnsi="宋体" w:eastAsia="宋体" w:cs="宋体"/>
          <w:b/>
          <w:bCs/>
          <w:color w:val="auto"/>
          <w:sz w:val="24"/>
          <w:highlight w:val="none"/>
          <w:lang w:val="en-US" w:eastAsia="zh-CN"/>
        </w:rPr>
      </w:pPr>
      <w:bookmarkStart w:id="117" w:name="_Toc21391"/>
      <w:bookmarkStart w:id="118" w:name="_Toc515647821"/>
      <w:bookmarkStart w:id="119" w:name="_Toc216582818"/>
      <w:bookmarkStart w:id="120" w:name="_Toc1980"/>
      <w:bookmarkStart w:id="121" w:name="_Toc23"/>
      <w:r>
        <w:rPr>
          <w:rFonts w:hint="eastAsia" w:ascii="宋体" w:hAnsi="宋体" w:eastAsia="宋体" w:cs="宋体"/>
          <w:b/>
          <w:bCs/>
          <w:color w:val="auto"/>
          <w:sz w:val="24"/>
          <w:highlight w:val="none"/>
          <w:lang w:val="en-US" w:eastAsia="zh-CN"/>
        </w:rPr>
        <w:t>投标文件格式</w:t>
      </w:r>
      <w:r>
        <w:rPr>
          <w:rFonts w:hint="eastAsia" w:ascii="宋体" w:hAnsi="宋体" w:cs="宋体"/>
          <w:b/>
          <w:bCs/>
          <w:color w:val="auto"/>
          <w:sz w:val="24"/>
          <w:highlight w:val="none"/>
          <w:lang w:val="en-US" w:eastAsia="zh-CN"/>
        </w:rPr>
        <w:t>9</w:t>
      </w:r>
      <w:r>
        <w:rPr>
          <w:rFonts w:hint="eastAsia" w:ascii="宋体" w:hAnsi="宋体" w:eastAsia="宋体" w:cs="宋体"/>
          <w:b/>
          <w:bCs/>
          <w:color w:val="auto"/>
          <w:sz w:val="24"/>
          <w:highlight w:val="none"/>
          <w:lang w:val="en-US" w:eastAsia="zh-CN"/>
        </w:rPr>
        <w:t>：</w:t>
      </w:r>
    </w:p>
    <w:p w14:paraId="0385DF88">
      <w:pPr>
        <w:pStyle w:val="3"/>
        <w:numPr>
          <w:ilvl w:val="0"/>
          <w:numId w:val="0"/>
        </w:numPr>
        <w:shd w:val="clear" w:color="auto" w:fill="auto"/>
        <w:spacing w:before="0" w:line="360" w:lineRule="auto"/>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商务条款偏离表</w:t>
      </w:r>
      <w:bookmarkEnd w:id="117"/>
      <w:bookmarkEnd w:id="118"/>
      <w:bookmarkEnd w:id="119"/>
      <w:bookmarkEnd w:id="120"/>
      <w:bookmarkEnd w:id="121"/>
    </w:p>
    <w:p w14:paraId="7B892A46">
      <w:pPr>
        <w:pStyle w:val="15"/>
        <w:shd w:val="clear" w:color="auto" w:fill="auto"/>
        <w:spacing w:line="360" w:lineRule="auto"/>
        <w:ind w:left="1087" w:leftChars="257" w:hanging="540"/>
        <w:rPr>
          <w:rFonts w:hint="eastAsia" w:ascii="宋体" w:hAnsi="宋体" w:eastAsia="宋体" w:cs="宋体"/>
          <w:color w:val="auto"/>
          <w:sz w:val="24"/>
          <w:highlight w:val="none"/>
        </w:rPr>
      </w:pPr>
    </w:p>
    <w:p w14:paraId="5D6D68C4">
      <w:pPr>
        <w:pStyle w:val="15"/>
        <w:shd w:val="clear" w:color="auto" w:fill="auto"/>
        <w:spacing w:line="360" w:lineRule="auto"/>
        <w:ind w:left="1087" w:leftChars="257" w:hanging="540"/>
        <w:rPr>
          <w:rFonts w:hint="eastAsia" w:ascii="宋体" w:hAnsi="宋体" w:eastAsia="宋体" w:cs="宋体"/>
          <w:color w:val="auto"/>
          <w:sz w:val="24"/>
          <w:highlight w:val="none"/>
        </w:rPr>
      </w:pPr>
    </w:p>
    <w:p w14:paraId="222159C0">
      <w:pPr>
        <w:pStyle w:val="15"/>
        <w:shd w:val="clear" w:color="auto" w:fill="auto"/>
        <w:spacing w:line="360" w:lineRule="auto"/>
        <w:ind w:left="1087" w:leftChars="257" w:hanging="54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项目名称:                      招标编号:    </w:t>
      </w:r>
      <w:r>
        <w:rPr>
          <w:rFonts w:hint="eastAsia" w:ascii="宋体" w:hAnsi="宋体" w:eastAsia="宋体" w:cs="宋体"/>
          <w:color w:val="auto"/>
          <w:sz w:val="21"/>
          <w:szCs w:val="16"/>
          <w:highlight w:val="none"/>
          <w:lang w:val="en-US" w:eastAsia="zh-CN"/>
        </w:rPr>
        <w:t xml:space="preserve">       </w:t>
      </w:r>
      <w:r>
        <w:rPr>
          <w:rFonts w:hint="eastAsia" w:ascii="宋体" w:hAnsi="宋体" w:eastAsia="宋体" w:cs="宋体"/>
          <w:color w:val="auto"/>
          <w:sz w:val="21"/>
          <w:szCs w:val="16"/>
          <w:highlight w:val="none"/>
        </w:rPr>
        <w:t xml:space="preserve">     </w:t>
      </w:r>
      <w:r>
        <w:rPr>
          <w:rFonts w:hint="eastAsia" w:hAnsi="宋体" w:cs="宋体"/>
          <w:color w:val="auto"/>
          <w:sz w:val="21"/>
          <w:szCs w:val="16"/>
          <w:highlight w:val="none"/>
          <w:lang w:val="en-US" w:eastAsia="zh-CN"/>
        </w:rPr>
        <w:t>标项</w:t>
      </w:r>
      <w:r>
        <w:rPr>
          <w:rFonts w:hint="eastAsia" w:ascii="宋体" w:hAnsi="宋体" w:eastAsia="宋体" w:cs="宋体"/>
          <w:color w:val="auto"/>
          <w:sz w:val="21"/>
          <w:szCs w:val="16"/>
          <w:highlight w:val="none"/>
        </w:rPr>
        <w:t>号:</w:t>
      </w:r>
    </w:p>
    <w:p w14:paraId="5E3AE318">
      <w:pPr>
        <w:pStyle w:val="15"/>
        <w:shd w:val="clear" w:color="auto" w:fill="auto"/>
        <w:spacing w:line="360" w:lineRule="auto"/>
        <w:ind w:left="1087" w:leftChars="257" w:hanging="540"/>
        <w:rPr>
          <w:rFonts w:hint="eastAsia" w:ascii="宋体" w:hAnsi="宋体" w:eastAsia="宋体" w:cs="宋体"/>
          <w:color w:val="auto"/>
          <w:sz w:val="22"/>
          <w:szCs w:val="18"/>
          <w:highlight w:val="none"/>
        </w:rPr>
      </w:pPr>
    </w:p>
    <w:tbl>
      <w:tblPr>
        <w:tblStyle w:val="28"/>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5925"/>
        <w:gridCol w:w="1200"/>
        <w:gridCol w:w="1105"/>
      </w:tblGrid>
      <w:tr w14:paraId="1117E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708" w:type="dxa"/>
            <w:noWrap w:val="0"/>
            <w:vAlign w:val="top"/>
          </w:tcPr>
          <w:p w14:paraId="6F4EDA26">
            <w:pPr>
              <w:pStyle w:val="15"/>
              <w:shd w:val="clear" w:color="auto" w:fill="auto"/>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序号</w:t>
            </w:r>
          </w:p>
        </w:tc>
        <w:tc>
          <w:tcPr>
            <w:tcW w:w="5925" w:type="dxa"/>
            <w:noWrap w:val="0"/>
            <w:vAlign w:val="top"/>
          </w:tcPr>
          <w:p w14:paraId="0895BF60">
            <w:pPr>
              <w:pStyle w:val="15"/>
              <w:shd w:val="clear" w:color="auto" w:fill="auto"/>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招标文件主要商务条款</w:t>
            </w:r>
          </w:p>
        </w:tc>
        <w:tc>
          <w:tcPr>
            <w:tcW w:w="1200" w:type="dxa"/>
            <w:noWrap w:val="0"/>
            <w:vAlign w:val="top"/>
          </w:tcPr>
          <w:p w14:paraId="14AE5C7F">
            <w:pPr>
              <w:pStyle w:val="15"/>
              <w:shd w:val="clear" w:color="auto" w:fill="auto"/>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是否响应</w:t>
            </w:r>
          </w:p>
        </w:tc>
        <w:tc>
          <w:tcPr>
            <w:tcW w:w="1105" w:type="dxa"/>
            <w:noWrap w:val="0"/>
            <w:vAlign w:val="top"/>
          </w:tcPr>
          <w:p w14:paraId="42978AA9">
            <w:pPr>
              <w:pStyle w:val="15"/>
              <w:shd w:val="clear" w:color="auto" w:fill="auto"/>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偏离说明</w:t>
            </w:r>
          </w:p>
        </w:tc>
      </w:tr>
      <w:tr w14:paraId="754B1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708" w:type="dxa"/>
            <w:noWrap w:val="0"/>
            <w:vAlign w:val="top"/>
          </w:tcPr>
          <w:p w14:paraId="3CF00ADE">
            <w:pPr>
              <w:pStyle w:val="92"/>
              <w:spacing w:before="230" w:line="184"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1</w:t>
            </w:r>
          </w:p>
        </w:tc>
        <w:tc>
          <w:tcPr>
            <w:tcW w:w="5925" w:type="dxa"/>
            <w:noWrap w:val="0"/>
            <w:vAlign w:val="top"/>
          </w:tcPr>
          <w:p w14:paraId="2C24057D">
            <w:pPr>
              <w:pStyle w:val="92"/>
              <w:spacing w:before="38" w:line="223" w:lineRule="auto"/>
              <w:ind w:left="113" w:leftChars="0" w:right="104" w:right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3"/>
                <w:sz w:val="21"/>
                <w:szCs w:val="21"/>
              </w:rPr>
              <w:t>完全理解并接受对合格供应商、合格的货物和服务</w:t>
            </w:r>
            <w:r>
              <w:rPr>
                <w:rFonts w:hint="eastAsia" w:ascii="宋体" w:hAnsi="宋体" w:eastAsia="宋体" w:cs="宋体"/>
                <w:color w:val="auto"/>
                <w:spacing w:val="-4"/>
                <w:sz w:val="21"/>
                <w:szCs w:val="21"/>
              </w:rPr>
              <w:t>要求。</w:t>
            </w:r>
          </w:p>
        </w:tc>
        <w:tc>
          <w:tcPr>
            <w:tcW w:w="1200" w:type="dxa"/>
            <w:noWrap w:val="0"/>
            <w:vAlign w:val="top"/>
          </w:tcPr>
          <w:p w14:paraId="59DF354C">
            <w:pPr>
              <w:rPr>
                <w:rFonts w:hint="eastAsia" w:ascii="宋体" w:hAnsi="宋体" w:eastAsia="宋体" w:cs="宋体"/>
                <w:color w:val="auto"/>
                <w:kern w:val="2"/>
                <w:sz w:val="21"/>
                <w:szCs w:val="21"/>
                <w:lang w:val="en-US" w:eastAsia="zh-CN" w:bidi="ar-SA"/>
              </w:rPr>
            </w:pPr>
          </w:p>
        </w:tc>
        <w:tc>
          <w:tcPr>
            <w:tcW w:w="1105" w:type="dxa"/>
            <w:noWrap w:val="0"/>
            <w:vAlign w:val="top"/>
          </w:tcPr>
          <w:p w14:paraId="03E53D56">
            <w:pPr>
              <w:pStyle w:val="15"/>
              <w:shd w:val="clear" w:color="auto" w:fill="auto"/>
              <w:spacing w:line="240" w:lineRule="atLeast"/>
              <w:ind w:left="1087" w:leftChars="257" w:hanging="540"/>
              <w:rPr>
                <w:rFonts w:hint="eastAsia" w:ascii="宋体" w:hAnsi="宋体" w:eastAsia="宋体" w:cs="宋体"/>
                <w:color w:val="auto"/>
                <w:sz w:val="21"/>
                <w:szCs w:val="21"/>
                <w:highlight w:val="none"/>
                <w:lang w:val="en-US" w:eastAsia="zh-CN"/>
              </w:rPr>
            </w:pPr>
          </w:p>
        </w:tc>
      </w:tr>
      <w:tr w14:paraId="58ED6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708" w:type="dxa"/>
            <w:noWrap w:val="0"/>
            <w:vAlign w:val="top"/>
          </w:tcPr>
          <w:p w14:paraId="15E1570E">
            <w:pPr>
              <w:pStyle w:val="92"/>
              <w:spacing w:before="109" w:line="219" w:lineRule="auto"/>
              <w:jc w:val="center"/>
              <w:rPr>
                <w:rFonts w:hint="eastAsia" w:ascii="宋体" w:hAnsi="宋体" w:eastAsia="宋体" w:cs="宋体"/>
                <w:color w:val="auto"/>
                <w:spacing w:val="-3"/>
                <w:sz w:val="21"/>
                <w:szCs w:val="21"/>
                <w:lang w:val="en-US" w:eastAsia="zh-CN"/>
              </w:rPr>
            </w:pPr>
            <w:r>
              <w:rPr>
                <w:rFonts w:hint="eastAsia" w:ascii="宋体" w:hAnsi="宋体" w:eastAsia="宋体" w:cs="宋体"/>
                <w:color w:val="auto"/>
                <w:spacing w:val="-3"/>
                <w:sz w:val="21"/>
                <w:szCs w:val="21"/>
              </w:rPr>
              <w:t>2</w:t>
            </w:r>
          </w:p>
        </w:tc>
        <w:tc>
          <w:tcPr>
            <w:tcW w:w="5925" w:type="dxa"/>
            <w:noWrap w:val="0"/>
            <w:vAlign w:val="top"/>
          </w:tcPr>
          <w:p w14:paraId="0FB28B1F">
            <w:pPr>
              <w:pStyle w:val="92"/>
              <w:spacing w:before="38" w:line="223" w:lineRule="auto"/>
              <w:ind w:left="114" w:leftChars="0" w:right="104" w:right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3"/>
                <w:sz w:val="21"/>
                <w:szCs w:val="21"/>
              </w:rPr>
              <w:t>完全理解并接受对供应商的各项须知、规约要求和责任义</w:t>
            </w:r>
            <w:r>
              <w:rPr>
                <w:rFonts w:hint="eastAsia" w:ascii="宋体" w:hAnsi="宋体" w:eastAsia="宋体" w:cs="宋体"/>
                <w:color w:val="auto"/>
                <w:spacing w:val="-6"/>
                <w:sz w:val="21"/>
                <w:szCs w:val="21"/>
              </w:rPr>
              <w:t>务。</w:t>
            </w:r>
          </w:p>
        </w:tc>
        <w:tc>
          <w:tcPr>
            <w:tcW w:w="1200" w:type="dxa"/>
            <w:noWrap w:val="0"/>
            <w:vAlign w:val="top"/>
          </w:tcPr>
          <w:p w14:paraId="2896E9E8">
            <w:pPr>
              <w:rPr>
                <w:rFonts w:hint="eastAsia" w:ascii="宋体" w:hAnsi="宋体" w:eastAsia="宋体" w:cs="宋体"/>
                <w:color w:val="auto"/>
                <w:kern w:val="2"/>
                <w:sz w:val="21"/>
                <w:szCs w:val="21"/>
                <w:lang w:val="en-US" w:eastAsia="zh-CN" w:bidi="ar-SA"/>
              </w:rPr>
            </w:pPr>
          </w:p>
        </w:tc>
        <w:tc>
          <w:tcPr>
            <w:tcW w:w="1105" w:type="dxa"/>
            <w:noWrap w:val="0"/>
            <w:vAlign w:val="top"/>
          </w:tcPr>
          <w:p w14:paraId="5FDDE02A">
            <w:pPr>
              <w:pStyle w:val="15"/>
              <w:shd w:val="clear" w:color="auto" w:fill="auto"/>
              <w:spacing w:line="240" w:lineRule="atLeast"/>
              <w:ind w:left="1087" w:leftChars="257" w:hanging="540"/>
              <w:rPr>
                <w:rFonts w:hint="eastAsia" w:ascii="宋体" w:hAnsi="宋体" w:eastAsia="宋体" w:cs="宋体"/>
                <w:color w:val="auto"/>
                <w:sz w:val="21"/>
                <w:szCs w:val="21"/>
                <w:highlight w:val="none"/>
                <w:lang w:val="en-US" w:eastAsia="zh-CN"/>
              </w:rPr>
            </w:pPr>
          </w:p>
        </w:tc>
      </w:tr>
      <w:tr w14:paraId="610B1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708" w:type="dxa"/>
            <w:noWrap w:val="0"/>
            <w:vAlign w:val="top"/>
          </w:tcPr>
          <w:p w14:paraId="7657B799">
            <w:pPr>
              <w:pStyle w:val="92"/>
              <w:spacing w:before="109" w:line="219" w:lineRule="auto"/>
              <w:jc w:val="center"/>
              <w:rPr>
                <w:rFonts w:hint="eastAsia" w:ascii="宋体" w:hAnsi="宋体" w:eastAsia="宋体" w:cs="宋体"/>
                <w:color w:val="auto"/>
                <w:spacing w:val="-3"/>
                <w:sz w:val="21"/>
                <w:szCs w:val="21"/>
                <w:lang w:val="en-US" w:eastAsia="zh-CN"/>
              </w:rPr>
            </w:pPr>
            <w:r>
              <w:rPr>
                <w:rFonts w:hint="eastAsia" w:ascii="宋体" w:hAnsi="宋体" w:eastAsia="宋体" w:cs="宋体"/>
                <w:color w:val="auto"/>
                <w:spacing w:val="-3"/>
                <w:sz w:val="21"/>
                <w:szCs w:val="21"/>
              </w:rPr>
              <w:t>3</w:t>
            </w:r>
          </w:p>
        </w:tc>
        <w:tc>
          <w:tcPr>
            <w:tcW w:w="5925" w:type="dxa"/>
            <w:noWrap w:val="0"/>
            <w:vAlign w:val="top"/>
          </w:tcPr>
          <w:p w14:paraId="160C12B1">
            <w:pPr>
              <w:pStyle w:val="92"/>
              <w:spacing w:before="110" w:line="219" w:lineRule="auto"/>
              <w:ind w:left="136" w:left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2"/>
                <w:sz w:val="21"/>
                <w:szCs w:val="21"/>
              </w:rPr>
              <w:t>同意接受合同范本所列述的各项条款。</w:t>
            </w:r>
          </w:p>
        </w:tc>
        <w:tc>
          <w:tcPr>
            <w:tcW w:w="1200" w:type="dxa"/>
            <w:noWrap w:val="0"/>
            <w:vAlign w:val="top"/>
          </w:tcPr>
          <w:p w14:paraId="5B2E6775">
            <w:pPr>
              <w:rPr>
                <w:rFonts w:hint="eastAsia" w:ascii="宋体" w:hAnsi="宋体" w:eastAsia="宋体" w:cs="宋体"/>
                <w:color w:val="auto"/>
                <w:kern w:val="2"/>
                <w:sz w:val="21"/>
                <w:szCs w:val="21"/>
                <w:lang w:val="en-US" w:eastAsia="zh-CN" w:bidi="ar-SA"/>
              </w:rPr>
            </w:pPr>
          </w:p>
        </w:tc>
        <w:tc>
          <w:tcPr>
            <w:tcW w:w="1105" w:type="dxa"/>
            <w:noWrap w:val="0"/>
            <w:vAlign w:val="top"/>
          </w:tcPr>
          <w:p w14:paraId="0B243827">
            <w:pPr>
              <w:pStyle w:val="15"/>
              <w:shd w:val="clear" w:color="auto" w:fill="auto"/>
              <w:spacing w:line="240" w:lineRule="atLeast"/>
              <w:ind w:left="1087" w:leftChars="257" w:hanging="540"/>
              <w:rPr>
                <w:rFonts w:hint="eastAsia" w:ascii="宋体" w:hAnsi="宋体" w:eastAsia="宋体" w:cs="宋体"/>
                <w:color w:val="auto"/>
                <w:sz w:val="21"/>
                <w:szCs w:val="21"/>
                <w:highlight w:val="none"/>
                <w:lang w:val="en-US" w:eastAsia="zh-CN"/>
              </w:rPr>
            </w:pPr>
          </w:p>
        </w:tc>
      </w:tr>
      <w:tr w14:paraId="529B5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08" w:type="dxa"/>
            <w:noWrap w:val="0"/>
            <w:vAlign w:val="top"/>
          </w:tcPr>
          <w:p w14:paraId="44B874A8">
            <w:pPr>
              <w:pStyle w:val="92"/>
              <w:spacing w:before="109" w:line="219" w:lineRule="auto"/>
              <w:jc w:val="center"/>
              <w:rPr>
                <w:rFonts w:hint="eastAsia" w:ascii="宋体" w:hAnsi="宋体" w:eastAsia="宋体" w:cs="宋体"/>
                <w:color w:val="auto"/>
                <w:spacing w:val="-3"/>
                <w:sz w:val="21"/>
                <w:szCs w:val="21"/>
                <w:lang w:val="en-US" w:eastAsia="zh-CN"/>
              </w:rPr>
            </w:pPr>
            <w:r>
              <w:rPr>
                <w:rFonts w:hint="eastAsia" w:ascii="宋体" w:hAnsi="宋体" w:eastAsia="宋体" w:cs="宋体"/>
                <w:color w:val="auto"/>
                <w:spacing w:val="-3"/>
                <w:sz w:val="21"/>
                <w:szCs w:val="21"/>
              </w:rPr>
              <w:t>4</w:t>
            </w:r>
          </w:p>
        </w:tc>
        <w:tc>
          <w:tcPr>
            <w:tcW w:w="5925" w:type="dxa"/>
            <w:noWrap w:val="0"/>
            <w:vAlign w:val="top"/>
          </w:tcPr>
          <w:p w14:paraId="7D9C547E">
            <w:pPr>
              <w:pStyle w:val="92"/>
              <w:spacing w:before="109" w:line="219" w:lineRule="auto"/>
              <w:ind w:left="136" w:left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3"/>
                <w:sz w:val="21"/>
                <w:szCs w:val="21"/>
              </w:rPr>
              <w:t>同意按本项目要求缴付相关款项。</w:t>
            </w:r>
          </w:p>
        </w:tc>
        <w:tc>
          <w:tcPr>
            <w:tcW w:w="1200" w:type="dxa"/>
            <w:noWrap w:val="0"/>
            <w:vAlign w:val="top"/>
          </w:tcPr>
          <w:p w14:paraId="12B464BF">
            <w:pPr>
              <w:rPr>
                <w:rFonts w:hint="eastAsia" w:ascii="宋体" w:hAnsi="宋体" w:eastAsia="宋体" w:cs="宋体"/>
                <w:color w:val="auto"/>
                <w:kern w:val="2"/>
                <w:sz w:val="21"/>
                <w:szCs w:val="21"/>
                <w:lang w:val="en-US" w:eastAsia="zh-CN" w:bidi="ar-SA"/>
              </w:rPr>
            </w:pPr>
          </w:p>
        </w:tc>
        <w:tc>
          <w:tcPr>
            <w:tcW w:w="1105" w:type="dxa"/>
            <w:noWrap w:val="0"/>
            <w:vAlign w:val="top"/>
          </w:tcPr>
          <w:p w14:paraId="727ABB6C">
            <w:pPr>
              <w:pStyle w:val="15"/>
              <w:shd w:val="clear" w:color="auto" w:fill="auto"/>
              <w:spacing w:line="240" w:lineRule="atLeast"/>
              <w:ind w:left="1087" w:leftChars="257" w:hanging="540"/>
              <w:rPr>
                <w:rFonts w:hint="eastAsia" w:ascii="宋体" w:hAnsi="宋体" w:eastAsia="宋体" w:cs="宋体"/>
                <w:color w:val="auto"/>
                <w:sz w:val="21"/>
                <w:szCs w:val="21"/>
                <w:highlight w:val="none"/>
                <w:lang w:val="en-US" w:eastAsia="zh-CN"/>
              </w:rPr>
            </w:pPr>
          </w:p>
        </w:tc>
      </w:tr>
      <w:tr w14:paraId="317EB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08" w:type="dxa"/>
            <w:noWrap w:val="0"/>
            <w:vAlign w:val="top"/>
          </w:tcPr>
          <w:p w14:paraId="1E4E6CAC">
            <w:pPr>
              <w:pStyle w:val="92"/>
              <w:spacing w:before="109" w:line="219" w:lineRule="auto"/>
              <w:jc w:val="center"/>
              <w:rPr>
                <w:rFonts w:hint="eastAsia" w:ascii="宋体" w:hAnsi="宋体" w:eastAsia="宋体" w:cs="宋体"/>
                <w:color w:val="auto"/>
                <w:spacing w:val="-3"/>
                <w:sz w:val="21"/>
                <w:szCs w:val="21"/>
                <w:lang w:val="en-US" w:eastAsia="zh-CN"/>
              </w:rPr>
            </w:pPr>
            <w:r>
              <w:rPr>
                <w:rFonts w:hint="eastAsia" w:ascii="宋体" w:hAnsi="宋体" w:eastAsia="宋体" w:cs="宋体"/>
                <w:color w:val="auto"/>
                <w:spacing w:val="-3"/>
                <w:sz w:val="21"/>
                <w:szCs w:val="21"/>
                <w:lang w:val="en-US" w:eastAsia="zh-CN"/>
              </w:rPr>
              <w:t>5</w:t>
            </w:r>
          </w:p>
        </w:tc>
        <w:tc>
          <w:tcPr>
            <w:tcW w:w="5925" w:type="dxa"/>
            <w:noWrap w:val="0"/>
            <w:vAlign w:val="top"/>
          </w:tcPr>
          <w:p w14:paraId="0E1A391F">
            <w:pPr>
              <w:pStyle w:val="92"/>
              <w:spacing w:before="40" w:line="228" w:lineRule="auto"/>
              <w:ind w:left="111" w:leftChars="0" w:right="104" w:rightChars="0" w:firstLine="3" w:firstLine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3"/>
                <w:sz w:val="21"/>
                <w:szCs w:val="21"/>
              </w:rPr>
              <w:t>投标有效期：</w:t>
            </w:r>
            <w:r>
              <w:rPr>
                <w:rFonts w:hint="eastAsia" w:ascii="宋体" w:hAnsi="宋体" w:eastAsia="宋体" w:cs="宋体"/>
                <w:color w:val="auto"/>
                <w:spacing w:val="1"/>
                <w:sz w:val="21"/>
                <w:szCs w:val="21"/>
              </w:rPr>
              <w:t>不少于</w:t>
            </w:r>
            <w:r>
              <w:rPr>
                <w:rFonts w:hint="eastAsia" w:cs="宋体"/>
                <w:color w:val="auto"/>
                <w:spacing w:val="-42"/>
                <w:sz w:val="21"/>
                <w:szCs w:val="21"/>
                <w:u w:val="single"/>
                <w:lang w:val="en-US" w:eastAsia="zh-CN"/>
              </w:rPr>
              <w:t>60</w:t>
            </w:r>
            <w:r>
              <w:rPr>
                <w:rFonts w:hint="eastAsia" w:ascii="宋体" w:hAnsi="宋体" w:eastAsia="宋体" w:cs="宋体"/>
                <w:color w:val="auto"/>
                <w:spacing w:val="-42"/>
                <w:sz w:val="21"/>
                <w:szCs w:val="21"/>
                <w:u w:val="single"/>
                <w:lang w:val="en-US" w:eastAsia="zh-CN"/>
              </w:rPr>
              <w:t xml:space="preserve"> </w:t>
            </w:r>
            <w:r>
              <w:rPr>
                <w:rFonts w:hint="eastAsia" w:ascii="宋体" w:hAnsi="宋体" w:eastAsia="宋体" w:cs="宋体"/>
                <w:color w:val="auto"/>
                <w:spacing w:val="1"/>
                <w:sz w:val="21"/>
                <w:szCs w:val="21"/>
              </w:rPr>
              <w:t>天</w:t>
            </w:r>
            <w:r>
              <w:rPr>
                <w:rFonts w:hint="eastAsia" w:ascii="宋体" w:hAnsi="宋体" w:eastAsia="宋体" w:cs="宋体"/>
                <w:color w:val="auto"/>
                <w:spacing w:val="-2"/>
                <w:sz w:val="21"/>
                <w:szCs w:val="21"/>
              </w:rPr>
              <w:t>。</w:t>
            </w:r>
          </w:p>
        </w:tc>
        <w:tc>
          <w:tcPr>
            <w:tcW w:w="1200" w:type="dxa"/>
            <w:noWrap w:val="0"/>
            <w:vAlign w:val="top"/>
          </w:tcPr>
          <w:p w14:paraId="3967576B">
            <w:pPr>
              <w:rPr>
                <w:rFonts w:hint="eastAsia" w:ascii="宋体" w:hAnsi="宋体" w:eastAsia="宋体" w:cs="宋体"/>
                <w:color w:val="auto"/>
                <w:kern w:val="2"/>
                <w:sz w:val="21"/>
                <w:szCs w:val="21"/>
                <w:lang w:val="en-US" w:eastAsia="zh-CN" w:bidi="ar-SA"/>
              </w:rPr>
            </w:pPr>
          </w:p>
        </w:tc>
        <w:tc>
          <w:tcPr>
            <w:tcW w:w="1105" w:type="dxa"/>
            <w:noWrap w:val="0"/>
            <w:vAlign w:val="top"/>
          </w:tcPr>
          <w:p w14:paraId="4AA4743C">
            <w:pPr>
              <w:pStyle w:val="15"/>
              <w:shd w:val="clear" w:color="auto" w:fill="auto"/>
              <w:spacing w:line="240" w:lineRule="atLeast"/>
              <w:ind w:left="1087" w:leftChars="257" w:hanging="540"/>
              <w:rPr>
                <w:rFonts w:hint="eastAsia" w:ascii="宋体" w:hAnsi="宋体" w:eastAsia="宋体" w:cs="宋体"/>
                <w:color w:val="auto"/>
                <w:sz w:val="21"/>
                <w:szCs w:val="21"/>
                <w:highlight w:val="yellow"/>
                <w:lang w:val="en-US" w:eastAsia="zh-CN"/>
              </w:rPr>
            </w:pPr>
          </w:p>
        </w:tc>
      </w:tr>
      <w:tr w14:paraId="2B6E8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08" w:type="dxa"/>
            <w:noWrap w:val="0"/>
            <w:vAlign w:val="top"/>
          </w:tcPr>
          <w:p w14:paraId="08979B13">
            <w:pPr>
              <w:pStyle w:val="92"/>
              <w:spacing w:before="109" w:line="219" w:lineRule="auto"/>
              <w:jc w:val="center"/>
              <w:rPr>
                <w:rFonts w:hint="eastAsia" w:ascii="宋体" w:hAnsi="宋体" w:eastAsia="宋体" w:cs="宋体"/>
                <w:color w:val="auto"/>
                <w:spacing w:val="-3"/>
                <w:sz w:val="21"/>
                <w:szCs w:val="21"/>
                <w:lang w:val="en-US" w:eastAsia="zh-CN"/>
              </w:rPr>
            </w:pPr>
            <w:r>
              <w:rPr>
                <w:rFonts w:hint="eastAsia" w:ascii="宋体" w:hAnsi="宋体" w:eastAsia="宋体" w:cs="宋体"/>
                <w:color w:val="auto"/>
                <w:spacing w:val="-3"/>
                <w:sz w:val="21"/>
                <w:szCs w:val="21"/>
                <w:lang w:val="en-US" w:eastAsia="zh-CN"/>
              </w:rPr>
              <w:t>6</w:t>
            </w:r>
          </w:p>
        </w:tc>
        <w:tc>
          <w:tcPr>
            <w:tcW w:w="5925" w:type="dxa"/>
            <w:noWrap w:val="0"/>
            <w:vAlign w:val="top"/>
          </w:tcPr>
          <w:p w14:paraId="29003B9A">
            <w:pPr>
              <w:pStyle w:val="92"/>
              <w:spacing w:before="112" w:line="219" w:lineRule="auto"/>
              <w:ind w:left="115" w:left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1"/>
                <w:sz w:val="21"/>
                <w:szCs w:val="21"/>
              </w:rPr>
              <w:t>投标内容均涵盖</w:t>
            </w:r>
            <w:r>
              <w:rPr>
                <w:rFonts w:hint="eastAsia" w:ascii="宋体" w:hAnsi="宋体" w:eastAsia="宋体" w:cs="宋体"/>
                <w:color w:val="auto"/>
                <w:spacing w:val="-1"/>
                <w:sz w:val="21"/>
                <w:szCs w:val="21"/>
                <w:lang w:val="en-US" w:eastAsia="zh-CN"/>
              </w:rPr>
              <w:t>采购</w:t>
            </w:r>
            <w:r>
              <w:rPr>
                <w:rFonts w:hint="eastAsia" w:ascii="宋体" w:hAnsi="宋体" w:eastAsia="宋体" w:cs="宋体"/>
                <w:color w:val="auto"/>
                <w:spacing w:val="-1"/>
                <w:sz w:val="21"/>
                <w:szCs w:val="21"/>
              </w:rPr>
              <w:t>要求及一切费用和伴随服务。</w:t>
            </w:r>
          </w:p>
        </w:tc>
        <w:tc>
          <w:tcPr>
            <w:tcW w:w="1200" w:type="dxa"/>
            <w:noWrap w:val="0"/>
            <w:vAlign w:val="top"/>
          </w:tcPr>
          <w:p w14:paraId="4C5753C8">
            <w:pPr>
              <w:rPr>
                <w:rFonts w:hint="eastAsia" w:ascii="宋体" w:hAnsi="宋体" w:eastAsia="宋体" w:cs="宋体"/>
                <w:color w:val="auto"/>
                <w:kern w:val="2"/>
                <w:sz w:val="21"/>
                <w:szCs w:val="21"/>
                <w:lang w:val="en-US" w:eastAsia="zh-CN" w:bidi="ar-SA"/>
              </w:rPr>
            </w:pPr>
          </w:p>
        </w:tc>
        <w:tc>
          <w:tcPr>
            <w:tcW w:w="1105" w:type="dxa"/>
            <w:noWrap w:val="0"/>
            <w:vAlign w:val="top"/>
          </w:tcPr>
          <w:p w14:paraId="3DABCC6F">
            <w:pPr>
              <w:pStyle w:val="15"/>
              <w:shd w:val="clear" w:color="auto" w:fill="auto"/>
              <w:spacing w:line="240" w:lineRule="atLeast"/>
              <w:ind w:left="1087" w:leftChars="257" w:hanging="540"/>
              <w:rPr>
                <w:rFonts w:hint="eastAsia" w:ascii="宋体" w:hAnsi="宋体" w:eastAsia="宋体" w:cs="宋体"/>
                <w:color w:val="auto"/>
                <w:sz w:val="21"/>
                <w:szCs w:val="21"/>
                <w:highlight w:val="yellow"/>
                <w:lang w:val="en-US" w:eastAsia="zh-CN"/>
              </w:rPr>
            </w:pPr>
          </w:p>
        </w:tc>
      </w:tr>
      <w:tr w14:paraId="45EA8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08" w:type="dxa"/>
            <w:noWrap w:val="0"/>
            <w:vAlign w:val="top"/>
          </w:tcPr>
          <w:p w14:paraId="5A520634">
            <w:pPr>
              <w:pStyle w:val="92"/>
              <w:spacing w:before="149" w:line="183"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7</w:t>
            </w:r>
          </w:p>
        </w:tc>
        <w:tc>
          <w:tcPr>
            <w:tcW w:w="5925" w:type="dxa"/>
            <w:noWrap w:val="0"/>
            <w:vAlign w:val="top"/>
          </w:tcPr>
          <w:p w14:paraId="55C2B25D">
            <w:pPr>
              <w:pStyle w:val="92"/>
              <w:spacing w:before="110" w:line="219" w:lineRule="auto"/>
              <w:ind w:left="136" w:left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2"/>
                <w:sz w:val="21"/>
                <w:szCs w:val="21"/>
              </w:rPr>
              <w:t>同意接受本项目</w:t>
            </w:r>
            <w:r>
              <w:rPr>
                <w:rFonts w:hint="eastAsia" w:ascii="宋体" w:hAnsi="宋体" w:eastAsia="宋体" w:cs="宋体"/>
                <w:color w:val="auto"/>
                <w:spacing w:val="-2"/>
                <w:sz w:val="21"/>
                <w:szCs w:val="21"/>
                <w:lang w:val="en-US" w:eastAsia="zh-CN"/>
              </w:rPr>
              <w:t>的</w:t>
            </w:r>
            <w:r>
              <w:rPr>
                <w:rFonts w:hint="eastAsia" w:cs="宋体"/>
                <w:color w:val="auto"/>
                <w:spacing w:val="-2"/>
                <w:sz w:val="21"/>
                <w:szCs w:val="21"/>
                <w:lang w:val="en-US" w:eastAsia="zh-CN"/>
              </w:rPr>
              <w:t>服务</w:t>
            </w:r>
            <w:r>
              <w:rPr>
                <w:rFonts w:hint="eastAsia" w:ascii="宋体" w:hAnsi="宋体" w:eastAsia="宋体" w:cs="宋体"/>
                <w:color w:val="auto"/>
                <w:spacing w:val="-2"/>
                <w:sz w:val="21"/>
                <w:szCs w:val="21"/>
                <w:lang w:val="en-US" w:eastAsia="zh-CN"/>
              </w:rPr>
              <w:t>期、</w:t>
            </w:r>
            <w:r>
              <w:rPr>
                <w:rFonts w:hint="eastAsia" w:cs="宋体"/>
                <w:color w:val="auto"/>
                <w:spacing w:val="-2"/>
                <w:sz w:val="21"/>
                <w:szCs w:val="21"/>
                <w:lang w:val="en-US" w:eastAsia="zh-CN"/>
              </w:rPr>
              <w:t>服务</w:t>
            </w:r>
            <w:r>
              <w:rPr>
                <w:rFonts w:hint="eastAsia" w:ascii="宋体" w:hAnsi="宋体" w:eastAsia="宋体" w:cs="宋体"/>
                <w:color w:val="auto"/>
                <w:spacing w:val="-2"/>
                <w:sz w:val="21"/>
                <w:szCs w:val="21"/>
                <w:lang w:val="en-US" w:eastAsia="zh-CN"/>
              </w:rPr>
              <w:t>地点以及</w:t>
            </w:r>
            <w:r>
              <w:rPr>
                <w:rFonts w:hint="eastAsia" w:ascii="宋体" w:hAnsi="宋体" w:eastAsia="宋体" w:cs="宋体"/>
                <w:color w:val="auto"/>
                <w:spacing w:val="-2"/>
                <w:sz w:val="21"/>
                <w:szCs w:val="21"/>
              </w:rPr>
              <w:t>相关进度安排要求。</w:t>
            </w:r>
          </w:p>
        </w:tc>
        <w:tc>
          <w:tcPr>
            <w:tcW w:w="1200" w:type="dxa"/>
            <w:noWrap w:val="0"/>
            <w:vAlign w:val="top"/>
          </w:tcPr>
          <w:p w14:paraId="4E51CE22">
            <w:pPr>
              <w:rPr>
                <w:rFonts w:hint="eastAsia" w:ascii="宋体" w:hAnsi="宋体" w:eastAsia="宋体" w:cs="宋体"/>
                <w:color w:val="auto"/>
                <w:kern w:val="2"/>
                <w:sz w:val="21"/>
                <w:szCs w:val="21"/>
                <w:lang w:val="en-US" w:eastAsia="zh-CN" w:bidi="ar-SA"/>
              </w:rPr>
            </w:pPr>
          </w:p>
        </w:tc>
        <w:tc>
          <w:tcPr>
            <w:tcW w:w="1105" w:type="dxa"/>
            <w:noWrap w:val="0"/>
            <w:vAlign w:val="top"/>
          </w:tcPr>
          <w:p w14:paraId="47145B5A">
            <w:pPr>
              <w:pStyle w:val="15"/>
              <w:shd w:val="clear" w:color="auto" w:fill="auto"/>
              <w:spacing w:line="240" w:lineRule="atLeast"/>
              <w:ind w:left="1087" w:leftChars="257" w:hanging="540"/>
              <w:rPr>
                <w:rFonts w:hint="eastAsia" w:ascii="宋体" w:hAnsi="宋体" w:eastAsia="宋体" w:cs="宋体"/>
                <w:color w:val="auto"/>
                <w:sz w:val="21"/>
                <w:szCs w:val="21"/>
                <w:highlight w:val="yellow"/>
                <w:lang w:val="en-US" w:eastAsia="zh-CN"/>
              </w:rPr>
            </w:pPr>
          </w:p>
        </w:tc>
      </w:tr>
      <w:tr w14:paraId="476CD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08" w:type="dxa"/>
            <w:noWrap w:val="0"/>
            <w:vAlign w:val="top"/>
          </w:tcPr>
          <w:p w14:paraId="7BCE65EA">
            <w:pPr>
              <w:pStyle w:val="92"/>
              <w:spacing w:before="150" w:line="183"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8</w:t>
            </w:r>
          </w:p>
        </w:tc>
        <w:tc>
          <w:tcPr>
            <w:tcW w:w="5925" w:type="dxa"/>
            <w:noWrap w:val="0"/>
            <w:vAlign w:val="top"/>
          </w:tcPr>
          <w:p w14:paraId="5FC839BE">
            <w:pPr>
              <w:pStyle w:val="92"/>
              <w:spacing w:before="112" w:line="219" w:lineRule="auto"/>
              <w:ind w:left="136" w:left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3"/>
                <w:sz w:val="21"/>
                <w:szCs w:val="21"/>
              </w:rPr>
              <w:t>同意接受本项目</w:t>
            </w:r>
            <w:r>
              <w:rPr>
                <w:rFonts w:hint="eastAsia" w:ascii="宋体" w:hAnsi="宋体" w:eastAsia="宋体" w:cs="宋体"/>
                <w:color w:val="auto"/>
                <w:spacing w:val="-3"/>
                <w:sz w:val="21"/>
                <w:szCs w:val="21"/>
                <w:lang w:val="en-US" w:eastAsia="zh-CN"/>
              </w:rPr>
              <w:t>货物、</w:t>
            </w:r>
            <w:r>
              <w:rPr>
                <w:rFonts w:hint="eastAsia" w:ascii="宋体" w:hAnsi="宋体" w:eastAsia="宋体" w:cs="宋体"/>
                <w:color w:val="auto"/>
                <w:spacing w:val="-3"/>
                <w:sz w:val="21"/>
                <w:szCs w:val="21"/>
              </w:rPr>
              <w:t>服务的各项要求。</w:t>
            </w:r>
          </w:p>
        </w:tc>
        <w:tc>
          <w:tcPr>
            <w:tcW w:w="1200" w:type="dxa"/>
            <w:noWrap w:val="0"/>
            <w:vAlign w:val="top"/>
          </w:tcPr>
          <w:p w14:paraId="5E5846BD">
            <w:pPr>
              <w:rPr>
                <w:rFonts w:hint="eastAsia" w:ascii="宋体" w:hAnsi="宋体" w:eastAsia="宋体" w:cs="宋体"/>
                <w:color w:val="auto"/>
                <w:kern w:val="2"/>
                <w:sz w:val="21"/>
                <w:szCs w:val="21"/>
                <w:lang w:val="en-US" w:eastAsia="zh-CN" w:bidi="ar-SA"/>
              </w:rPr>
            </w:pPr>
          </w:p>
        </w:tc>
        <w:tc>
          <w:tcPr>
            <w:tcW w:w="1105" w:type="dxa"/>
            <w:noWrap w:val="0"/>
            <w:vAlign w:val="top"/>
          </w:tcPr>
          <w:p w14:paraId="4E1D9E7C">
            <w:pPr>
              <w:pStyle w:val="15"/>
              <w:shd w:val="clear" w:color="auto" w:fill="auto"/>
              <w:spacing w:line="240" w:lineRule="atLeast"/>
              <w:ind w:left="1087" w:leftChars="257" w:hanging="540"/>
              <w:rPr>
                <w:rFonts w:hint="eastAsia" w:ascii="宋体" w:hAnsi="宋体" w:eastAsia="宋体" w:cs="宋体"/>
                <w:color w:val="auto"/>
                <w:sz w:val="21"/>
                <w:szCs w:val="21"/>
                <w:highlight w:val="yellow"/>
                <w:lang w:val="en-US" w:eastAsia="zh-CN"/>
              </w:rPr>
            </w:pPr>
          </w:p>
        </w:tc>
      </w:tr>
      <w:tr w14:paraId="6F286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708" w:type="dxa"/>
            <w:noWrap w:val="0"/>
            <w:vAlign w:val="top"/>
          </w:tcPr>
          <w:p w14:paraId="4489FBC8">
            <w:pPr>
              <w:pStyle w:val="92"/>
              <w:spacing w:before="278" w:line="184"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14"/>
                <w:sz w:val="21"/>
                <w:szCs w:val="21"/>
                <w:lang w:val="en-US" w:eastAsia="zh-CN"/>
              </w:rPr>
              <w:t>9</w:t>
            </w:r>
          </w:p>
        </w:tc>
        <w:tc>
          <w:tcPr>
            <w:tcW w:w="5925" w:type="dxa"/>
            <w:noWrap w:val="0"/>
            <w:vAlign w:val="top"/>
          </w:tcPr>
          <w:p w14:paraId="6458923C">
            <w:pPr>
              <w:pStyle w:val="92"/>
              <w:spacing w:before="85" w:line="230" w:lineRule="auto"/>
              <w:ind w:left="118" w:leftChars="0" w:right="106" w:rightChars="0" w:firstLine="17" w:firstLine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1"/>
                <w:sz w:val="21"/>
                <w:szCs w:val="21"/>
              </w:rPr>
              <w:t>同意采购方以任何形式对我方的投标/投标文件内容的真</w:t>
            </w:r>
            <w:r>
              <w:rPr>
                <w:rFonts w:hint="eastAsia" w:ascii="宋体" w:hAnsi="宋体" w:eastAsia="宋体" w:cs="宋体"/>
                <w:color w:val="auto"/>
                <w:spacing w:val="8"/>
                <w:sz w:val="21"/>
                <w:szCs w:val="21"/>
              </w:rPr>
              <w:t xml:space="preserve"> </w:t>
            </w:r>
            <w:r>
              <w:rPr>
                <w:rFonts w:hint="eastAsia" w:ascii="宋体" w:hAnsi="宋体" w:eastAsia="宋体" w:cs="宋体"/>
                <w:color w:val="auto"/>
                <w:spacing w:val="-2"/>
                <w:sz w:val="21"/>
                <w:szCs w:val="21"/>
              </w:rPr>
              <w:t>实性和有效性进行审查、验证。</w:t>
            </w:r>
          </w:p>
        </w:tc>
        <w:tc>
          <w:tcPr>
            <w:tcW w:w="1200" w:type="dxa"/>
            <w:noWrap w:val="0"/>
            <w:vAlign w:val="top"/>
          </w:tcPr>
          <w:p w14:paraId="77BC10B6">
            <w:pPr>
              <w:rPr>
                <w:rFonts w:hint="eastAsia" w:ascii="宋体" w:hAnsi="宋体" w:eastAsia="宋体" w:cs="宋体"/>
                <w:color w:val="auto"/>
                <w:kern w:val="2"/>
                <w:sz w:val="21"/>
                <w:szCs w:val="21"/>
                <w:lang w:val="en-US" w:eastAsia="zh-CN" w:bidi="ar-SA"/>
              </w:rPr>
            </w:pPr>
          </w:p>
        </w:tc>
        <w:tc>
          <w:tcPr>
            <w:tcW w:w="1105" w:type="dxa"/>
            <w:noWrap w:val="0"/>
            <w:vAlign w:val="top"/>
          </w:tcPr>
          <w:p w14:paraId="4C143F4B">
            <w:pPr>
              <w:pStyle w:val="15"/>
              <w:shd w:val="clear" w:color="auto" w:fill="auto"/>
              <w:spacing w:line="240" w:lineRule="atLeast"/>
              <w:ind w:left="1087" w:leftChars="257" w:hanging="540"/>
              <w:rPr>
                <w:rFonts w:hint="eastAsia" w:ascii="宋体" w:hAnsi="宋体" w:eastAsia="宋体" w:cs="宋体"/>
                <w:color w:val="auto"/>
                <w:sz w:val="21"/>
                <w:szCs w:val="21"/>
                <w:highlight w:val="yellow"/>
                <w:lang w:val="en-US" w:eastAsia="zh-CN"/>
              </w:rPr>
            </w:pPr>
          </w:p>
        </w:tc>
      </w:tr>
      <w:tr w14:paraId="1AC77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08" w:type="dxa"/>
            <w:noWrap w:val="0"/>
            <w:vAlign w:val="top"/>
          </w:tcPr>
          <w:p w14:paraId="3E0FD95D">
            <w:pPr>
              <w:pStyle w:val="92"/>
              <w:spacing w:before="159" w:line="184"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14"/>
                <w:sz w:val="21"/>
                <w:szCs w:val="21"/>
                <w:lang w:val="en-US" w:eastAsia="zh-CN"/>
              </w:rPr>
              <w:t>10</w:t>
            </w:r>
          </w:p>
        </w:tc>
        <w:tc>
          <w:tcPr>
            <w:tcW w:w="5925" w:type="dxa"/>
            <w:noWrap w:val="0"/>
            <w:vAlign w:val="top"/>
          </w:tcPr>
          <w:p w14:paraId="1F985044">
            <w:pPr>
              <w:pStyle w:val="92"/>
              <w:spacing w:before="122" w:line="219" w:lineRule="auto"/>
              <w:ind w:left="136" w:left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3"/>
                <w:sz w:val="21"/>
                <w:szCs w:val="21"/>
              </w:rPr>
              <w:t>同意接受本项目付款的各项要求。</w:t>
            </w:r>
          </w:p>
        </w:tc>
        <w:tc>
          <w:tcPr>
            <w:tcW w:w="1200" w:type="dxa"/>
            <w:noWrap w:val="0"/>
            <w:vAlign w:val="top"/>
          </w:tcPr>
          <w:p w14:paraId="6BCADF19">
            <w:pPr>
              <w:rPr>
                <w:rFonts w:hint="eastAsia" w:ascii="宋体" w:hAnsi="宋体" w:eastAsia="宋体" w:cs="宋体"/>
                <w:color w:val="auto"/>
                <w:kern w:val="2"/>
                <w:sz w:val="21"/>
                <w:szCs w:val="21"/>
                <w:lang w:val="en-US" w:eastAsia="zh-CN" w:bidi="ar-SA"/>
              </w:rPr>
            </w:pPr>
          </w:p>
        </w:tc>
        <w:tc>
          <w:tcPr>
            <w:tcW w:w="1105" w:type="dxa"/>
            <w:noWrap w:val="0"/>
            <w:vAlign w:val="top"/>
          </w:tcPr>
          <w:p w14:paraId="40DCDF0B">
            <w:pPr>
              <w:pStyle w:val="15"/>
              <w:shd w:val="clear" w:color="auto" w:fill="auto"/>
              <w:spacing w:line="240" w:lineRule="atLeast"/>
              <w:ind w:left="1087" w:leftChars="257" w:hanging="540"/>
              <w:rPr>
                <w:rFonts w:hint="eastAsia" w:ascii="宋体" w:hAnsi="宋体" w:eastAsia="宋体" w:cs="宋体"/>
                <w:color w:val="auto"/>
                <w:sz w:val="21"/>
                <w:szCs w:val="21"/>
                <w:highlight w:val="yellow"/>
                <w:lang w:val="en-US" w:eastAsia="zh-CN"/>
              </w:rPr>
            </w:pPr>
          </w:p>
        </w:tc>
      </w:tr>
      <w:tr w14:paraId="4E023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708" w:type="dxa"/>
            <w:noWrap w:val="0"/>
            <w:vAlign w:val="top"/>
          </w:tcPr>
          <w:p w14:paraId="6652097C">
            <w:pPr>
              <w:pStyle w:val="92"/>
              <w:spacing w:before="78" w:line="184"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14"/>
                <w:sz w:val="21"/>
                <w:szCs w:val="21"/>
              </w:rPr>
              <w:t>1</w:t>
            </w:r>
            <w:r>
              <w:rPr>
                <w:rFonts w:hint="eastAsia" w:ascii="宋体" w:hAnsi="宋体" w:eastAsia="宋体" w:cs="宋体"/>
                <w:color w:val="auto"/>
                <w:spacing w:val="-14"/>
                <w:sz w:val="21"/>
                <w:szCs w:val="21"/>
                <w:lang w:val="en-US" w:eastAsia="zh-CN"/>
              </w:rPr>
              <w:t>1</w:t>
            </w:r>
          </w:p>
        </w:tc>
        <w:tc>
          <w:tcPr>
            <w:tcW w:w="5925" w:type="dxa"/>
            <w:noWrap w:val="0"/>
            <w:vAlign w:val="top"/>
          </w:tcPr>
          <w:p w14:paraId="7590B7F9">
            <w:pPr>
              <w:pStyle w:val="92"/>
              <w:spacing w:before="42" w:line="219" w:lineRule="auto"/>
              <w:ind w:left="113" w:left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pacing w:val="-1"/>
                <w:sz w:val="21"/>
                <w:szCs w:val="21"/>
              </w:rPr>
              <w:t>其它商务条款偏离说明</w:t>
            </w:r>
            <w:r>
              <w:rPr>
                <w:rFonts w:hint="eastAsia" w:ascii="宋体" w:hAnsi="宋体" w:eastAsia="宋体" w:cs="宋体"/>
                <w:color w:val="auto"/>
                <w:spacing w:val="-1"/>
                <w:sz w:val="21"/>
                <w:szCs w:val="21"/>
                <w:lang w:eastAsia="zh-CN"/>
              </w:rPr>
              <w:t>（</w:t>
            </w:r>
            <w:r>
              <w:rPr>
                <w:rFonts w:hint="eastAsia" w:ascii="宋体" w:hAnsi="宋体" w:eastAsia="宋体" w:cs="宋体"/>
                <w:color w:val="auto"/>
                <w:spacing w:val="-1"/>
                <w:sz w:val="21"/>
                <w:szCs w:val="21"/>
                <w:lang w:val="en-US" w:eastAsia="zh-CN"/>
              </w:rPr>
              <w:t>如有</w:t>
            </w:r>
            <w:r>
              <w:rPr>
                <w:rFonts w:hint="eastAsia" w:ascii="宋体" w:hAnsi="宋体" w:eastAsia="宋体" w:cs="宋体"/>
                <w:color w:val="auto"/>
                <w:spacing w:val="-1"/>
                <w:sz w:val="21"/>
                <w:szCs w:val="21"/>
                <w:lang w:eastAsia="zh-CN"/>
              </w:rPr>
              <w:t>）</w:t>
            </w:r>
          </w:p>
        </w:tc>
        <w:tc>
          <w:tcPr>
            <w:tcW w:w="1200" w:type="dxa"/>
            <w:noWrap w:val="0"/>
            <w:vAlign w:val="top"/>
          </w:tcPr>
          <w:p w14:paraId="42C207B7">
            <w:pPr>
              <w:pStyle w:val="15"/>
              <w:shd w:val="clear" w:color="auto" w:fill="auto"/>
              <w:spacing w:line="240" w:lineRule="atLeast"/>
              <w:ind w:left="1087" w:leftChars="257" w:hanging="540"/>
              <w:rPr>
                <w:rFonts w:hint="eastAsia" w:ascii="宋体" w:hAnsi="宋体" w:eastAsia="宋体" w:cs="宋体"/>
                <w:color w:val="auto"/>
                <w:sz w:val="21"/>
                <w:szCs w:val="21"/>
                <w:highlight w:val="yellow"/>
                <w:lang w:val="en-US" w:eastAsia="zh-CN"/>
              </w:rPr>
            </w:pPr>
          </w:p>
        </w:tc>
        <w:tc>
          <w:tcPr>
            <w:tcW w:w="1105" w:type="dxa"/>
            <w:noWrap w:val="0"/>
            <w:vAlign w:val="top"/>
          </w:tcPr>
          <w:p w14:paraId="092D5708">
            <w:pPr>
              <w:pStyle w:val="15"/>
              <w:shd w:val="clear" w:color="auto" w:fill="auto"/>
              <w:spacing w:line="240" w:lineRule="atLeast"/>
              <w:ind w:left="1087" w:leftChars="257" w:hanging="540"/>
              <w:rPr>
                <w:rFonts w:hint="eastAsia" w:ascii="宋体" w:hAnsi="宋体" w:eastAsia="宋体" w:cs="宋体"/>
                <w:color w:val="auto"/>
                <w:sz w:val="21"/>
                <w:szCs w:val="21"/>
                <w:highlight w:val="yellow"/>
                <w:lang w:val="en-US" w:eastAsia="zh-CN"/>
              </w:rPr>
            </w:pPr>
          </w:p>
        </w:tc>
      </w:tr>
    </w:tbl>
    <w:p w14:paraId="67CBD5F2">
      <w:pPr>
        <w:pStyle w:val="15"/>
        <w:shd w:val="clear" w:color="auto" w:fill="auto"/>
        <w:spacing w:line="360" w:lineRule="auto"/>
        <w:ind w:left="1087" w:leftChars="257" w:hanging="540"/>
        <w:rPr>
          <w:rFonts w:hint="eastAsia" w:ascii="宋体" w:hAnsi="宋体" w:eastAsia="宋体" w:cs="宋体"/>
          <w:color w:val="auto"/>
          <w:sz w:val="24"/>
          <w:highlight w:val="yellow"/>
        </w:rPr>
      </w:pPr>
    </w:p>
    <w:p w14:paraId="48CDB7E6">
      <w:pPr>
        <w:pStyle w:val="15"/>
        <w:shd w:val="clear" w:color="auto" w:fill="auto"/>
        <w:spacing w:line="360" w:lineRule="auto"/>
        <w:ind w:left="1087" w:leftChars="257" w:hanging="540"/>
        <w:rPr>
          <w:rFonts w:hint="eastAsia" w:ascii="宋体" w:hAnsi="宋体" w:eastAsia="宋体" w:cs="宋体"/>
          <w:color w:val="auto"/>
          <w:sz w:val="24"/>
          <w:highlight w:val="yellow"/>
        </w:rPr>
      </w:pPr>
    </w:p>
    <w:p w14:paraId="6FC7D611">
      <w:pPr>
        <w:pStyle w:val="15"/>
        <w:shd w:val="clear" w:color="auto" w:fill="auto"/>
        <w:spacing w:line="360" w:lineRule="auto"/>
        <w:jc w:val="left"/>
        <w:rPr>
          <w:rFonts w:hint="eastAsia" w:ascii="宋体" w:hAnsi="宋体" w:eastAsia="宋体" w:cs="宋体"/>
          <w:color w:val="auto"/>
          <w:sz w:val="21"/>
          <w:szCs w:val="16"/>
          <w:highlight w:val="none"/>
          <w:lang w:val="en-US" w:eastAsia="zh-CN"/>
        </w:rPr>
      </w:pPr>
      <w:r>
        <w:rPr>
          <w:rFonts w:hint="eastAsia" w:ascii="宋体" w:hAnsi="宋体" w:eastAsia="宋体" w:cs="宋体"/>
          <w:color w:val="auto"/>
          <w:sz w:val="21"/>
          <w:szCs w:val="16"/>
          <w:highlight w:val="none"/>
          <w:lang w:val="en-US" w:eastAsia="zh-CN"/>
        </w:rPr>
        <w:t xml:space="preserve">法定代表人或其委托代理人签字或盖章: </w:t>
      </w:r>
      <w:r>
        <w:rPr>
          <w:rFonts w:hint="eastAsia" w:ascii="宋体" w:hAnsi="宋体" w:eastAsia="宋体" w:cs="宋体"/>
          <w:color w:val="auto"/>
          <w:sz w:val="21"/>
          <w:szCs w:val="16"/>
          <w:highlight w:val="none"/>
          <w:u w:val="single" w:color="auto"/>
          <w:lang w:val="en-US" w:eastAsia="zh-CN"/>
        </w:rPr>
        <w:tab/>
      </w:r>
      <w:r>
        <w:rPr>
          <w:rFonts w:hint="eastAsia" w:ascii="宋体" w:hAnsi="宋体" w:eastAsia="宋体" w:cs="宋体"/>
          <w:color w:val="auto"/>
          <w:sz w:val="21"/>
          <w:szCs w:val="16"/>
          <w:highlight w:val="none"/>
          <w:u w:val="single" w:color="auto"/>
          <w:lang w:val="en-US" w:eastAsia="zh-CN"/>
        </w:rPr>
        <w:t xml:space="preserve">      </w:t>
      </w:r>
      <w:r>
        <w:rPr>
          <w:rFonts w:hint="eastAsia" w:ascii="宋体" w:hAnsi="宋体" w:eastAsia="宋体" w:cs="宋体"/>
          <w:color w:val="auto"/>
          <w:sz w:val="21"/>
          <w:szCs w:val="16"/>
          <w:highlight w:val="none"/>
          <w:lang w:val="en-US" w:eastAsia="zh-CN"/>
        </w:rPr>
        <w:t xml:space="preserve">           </w:t>
      </w:r>
    </w:p>
    <w:p w14:paraId="62FD74A5">
      <w:pPr>
        <w:pStyle w:val="15"/>
        <w:shd w:val="clear" w:color="auto" w:fill="auto"/>
        <w:spacing w:line="360" w:lineRule="auto"/>
        <w:jc w:val="left"/>
        <w:rPr>
          <w:rFonts w:hint="eastAsia" w:ascii="宋体" w:hAnsi="宋体" w:eastAsia="宋体" w:cs="宋体"/>
          <w:color w:val="auto"/>
          <w:sz w:val="21"/>
          <w:szCs w:val="16"/>
          <w:highlight w:val="none"/>
          <w:lang w:val="en-US" w:eastAsia="zh-CN"/>
        </w:rPr>
      </w:pPr>
      <w:r>
        <w:rPr>
          <w:rFonts w:hint="eastAsia" w:ascii="宋体" w:hAnsi="宋体" w:eastAsia="宋体" w:cs="宋体"/>
          <w:color w:val="auto"/>
          <w:sz w:val="21"/>
          <w:szCs w:val="16"/>
          <w:highlight w:val="none"/>
          <w:lang w:val="en-US" w:eastAsia="zh-CN"/>
        </w:rPr>
        <w:t xml:space="preserve">投标人(盖单位章): </w:t>
      </w:r>
      <w:r>
        <w:rPr>
          <w:rFonts w:hint="eastAsia" w:ascii="宋体" w:hAnsi="宋体" w:eastAsia="宋体" w:cs="宋体"/>
          <w:color w:val="auto"/>
          <w:sz w:val="21"/>
          <w:szCs w:val="16"/>
          <w:highlight w:val="none"/>
          <w:u w:val="single" w:color="auto"/>
          <w:lang w:val="en-US" w:eastAsia="zh-CN"/>
        </w:rPr>
        <w:tab/>
      </w:r>
      <w:r>
        <w:rPr>
          <w:rFonts w:hint="eastAsia" w:ascii="宋体" w:hAnsi="宋体" w:eastAsia="宋体" w:cs="宋体"/>
          <w:color w:val="auto"/>
          <w:sz w:val="21"/>
          <w:szCs w:val="16"/>
          <w:highlight w:val="none"/>
          <w:u w:val="single" w:color="auto"/>
          <w:lang w:val="en-US" w:eastAsia="zh-CN"/>
        </w:rPr>
        <w:t xml:space="preserve">      </w:t>
      </w:r>
      <w:r>
        <w:rPr>
          <w:rFonts w:hint="eastAsia" w:ascii="宋体" w:hAnsi="宋体" w:eastAsia="宋体" w:cs="宋体"/>
          <w:color w:val="auto"/>
          <w:sz w:val="21"/>
          <w:szCs w:val="16"/>
          <w:highlight w:val="none"/>
          <w:lang w:val="en-US" w:eastAsia="zh-CN"/>
        </w:rPr>
        <w:t xml:space="preserve"> </w:t>
      </w:r>
      <w:r>
        <w:rPr>
          <w:rFonts w:hint="eastAsia" w:ascii="宋体" w:hAnsi="宋体" w:eastAsia="宋体" w:cs="宋体"/>
          <w:color w:val="auto"/>
          <w:sz w:val="21"/>
          <w:szCs w:val="16"/>
          <w:highlight w:val="none"/>
          <w:lang w:val="en-US" w:eastAsia="zh-CN"/>
        </w:rPr>
        <w:tab/>
      </w:r>
    </w:p>
    <w:p w14:paraId="1DB5B9AD">
      <w:pPr>
        <w:pStyle w:val="15"/>
        <w:shd w:val="clear" w:color="auto" w:fill="auto"/>
        <w:spacing w:line="360" w:lineRule="auto"/>
        <w:jc w:val="left"/>
        <w:rPr>
          <w:rFonts w:hint="eastAsia" w:ascii="宋体" w:hAnsi="宋体" w:eastAsia="宋体" w:cs="宋体"/>
          <w:color w:val="auto"/>
          <w:highlight w:val="none"/>
        </w:rPr>
      </w:pPr>
      <w:r>
        <w:rPr>
          <w:rFonts w:hint="eastAsia" w:ascii="宋体" w:hAnsi="宋体" w:eastAsia="宋体" w:cs="宋体"/>
          <w:color w:val="auto"/>
          <w:sz w:val="21"/>
          <w:szCs w:val="16"/>
          <w:highlight w:val="none"/>
          <w:lang w:val="en-US" w:eastAsia="zh-CN"/>
        </w:rPr>
        <w:br w:type="page"/>
      </w:r>
    </w:p>
    <w:p w14:paraId="63D6357D">
      <w:pPr>
        <w:pStyle w:val="87"/>
        <w:keepNext w:val="0"/>
        <w:keepLines w:val="0"/>
        <w:widowControl w:val="0"/>
        <w:shd w:val="clear" w:color="auto" w:fill="auto"/>
        <w:bidi w:val="0"/>
        <w:spacing w:before="0" w:after="0" w:line="360" w:lineRule="auto"/>
        <w:ind w:left="0" w:right="0" w:firstLine="420"/>
        <w:jc w:val="left"/>
        <w:rPr>
          <w:rFonts w:hint="eastAsia" w:ascii="宋体" w:hAnsi="宋体" w:eastAsia="宋体" w:cs="宋体"/>
          <w:b/>
          <w:bCs/>
          <w:color w:val="auto"/>
          <w:spacing w:val="0"/>
          <w:w w:val="100"/>
          <w:position w:val="0"/>
          <w:sz w:val="24"/>
          <w:szCs w:val="24"/>
          <w:lang w:val="en-US" w:eastAsia="zh-CN"/>
        </w:rPr>
      </w:pPr>
      <w:r>
        <w:rPr>
          <w:rFonts w:hint="eastAsia" w:ascii="宋体" w:hAnsi="宋体" w:eastAsia="宋体" w:cs="宋体"/>
          <w:b/>
          <w:bCs/>
          <w:color w:val="auto"/>
          <w:sz w:val="24"/>
          <w:highlight w:val="none"/>
          <w:lang w:val="en-US" w:eastAsia="zh-CN"/>
        </w:rPr>
        <w:t>投标文件格式</w:t>
      </w:r>
      <w:r>
        <w:rPr>
          <w:rFonts w:hint="eastAsia" w:cs="宋体"/>
          <w:b/>
          <w:bCs/>
          <w:color w:val="auto"/>
          <w:spacing w:val="0"/>
          <w:w w:val="100"/>
          <w:position w:val="0"/>
          <w:sz w:val="24"/>
          <w:szCs w:val="24"/>
          <w:lang w:val="en-US" w:eastAsia="zh-CN"/>
        </w:rPr>
        <w:t>10</w:t>
      </w:r>
      <w:r>
        <w:rPr>
          <w:rFonts w:hint="eastAsia" w:ascii="宋体" w:hAnsi="宋体" w:eastAsia="宋体" w:cs="宋体"/>
          <w:b/>
          <w:bCs/>
          <w:color w:val="auto"/>
          <w:spacing w:val="0"/>
          <w:w w:val="100"/>
          <w:position w:val="0"/>
          <w:sz w:val="24"/>
          <w:szCs w:val="24"/>
          <w:lang w:val="en-US" w:eastAsia="zh-CN"/>
        </w:rPr>
        <w:t>：</w:t>
      </w:r>
    </w:p>
    <w:p w14:paraId="2D1715CE">
      <w:pPr>
        <w:pStyle w:val="87"/>
        <w:keepNext w:val="0"/>
        <w:keepLines w:val="0"/>
        <w:widowControl w:val="0"/>
        <w:shd w:val="clear" w:color="auto" w:fill="auto"/>
        <w:bidi w:val="0"/>
        <w:spacing w:before="0" w:after="0" w:line="360" w:lineRule="auto"/>
        <w:ind w:left="0" w:right="0" w:firstLine="420"/>
        <w:jc w:val="center"/>
        <w:rPr>
          <w:rFonts w:hint="eastAsia" w:ascii="宋体" w:hAnsi="宋体" w:eastAsia="宋体" w:cs="宋体"/>
          <w:b/>
          <w:bCs/>
          <w:color w:val="auto"/>
          <w:spacing w:val="0"/>
          <w:w w:val="100"/>
          <w:position w:val="0"/>
          <w:sz w:val="24"/>
          <w:szCs w:val="24"/>
          <w:lang w:val="en-US" w:eastAsia="zh-CN"/>
        </w:rPr>
      </w:pPr>
    </w:p>
    <w:p w14:paraId="41C70B79">
      <w:pPr>
        <w:pStyle w:val="11"/>
        <w:numPr>
          <w:ilvl w:val="0"/>
          <w:numId w:val="0"/>
        </w:numPr>
        <w:kinsoku w:val="0"/>
        <w:overflowPunct w:val="0"/>
        <w:spacing w:before="5" w:line="360" w:lineRule="auto"/>
        <w:ind w:leftChars="0" w:right="0" w:rightChars="0"/>
        <w:jc w:val="center"/>
        <w:rPr>
          <w:rFonts w:hint="eastAsia" w:ascii="宋体" w:hAnsi="宋体" w:eastAsia="宋体" w:cs="宋体"/>
          <w:b/>
          <w:bCs/>
          <w:color w:val="auto"/>
          <w:spacing w:val="0"/>
          <w:w w:val="100"/>
          <w:position w:val="0"/>
          <w:sz w:val="36"/>
          <w:szCs w:val="36"/>
          <w:lang w:val="en-US" w:eastAsia="zh-CN"/>
        </w:rPr>
      </w:pPr>
      <w:r>
        <w:rPr>
          <w:rFonts w:hint="eastAsia" w:ascii="宋体" w:hAnsi="宋体" w:eastAsia="宋体" w:cs="宋体"/>
          <w:b/>
          <w:bCs/>
          <w:color w:val="auto"/>
          <w:spacing w:val="0"/>
          <w:w w:val="100"/>
          <w:position w:val="0"/>
          <w:sz w:val="24"/>
          <w:szCs w:val="24"/>
          <w:lang w:val="en-US" w:eastAsia="zh-CN"/>
        </w:rPr>
        <w:t>投标人基本情况表</w:t>
      </w:r>
    </w:p>
    <w:p w14:paraId="22718E3D">
      <w:pPr>
        <w:pStyle w:val="88"/>
        <w:keepNext w:val="0"/>
        <w:keepLines w:val="0"/>
        <w:pageBreakBefore w:val="0"/>
        <w:widowControl w:val="0"/>
        <w:numPr>
          <w:ilvl w:val="0"/>
          <w:numId w:val="0"/>
        </w:numPr>
        <w:shd w:val="clear" w:color="auto" w:fill="auto"/>
        <w:wordWrap/>
        <w:topLinePunct w:val="0"/>
        <w:autoSpaceDE/>
        <w:autoSpaceDN/>
        <w:bidi w:val="0"/>
        <w:adjustRightInd/>
        <w:snapToGrid/>
        <w:spacing w:before="0" w:after="0" w:line="360" w:lineRule="auto"/>
        <w:ind w:leftChars="0" w:right="0" w:rightChars="0"/>
        <w:jc w:val="both"/>
        <w:textAlignment w:val="auto"/>
        <w:rPr>
          <w:rFonts w:hint="eastAsia" w:ascii="宋体" w:hAnsi="宋体" w:eastAsia="宋体" w:cs="宋体"/>
          <w:color w:val="auto"/>
          <w:sz w:val="24"/>
          <w:szCs w:val="24"/>
          <w:lang w:val="en-US" w:eastAsia="zh-CN"/>
        </w:rPr>
      </w:pPr>
    </w:p>
    <w:tbl>
      <w:tblPr>
        <w:tblStyle w:val="28"/>
        <w:tblW w:w="8639" w:type="dxa"/>
        <w:jc w:val="center"/>
        <w:tblLayout w:type="fixed"/>
        <w:tblCellMar>
          <w:top w:w="0" w:type="dxa"/>
          <w:left w:w="0" w:type="dxa"/>
          <w:bottom w:w="0" w:type="dxa"/>
          <w:right w:w="0" w:type="dxa"/>
        </w:tblCellMar>
      </w:tblPr>
      <w:tblGrid>
        <w:gridCol w:w="1499"/>
        <w:gridCol w:w="1164"/>
        <w:gridCol w:w="842"/>
        <w:gridCol w:w="488"/>
        <w:gridCol w:w="1331"/>
        <w:gridCol w:w="455"/>
        <w:gridCol w:w="910"/>
        <w:gridCol w:w="1950"/>
      </w:tblGrid>
      <w:tr w14:paraId="4EEEC144">
        <w:tblPrEx>
          <w:tblCellMar>
            <w:top w:w="0" w:type="dxa"/>
            <w:left w:w="0" w:type="dxa"/>
            <w:bottom w:w="0" w:type="dxa"/>
            <w:right w:w="0" w:type="dxa"/>
          </w:tblCellMar>
        </w:tblPrEx>
        <w:trPr>
          <w:trHeight w:val="603" w:hRule="exact"/>
          <w:jc w:val="center"/>
        </w:trPr>
        <w:tc>
          <w:tcPr>
            <w:tcW w:w="1499" w:type="dxa"/>
            <w:tcBorders>
              <w:top w:val="single" w:color="000000" w:sz="4" w:space="0"/>
              <w:left w:val="single" w:color="000000" w:sz="4" w:space="0"/>
              <w:bottom w:val="single" w:color="000000" w:sz="4" w:space="0"/>
              <w:right w:val="single" w:color="000000" w:sz="4" w:space="0"/>
            </w:tcBorders>
            <w:noWrap w:val="0"/>
            <w:vAlign w:val="center"/>
          </w:tcPr>
          <w:p w14:paraId="2C87E234">
            <w:pPr>
              <w:pStyle w:val="58"/>
              <w:kinsoku w:val="0"/>
              <w:overflowPunct w:val="0"/>
              <w:spacing w:before="145" w:line="360" w:lineRule="auto"/>
              <w:ind w:left="137"/>
              <w:jc w:val="center"/>
              <w:rPr>
                <w:rFonts w:hint="eastAsia" w:ascii="宋体" w:hAnsi="宋体" w:eastAsia="宋体" w:cs="宋体"/>
                <w:color w:val="auto"/>
                <w:sz w:val="21"/>
                <w:szCs w:val="21"/>
              </w:rPr>
            </w:pPr>
            <w:r>
              <w:rPr>
                <w:rFonts w:hint="eastAsia" w:ascii="宋体" w:hAnsi="宋体" w:eastAsia="宋体" w:cs="宋体"/>
                <w:color w:val="auto"/>
                <w:sz w:val="21"/>
                <w:szCs w:val="21"/>
              </w:rPr>
              <w:t>单位名称</w:t>
            </w:r>
          </w:p>
        </w:tc>
        <w:tc>
          <w:tcPr>
            <w:tcW w:w="7140" w:type="dxa"/>
            <w:gridSpan w:val="7"/>
            <w:tcBorders>
              <w:top w:val="single" w:color="000000" w:sz="4" w:space="0"/>
              <w:left w:val="single" w:color="000000" w:sz="4" w:space="0"/>
              <w:bottom w:val="single" w:color="000000" w:sz="4" w:space="0"/>
              <w:right w:val="single" w:color="000000" w:sz="4" w:space="0"/>
            </w:tcBorders>
            <w:noWrap w:val="0"/>
            <w:vAlign w:val="center"/>
          </w:tcPr>
          <w:p w14:paraId="54B3D0F3">
            <w:pPr>
              <w:spacing w:line="360" w:lineRule="auto"/>
              <w:jc w:val="center"/>
              <w:rPr>
                <w:rFonts w:hint="eastAsia" w:ascii="宋体" w:hAnsi="宋体" w:eastAsia="宋体" w:cs="宋体"/>
                <w:color w:val="auto"/>
                <w:sz w:val="21"/>
                <w:szCs w:val="21"/>
              </w:rPr>
            </w:pPr>
          </w:p>
        </w:tc>
      </w:tr>
      <w:tr w14:paraId="0B77CF7A">
        <w:tblPrEx>
          <w:tblCellMar>
            <w:top w:w="0" w:type="dxa"/>
            <w:left w:w="0" w:type="dxa"/>
            <w:bottom w:w="0" w:type="dxa"/>
            <w:right w:w="0" w:type="dxa"/>
          </w:tblCellMar>
        </w:tblPrEx>
        <w:trPr>
          <w:trHeight w:val="689" w:hRule="exact"/>
          <w:jc w:val="center"/>
        </w:trPr>
        <w:tc>
          <w:tcPr>
            <w:tcW w:w="1499" w:type="dxa"/>
            <w:tcBorders>
              <w:top w:val="single" w:color="000000" w:sz="4" w:space="0"/>
              <w:left w:val="single" w:color="000000" w:sz="4" w:space="0"/>
              <w:bottom w:val="single" w:color="000000" w:sz="4" w:space="0"/>
              <w:right w:val="single" w:color="000000" w:sz="4" w:space="0"/>
            </w:tcBorders>
            <w:noWrap w:val="0"/>
            <w:vAlign w:val="center"/>
          </w:tcPr>
          <w:p w14:paraId="3760F4A7">
            <w:pPr>
              <w:pStyle w:val="58"/>
              <w:kinsoku w:val="0"/>
              <w:overflowPunct w:val="0"/>
              <w:spacing w:before="145" w:line="360" w:lineRule="auto"/>
              <w:ind w:left="137"/>
              <w:jc w:val="center"/>
              <w:rPr>
                <w:rFonts w:hint="eastAsia" w:ascii="宋体" w:hAnsi="宋体" w:eastAsia="宋体" w:cs="宋体"/>
                <w:color w:val="auto"/>
                <w:sz w:val="21"/>
                <w:szCs w:val="21"/>
              </w:rPr>
            </w:pPr>
            <w:r>
              <w:rPr>
                <w:rFonts w:hint="eastAsia" w:ascii="宋体" w:hAnsi="宋体" w:eastAsia="宋体" w:cs="宋体"/>
                <w:color w:val="auto"/>
                <w:sz w:val="21"/>
                <w:szCs w:val="21"/>
              </w:rPr>
              <w:t>单位地址</w:t>
            </w:r>
          </w:p>
        </w:tc>
        <w:tc>
          <w:tcPr>
            <w:tcW w:w="7140" w:type="dxa"/>
            <w:gridSpan w:val="7"/>
            <w:tcBorders>
              <w:top w:val="single" w:color="000000" w:sz="4" w:space="0"/>
              <w:left w:val="single" w:color="000000" w:sz="4" w:space="0"/>
              <w:bottom w:val="single" w:color="000000" w:sz="4" w:space="0"/>
              <w:right w:val="single" w:color="000000" w:sz="4" w:space="0"/>
            </w:tcBorders>
            <w:noWrap w:val="0"/>
            <w:vAlign w:val="center"/>
          </w:tcPr>
          <w:p w14:paraId="6750E479">
            <w:pPr>
              <w:spacing w:line="360" w:lineRule="auto"/>
              <w:jc w:val="center"/>
              <w:rPr>
                <w:rFonts w:hint="eastAsia" w:ascii="宋体" w:hAnsi="宋体" w:eastAsia="宋体" w:cs="宋体"/>
                <w:color w:val="auto"/>
                <w:sz w:val="21"/>
                <w:szCs w:val="21"/>
              </w:rPr>
            </w:pPr>
          </w:p>
        </w:tc>
      </w:tr>
      <w:tr w14:paraId="711C8C41">
        <w:tblPrEx>
          <w:tblCellMar>
            <w:top w:w="0" w:type="dxa"/>
            <w:left w:w="0" w:type="dxa"/>
            <w:bottom w:w="0" w:type="dxa"/>
            <w:right w:w="0" w:type="dxa"/>
          </w:tblCellMar>
        </w:tblPrEx>
        <w:trPr>
          <w:trHeight w:val="628" w:hRule="exact"/>
          <w:jc w:val="center"/>
        </w:trPr>
        <w:tc>
          <w:tcPr>
            <w:tcW w:w="1499" w:type="dxa"/>
            <w:tcBorders>
              <w:top w:val="single" w:color="000000" w:sz="4" w:space="0"/>
              <w:left w:val="single" w:color="000000" w:sz="4" w:space="0"/>
              <w:bottom w:val="single" w:color="000000" w:sz="4" w:space="0"/>
              <w:right w:val="single" w:color="000000" w:sz="4" w:space="0"/>
            </w:tcBorders>
            <w:noWrap w:val="0"/>
            <w:vAlign w:val="center"/>
          </w:tcPr>
          <w:p w14:paraId="1531D6CD">
            <w:pPr>
              <w:pStyle w:val="58"/>
              <w:kinsoku w:val="0"/>
              <w:overflowPunct w:val="0"/>
              <w:spacing w:before="145" w:line="360" w:lineRule="auto"/>
              <w:ind w:left="137"/>
              <w:jc w:val="center"/>
              <w:rPr>
                <w:rFonts w:hint="eastAsia" w:ascii="宋体" w:hAnsi="宋体" w:eastAsia="宋体" w:cs="宋体"/>
                <w:color w:val="auto"/>
                <w:sz w:val="21"/>
                <w:szCs w:val="21"/>
              </w:rPr>
            </w:pPr>
            <w:r>
              <w:rPr>
                <w:rFonts w:hint="eastAsia" w:ascii="宋体" w:hAnsi="宋体" w:eastAsia="宋体" w:cs="宋体"/>
                <w:color w:val="auto"/>
                <w:sz w:val="21"/>
                <w:szCs w:val="21"/>
              </w:rPr>
              <w:t>主管部门</w:t>
            </w:r>
          </w:p>
        </w:tc>
        <w:tc>
          <w:tcPr>
            <w:tcW w:w="7140" w:type="dxa"/>
            <w:gridSpan w:val="7"/>
            <w:tcBorders>
              <w:top w:val="single" w:color="000000" w:sz="4" w:space="0"/>
              <w:left w:val="single" w:color="000000" w:sz="4" w:space="0"/>
              <w:bottom w:val="single" w:color="000000" w:sz="4" w:space="0"/>
              <w:right w:val="single" w:color="000000" w:sz="4" w:space="0"/>
            </w:tcBorders>
            <w:noWrap w:val="0"/>
            <w:vAlign w:val="center"/>
          </w:tcPr>
          <w:p w14:paraId="63435CBA">
            <w:pPr>
              <w:spacing w:line="360" w:lineRule="auto"/>
              <w:jc w:val="center"/>
              <w:rPr>
                <w:rFonts w:hint="eastAsia" w:ascii="宋体" w:hAnsi="宋体" w:eastAsia="宋体" w:cs="宋体"/>
                <w:color w:val="auto"/>
                <w:sz w:val="21"/>
                <w:szCs w:val="21"/>
              </w:rPr>
            </w:pPr>
          </w:p>
        </w:tc>
      </w:tr>
      <w:tr w14:paraId="074739CE">
        <w:tblPrEx>
          <w:tblCellMar>
            <w:top w:w="0" w:type="dxa"/>
            <w:left w:w="0" w:type="dxa"/>
            <w:bottom w:w="0" w:type="dxa"/>
            <w:right w:w="0" w:type="dxa"/>
          </w:tblCellMar>
        </w:tblPrEx>
        <w:trPr>
          <w:trHeight w:val="787" w:hRule="exact"/>
          <w:jc w:val="center"/>
        </w:trPr>
        <w:tc>
          <w:tcPr>
            <w:tcW w:w="1499" w:type="dxa"/>
            <w:tcBorders>
              <w:top w:val="single" w:color="000000" w:sz="4" w:space="0"/>
              <w:left w:val="single" w:color="000000" w:sz="4" w:space="0"/>
              <w:bottom w:val="single" w:color="000000" w:sz="4" w:space="0"/>
              <w:right w:val="single" w:color="000000" w:sz="4" w:space="0"/>
            </w:tcBorders>
            <w:noWrap w:val="0"/>
            <w:vAlign w:val="center"/>
          </w:tcPr>
          <w:p w14:paraId="227FEC4B">
            <w:pPr>
              <w:pStyle w:val="58"/>
              <w:kinsoku w:val="0"/>
              <w:overflowPunct w:val="0"/>
              <w:spacing w:before="145" w:line="360" w:lineRule="auto"/>
              <w:ind w:left="137"/>
              <w:jc w:val="center"/>
              <w:rPr>
                <w:rFonts w:hint="eastAsia" w:ascii="宋体" w:hAnsi="宋体" w:eastAsia="宋体" w:cs="宋体"/>
                <w:color w:val="auto"/>
                <w:sz w:val="21"/>
                <w:szCs w:val="21"/>
              </w:rPr>
            </w:pPr>
            <w:r>
              <w:rPr>
                <w:rFonts w:hint="eastAsia" w:ascii="宋体" w:hAnsi="宋体" w:eastAsia="宋体" w:cs="宋体"/>
                <w:color w:val="auto"/>
                <w:sz w:val="21"/>
                <w:szCs w:val="21"/>
              </w:rPr>
              <w:t>成立时间</w:t>
            </w:r>
          </w:p>
        </w:tc>
        <w:tc>
          <w:tcPr>
            <w:tcW w:w="2006" w:type="dxa"/>
            <w:gridSpan w:val="2"/>
            <w:tcBorders>
              <w:top w:val="single" w:color="000000" w:sz="4" w:space="0"/>
              <w:left w:val="single" w:color="000000" w:sz="4" w:space="0"/>
              <w:bottom w:val="single" w:color="000000" w:sz="4" w:space="0"/>
              <w:right w:val="single" w:color="000000" w:sz="4" w:space="0"/>
            </w:tcBorders>
            <w:noWrap w:val="0"/>
            <w:vAlign w:val="center"/>
          </w:tcPr>
          <w:p w14:paraId="5255A403">
            <w:pPr>
              <w:spacing w:line="360" w:lineRule="auto"/>
              <w:jc w:val="both"/>
              <w:rPr>
                <w:rFonts w:hint="eastAsia" w:ascii="宋体" w:hAnsi="宋体" w:eastAsia="宋体" w:cs="宋体"/>
                <w:color w:val="auto"/>
                <w:sz w:val="21"/>
                <w:szCs w:val="21"/>
              </w:rPr>
            </w:pPr>
          </w:p>
        </w:tc>
        <w:tc>
          <w:tcPr>
            <w:tcW w:w="2274" w:type="dxa"/>
            <w:gridSpan w:val="3"/>
            <w:tcBorders>
              <w:top w:val="single" w:color="000000" w:sz="4" w:space="0"/>
              <w:left w:val="single" w:color="000000" w:sz="4" w:space="0"/>
              <w:bottom w:val="single" w:color="000000" w:sz="4" w:space="0"/>
              <w:right w:val="single" w:color="000000" w:sz="4" w:space="0"/>
            </w:tcBorders>
            <w:noWrap w:val="0"/>
            <w:vAlign w:val="center"/>
          </w:tcPr>
          <w:p w14:paraId="6DA7F0C9">
            <w:pPr>
              <w:pStyle w:val="58"/>
              <w:kinsoku w:val="0"/>
              <w:overflowPunct w:val="0"/>
              <w:spacing w:before="145" w:line="360" w:lineRule="auto"/>
              <w:ind w:left="181"/>
              <w:jc w:val="center"/>
              <w:rPr>
                <w:rFonts w:hint="eastAsia" w:ascii="宋体" w:hAnsi="宋体" w:eastAsia="宋体" w:cs="宋体"/>
                <w:color w:val="auto"/>
                <w:sz w:val="21"/>
                <w:szCs w:val="21"/>
              </w:rPr>
            </w:pPr>
            <w:r>
              <w:rPr>
                <w:rFonts w:hint="eastAsia" w:ascii="宋体" w:hAnsi="宋体" w:eastAsia="宋体" w:cs="宋体"/>
                <w:color w:val="auto"/>
                <w:sz w:val="21"/>
                <w:szCs w:val="21"/>
              </w:rPr>
              <w:t>注册资金（万元）</w:t>
            </w:r>
          </w:p>
        </w:tc>
        <w:tc>
          <w:tcPr>
            <w:tcW w:w="2860" w:type="dxa"/>
            <w:gridSpan w:val="2"/>
            <w:tcBorders>
              <w:top w:val="single" w:color="000000" w:sz="4" w:space="0"/>
              <w:left w:val="single" w:color="000000" w:sz="4" w:space="0"/>
              <w:bottom w:val="single" w:color="000000" w:sz="4" w:space="0"/>
              <w:right w:val="single" w:color="000000" w:sz="4" w:space="0"/>
            </w:tcBorders>
            <w:noWrap w:val="0"/>
            <w:vAlign w:val="center"/>
          </w:tcPr>
          <w:p w14:paraId="6F6C1004">
            <w:pPr>
              <w:spacing w:line="360" w:lineRule="auto"/>
              <w:jc w:val="center"/>
              <w:rPr>
                <w:rFonts w:hint="eastAsia" w:ascii="宋体" w:hAnsi="宋体" w:eastAsia="宋体" w:cs="宋体"/>
                <w:color w:val="auto"/>
                <w:sz w:val="21"/>
                <w:szCs w:val="21"/>
              </w:rPr>
            </w:pPr>
          </w:p>
        </w:tc>
      </w:tr>
      <w:tr w14:paraId="29BFDF7F">
        <w:tblPrEx>
          <w:tblCellMar>
            <w:top w:w="0" w:type="dxa"/>
            <w:left w:w="0" w:type="dxa"/>
            <w:bottom w:w="0" w:type="dxa"/>
            <w:right w:w="0" w:type="dxa"/>
          </w:tblCellMar>
        </w:tblPrEx>
        <w:trPr>
          <w:trHeight w:val="447" w:hRule="exact"/>
          <w:jc w:val="center"/>
        </w:trPr>
        <w:tc>
          <w:tcPr>
            <w:tcW w:w="1499" w:type="dxa"/>
            <w:vMerge w:val="restart"/>
            <w:tcBorders>
              <w:top w:val="single" w:color="000000" w:sz="4" w:space="0"/>
              <w:left w:val="single" w:color="000000" w:sz="4" w:space="0"/>
              <w:bottom w:val="single" w:color="000000" w:sz="4" w:space="0"/>
              <w:right w:val="single" w:color="000000" w:sz="4" w:space="0"/>
            </w:tcBorders>
            <w:noWrap w:val="0"/>
            <w:vAlign w:val="center"/>
          </w:tcPr>
          <w:p w14:paraId="505E800F">
            <w:pPr>
              <w:pStyle w:val="58"/>
              <w:kinsoku w:val="0"/>
              <w:overflowPunct w:val="0"/>
              <w:spacing w:before="145"/>
              <w:jc w:val="center"/>
              <w:rPr>
                <w:rFonts w:hint="eastAsia" w:ascii="宋体" w:hAnsi="宋体" w:eastAsia="宋体" w:cs="宋体"/>
                <w:color w:val="auto"/>
                <w:sz w:val="21"/>
                <w:szCs w:val="21"/>
              </w:rPr>
            </w:pPr>
            <w:r>
              <w:rPr>
                <w:rFonts w:hint="eastAsia" w:ascii="宋体" w:hAnsi="宋体" w:eastAsia="宋体" w:cs="宋体"/>
                <w:i w:val="0"/>
                <w:iCs w:val="0"/>
                <w:color w:val="auto"/>
                <w:sz w:val="21"/>
                <w:szCs w:val="21"/>
                <w:lang w:val="en-US" w:eastAsia="zh-CN"/>
              </w:rPr>
              <w:t>开户银行</w:t>
            </w:r>
          </w:p>
        </w:tc>
        <w:tc>
          <w:tcPr>
            <w:tcW w:w="200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7C156C5D">
            <w:pPr>
              <w:jc w:val="center"/>
              <w:rPr>
                <w:rFonts w:hint="eastAsia" w:ascii="宋体" w:hAnsi="宋体" w:eastAsia="宋体" w:cs="宋体"/>
                <w:color w:val="auto"/>
                <w:sz w:val="21"/>
                <w:szCs w:val="21"/>
              </w:rPr>
            </w:pPr>
          </w:p>
        </w:tc>
        <w:tc>
          <w:tcPr>
            <w:tcW w:w="2274" w:type="dxa"/>
            <w:gridSpan w:val="3"/>
            <w:tcBorders>
              <w:top w:val="single" w:color="000000" w:sz="4" w:space="0"/>
              <w:left w:val="single" w:color="000000" w:sz="4" w:space="0"/>
              <w:bottom w:val="single" w:color="000000" w:sz="4" w:space="0"/>
              <w:right w:val="single" w:color="000000" w:sz="4" w:space="0"/>
            </w:tcBorders>
            <w:noWrap w:val="0"/>
            <w:vAlign w:val="center"/>
          </w:tcPr>
          <w:p w14:paraId="5A8B30C3">
            <w:pPr>
              <w:pStyle w:val="58"/>
              <w:kinsoku w:val="0"/>
              <w:overflowPunct w:val="0"/>
              <w:spacing w:before="145"/>
              <w:ind w:left="181" w:leftChars="0"/>
              <w:jc w:val="center"/>
              <w:rPr>
                <w:rFonts w:hint="eastAsia" w:ascii="宋体" w:hAnsi="宋体" w:eastAsia="宋体" w:cs="宋体"/>
                <w:color w:val="auto"/>
                <w:sz w:val="21"/>
                <w:szCs w:val="21"/>
              </w:rPr>
            </w:pPr>
            <w:r>
              <w:rPr>
                <w:rFonts w:hint="eastAsia" w:ascii="宋体" w:hAnsi="宋体" w:eastAsia="宋体" w:cs="宋体"/>
                <w:i w:val="0"/>
                <w:iCs w:val="0"/>
                <w:color w:val="auto"/>
                <w:sz w:val="21"/>
                <w:szCs w:val="21"/>
                <w:lang w:val="en-US" w:eastAsia="zh-CN"/>
              </w:rPr>
              <w:t>开户行账号</w:t>
            </w:r>
          </w:p>
        </w:tc>
        <w:tc>
          <w:tcPr>
            <w:tcW w:w="2860" w:type="dxa"/>
            <w:gridSpan w:val="2"/>
            <w:tcBorders>
              <w:top w:val="single" w:color="000000" w:sz="4" w:space="0"/>
              <w:left w:val="single" w:color="000000" w:sz="4" w:space="0"/>
              <w:bottom w:val="single" w:color="000000" w:sz="4" w:space="0"/>
              <w:right w:val="single" w:color="000000" w:sz="4" w:space="0"/>
            </w:tcBorders>
            <w:noWrap w:val="0"/>
            <w:vAlign w:val="center"/>
          </w:tcPr>
          <w:p w14:paraId="0D4C5E67">
            <w:pPr>
              <w:jc w:val="center"/>
              <w:rPr>
                <w:rFonts w:hint="eastAsia" w:ascii="宋体" w:hAnsi="宋体" w:eastAsia="宋体" w:cs="宋体"/>
                <w:color w:val="auto"/>
                <w:sz w:val="21"/>
                <w:szCs w:val="21"/>
              </w:rPr>
            </w:pPr>
          </w:p>
        </w:tc>
      </w:tr>
      <w:tr w14:paraId="7B0B2CAF">
        <w:tblPrEx>
          <w:tblCellMar>
            <w:top w:w="0" w:type="dxa"/>
            <w:left w:w="0" w:type="dxa"/>
            <w:bottom w:w="0" w:type="dxa"/>
            <w:right w:w="0" w:type="dxa"/>
          </w:tblCellMar>
        </w:tblPrEx>
        <w:trPr>
          <w:trHeight w:val="602" w:hRule="exact"/>
          <w:jc w:val="center"/>
        </w:trPr>
        <w:tc>
          <w:tcPr>
            <w:tcW w:w="149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68A01D">
            <w:pPr>
              <w:pStyle w:val="58"/>
              <w:kinsoku w:val="0"/>
              <w:overflowPunct w:val="0"/>
              <w:spacing w:before="145"/>
              <w:ind w:left="137" w:leftChars="0"/>
              <w:jc w:val="center"/>
              <w:rPr>
                <w:rFonts w:hint="eastAsia" w:ascii="宋体" w:hAnsi="宋体" w:eastAsia="宋体" w:cs="宋体"/>
                <w:color w:val="auto"/>
                <w:sz w:val="21"/>
                <w:szCs w:val="21"/>
              </w:rPr>
            </w:pPr>
          </w:p>
        </w:tc>
        <w:tc>
          <w:tcPr>
            <w:tcW w:w="200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17B6F0E7">
            <w:pPr>
              <w:jc w:val="center"/>
              <w:rPr>
                <w:rFonts w:hint="eastAsia" w:ascii="宋体" w:hAnsi="宋体" w:eastAsia="宋体" w:cs="宋体"/>
                <w:color w:val="auto"/>
                <w:sz w:val="21"/>
                <w:szCs w:val="21"/>
              </w:rPr>
            </w:pPr>
          </w:p>
        </w:tc>
        <w:tc>
          <w:tcPr>
            <w:tcW w:w="2274" w:type="dxa"/>
            <w:gridSpan w:val="3"/>
            <w:tcBorders>
              <w:top w:val="single" w:color="000000" w:sz="4" w:space="0"/>
              <w:left w:val="single" w:color="000000" w:sz="4" w:space="0"/>
              <w:bottom w:val="single" w:color="000000" w:sz="4" w:space="0"/>
              <w:right w:val="single" w:color="000000" w:sz="4" w:space="0"/>
            </w:tcBorders>
            <w:noWrap w:val="0"/>
            <w:vAlign w:val="center"/>
          </w:tcPr>
          <w:p w14:paraId="0DE9EDDF">
            <w:pPr>
              <w:pStyle w:val="58"/>
              <w:kinsoku w:val="0"/>
              <w:overflowPunct w:val="0"/>
              <w:spacing w:before="145"/>
              <w:ind w:left="181" w:leftChars="0"/>
              <w:jc w:val="center"/>
              <w:rPr>
                <w:rFonts w:hint="eastAsia" w:ascii="宋体" w:hAnsi="宋体" w:eastAsia="宋体" w:cs="宋体"/>
                <w:color w:val="auto"/>
                <w:sz w:val="21"/>
                <w:szCs w:val="21"/>
              </w:rPr>
            </w:pPr>
            <w:r>
              <w:rPr>
                <w:rFonts w:hint="eastAsia" w:ascii="宋体" w:hAnsi="宋体" w:eastAsia="宋体" w:cs="宋体"/>
                <w:i w:val="0"/>
                <w:iCs w:val="0"/>
                <w:color w:val="auto"/>
                <w:sz w:val="21"/>
                <w:szCs w:val="21"/>
                <w:lang w:val="en-US" w:eastAsia="zh-CN"/>
              </w:rPr>
              <w:t>开户行行号</w:t>
            </w:r>
          </w:p>
        </w:tc>
        <w:tc>
          <w:tcPr>
            <w:tcW w:w="2860" w:type="dxa"/>
            <w:gridSpan w:val="2"/>
            <w:tcBorders>
              <w:top w:val="single" w:color="000000" w:sz="4" w:space="0"/>
              <w:left w:val="single" w:color="000000" w:sz="4" w:space="0"/>
              <w:bottom w:val="single" w:color="000000" w:sz="4" w:space="0"/>
              <w:right w:val="single" w:color="000000" w:sz="4" w:space="0"/>
            </w:tcBorders>
            <w:noWrap w:val="0"/>
            <w:vAlign w:val="center"/>
          </w:tcPr>
          <w:p w14:paraId="66CD4DD7">
            <w:pPr>
              <w:jc w:val="center"/>
              <w:rPr>
                <w:rFonts w:hint="eastAsia" w:ascii="宋体" w:hAnsi="宋体" w:eastAsia="宋体" w:cs="宋体"/>
                <w:color w:val="auto"/>
                <w:sz w:val="21"/>
                <w:szCs w:val="21"/>
              </w:rPr>
            </w:pPr>
          </w:p>
        </w:tc>
      </w:tr>
      <w:tr w14:paraId="5897465F">
        <w:tblPrEx>
          <w:tblCellMar>
            <w:top w:w="0" w:type="dxa"/>
            <w:left w:w="0" w:type="dxa"/>
            <w:bottom w:w="0" w:type="dxa"/>
            <w:right w:w="0" w:type="dxa"/>
          </w:tblCellMar>
        </w:tblPrEx>
        <w:trPr>
          <w:trHeight w:val="603" w:hRule="exact"/>
          <w:jc w:val="center"/>
        </w:trPr>
        <w:tc>
          <w:tcPr>
            <w:tcW w:w="1499" w:type="dxa"/>
            <w:tcBorders>
              <w:top w:val="single" w:color="000000" w:sz="4" w:space="0"/>
              <w:left w:val="single" w:color="000000" w:sz="4" w:space="0"/>
              <w:bottom w:val="single" w:color="000000" w:sz="4" w:space="0"/>
              <w:right w:val="single" w:color="000000" w:sz="4" w:space="0"/>
            </w:tcBorders>
            <w:noWrap w:val="0"/>
            <w:vAlign w:val="center"/>
          </w:tcPr>
          <w:p w14:paraId="561D0CA2">
            <w:pPr>
              <w:pStyle w:val="58"/>
              <w:kinsoku w:val="0"/>
              <w:overflowPunct w:val="0"/>
              <w:spacing w:before="146" w:line="360" w:lineRule="auto"/>
              <w:ind w:left="137"/>
              <w:jc w:val="center"/>
              <w:rPr>
                <w:rFonts w:hint="eastAsia" w:ascii="宋体" w:hAnsi="宋体" w:eastAsia="宋体" w:cs="宋体"/>
                <w:color w:val="auto"/>
                <w:sz w:val="21"/>
                <w:szCs w:val="21"/>
              </w:rPr>
            </w:pPr>
            <w:r>
              <w:rPr>
                <w:rFonts w:hint="eastAsia" w:ascii="宋体" w:hAnsi="宋体" w:eastAsia="宋体" w:cs="宋体"/>
                <w:color w:val="auto"/>
                <w:sz w:val="21"/>
                <w:szCs w:val="21"/>
              </w:rPr>
              <w:t>单位性质</w:t>
            </w:r>
          </w:p>
        </w:tc>
        <w:tc>
          <w:tcPr>
            <w:tcW w:w="7140" w:type="dxa"/>
            <w:gridSpan w:val="7"/>
            <w:tcBorders>
              <w:top w:val="single" w:color="000000" w:sz="4" w:space="0"/>
              <w:left w:val="single" w:color="000000" w:sz="4" w:space="0"/>
              <w:bottom w:val="single" w:color="000000" w:sz="4" w:space="0"/>
              <w:right w:val="single" w:color="000000" w:sz="4" w:space="0"/>
            </w:tcBorders>
            <w:noWrap w:val="0"/>
            <w:vAlign w:val="center"/>
          </w:tcPr>
          <w:p w14:paraId="4956F2DC">
            <w:pPr>
              <w:spacing w:line="360" w:lineRule="auto"/>
              <w:jc w:val="center"/>
              <w:rPr>
                <w:rFonts w:hint="eastAsia" w:ascii="宋体" w:hAnsi="宋体" w:eastAsia="宋体" w:cs="宋体"/>
                <w:color w:val="auto"/>
                <w:sz w:val="21"/>
                <w:szCs w:val="21"/>
              </w:rPr>
            </w:pPr>
          </w:p>
        </w:tc>
      </w:tr>
      <w:tr w14:paraId="1FE21697">
        <w:tblPrEx>
          <w:tblCellMar>
            <w:top w:w="0" w:type="dxa"/>
            <w:left w:w="0" w:type="dxa"/>
            <w:bottom w:w="0" w:type="dxa"/>
            <w:right w:w="0" w:type="dxa"/>
          </w:tblCellMar>
        </w:tblPrEx>
        <w:trPr>
          <w:trHeight w:val="1150" w:hRule="exact"/>
          <w:jc w:val="center"/>
        </w:trPr>
        <w:tc>
          <w:tcPr>
            <w:tcW w:w="1499" w:type="dxa"/>
            <w:tcBorders>
              <w:top w:val="single" w:color="000000" w:sz="4" w:space="0"/>
              <w:left w:val="single" w:color="000000" w:sz="4" w:space="0"/>
              <w:bottom w:val="single" w:color="000000" w:sz="4" w:space="0"/>
              <w:right w:val="single" w:color="000000" w:sz="4" w:space="0"/>
            </w:tcBorders>
            <w:noWrap w:val="0"/>
            <w:vAlign w:val="center"/>
          </w:tcPr>
          <w:p w14:paraId="1C417223">
            <w:pPr>
              <w:pStyle w:val="58"/>
              <w:kinsoku w:val="0"/>
              <w:overflowPunct w:val="0"/>
              <w:spacing w:before="141" w:line="360" w:lineRule="auto"/>
              <w:ind w:left="257" w:right="133" w:hanging="120"/>
              <w:jc w:val="center"/>
              <w:rPr>
                <w:rFonts w:hint="eastAsia" w:ascii="宋体" w:hAnsi="宋体" w:eastAsia="宋体" w:cs="宋体"/>
                <w:color w:val="auto"/>
                <w:sz w:val="21"/>
                <w:szCs w:val="21"/>
              </w:rPr>
            </w:pPr>
            <w:r>
              <w:rPr>
                <w:rFonts w:hint="eastAsia" w:ascii="宋体" w:hAnsi="宋体" w:eastAsia="宋体" w:cs="宋体"/>
                <w:color w:val="auto"/>
                <w:sz w:val="21"/>
                <w:szCs w:val="21"/>
              </w:rPr>
              <w:t>投标期间</w:t>
            </w:r>
            <w:r>
              <w:rPr>
                <w:rFonts w:hint="eastAsia" w:ascii="宋体" w:hAnsi="宋体" w:eastAsia="宋体" w:cs="宋体"/>
                <w:color w:val="auto"/>
                <w:sz w:val="21"/>
                <w:szCs w:val="21"/>
                <w:lang w:val="en-US" w:eastAsia="zh-CN"/>
              </w:rPr>
              <w:t>投标</w:t>
            </w:r>
            <w:r>
              <w:rPr>
                <w:rFonts w:hint="eastAsia" w:ascii="宋体" w:hAnsi="宋体" w:eastAsia="宋体" w:cs="宋体"/>
                <w:color w:val="auto"/>
                <w:sz w:val="21"/>
                <w:szCs w:val="21"/>
              </w:rPr>
              <w:t>联系人</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14:paraId="01F37709">
            <w:pPr>
              <w:spacing w:line="360" w:lineRule="auto"/>
              <w:jc w:val="center"/>
              <w:rPr>
                <w:rFonts w:hint="eastAsia" w:ascii="宋体" w:hAnsi="宋体" w:eastAsia="宋体" w:cs="宋体"/>
                <w:color w:val="auto"/>
                <w:sz w:val="21"/>
                <w:szCs w:val="21"/>
              </w:rPr>
            </w:pPr>
          </w:p>
        </w:tc>
        <w:tc>
          <w:tcPr>
            <w:tcW w:w="1330" w:type="dxa"/>
            <w:gridSpan w:val="2"/>
            <w:tcBorders>
              <w:top w:val="single" w:color="000000" w:sz="4" w:space="0"/>
              <w:left w:val="single" w:color="000000" w:sz="4" w:space="0"/>
              <w:bottom w:val="single" w:color="000000" w:sz="4" w:space="0"/>
              <w:right w:val="single" w:color="000000" w:sz="4" w:space="0"/>
            </w:tcBorders>
            <w:noWrap w:val="0"/>
            <w:vAlign w:val="center"/>
          </w:tcPr>
          <w:p w14:paraId="0C8AAC58">
            <w:pPr>
              <w:pStyle w:val="58"/>
              <w:kinsoku w:val="0"/>
              <w:overflowPunct w:val="0"/>
              <w:jc w:val="center"/>
              <w:rPr>
                <w:rFonts w:hint="eastAsia" w:ascii="宋体" w:hAnsi="宋体" w:eastAsia="宋体" w:cs="宋体"/>
                <w:i w:val="0"/>
                <w:iCs w:val="0"/>
                <w:color w:val="auto"/>
                <w:sz w:val="21"/>
                <w:szCs w:val="21"/>
                <w:lang w:val="en-US" w:eastAsia="zh-CN"/>
              </w:rPr>
            </w:pPr>
          </w:p>
          <w:p w14:paraId="39652F0E">
            <w:pPr>
              <w:pStyle w:val="58"/>
              <w:kinsoku w:val="0"/>
              <w:overflowPunct w:val="0"/>
              <w:jc w:val="center"/>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手机</w:t>
            </w:r>
          </w:p>
          <w:p w14:paraId="59A3F787">
            <w:pPr>
              <w:pStyle w:val="58"/>
              <w:kinsoku w:val="0"/>
              <w:overflowPunct w:val="0"/>
              <w:spacing w:line="360" w:lineRule="auto"/>
              <w:jc w:val="center"/>
              <w:rPr>
                <w:rFonts w:hint="eastAsia" w:ascii="宋体" w:hAnsi="宋体" w:eastAsia="宋体" w:cs="宋体"/>
                <w:color w:val="auto"/>
                <w:sz w:val="21"/>
                <w:szCs w:val="21"/>
              </w:rPr>
            </w:pPr>
            <w:r>
              <w:rPr>
                <w:rFonts w:hint="eastAsia" w:ascii="宋体" w:hAnsi="宋体" w:eastAsia="宋体" w:cs="宋体"/>
                <w:i w:val="0"/>
                <w:iCs w:val="0"/>
                <w:color w:val="auto"/>
                <w:sz w:val="21"/>
                <w:szCs w:val="21"/>
                <w:lang w:val="en-US" w:eastAsia="zh-CN"/>
              </w:rPr>
              <w:t>联系方式</w:t>
            </w:r>
          </w:p>
        </w:tc>
        <w:tc>
          <w:tcPr>
            <w:tcW w:w="1331" w:type="dxa"/>
            <w:tcBorders>
              <w:top w:val="single" w:color="000000" w:sz="4" w:space="0"/>
              <w:left w:val="single" w:color="000000" w:sz="4" w:space="0"/>
              <w:bottom w:val="single" w:color="000000" w:sz="4" w:space="0"/>
              <w:right w:val="single" w:color="000000" w:sz="4" w:space="0"/>
            </w:tcBorders>
            <w:noWrap w:val="0"/>
            <w:vAlign w:val="center"/>
          </w:tcPr>
          <w:p w14:paraId="505B217E">
            <w:pPr>
              <w:spacing w:line="360" w:lineRule="auto"/>
              <w:jc w:val="center"/>
              <w:rPr>
                <w:rFonts w:hint="eastAsia" w:ascii="宋体" w:hAnsi="宋体" w:eastAsia="宋体" w:cs="宋体"/>
                <w:color w:val="auto"/>
                <w:sz w:val="21"/>
                <w:szCs w:val="21"/>
              </w:rPr>
            </w:pPr>
          </w:p>
        </w:tc>
        <w:tc>
          <w:tcPr>
            <w:tcW w:w="1365" w:type="dxa"/>
            <w:gridSpan w:val="2"/>
            <w:tcBorders>
              <w:top w:val="single" w:color="000000" w:sz="4" w:space="0"/>
              <w:left w:val="single" w:color="000000" w:sz="4" w:space="0"/>
              <w:bottom w:val="single" w:color="000000" w:sz="4" w:space="0"/>
              <w:right w:val="single" w:color="000000" w:sz="4" w:space="0"/>
            </w:tcBorders>
            <w:noWrap w:val="0"/>
            <w:vAlign w:val="center"/>
          </w:tcPr>
          <w:p w14:paraId="564357D5">
            <w:pPr>
              <w:pStyle w:val="58"/>
              <w:kinsoku w:val="0"/>
              <w:overflowPunct w:val="0"/>
              <w:spacing w:before="4" w:line="360" w:lineRule="auto"/>
              <w:jc w:val="center"/>
              <w:rPr>
                <w:rFonts w:hint="eastAsia" w:ascii="宋体" w:hAnsi="宋体" w:eastAsia="宋体" w:cs="宋体"/>
                <w:b/>
                <w:bCs/>
                <w:color w:val="auto"/>
                <w:sz w:val="21"/>
                <w:szCs w:val="21"/>
              </w:rPr>
            </w:pPr>
          </w:p>
          <w:p w14:paraId="32229BF5">
            <w:pPr>
              <w:pStyle w:val="58"/>
              <w:kinsoku w:val="0"/>
              <w:overflowPunct w:val="0"/>
              <w:spacing w:line="360" w:lineRule="auto"/>
              <w:ind w:left="383"/>
              <w:jc w:val="both"/>
              <w:rPr>
                <w:rFonts w:hint="eastAsia" w:ascii="宋体" w:hAnsi="宋体" w:eastAsia="宋体" w:cs="宋体"/>
                <w:color w:val="auto"/>
                <w:sz w:val="21"/>
                <w:szCs w:val="21"/>
              </w:rPr>
            </w:pPr>
            <w:r>
              <w:rPr>
                <w:rFonts w:hint="eastAsia" w:ascii="宋体" w:hAnsi="宋体" w:eastAsia="宋体" w:cs="宋体"/>
                <w:color w:val="auto"/>
                <w:sz w:val="21"/>
                <w:szCs w:val="21"/>
              </w:rPr>
              <w:t>传 真</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14:paraId="1FD73066">
            <w:pPr>
              <w:spacing w:line="360" w:lineRule="auto"/>
              <w:jc w:val="center"/>
              <w:rPr>
                <w:rFonts w:hint="eastAsia" w:ascii="宋体" w:hAnsi="宋体" w:eastAsia="宋体" w:cs="宋体"/>
                <w:color w:val="auto"/>
                <w:sz w:val="21"/>
                <w:szCs w:val="21"/>
              </w:rPr>
            </w:pPr>
          </w:p>
        </w:tc>
      </w:tr>
      <w:tr w14:paraId="76C0C885">
        <w:tblPrEx>
          <w:tblCellMar>
            <w:top w:w="0" w:type="dxa"/>
            <w:left w:w="0" w:type="dxa"/>
            <w:bottom w:w="0" w:type="dxa"/>
            <w:right w:w="0" w:type="dxa"/>
          </w:tblCellMar>
        </w:tblPrEx>
        <w:trPr>
          <w:trHeight w:val="1921" w:hRule="exact"/>
          <w:jc w:val="center"/>
        </w:trPr>
        <w:tc>
          <w:tcPr>
            <w:tcW w:w="1499" w:type="dxa"/>
            <w:tcBorders>
              <w:top w:val="single" w:color="000000" w:sz="4" w:space="0"/>
              <w:left w:val="single" w:color="000000" w:sz="4" w:space="0"/>
              <w:bottom w:val="single" w:color="000000" w:sz="4" w:space="0"/>
              <w:right w:val="single" w:color="000000" w:sz="4" w:space="0"/>
            </w:tcBorders>
            <w:noWrap w:val="0"/>
            <w:vAlign w:val="center"/>
          </w:tcPr>
          <w:p w14:paraId="606534D0">
            <w:pPr>
              <w:pStyle w:val="58"/>
              <w:kinsoku w:val="0"/>
              <w:overflowPunct w:val="0"/>
              <w:spacing w:line="360" w:lineRule="auto"/>
              <w:ind w:left="497" w:right="493"/>
              <w:jc w:val="center"/>
              <w:rPr>
                <w:rFonts w:hint="eastAsia" w:ascii="宋体" w:hAnsi="宋体" w:eastAsia="宋体" w:cs="宋体"/>
                <w:color w:val="auto"/>
                <w:sz w:val="21"/>
                <w:szCs w:val="21"/>
              </w:rPr>
            </w:pPr>
            <w:r>
              <w:rPr>
                <w:rFonts w:hint="eastAsia" w:ascii="宋体" w:hAnsi="宋体" w:eastAsia="宋体" w:cs="宋体"/>
                <w:color w:val="auto"/>
                <w:sz w:val="21"/>
                <w:szCs w:val="21"/>
              </w:rPr>
              <w:t>单 位 概</w:t>
            </w:r>
          </w:p>
          <w:p w14:paraId="57DA2298">
            <w:pPr>
              <w:pStyle w:val="58"/>
              <w:kinsoku w:val="0"/>
              <w:overflowPunct w:val="0"/>
              <w:spacing w:line="360" w:lineRule="auto"/>
              <w:ind w:left="497" w:right="493"/>
              <w:jc w:val="center"/>
              <w:rPr>
                <w:rFonts w:hint="eastAsia" w:ascii="宋体" w:hAnsi="宋体" w:eastAsia="宋体" w:cs="宋体"/>
                <w:color w:val="auto"/>
                <w:sz w:val="21"/>
                <w:szCs w:val="21"/>
              </w:rPr>
            </w:pPr>
            <w:r>
              <w:rPr>
                <w:rFonts w:hint="eastAsia" w:ascii="宋体" w:hAnsi="宋体" w:eastAsia="宋体" w:cs="宋体"/>
                <w:color w:val="auto"/>
                <w:sz w:val="21"/>
                <w:szCs w:val="21"/>
              </w:rPr>
              <w:t>况</w:t>
            </w:r>
          </w:p>
        </w:tc>
        <w:tc>
          <w:tcPr>
            <w:tcW w:w="7140" w:type="dxa"/>
            <w:gridSpan w:val="7"/>
            <w:tcBorders>
              <w:top w:val="single" w:color="000000" w:sz="4" w:space="0"/>
              <w:left w:val="single" w:color="000000" w:sz="4" w:space="0"/>
              <w:bottom w:val="single" w:color="000000" w:sz="4" w:space="0"/>
              <w:right w:val="single" w:color="000000" w:sz="4" w:space="0"/>
            </w:tcBorders>
            <w:noWrap w:val="0"/>
            <w:vAlign w:val="center"/>
          </w:tcPr>
          <w:p w14:paraId="11A2ABB6">
            <w:pPr>
              <w:spacing w:line="360" w:lineRule="auto"/>
              <w:jc w:val="center"/>
              <w:rPr>
                <w:rFonts w:hint="eastAsia" w:ascii="宋体" w:hAnsi="宋体" w:eastAsia="宋体" w:cs="宋体"/>
                <w:color w:val="auto"/>
                <w:sz w:val="21"/>
                <w:szCs w:val="21"/>
              </w:rPr>
            </w:pPr>
          </w:p>
        </w:tc>
      </w:tr>
      <w:tr w14:paraId="2E38E87E">
        <w:tblPrEx>
          <w:tblCellMar>
            <w:top w:w="0" w:type="dxa"/>
            <w:left w:w="0" w:type="dxa"/>
            <w:bottom w:w="0" w:type="dxa"/>
            <w:right w:w="0" w:type="dxa"/>
          </w:tblCellMar>
        </w:tblPrEx>
        <w:trPr>
          <w:trHeight w:val="1213" w:hRule="exact"/>
          <w:jc w:val="center"/>
        </w:trPr>
        <w:tc>
          <w:tcPr>
            <w:tcW w:w="1499" w:type="dxa"/>
            <w:tcBorders>
              <w:top w:val="single" w:color="000000" w:sz="4" w:space="0"/>
              <w:left w:val="single" w:color="000000" w:sz="4" w:space="0"/>
              <w:bottom w:val="single" w:color="000000" w:sz="4" w:space="0"/>
              <w:right w:val="single" w:color="000000" w:sz="4" w:space="0"/>
            </w:tcBorders>
            <w:noWrap w:val="0"/>
            <w:vAlign w:val="center"/>
          </w:tcPr>
          <w:p w14:paraId="028D75D3">
            <w:pPr>
              <w:pStyle w:val="58"/>
              <w:kinsoku w:val="0"/>
              <w:overflowPunct w:val="0"/>
              <w:spacing w:line="360" w:lineRule="auto"/>
              <w:ind w:left="497" w:right="493"/>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c>
          <w:tcPr>
            <w:tcW w:w="7140" w:type="dxa"/>
            <w:gridSpan w:val="7"/>
            <w:tcBorders>
              <w:top w:val="single" w:color="000000" w:sz="4" w:space="0"/>
              <w:left w:val="single" w:color="000000" w:sz="4" w:space="0"/>
              <w:bottom w:val="single" w:color="000000" w:sz="4" w:space="0"/>
              <w:right w:val="single" w:color="000000" w:sz="4" w:space="0"/>
            </w:tcBorders>
            <w:noWrap w:val="0"/>
            <w:vAlign w:val="center"/>
          </w:tcPr>
          <w:p w14:paraId="7A87D8E8">
            <w:pPr>
              <w:spacing w:line="360" w:lineRule="auto"/>
              <w:jc w:val="center"/>
              <w:rPr>
                <w:rFonts w:hint="eastAsia" w:ascii="宋体" w:hAnsi="宋体" w:eastAsia="宋体" w:cs="宋体"/>
                <w:color w:val="auto"/>
                <w:sz w:val="21"/>
                <w:szCs w:val="21"/>
              </w:rPr>
            </w:pPr>
          </w:p>
        </w:tc>
      </w:tr>
    </w:tbl>
    <w:p w14:paraId="7BCAE069">
      <w:pPr>
        <w:pStyle w:val="88"/>
        <w:keepNext w:val="0"/>
        <w:keepLines w:val="0"/>
        <w:pageBreakBefore w:val="0"/>
        <w:widowControl w:val="0"/>
        <w:numPr>
          <w:ilvl w:val="0"/>
          <w:numId w:val="0"/>
        </w:numPr>
        <w:shd w:val="clear" w:color="auto" w:fill="auto"/>
        <w:wordWrap/>
        <w:topLinePunct w:val="0"/>
        <w:autoSpaceDE/>
        <w:autoSpaceDN/>
        <w:bidi w:val="0"/>
        <w:adjustRightInd/>
        <w:snapToGrid/>
        <w:spacing w:before="0" w:after="0" w:line="360" w:lineRule="auto"/>
        <w:ind w:leftChars="0" w:right="0" w:rightChars="0"/>
        <w:jc w:val="both"/>
        <w:textAlignment w:val="auto"/>
        <w:rPr>
          <w:rFonts w:hint="eastAsia" w:ascii="宋体" w:hAnsi="宋体" w:eastAsia="宋体" w:cs="宋体"/>
          <w:color w:val="auto"/>
          <w:sz w:val="24"/>
          <w:szCs w:val="24"/>
          <w:lang w:val="en-US" w:eastAsia="zh-CN"/>
        </w:rPr>
      </w:pPr>
    </w:p>
    <w:p w14:paraId="064964BD">
      <w:pPr>
        <w:pStyle w:val="88"/>
        <w:keepNext w:val="0"/>
        <w:keepLines w:val="0"/>
        <w:pageBreakBefore w:val="0"/>
        <w:widowControl w:val="0"/>
        <w:numPr>
          <w:ilvl w:val="0"/>
          <w:numId w:val="0"/>
        </w:numPr>
        <w:shd w:val="clear" w:color="auto" w:fill="auto"/>
        <w:wordWrap/>
        <w:topLinePunct w:val="0"/>
        <w:autoSpaceDE/>
        <w:autoSpaceDN/>
        <w:bidi w:val="0"/>
        <w:adjustRightInd/>
        <w:snapToGrid/>
        <w:spacing w:before="0" w:after="0" w:line="360" w:lineRule="auto"/>
        <w:ind w:leftChars="0" w:right="0" w:rightChars="0"/>
        <w:jc w:val="both"/>
        <w:textAlignment w:val="auto"/>
        <w:rPr>
          <w:rFonts w:hint="eastAsia" w:ascii="宋体" w:hAnsi="宋体" w:eastAsia="宋体" w:cs="宋体"/>
          <w:color w:val="auto"/>
          <w:sz w:val="24"/>
          <w:szCs w:val="24"/>
          <w:lang w:val="en-US" w:eastAsia="zh-CN"/>
        </w:rPr>
      </w:pPr>
    </w:p>
    <w:p w14:paraId="462D1024">
      <w:pPr>
        <w:pStyle w:val="88"/>
        <w:keepNext w:val="0"/>
        <w:keepLines w:val="0"/>
        <w:pageBreakBefore w:val="0"/>
        <w:widowControl w:val="0"/>
        <w:numPr>
          <w:ilvl w:val="0"/>
          <w:numId w:val="0"/>
        </w:numPr>
        <w:shd w:val="clear" w:color="auto" w:fill="auto"/>
        <w:wordWrap/>
        <w:topLinePunct w:val="0"/>
        <w:autoSpaceDE/>
        <w:autoSpaceDN/>
        <w:bidi w:val="0"/>
        <w:adjustRightInd/>
        <w:snapToGrid/>
        <w:spacing w:before="0" w:after="0" w:line="360" w:lineRule="auto"/>
        <w:ind w:leftChars="0" w:right="0" w:rightChars="0"/>
        <w:jc w:val="both"/>
        <w:textAlignment w:val="auto"/>
        <w:rPr>
          <w:rFonts w:hint="eastAsia" w:ascii="宋体" w:hAnsi="宋体" w:eastAsia="宋体" w:cs="宋体"/>
          <w:color w:val="auto"/>
          <w:sz w:val="24"/>
          <w:szCs w:val="24"/>
          <w:lang w:val="en-US" w:eastAsia="zh-CN"/>
        </w:rPr>
      </w:pPr>
    </w:p>
    <w:p w14:paraId="0C018C99">
      <w:pPr>
        <w:pStyle w:val="88"/>
        <w:keepNext w:val="0"/>
        <w:keepLines w:val="0"/>
        <w:pageBreakBefore w:val="0"/>
        <w:widowControl w:val="0"/>
        <w:numPr>
          <w:ilvl w:val="0"/>
          <w:numId w:val="0"/>
        </w:numPr>
        <w:shd w:val="clear" w:color="auto" w:fill="auto"/>
        <w:wordWrap/>
        <w:topLinePunct w:val="0"/>
        <w:autoSpaceDE/>
        <w:autoSpaceDN/>
        <w:bidi w:val="0"/>
        <w:adjustRightInd/>
        <w:snapToGrid/>
        <w:spacing w:before="0" w:after="0" w:line="360" w:lineRule="auto"/>
        <w:ind w:leftChars="0" w:right="0" w:rightChars="0"/>
        <w:jc w:val="both"/>
        <w:textAlignment w:val="auto"/>
        <w:rPr>
          <w:rFonts w:hint="eastAsia" w:ascii="宋体" w:hAnsi="宋体" w:eastAsia="宋体" w:cs="宋体"/>
          <w:color w:val="auto"/>
          <w:sz w:val="24"/>
          <w:szCs w:val="24"/>
          <w:lang w:val="en-US" w:eastAsia="zh-CN"/>
        </w:rPr>
      </w:pPr>
    </w:p>
    <w:p w14:paraId="67F68196">
      <w:pPr>
        <w:pStyle w:val="88"/>
        <w:keepNext w:val="0"/>
        <w:keepLines w:val="0"/>
        <w:pageBreakBefore w:val="0"/>
        <w:widowControl w:val="0"/>
        <w:numPr>
          <w:ilvl w:val="0"/>
          <w:numId w:val="0"/>
        </w:numPr>
        <w:shd w:val="clear" w:color="auto" w:fill="auto"/>
        <w:wordWrap/>
        <w:topLinePunct w:val="0"/>
        <w:autoSpaceDE/>
        <w:autoSpaceDN/>
        <w:bidi w:val="0"/>
        <w:adjustRightInd/>
        <w:snapToGrid/>
        <w:spacing w:before="0" w:after="0" w:line="360" w:lineRule="auto"/>
        <w:ind w:leftChars="0" w:right="0" w:rightChars="0"/>
        <w:jc w:val="both"/>
        <w:textAlignment w:val="auto"/>
        <w:rPr>
          <w:rFonts w:hint="eastAsia" w:ascii="宋体" w:hAnsi="宋体" w:eastAsia="宋体" w:cs="宋体"/>
          <w:color w:val="auto"/>
          <w:sz w:val="24"/>
          <w:szCs w:val="24"/>
          <w:lang w:val="en-US" w:eastAsia="zh-CN"/>
        </w:rPr>
      </w:pPr>
    </w:p>
    <w:p w14:paraId="729F0D3B">
      <w:pPr>
        <w:pStyle w:val="88"/>
        <w:keepNext w:val="0"/>
        <w:keepLines w:val="0"/>
        <w:pageBreakBefore w:val="0"/>
        <w:widowControl w:val="0"/>
        <w:numPr>
          <w:ilvl w:val="0"/>
          <w:numId w:val="0"/>
        </w:numPr>
        <w:shd w:val="clear" w:color="auto" w:fill="auto"/>
        <w:wordWrap/>
        <w:topLinePunct w:val="0"/>
        <w:autoSpaceDE/>
        <w:autoSpaceDN/>
        <w:bidi w:val="0"/>
        <w:adjustRightInd/>
        <w:snapToGrid/>
        <w:spacing w:before="0" w:after="0" w:line="360" w:lineRule="auto"/>
        <w:ind w:leftChars="0" w:right="0" w:rightChars="0"/>
        <w:jc w:val="both"/>
        <w:textAlignment w:val="auto"/>
        <w:rPr>
          <w:rFonts w:hint="eastAsia" w:ascii="宋体" w:hAnsi="宋体" w:eastAsia="宋体" w:cs="宋体"/>
          <w:color w:val="auto"/>
          <w:sz w:val="24"/>
          <w:szCs w:val="24"/>
          <w:lang w:val="en-US" w:eastAsia="zh-CN"/>
        </w:rPr>
      </w:pPr>
    </w:p>
    <w:p w14:paraId="1682C3B1">
      <w:pPr>
        <w:pStyle w:val="88"/>
        <w:keepNext w:val="0"/>
        <w:keepLines w:val="0"/>
        <w:pageBreakBefore w:val="0"/>
        <w:widowControl w:val="0"/>
        <w:numPr>
          <w:ilvl w:val="0"/>
          <w:numId w:val="0"/>
        </w:numPr>
        <w:shd w:val="clear" w:color="auto" w:fill="auto"/>
        <w:wordWrap/>
        <w:topLinePunct w:val="0"/>
        <w:autoSpaceDE/>
        <w:autoSpaceDN/>
        <w:bidi w:val="0"/>
        <w:adjustRightInd/>
        <w:snapToGrid/>
        <w:spacing w:before="0" w:after="0" w:line="360" w:lineRule="auto"/>
        <w:ind w:leftChars="0" w:right="0" w:rightChars="0"/>
        <w:jc w:val="both"/>
        <w:textAlignment w:val="auto"/>
        <w:rPr>
          <w:rFonts w:hint="eastAsia" w:ascii="宋体" w:hAnsi="宋体" w:eastAsia="宋体" w:cs="宋体"/>
          <w:color w:val="auto"/>
          <w:sz w:val="24"/>
          <w:szCs w:val="24"/>
          <w:lang w:val="en-US" w:eastAsia="zh-CN"/>
        </w:rPr>
      </w:pPr>
    </w:p>
    <w:p w14:paraId="72122177">
      <w:pPr>
        <w:pStyle w:val="11"/>
        <w:numPr>
          <w:ilvl w:val="0"/>
          <w:numId w:val="0"/>
        </w:numPr>
        <w:kinsoku w:val="0"/>
        <w:overflowPunct w:val="0"/>
        <w:spacing w:before="34" w:line="357" w:lineRule="auto"/>
        <w:ind w:left="480" w:leftChars="0" w:right="126" w:rightChars="0"/>
        <w:jc w:val="both"/>
        <w:rPr>
          <w:rFonts w:hint="eastAsia" w:ascii="宋体" w:hAnsi="宋体" w:eastAsia="宋体" w:cs="宋体"/>
          <w:b/>
          <w:bCs/>
          <w:color w:val="auto"/>
          <w:w w:val="90"/>
          <w:sz w:val="24"/>
          <w:szCs w:val="24"/>
          <w:lang w:eastAsia="zh-CN"/>
        </w:rPr>
      </w:pPr>
      <w:r>
        <w:rPr>
          <w:rFonts w:hint="eastAsia" w:ascii="宋体" w:hAnsi="宋体" w:eastAsia="宋体" w:cs="宋体"/>
          <w:b/>
          <w:bCs/>
          <w:color w:val="auto"/>
          <w:sz w:val="24"/>
          <w:highlight w:val="none"/>
          <w:lang w:val="en-US" w:eastAsia="zh-CN"/>
        </w:rPr>
        <w:t>投标文件格式</w:t>
      </w:r>
      <w:r>
        <w:rPr>
          <w:rFonts w:hint="eastAsia" w:ascii="宋体" w:hAnsi="宋体" w:eastAsia="宋体" w:cs="宋体"/>
          <w:b/>
          <w:bCs/>
          <w:color w:val="auto"/>
          <w:spacing w:val="0"/>
          <w:w w:val="100"/>
          <w:position w:val="0"/>
          <w:sz w:val="24"/>
          <w:szCs w:val="24"/>
          <w:lang w:val="en-US" w:eastAsia="zh-CN"/>
        </w:rPr>
        <w:t>1</w:t>
      </w:r>
      <w:r>
        <w:rPr>
          <w:rFonts w:hint="eastAsia" w:ascii="宋体" w:hAnsi="宋体" w:cs="宋体"/>
          <w:b/>
          <w:bCs/>
          <w:color w:val="auto"/>
          <w:spacing w:val="0"/>
          <w:w w:val="100"/>
          <w:position w:val="0"/>
          <w:sz w:val="24"/>
          <w:szCs w:val="24"/>
          <w:lang w:val="en-US" w:eastAsia="zh-CN"/>
        </w:rPr>
        <w:t>1</w:t>
      </w:r>
      <w:r>
        <w:rPr>
          <w:rFonts w:hint="eastAsia" w:ascii="宋体" w:hAnsi="宋体" w:eastAsia="宋体" w:cs="宋体"/>
          <w:b/>
          <w:bCs/>
          <w:color w:val="auto"/>
          <w:w w:val="90"/>
          <w:sz w:val="24"/>
          <w:szCs w:val="24"/>
          <w:lang w:val="en-US" w:eastAsia="zh-CN"/>
        </w:rPr>
        <w:t xml:space="preserve">、            </w:t>
      </w:r>
      <w:r>
        <w:rPr>
          <w:rFonts w:hint="eastAsia" w:ascii="宋体" w:hAnsi="宋体" w:eastAsia="宋体" w:cs="宋体"/>
          <w:b/>
          <w:bCs/>
          <w:color w:val="auto"/>
          <w:w w:val="90"/>
          <w:sz w:val="24"/>
          <w:szCs w:val="24"/>
        </w:rPr>
        <w:t>类似项目业绩</w:t>
      </w:r>
      <w:r>
        <w:rPr>
          <w:rFonts w:hint="eastAsia" w:ascii="宋体" w:hAnsi="宋体" w:eastAsia="宋体" w:cs="宋体"/>
          <w:b/>
          <w:bCs/>
          <w:color w:val="auto"/>
          <w:w w:val="90"/>
          <w:sz w:val="24"/>
          <w:szCs w:val="24"/>
          <w:lang w:eastAsia="zh-CN"/>
        </w:rPr>
        <w:t>表</w:t>
      </w:r>
      <w:r>
        <w:rPr>
          <w:rFonts w:hint="eastAsia" w:ascii="宋体" w:hAnsi="宋体" w:cs="宋体"/>
          <w:b/>
          <w:bCs/>
          <w:color w:val="auto"/>
          <w:w w:val="90"/>
          <w:sz w:val="24"/>
          <w:szCs w:val="24"/>
          <w:lang w:eastAsia="zh-CN"/>
        </w:rPr>
        <w:t>（</w:t>
      </w:r>
      <w:r>
        <w:rPr>
          <w:rFonts w:hint="eastAsia" w:ascii="宋体" w:hAnsi="宋体" w:cs="宋体"/>
          <w:b/>
          <w:bCs/>
          <w:color w:val="auto"/>
          <w:w w:val="90"/>
          <w:sz w:val="24"/>
          <w:szCs w:val="24"/>
          <w:lang w:val="en-US" w:eastAsia="zh-CN"/>
        </w:rPr>
        <w:t>如有，没有不填写</w:t>
      </w:r>
      <w:r>
        <w:rPr>
          <w:rFonts w:hint="eastAsia" w:ascii="宋体" w:hAnsi="宋体" w:cs="宋体"/>
          <w:b/>
          <w:bCs/>
          <w:color w:val="auto"/>
          <w:w w:val="90"/>
          <w:sz w:val="24"/>
          <w:szCs w:val="24"/>
          <w:lang w:eastAsia="zh-CN"/>
        </w:rPr>
        <w:t>）</w:t>
      </w:r>
    </w:p>
    <w:p w14:paraId="3AA1EB99">
      <w:pPr>
        <w:pStyle w:val="11"/>
        <w:numPr>
          <w:ilvl w:val="0"/>
          <w:numId w:val="0"/>
        </w:numPr>
        <w:kinsoku w:val="0"/>
        <w:overflowPunct w:val="0"/>
        <w:ind w:leftChars="0" w:right="0" w:rightChars="0"/>
        <w:rPr>
          <w:rFonts w:hint="eastAsia" w:ascii="宋体" w:hAnsi="宋体" w:eastAsia="宋体" w:cs="宋体"/>
          <w:b/>
          <w:bCs/>
          <w:color w:val="auto"/>
          <w:sz w:val="20"/>
          <w:szCs w:val="20"/>
        </w:rPr>
      </w:pPr>
    </w:p>
    <w:tbl>
      <w:tblPr>
        <w:tblStyle w:val="28"/>
        <w:tblW w:w="9736" w:type="dxa"/>
        <w:jc w:val="center"/>
        <w:tblLayout w:type="fixed"/>
        <w:tblCellMar>
          <w:top w:w="0" w:type="dxa"/>
          <w:left w:w="10" w:type="dxa"/>
          <w:bottom w:w="0" w:type="dxa"/>
          <w:right w:w="10" w:type="dxa"/>
        </w:tblCellMar>
      </w:tblPr>
      <w:tblGrid>
        <w:gridCol w:w="1162"/>
        <w:gridCol w:w="1938"/>
        <w:gridCol w:w="1612"/>
        <w:gridCol w:w="1196"/>
        <w:gridCol w:w="1289"/>
        <w:gridCol w:w="1481"/>
        <w:gridCol w:w="1058"/>
      </w:tblGrid>
      <w:tr w14:paraId="0D1E556B">
        <w:trPr>
          <w:trHeight w:val="609" w:hRule="exact"/>
          <w:jc w:val="center"/>
        </w:trPr>
        <w:tc>
          <w:tcPr>
            <w:tcW w:w="1162" w:type="dxa"/>
            <w:tcBorders>
              <w:top w:val="single" w:color="auto" w:sz="4" w:space="0"/>
              <w:left w:val="single" w:color="auto" w:sz="4" w:space="0"/>
            </w:tcBorders>
            <w:noWrap w:val="0"/>
            <w:vAlign w:val="center"/>
          </w:tcPr>
          <w:p w14:paraId="43747468">
            <w:pPr>
              <w:pStyle w:val="89"/>
              <w:keepNext w:val="0"/>
              <w:keepLines w:val="0"/>
              <w:widowControl w:val="0"/>
              <w:shd w:val="clear" w:color="auto" w:fill="auto"/>
              <w:bidi w:val="0"/>
              <w:spacing w:before="0" w:after="0" w:line="240" w:lineRule="auto"/>
              <w:ind w:left="0" w:right="0" w:firstLine="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1938" w:type="dxa"/>
            <w:tcBorders>
              <w:top w:val="single" w:color="auto" w:sz="4" w:space="0"/>
              <w:left w:val="single" w:color="auto" w:sz="4" w:space="0"/>
              <w:right w:val="single" w:color="auto" w:sz="4" w:space="0"/>
            </w:tcBorders>
            <w:noWrap w:val="0"/>
            <w:vAlign w:val="top"/>
          </w:tcPr>
          <w:p w14:paraId="0F8B728A">
            <w:pPr>
              <w:widowControl w:val="0"/>
              <w:jc w:val="center"/>
              <w:rPr>
                <w:rFonts w:hint="eastAsia" w:ascii="宋体" w:hAnsi="宋体" w:eastAsia="宋体" w:cs="宋体"/>
                <w:color w:val="auto"/>
                <w:sz w:val="21"/>
                <w:szCs w:val="21"/>
              </w:rPr>
            </w:pPr>
            <w:r>
              <w:rPr>
                <w:rFonts w:hint="eastAsia" w:ascii="宋体" w:hAnsi="宋体" w:eastAsia="宋体" w:cs="宋体"/>
                <w:color w:val="auto"/>
                <w:spacing w:val="0"/>
                <w:w w:val="100"/>
                <w:position w:val="0"/>
                <w:sz w:val="21"/>
                <w:szCs w:val="21"/>
              </w:rPr>
              <w:t>项目名称</w:t>
            </w:r>
          </w:p>
        </w:tc>
        <w:tc>
          <w:tcPr>
            <w:tcW w:w="1612" w:type="dxa"/>
            <w:tcBorders>
              <w:top w:val="single" w:color="auto" w:sz="4" w:space="0"/>
              <w:left w:val="single" w:color="auto" w:sz="4" w:space="0"/>
              <w:right w:val="single" w:color="auto" w:sz="4" w:space="0"/>
            </w:tcBorders>
            <w:noWrap w:val="0"/>
            <w:vAlign w:val="top"/>
          </w:tcPr>
          <w:p w14:paraId="03B65DAC">
            <w:pPr>
              <w:widowControl w:val="0"/>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服务</w:t>
            </w:r>
            <w:r>
              <w:rPr>
                <w:rFonts w:hint="eastAsia" w:ascii="宋体" w:hAnsi="宋体" w:eastAsia="宋体" w:cs="宋体"/>
                <w:color w:val="auto"/>
                <w:sz w:val="21"/>
                <w:szCs w:val="21"/>
                <w:lang w:val="en-US" w:eastAsia="zh-CN"/>
              </w:rPr>
              <w:t>名称</w:t>
            </w:r>
          </w:p>
        </w:tc>
        <w:tc>
          <w:tcPr>
            <w:tcW w:w="1196" w:type="dxa"/>
            <w:tcBorders>
              <w:top w:val="single" w:color="auto" w:sz="4" w:space="0"/>
              <w:left w:val="single" w:color="auto" w:sz="4" w:space="0"/>
              <w:right w:val="single" w:color="auto" w:sz="4" w:space="0"/>
            </w:tcBorders>
            <w:noWrap w:val="0"/>
            <w:vAlign w:val="top"/>
          </w:tcPr>
          <w:p w14:paraId="53C18BE5">
            <w:pPr>
              <w:widowControl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1289" w:type="dxa"/>
            <w:tcBorders>
              <w:top w:val="single" w:color="auto" w:sz="4" w:space="0"/>
              <w:left w:val="single" w:color="auto" w:sz="4" w:space="0"/>
              <w:right w:val="single" w:color="auto" w:sz="4" w:space="0"/>
            </w:tcBorders>
            <w:noWrap w:val="0"/>
            <w:vAlign w:val="top"/>
          </w:tcPr>
          <w:p w14:paraId="7A747C89">
            <w:pPr>
              <w:widowControl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中标日期</w:t>
            </w:r>
          </w:p>
        </w:tc>
        <w:tc>
          <w:tcPr>
            <w:tcW w:w="1481" w:type="dxa"/>
            <w:tcBorders>
              <w:top w:val="single" w:color="auto" w:sz="4" w:space="0"/>
              <w:left w:val="single" w:color="auto" w:sz="4" w:space="0"/>
              <w:right w:val="single" w:color="auto" w:sz="4" w:space="0"/>
            </w:tcBorders>
            <w:noWrap w:val="0"/>
            <w:vAlign w:val="top"/>
          </w:tcPr>
          <w:p w14:paraId="6BCA469B">
            <w:pPr>
              <w:widowControl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中标金额</w:t>
            </w:r>
          </w:p>
        </w:tc>
        <w:tc>
          <w:tcPr>
            <w:tcW w:w="1058" w:type="dxa"/>
            <w:tcBorders>
              <w:top w:val="single" w:color="auto" w:sz="4" w:space="0"/>
              <w:left w:val="single" w:color="auto" w:sz="4" w:space="0"/>
              <w:right w:val="single" w:color="auto" w:sz="4" w:space="0"/>
            </w:tcBorders>
            <w:noWrap w:val="0"/>
            <w:vAlign w:val="top"/>
          </w:tcPr>
          <w:p w14:paraId="1ED1D0A6">
            <w:pPr>
              <w:widowControl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14:paraId="61A1B6F6">
        <w:tblPrEx>
          <w:tblCellMar>
            <w:top w:w="0" w:type="dxa"/>
            <w:left w:w="10" w:type="dxa"/>
            <w:bottom w:w="0" w:type="dxa"/>
            <w:right w:w="10" w:type="dxa"/>
          </w:tblCellMar>
        </w:tblPrEx>
        <w:trPr>
          <w:trHeight w:val="706" w:hRule="atLeast"/>
          <w:jc w:val="center"/>
        </w:trPr>
        <w:tc>
          <w:tcPr>
            <w:tcW w:w="1162" w:type="dxa"/>
            <w:tcBorders>
              <w:top w:val="single" w:color="auto" w:sz="4" w:space="0"/>
              <w:left w:val="single" w:color="auto" w:sz="4" w:space="0"/>
            </w:tcBorders>
            <w:noWrap w:val="0"/>
            <w:vAlign w:val="center"/>
          </w:tcPr>
          <w:p w14:paraId="3252A4EB">
            <w:pPr>
              <w:pStyle w:val="89"/>
              <w:keepNext w:val="0"/>
              <w:keepLines w:val="0"/>
              <w:widowControl w:val="0"/>
              <w:shd w:val="clear" w:color="auto" w:fill="auto"/>
              <w:bidi w:val="0"/>
              <w:spacing w:before="120" w:after="0" w:line="240" w:lineRule="auto"/>
              <w:ind w:left="0" w:leftChars="0" w:right="0" w:firstLine="0" w:firstLineChars="0"/>
              <w:jc w:val="center"/>
              <w:rPr>
                <w:rFonts w:hint="eastAsia" w:ascii="宋体" w:hAnsi="宋体" w:eastAsia="宋体" w:cs="宋体"/>
                <w:color w:val="auto"/>
                <w:sz w:val="21"/>
                <w:szCs w:val="21"/>
              </w:rPr>
            </w:pPr>
          </w:p>
        </w:tc>
        <w:tc>
          <w:tcPr>
            <w:tcW w:w="1938" w:type="dxa"/>
            <w:tcBorders>
              <w:top w:val="single" w:color="auto" w:sz="4" w:space="0"/>
              <w:left w:val="single" w:color="auto" w:sz="4" w:space="0"/>
              <w:right w:val="single" w:color="auto" w:sz="4" w:space="0"/>
            </w:tcBorders>
            <w:noWrap w:val="0"/>
            <w:vAlign w:val="top"/>
          </w:tcPr>
          <w:p w14:paraId="41A81BDE">
            <w:pPr>
              <w:widowControl w:val="0"/>
              <w:rPr>
                <w:rFonts w:hint="eastAsia" w:ascii="宋体" w:hAnsi="宋体" w:eastAsia="宋体" w:cs="宋体"/>
                <w:color w:val="auto"/>
                <w:sz w:val="21"/>
                <w:szCs w:val="21"/>
              </w:rPr>
            </w:pPr>
          </w:p>
        </w:tc>
        <w:tc>
          <w:tcPr>
            <w:tcW w:w="1612" w:type="dxa"/>
            <w:tcBorders>
              <w:top w:val="single" w:color="auto" w:sz="4" w:space="0"/>
              <w:left w:val="single" w:color="auto" w:sz="4" w:space="0"/>
              <w:right w:val="single" w:color="auto" w:sz="4" w:space="0"/>
            </w:tcBorders>
            <w:noWrap w:val="0"/>
            <w:vAlign w:val="top"/>
          </w:tcPr>
          <w:p w14:paraId="4A9E11B8">
            <w:pPr>
              <w:widowControl w:val="0"/>
              <w:rPr>
                <w:rFonts w:hint="eastAsia" w:ascii="宋体" w:hAnsi="宋体" w:eastAsia="宋体" w:cs="宋体"/>
                <w:color w:val="auto"/>
                <w:sz w:val="21"/>
                <w:szCs w:val="21"/>
              </w:rPr>
            </w:pPr>
          </w:p>
        </w:tc>
        <w:tc>
          <w:tcPr>
            <w:tcW w:w="1196" w:type="dxa"/>
            <w:tcBorders>
              <w:top w:val="single" w:color="auto" w:sz="4" w:space="0"/>
              <w:left w:val="single" w:color="auto" w:sz="4" w:space="0"/>
              <w:right w:val="single" w:color="auto" w:sz="4" w:space="0"/>
            </w:tcBorders>
            <w:noWrap w:val="0"/>
            <w:vAlign w:val="top"/>
          </w:tcPr>
          <w:p w14:paraId="7EDCE5A9">
            <w:pPr>
              <w:widowControl w:val="0"/>
              <w:rPr>
                <w:rFonts w:hint="eastAsia" w:ascii="宋体" w:hAnsi="宋体" w:eastAsia="宋体" w:cs="宋体"/>
                <w:color w:val="auto"/>
                <w:sz w:val="21"/>
                <w:szCs w:val="21"/>
              </w:rPr>
            </w:pPr>
          </w:p>
        </w:tc>
        <w:tc>
          <w:tcPr>
            <w:tcW w:w="1289" w:type="dxa"/>
            <w:tcBorders>
              <w:top w:val="single" w:color="auto" w:sz="4" w:space="0"/>
              <w:left w:val="single" w:color="auto" w:sz="4" w:space="0"/>
              <w:right w:val="single" w:color="auto" w:sz="4" w:space="0"/>
            </w:tcBorders>
            <w:noWrap w:val="0"/>
            <w:vAlign w:val="top"/>
          </w:tcPr>
          <w:p w14:paraId="249E2AC3">
            <w:pPr>
              <w:widowControl w:val="0"/>
              <w:rPr>
                <w:rFonts w:hint="eastAsia" w:ascii="宋体" w:hAnsi="宋体" w:eastAsia="宋体" w:cs="宋体"/>
                <w:color w:val="auto"/>
                <w:sz w:val="21"/>
                <w:szCs w:val="21"/>
              </w:rPr>
            </w:pPr>
          </w:p>
        </w:tc>
        <w:tc>
          <w:tcPr>
            <w:tcW w:w="1481" w:type="dxa"/>
            <w:tcBorders>
              <w:top w:val="single" w:color="auto" w:sz="4" w:space="0"/>
              <w:left w:val="single" w:color="auto" w:sz="4" w:space="0"/>
              <w:right w:val="single" w:color="auto" w:sz="4" w:space="0"/>
            </w:tcBorders>
            <w:noWrap w:val="0"/>
            <w:vAlign w:val="top"/>
          </w:tcPr>
          <w:p w14:paraId="4C42211F">
            <w:pPr>
              <w:widowControl w:val="0"/>
              <w:rPr>
                <w:rFonts w:hint="eastAsia" w:ascii="宋体" w:hAnsi="宋体" w:eastAsia="宋体" w:cs="宋体"/>
                <w:color w:val="auto"/>
                <w:sz w:val="21"/>
                <w:szCs w:val="21"/>
              </w:rPr>
            </w:pPr>
          </w:p>
        </w:tc>
        <w:tc>
          <w:tcPr>
            <w:tcW w:w="1058" w:type="dxa"/>
            <w:tcBorders>
              <w:top w:val="single" w:color="auto" w:sz="4" w:space="0"/>
              <w:left w:val="single" w:color="auto" w:sz="4" w:space="0"/>
              <w:right w:val="single" w:color="auto" w:sz="4" w:space="0"/>
            </w:tcBorders>
            <w:noWrap w:val="0"/>
            <w:vAlign w:val="top"/>
          </w:tcPr>
          <w:p w14:paraId="1F96B0E8">
            <w:pPr>
              <w:widowControl w:val="0"/>
              <w:rPr>
                <w:rFonts w:hint="eastAsia" w:ascii="宋体" w:hAnsi="宋体" w:eastAsia="宋体" w:cs="宋体"/>
                <w:color w:val="auto"/>
                <w:sz w:val="21"/>
                <w:szCs w:val="21"/>
              </w:rPr>
            </w:pPr>
          </w:p>
        </w:tc>
      </w:tr>
      <w:tr w14:paraId="0E58D970">
        <w:tblPrEx>
          <w:tblCellMar>
            <w:top w:w="0" w:type="dxa"/>
            <w:left w:w="10" w:type="dxa"/>
            <w:bottom w:w="0" w:type="dxa"/>
            <w:right w:w="10" w:type="dxa"/>
          </w:tblCellMar>
        </w:tblPrEx>
        <w:trPr>
          <w:trHeight w:val="706" w:hRule="atLeast"/>
          <w:jc w:val="center"/>
        </w:trPr>
        <w:tc>
          <w:tcPr>
            <w:tcW w:w="1162" w:type="dxa"/>
            <w:tcBorders>
              <w:top w:val="single" w:color="auto" w:sz="4" w:space="0"/>
              <w:left w:val="single" w:color="auto" w:sz="4" w:space="0"/>
            </w:tcBorders>
            <w:noWrap w:val="0"/>
            <w:vAlign w:val="center"/>
          </w:tcPr>
          <w:p w14:paraId="6286F641">
            <w:pPr>
              <w:pStyle w:val="89"/>
              <w:keepNext w:val="0"/>
              <w:keepLines w:val="0"/>
              <w:widowControl w:val="0"/>
              <w:shd w:val="clear" w:color="auto" w:fill="auto"/>
              <w:bidi w:val="0"/>
              <w:spacing w:before="0" w:after="0" w:line="320" w:lineRule="exact"/>
              <w:ind w:left="0" w:right="0" w:firstLine="0"/>
              <w:jc w:val="center"/>
              <w:rPr>
                <w:rFonts w:hint="eastAsia" w:ascii="宋体" w:hAnsi="宋体" w:eastAsia="宋体" w:cs="宋体"/>
                <w:color w:val="auto"/>
                <w:sz w:val="21"/>
                <w:szCs w:val="21"/>
              </w:rPr>
            </w:pPr>
          </w:p>
        </w:tc>
        <w:tc>
          <w:tcPr>
            <w:tcW w:w="1938" w:type="dxa"/>
            <w:tcBorders>
              <w:top w:val="single" w:color="auto" w:sz="4" w:space="0"/>
              <w:left w:val="single" w:color="auto" w:sz="4" w:space="0"/>
              <w:right w:val="single" w:color="auto" w:sz="4" w:space="0"/>
            </w:tcBorders>
            <w:noWrap w:val="0"/>
            <w:vAlign w:val="top"/>
          </w:tcPr>
          <w:p w14:paraId="2B06C9A7">
            <w:pPr>
              <w:widowControl w:val="0"/>
              <w:rPr>
                <w:rFonts w:hint="eastAsia" w:ascii="宋体" w:hAnsi="宋体" w:eastAsia="宋体" w:cs="宋体"/>
                <w:color w:val="auto"/>
                <w:sz w:val="21"/>
                <w:szCs w:val="21"/>
              </w:rPr>
            </w:pPr>
          </w:p>
        </w:tc>
        <w:tc>
          <w:tcPr>
            <w:tcW w:w="1612" w:type="dxa"/>
            <w:tcBorders>
              <w:top w:val="single" w:color="auto" w:sz="4" w:space="0"/>
              <w:left w:val="single" w:color="auto" w:sz="4" w:space="0"/>
              <w:right w:val="single" w:color="auto" w:sz="4" w:space="0"/>
            </w:tcBorders>
            <w:noWrap w:val="0"/>
            <w:vAlign w:val="top"/>
          </w:tcPr>
          <w:p w14:paraId="0E90D807">
            <w:pPr>
              <w:widowControl w:val="0"/>
              <w:rPr>
                <w:rFonts w:hint="eastAsia" w:ascii="宋体" w:hAnsi="宋体" w:eastAsia="宋体" w:cs="宋体"/>
                <w:color w:val="auto"/>
                <w:sz w:val="21"/>
                <w:szCs w:val="21"/>
              </w:rPr>
            </w:pPr>
          </w:p>
        </w:tc>
        <w:tc>
          <w:tcPr>
            <w:tcW w:w="1196" w:type="dxa"/>
            <w:tcBorders>
              <w:top w:val="single" w:color="auto" w:sz="4" w:space="0"/>
              <w:left w:val="single" w:color="auto" w:sz="4" w:space="0"/>
              <w:right w:val="single" w:color="auto" w:sz="4" w:space="0"/>
            </w:tcBorders>
            <w:noWrap w:val="0"/>
            <w:vAlign w:val="top"/>
          </w:tcPr>
          <w:p w14:paraId="5FCE2DCE">
            <w:pPr>
              <w:widowControl w:val="0"/>
              <w:rPr>
                <w:rFonts w:hint="eastAsia" w:ascii="宋体" w:hAnsi="宋体" w:eastAsia="宋体" w:cs="宋体"/>
                <w:color w:val="auto"/>
                <w:sz w:val="21"/>
                <w:szCs w:val="21"/>
              </w:rPr>
            </w:pPr>
          </w:p>
        </w:tc>
        <w:tc>
          <w:tcPr>
            <w:tcW w:w="1289" w:type="dxa"/>
            <w:tcBorders>
              <w:top w:val="single" w:color="auto" w:sz="4" w:space="0"/>
              <w:left w:val="single" w:color="auto" w:sz="4" w:space="0"/>
              <w:right w:val="single" w:color="auto" w:sz="4" w:space="0"/>
            </w:tcBorders>
            <w:noWrap w:val="0"/>
            <w:vAlign w:val="top"/>
          </w:tcPr>
          <w:p w14:paraId="632FA213">
            <w:pPr>
              <w:widowControl w:val="0"/>
              <w:rPr>
                <w:rFonts w:hint="eastAsia" w:ascii="宋体" w:hAnsi="宋体" w:eastAsia="宋体" w:cs="宋体"/>
                <w:color w:val="auto"/>
                <w:sz w:val="21"/>
                <w:szCs w:val="21"/>
              </w:rPr>
            </w:pPr>
          </w:p>
        </w:tc>
        <w:tc>
          <w:tcPr>
            <w:tcW w:w="1481" w:type="dxa"/>
            <w:tcBorders>
              <w:top w:val="single" w:color="auto" w:sz="4" w:space="0"/>
              <w:left w:val="single" w:color="auto" w:sz="4" w:space="0"/>
              <w:right w:val="single" w:color="auto" w:sz="4" w:space="0"/>
            </w:tcBorders>
            <w:noWrap w:val="0"/>
            <w:vAlign w:val="top"/>
          </w:tcPr>
          <w:p w14:paraId="031A943E">
            <w:pPr>
              <w:widowControl w:val="0"/>
              <w:rPr>
                <w:rFonts w:hint="eastAsia" w:ascii="宋体" w:hAnsi="宋体" w:eastAsia="宋体" w:cs="宋体"/>
                <w:color w:val="auto"/>
                <w:sz w:val="21"/>
                <w:szCs w:val="21"/>
              </w:rPr>
            </w:pPr>
          </w:p>
        </w:tc>
        <w:tc>
          <w:tcPr>
            <w:tcW w:w="1058" w:type="dxa"/>
            <w:tcBorders>
              <w:top w:val="single" w:color="auto" w:sz="4" w:space="0"/>
              <w:left w:val="single" w:color="auto" w:sz="4" w:space="0"/>
              <w:right w:val="single" w:color="auto" w:sz="4" w:space="0"/>
            </w:tcBorders>
            <w:noWrap w:val="0"/>
            <w:vAlign w:val="top"/>
          </w:tcPr>
          <w:p w14:paraId="683792CD">
            <w:pPr>
              <w:widowControl w:val="0"/>
              <w:rPr>
                <w:rFonts w:hint="eastAsia" w:ascii="宋体" w:hAnsi="宋体" w:eastAsia="宋体" w:cs="宋体"/>
                <w:color w:val="auto"/>
                <w:sz w:val="21"/>
                <w:szCs w:val="21"/>
              </w:rPr>
            </w:pPr>
          </w:p>
        </w:tc>
      </w:tr>
      <w:tr w14:paraId="4DF0DFDA">
        <w:tblPrEx>
          <w:tblCellMar>
            <w:top w:w="0" w:type="dxa"/>
            <w:left w:w="10" w:type="dxa"/>
            <w:bottom w:w="0" w:type="dxa"/>
            <w:right w:w="10" w:type="dxa"/>
          </w:tblCellMar>
        </w:tblPrEx>
        <w:trPr>
          <w:trHeight w:val="706" w:hRule="atLeast"/>
          <w:jc w:val="center"/>
        </w:trPr>
        <w:tc>
          <w:tcPr>
            <w:tcW w:w="1162" w:type="dxa"/>
            <w:tcBorders>
              <w:top w:val="single" w:color="auto" w:sz="4" w:space="0"/>
              <w:left w:val="single" w:color="auto" w:sz="4" w:space="0"/>
            </w:tcBorders>
            <w:noWrap w:val="0"/>
            <w:vAlign w:val="center"/>
          </w:tcPr>
          <w:p w14:paraId="5B2B0474">
            <w:pPr>
              <w:pStyle w:val="89"/>
              <w:keepNext w:val="0"/>
              <w:keepLines w:val="0"/>
              <w:widowControl w:val="0"/>
              <w:shd w:val="clear" w:color="auto" w:fill="auto"/>
              <w:bidi w:val="0"/>
              <w:spacing w:before="0" w:after="0" w:line="240" w:lineRule="auto"/>
              <w:ind w:left="0" w:right="0" w:firstLine="0"/>
              <w:jc w:val="center"/>
              <w:rPr>
                <w:rFonts w:hint="eastAsia" w:ascii="宋体" w:hAnsi="宋体" w:eastAsia="宋体" w:cs="宋体"/>
                <w:color w:val="auto"/>
                <w:sz w:val="21"/>
                <w:szCs w:val="21"/>
              </w:rPr>
            </w:pPr>
          </w:p>
        </w:tc>
        <w:tc>
          <w:tcPr>
            <w:tcW w:w="1938" w:type="dxa"/>
            <w:tcBorders>
              <w:top w:val="single" w:color="auto" w:sz="4" w:space="0"/>
              <w:left w:val="single" w:color="auto" w:sz="4" w:space="0"/>
              <w:right w:val="single" w:color="auto" w:sz="4" w:space="0"/>
            </w:tcBorders>
            <w:noWrap w:val="0"/>
            <w:vAlign w:val="top"/>
          </w:tcPr>
          <w:p w14:paraId="6A257414">
            <w:pPr>
              <w:widowControl w:val="0"/>
              <w:rPr>
                <w:rFonts w:hint="eastAsia" w:ascii="宋体" w:hAnsi="宋体" w:eastAsia="宋体" w:cs="宋体"/>
                <w:color w:val="auto"/>
                <w:sz w:val="21"/>
                <w:szCs w:val="21"/>
              </w:rPr>
            </w:pPr>
          </w:p>
        </w:tc>
        <w:tc>
          <w:tcPr>
            <w:tcW w:w="1612" w:type="dxa"/>
            <w:tcBorders>
              <w:top w:val="single" w:color="auto" w:sz="4" w:space="0"/>
              <w:left w:val="single" w:color="auto" w:sz="4" w:space="0"/>
              <w:right w:val="single" w:color="auto" w:sz="4" w:space="0"/>
            </w:tcBorders>
            <w:noWrap w:val="0"/>
            <w:vAlign w:val="top"/>
          </w:tcPr>
          <w:p w14:paraId="30FE81A4">
            <w:pPr>
              <w:widowControl w:val="0"/>
              <w:rPr>
                <w:rFonts w:hint="eastAsia" w:ascii="宋体" w:hAnsi="宋体" w:eastAsia="宋体" w:cs="宋体"/>
                <w:color w:val="auto"/>
                <w:sz w:val="21"/>
                <w:szCs w:val="21"/>
              </w:rPr>
            </w:pPr>
          </w:p>
        </w:tc>
        <w:tc>
          <w:tcPr>
            <w:tcW w:w="1196" w:type="dxa"/>
            <w:tcBorders>
              <w:top w:val="single" w:color="auto" w:sz="4" w:space="0"/>
              <w:left w:val="single" w:color="auto" w:sz="4" w:space="0"/>
              <w:right w:val="single" w:color="auto" w:sz="4" w:space="0"/>
            </w:tcBorders>
            <w:noWrap w:val="0"/>
            <w:vAlign w:val="top"/>
          </w:tcPr>
          <w:p w14:paraId="7B9B4CF8">
            <w:pPr>
              <w:widowControl w:val="0"/>
              <w:rPr>
                <w:rFonts w:hint="eastAsia" w:ascii="宋体" w:hAnsi="宋体" w:eastAsia="宋体" w:cs="宋体"/>
                <w:color w:val="auto"/>
                <w:sz w:val="21"/>
                <w:szCs w:val="21"/>
              </w:rPr>
            </w:pPr>
          </w:p>
        </w:tc>
        <w:tc>
          <w:tcPr>
            <w:tcW w:w="1289" w:type="dxa"/>
            <w:tcBorders>
              <w:top w:val="single" w:color="auto" w:sz="4" w:space="0"/>
              <w:left w:val="single" w:color="auto" w:sz="4" w:space="0"/>
              <w:right w:val="single" w:color="auto" w:sz="4" w:space="0"/>
            </w:tcBorders>
            <w:noWrap w:val="0"/>
            <w:vAlign w:val="top"/>
          </w:tcPr>
          <w:p w14:paraId="02E7F949">
            <w:pPr>
              <w:widowControl w:val="0"/>
              <w:rPr>
                <w:rFonts w:hint="eastAsia" w:ascii="宋体" w:hAnsi="宋体" w:eastAsia="宋体" w:cs="宋体"/>
                <w:color w:val="auto"/>
                <w:sz w:val="21"/>
                <w:szCs w:val="21"/>
              </w:rPr>
            </w:pPr>
          </w:p>
        </w:tc>
        <w:tc>
          <w:tcPr>
            <w:tcW w:w="1481" w:type="dxa"/>
            <w:tcBorders>
              <w:top w:val="single" w:color="auto" w:sz="4" w:space="0"/>
              <w:left w:val="single" w:color="auto" w:sz="4" w:space="0"/>
              <w:right w:val="single" w:color="auto" w:sz="4" w:space="0"/>
            </w:tcBorders>
            <w:noWrap w:val="0"/>
            <w:vAlign w:val="top"/>
          </w:tcPr>
          <w:p w14:paraId="5418BC69">
            <w:pPr>
              <w:widowControl w:val="0"/>
              <w:rPr>
                <w:rFonts w:hint="eastAsia" w:ascii="宋体" w:hAnsi="宋体" w:eastAsia="宋体" w:cs="宋体"/>
                <w:color w:val="auto"/>
                <w:sz w:val="21"/>
                <w:szCs w:val="21"/>
              </w:rPr>
            </w:pPr>
          </w:p>
        </w:tc>
        <w:tc>
          <w:tcPr>
            <w:tcW w:w="1058" w:type="dxa"/>
            <w:tcBorders>
              <w:top w:val="single" w:color="auto" w:sz="4" w:space="0"/>
              <w:left w:val="single" w:color="auto" w:sz="4" w:space="0"/>
              <w:right w:val="single" w:color="auto" w:sz="4" w:space="0"/>
            </w:tcBorders>
            <w:noWrap w:val="0"/>
            <w:vAlign w:val="top"/>
          </w:tcPr>
          <w:p w14:paraId="696BA33B">
            <w:pPr>
              <w:widowControl w:val="0"/>
              <w:rPr>
                <w:rFonts w:hint="eastAsia" w:ascii="宋体" w:hAnsi="宋体" w:eastAsia="宋体" w:cs="宋体"/>
                <w:color w:val="auto"/>
                <w:sz w:val="21"/>
                <w:szCs w:val="21"/>
              </w:rPr>
            </w:pPr>
          </w:p>
        </w:tc>
      </w:tr>
      <w:tr w14:paraId="46387671">
        <w:tblPrEx>
          <w:tblCellMar>
            <w:top w:w="0" w:type="dxa"/>
            <w:left w:w="10" w:type="dxa"/>
            <w:bottom w:w="0" w:type="dxa"/>
            <w:right w:w="10" w:type="dxa"/>
          </w:tblCellMar>
        </w:tblPrEx>
        <w:trPr>
          <w:trHeight w:val="706" w:hRule="atLeast"/>
          <w:jc w:val="center"/>
        </w:trPr>
        <w:tc>
          <w:tcPr>
            <w:tcW w:w="1162" w:type="dxa"/>
            <w:tcBorders>
              <w:top w:val="single" w:color="auto" w:sz="4" w:space="0"/>
              <w:left w:val="single" w:color="auto" w:sz="4" w:space="0"/>
            </w:tcBorders>
            <w:noWrap w:val="0"/>
            <w:vAlign w:val="center"/>
          </w:tcPr>
          <w:p w14:paraId="562B8B39">
            <w:pPr>
              <w:pStyle w:val="89"/>
              <w:keepNext w:val="0"/>
              <w:keepLines w:val="0"/>
              <w:widowControl w:val="0"/>
              <w:shd w:val="clear" w:color="auto" w:fill="auto"/>
              <w:bidi w:val="0"/>
              <w:spacing w:before="0" w:after="0" w:line="306" w:lineRule="exact"/>
              <w:ind w:left="0" w:right="0" w:firstLine="0"/>
              <w:jc w:val="center"/>
              <w:rPr>
                <w:rFonts w:hint="eastAsia" w:ascii="宋体" w:hAnsi="宋体" w:eastAsia="宋体" w:cs="宋体"/>
                <w:color w:val="auto"/>
                <w:sz w:val="21"/>
                <w:szCs w:val="21"/>
              </w:rPr>
            </w:pPr>
          </w:p>
        </w:tc>
        <w:tc>
          <w:tcPr>
            <w:tcW w:w="1938" w:type="dxa"/>
            <w:tcBorders>
              <w:top w:val="single" w:color="auto" w:sz="4" w:space="0"/>
              <w:left w:val="single" w:color="auto" w:sz="4" w:space="0"/>
              <w:right w:val="single" w:color="auto" w:sz="4" w:space="0"/>
            </w:tcBorders>
            <w:noWrap w:val="0"/>
            <w:vAlign w:val="top"/>
          </w:tcPr>
          <w:p w14:paraId="214E81AF">
            <w:pPr>
              <w:widowControl w:val="0"/>
              <w:rPr>
                <w:rFonts w:hint="eastAsia" w:ascii="宋体" w:hAnsi="宋体" w:eastAsia="宋体" w:cs="宋体"/>
                <w:color w:val="auto"/>
                <w:sz w:val="21"/>
                <w:szCs w:val="21"/>
              </w:rPr>
            </w:pPr>
          </w:p>
        </w:tc>
        <w:tc>
          <w:tcPr>
            <w:tcW w:w="1612" w:type="dxa"/>
            <w:tcBorders>
              <w:top w:val="single" w:color="auto" w:sz="4" w:space="0"/>
              <w:left w:val="single" w:color="auto" w:sz="4" w:space="0"/>
              <w:right w:val="single" w:color="auto" w:sz="4" w:space="0"/>
            </w:tcBorders>
            <w:noWrap w:val="0"/>
            <w:vAlign w:val="top"/>
          </w:tcPr>
          <w:p w14:paraId="27DB434F">
            <w:pPr>
              <w:widowControl w:val="0"/>
              <w:rPr>
                <w:rFonts w:hint="eastAsia" w:ascii="宋体" w:hAnsi="宋体" w:eastAsia="宋体" w:cs="宋体"/>
                <w:color w:val="auto"/>
                <w:sz w:val="21"/>
                <w:szCs w:val="21"/>
              </w:rPr>
            </w:pPr>
          </w:p>
        </w:tc>
        <w:tc>
          <w:tcPr>
            <w:tcW w:w="1196" w:type="dxa"/>
            <w:tcBorders>
              <w:top w:val="single" w:color="auto" w:sz="4" w:space="0"/>
              <w:left w:val="single" w:color="auto" w:sz="4" w:space="0"/>
              <w:right w:val="single" w:color="auto" w:sz="4" w:space="0"/>
            </w:tcBorders>
            <w:noWrap w:val="0"/>
            <w:vAlign w:val="top"/>
          </w:tcPr>
          <w:p w14:paraId="2371B63B">
            <w:pPr>
              <w:widowControl w:val="0"/>
              <w:rPr>
                <w:rFonts w:hint="eastAsia" w:ascii="宋体" w:hAnsi="宋体" w:eastAsia="宋体" w:cs="宋体"/>
                <w:color w:val="auto"/>
                <w:sz w:val="21"/>
                <w:szCs w:val="21"/>
              </w:rPr>
            </w:pPr>
          </w:p>
        </w:tc>
        <w:tc>
          <w:tcPr>
            <w:tcW w:w="1289" w:type="dxa"/>
            <w:tcBorders>
              <w:top w:val="single" w:color="auto" w:sz="4" w:space="0"/>
              <w:left w:val="single" w:color="auto" w:sz="4" w:space="0"/>
              <w:right w:val="single" w:color="auto" w:sz="4" w:space="0"/>
            </w:tcBorders>
            <w:noWrap w:val="0"/>
            <w:vAlign w:val="top"/>
          </w:tcPr>
          <w:p w14:paraId="6C2B7CA4">
            <w:pPr>
              <w:widowControl w:val="0"/>
              <w:rPr>
                <w:rFonts w:hint="eastAsia" w:ascii="宋体" w:hAnsi="宋体" w:eastAsia="宋体" w:cs="宋体"/>
                <w:color w:val="auto"/>
                <w:sz w:val="21"/>
                <w:szCs w:val="21"/>
              </w:rPr>
            </w:pPr>
          </w:p>
        </w:tc>
        <w:tc>
          <w:tcPr>
            <w:tcW w:w="1481" w:type="dxa"/>
            <w:tcBorders>
              <w:top w:val="single" w:color="auto" w:sz="4" w:space="0"/>
              <w:left w:val="single" w:color="auto" w:sz="4" w:space="0"/>
              <w:right w:val="single" w:color="auto" w:sz="4" w:space="0"/>
            </w:tcBorders>
            <w:noWrap w:val="0"/>
            <w:vAlign w:val="top"/>
          </w:tcPr>
          <w:p w14:paraId="02B1B476">
            <w:pPr>
              <w:widowControl w:val="0"/>
              <w:rPr>
                <w:rFonts w:hint="eastAsia" w:ascii="宋体" w:hAnsi="宋体" w:eastAsia="宋体" w:cs="宋体"/>
                <w:color w:val="auto"/>
                <w:sz w:val="21"/>
                <w:szCs w:val="21"/>
              </w:rPr>
            </w:pPr>
          </w:p>
        </w:tc>
        <w:tc>
          <w:tcPr>
            <w:tcW w:w="1058" w:type="dxa"/>
            <w:tcBorders>
              <w:top w:val="single" w:color="auto" w:sz="4" w:space="0"/>
              <w:left w:val="single" w:color="auto" w:sz="4" w:space="0"/>
              <w:right w:val="single" w:color="auto" w:sz="4" w:space="0"/>
            </w:tcBorders>
            <w:noWrap w:val="0"/>
            <w:vAlign w:val="top"/>
          </w:tcPr>
          <w:p w14:paraId="0CB771BD">
            <w:pPr>
              <w:widowControl w:val="0"/>
              <w:rPr>
                <w:rFonts w:hint="eastAsia" w:ascii="宋体" w:hAnsi="宋体" w:eastAsia="宋体" w:cs="宋体"/>
                <w:color w:val="auto"/>
                <w:sz w:val="21"/>
                <w:szCs w:val="21"/>
              </w:rPr>
            </w:pPr>
          </w:p>
        </w:tc>
      </w:tr>
      <w:tr w14:paraId="4FB4CB51">
        <w:tblPrEx>
          <w:tblCellMar>
            <w:top w:w="0" w:type="dxa"/>
            <w:left w:w="10" w:type="dxa"/>
            <w:bottom w:w="0" w:type="dxa"/>
            <w:right w:w="10" w:type="dxa"/>
          </w:tblCellMar>
        </w:tblPrEx>
        <w:trPr>
          <w:trHeight w:val="706" w:hRule="atLeast"/>
          <w:jc w:val="center"/>
        </w:trPr>
        <w:tc>
          <w:tcPr>
            <w:tcW w:w="1162" w:type="dxa"/>
            <w:tcBorders>
              <w:top w:val="single" w:color="auto" w:sz="4" w:space="0"/>
              <w:left w:val="single" w:color="auto" w:sz="4" w:space="0"/>
            </w:tcBorders>
            <w:noWrap w:val="0"/>
            <w:vAlign w:val="center"/>
          </w:tcPr>
          <w:p w14:paraId="3DB330CC">
            <w:pPr>
              <w:pStyle w:val="89"/>
              <w:keepNext w:val="0"/>
              <w:keepLines w:val="0"/>
              <w:widowControl w:val="0"/>
              <w:shd w:val="clear" w:color="auto" w:fill="auto"/>
              <w:bidi w:val="0"/>
              <w:spacing w:before="120" w:after="0" w:line="240" w:lineRule="auto"/>
              <w:ind w:left="0" w:leftChars="0" w:right="0" w:firstLine="0" w:firstLineChars="0"/>
              <w:jc w:val="center"/>
              <w:rPr>
                <w:rFonts w:hint="eastAsia" w:ascii="宋体" w:hAnsi="宋体" w:eastAsia="宋体" w:cs="宋体"/>
                <w:color w:val="auto"/>
                <w:sz w:val="21"/>
                <w:szCs w:val="21"/>
              </w:rPr>
            </w:pPr>
          </w:p>
        </w:tc>
        <w:tc>
          <w:tcPr>
            <w:tcW w:w="1938" w:type="dxa"/>
            <w:tcBorders>
              <w:top w:val="single" w:color="auto" w:sz="4" w:space="0"/>
              <w:left w:val="single" w:color="auto" w:sz="4" w:space="0"/>
              <w:right w:val="single" w:color="auto" w:sz="4" w:space="0"/>
            </w:tcBorders>
            <w:noWrap w:val="0"/>
            <w:vAlign w:val="top"/>
          </w:tcPr>
          <w:p w14:paraId="2349E666">
            <w:pPr>
              <w:widowControl w:val="0"/>
              <w:rPr>
                <w:rFonts w:hint="eastAsia" w:ascii="宋体" w:hAnsi="宋体" w:eastAsia="宋体" w:cs="宋体"/>
                <w:color w:val="auto"/>
                <w:sz w:val="21"/>
                <w:szCs w:val="21"/>
              </w:rPr>
            </w:pPr>
          </w:p>
        </w:tc>
        <w:tc>
          <w:tcPr>
            <w:tcW w:w="1612" w:type="dxa"/>
            <w:tcBorders>
              <w:top w:val="single" w:color="auto" w:sz="4" w:space="0"/>
              <w:left w:val="single" w:color="auto" w:sz="4" w:space="0"/>
              <w:right w:val="single" w:color="auto" w:sz="4" w:space="0"/>
            </w:tcBorders>
            <w:noWrap w:val="0"/>
            <w:vAlign w:val="top"/>
          </w:tcPr>
          <w:p w14:paraId="15042109">
            <w:pPr>
              <w:widowControl w:val="0"/>
              <w:rPr>
                <w:rFonts w:hint="eastAsia" w:ascii="宋体" w:hAnsi="宋体" w:eastAsia="宋体" w:cs="宋体"/>
                <w:color w:val="auto"/>
                <w:sz w:val="21"/>
                <w:szCs w:val="21"/>
              </w:rPr>
            </w:pPr>
          </w:p>
        </w:tc>
        <w:tc>
          <w:tcPr>
            <w:tcW w:w="1196" w:type="dxa"/>
            <w:tcBorders>
              <w:top w:val="single" w:color="auto" w:sz="4" w:space="0"/>
              <w:left w:val="single" w:color="auto" w:sz="4" w:space="0"/>
              <w:right w:val="single" w:color="auto" w:sz="4" w:space="0"/>
            </w:tcBorders>
            <w:noWrap w:val="0"/>
            <w:vAlign w:val="top"/>
          </w:tcPr>
          <w:p w14:paraId="48C5B016">
            <w:pPr>
              <w:widowControl w:val="0"/>
              <w:rPr>
                <w:rFonts w:hint="eastAsia" w:ascii="宋体" w:hAnsi="宋体" w:eastAsia="宋体" w:cs="宋体"/>
                <w:color w:val="auto"/>
                <w:sz w:val="21"/>
                <w:szCs w:val="21"/>
              </w:rPr>
            </w:pPr>
          </w:p>
        </w:tc>
        <w:tc>
          <w:tcPr>
            <w:tcW w:w="1289" w:type="dxa"/>
            <w:tcBorders>
              <w:top w:val="single" w:color="auto" w:sz="4" w:space="0"/>
              <w:left w:val="single" w:color="auto" w:sz="4" w:space="0"/>
              <w:right w:val="single" w:color="auto" w:sz="4" w:space="0"/>
            </w:tcBorders>
            <w:noWrap w:val="0"/>
            <w:vAlign w:val="top"/>
          </w:tcPr>
          <w:p w14:paraId="6B245BDF">
            <w:pPr>
              <w:widowControl w:val="0"/>
              <w:rPr>
                <w:rFonts w:hint="eastAsia" w:ascii="宋体" w:hAnsi="宋体" w:eastAsia="宋体" w:cs="宋体"/>
                <w:color w:val="auto"/>
                <w:sz w:val="21"/>
                <w:szCs w:val="21"/>
              </w:rPr>
            </w:pPr>
          </w:p>
        </w:tc>
        <w:tc>
          <w:tcPr>
            <w:tcW w:w="1481" w:type="dxa"/>
            <w:tcBorders>
              <w:top w:val="single" w:color="auto" w:sz="4" w:space="0"/>
              <w:left w:val="single" w:color="auto" w:sz="4" w:space="0"/>
              <w:right w:val="single" w:color="auto" w:sz="4" w:space="0"/>
            </w:tcBorders>
            <w:noWrap w:val="0"/>
            <w:vAlign w:val="top"/>
          </w:tcPr>
          <w:p w14:paraId="35E514FD">
            <w:pPr>
              <w:widowControl w:val="0"/>
              <w:rPr>
                <w:rFonts w:hint="eastAsia" w:ascii="宋体" w:hAnsi="宋体" w:eastAsia="宋体" w:cs="宋体"/>
                <w:color w:val="auto"/>
                <w:sz w:val="21"/>
                <w:szCs w:val="21"/>
              </w:rPr>
            </w:pPr>
          </w:p>
        </w:tc>
        <w:tc>
          <w:tcPr>
            <w:tcW w:w="1058" w:type="dxa"/>
            <w:tcBorders>
              <w:top w:val="single" w:color="auto" w:sz="4" w:space="0"/>
              <w:left w:val="single" w:color="auto" w:sz="4" w:space="0"/>
              <w:right w:val="single" w:color="auto" w:sz="4" w:space="0"/>
            </w:tcBorders>
            <w:noWrap w:val="0"/>
            <w:vAlign w:val="top"/>
          </w:tcPr>
          <w:p w14:paraId="47495168">
            <w:pPr>
              <w:widowControl w:val="0"/>
              <w:rPr>
                <w:rFonts w:hint="eastAsia" w:ascii="宋体" w:hAnsi="宋体" w:eastAsia="宋体" w:cs="宋体"/>
                <w:color w:val="auto"/>
                <w:sz w:val="21"/>
                <w:szCs w:val="21"/>
              </w:rPr>
            </w:pPr>
          </w:p>
        </w:tc>
      </w:tr>
      <w:tr w14:paraId="1A9F5E25">
        <w:tblPrEx>
          <w:tblCellMar>
            <w:top w:w="0" w:type="dxa"/>
            <w:left w:w="10" w:type="dxa"/>
            <w:bottom w:w="0" w:type="dxa"/>
            <w:right w:w="10" w:type="dxa"/>
          </w:tblCellMar>
        </w:tblPrEx>
        <w:trPr>
          <w:trHeight w:val="715" w:hRule="atLeast"/>
          <w:jc w:val="center"/>
        </w:trPr>
        <w:tc>
          <w:tcPr>
            <w:tcW w:w="1162" w:type="dxa"/>
            <w:tcBorders>
              <w:top w:val="single" w:color="auto" w:sz="4" w:space="0"/>
              <w:left w:val="single" w:color="auto" w:sz="4" w:space="0"/>
              <w:bottom w:val="single" w:color="auto" w:sz="4" w:space="0"/>
            </w:tcBorders>
            <w:noWrap w:val="0"/>
            <w:vAlign w:val="center"/>
          </w:tcPr>
          <w:p w14:paraId="075947E2">
            <w:pPr>
              <w:pStyle w:val="89"/>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color w:val="auto"/>
                <w:sz w:val="21"/>
                <w:szCs w:val="21"/>
              </w:rPr>
            </w:pPr>
          </w:p>
        </w:tc>
        <w:tc>
          <w:tcPr>
            <w:tcW w:w="1938" w:type="dxa"/>
            <w:tcBorders>
              <w:top w:val="single" w:color="auto" w:sz="4" w:space="0"/>
              <w:left w:val="single" w:color="auto" w:sz="4" w:space="0"/>
              <w:bottom w:val="single" w:color="auto" w:sz="4" w:space="0"/>
              <w:right w:val="single" w:color="auto" w:sz="4" w:space="0"/>
            </w:tcBorders>
            <w:noWrap w:val="0"/>
            <w:vAlign w:val="top"/>
          </w:tcPr>
          <w:p w14:paraId="537AFE94">
            <w:pPr>
              <w:widowControl w:val="0"/>
              <w:rPr>
                <w:rFonts w:hint="eastAsia" w:ascii="宋体" w:hAnsi="宋体" w:eastAsia="宋体" w:cs="宋体"/>
                <w:color w:val="auto"/>
                <w:sz w:val="21"/>
                <w:szCs w:val="21"/>
              </w:rPr>
            </w:pPr>
          </w:p>
        </w:tc>
        <w:tc>
          <w:tcPr>
            <w:tcW w:w="1612" w:type="dxa"/>
            <w:tcBorders>
              <w:top w:val="single" w:color="auto" w:sz="4" w:space="0"/>
              <w:left w:val="single" w:color="auto" w:sz="4" w:space="0"/>
              <w:bottom w:val="single" w:color="auto" w:sz="4" w:space="0"/>
              <w:right w:val="single" w:color="auto" w:sz="4" w:space="0"/>
            </w:tcBorders>
            <w:noWrap w:val="0"/>
            <w:vAlign w:val="top"/>
          </w:tcPr>
          <w:p w14:paraId="060857BE">
            <w:pPr>
              <w:widowControl w:val="0"/>
              <w:rPr>
                <w:rFonts w:hint="eastAsia" w:ascii="宋体" w:hAnsi="宋体" w:eastAsia="宋体" w:cs="宋体"/>
                <w:color w:val="auto"/>
                <w:sz w:val="21"/>
                <w:szCs w:val="21"/>
              </w:rPr>
            </w:pPr>
          </w:p>
        </w:tc>
        <w:tc>
          <w:tcPr>
            <w:tcW w:w="1196" w:type="dxa"/>
            <w:tcBorders>
              <w:top w:val="single" w:color="auto" w:sz="4" w:space="0"/>
              <w:left w:val="single" w:color="auto" w:sz="4" w:space="0"/>
              <w:bottom w:val="single" w:color="auto" w:sz="4" w:space="0"/>
              <w:right w:val="single" w:color="auto" w:sz="4" w:space="0"/>
            </w:tcBorders>
            <w:noWrap w:val="0"/>
            <w:vAlign w:val="top"/>
          </w:tcPr>
          <w:p w14:paraId="0C43E3C7">
            <w:pPr>
              <w:widowControl w:val="0"/>
              <w:rPr>
                <w:rFonts w:hint="eastAsia" w:ascii="宋体" w:hAnsi="宋体" w:eastAsia="宋体" w:cs="宋体"/>
                <w:color w:val="auto"/>
                <w:sz w:val="21"/>
                <w:szCs w:val="21"/>
              </w:rPr>
            </w:pPr>
          </w:p>
        </w:tc>
        <w:tc>
          <w:tcPr>
            <w:tcW w:w="1289" w:type="dxa"/>
            <w:tcBorders>
              <w:top w:val="single" w:color="auto" w:sz="4" w:space="0"/>
              <w:left w:val="single" w:color="auto" w:sz="4" w:space="0"/>
              <w:bottom w:val="single" w:color="auto" w:sz="4" w:space="0"/>
              <w:right w:val="single" w:color="auto" w:sz="4" w:space="0"/>
            </w:tcBorders>
            <w:noWrap w:val="0"/>
            <w:vAlign w:val="top"/>
          </w:tcPr>
          <w:p w14:paraId="61FBEDD7">
            <w:pPr>
              <w:widowControl w:val="0"/>
              <w:rPr>
                <w:rFonts w:hint="eastAsia" w:ascii="宋体" w:hAnsi="宋体" w:eastAsia="宋体" w:cs="宋体"/>
                <w:color w:val="auto"/>
                <w:sz w:val="21"/>
                <w:szCs w:val="21"/>
              </w:rPr>
            </w:pPr>
          </w:p>
        </w:tc>
        <w:tc>
          <w:tcPr>
            <w:tcW w:w="1481" w:type="dxa"/>
            <w:tcBorders>
              <w:top w:val="single" w:color="auto" w:sz="4" w:space="0"/>
              <w:left w:val="single" w:color="auto" w:sz="4" w:space="0"/>
              <w:bottom w:val="single" w:color="auto" w:sz="4" w:space="0"/>
              <w:right w:val="single" w:color="auto" w:sz="4" w:space="0"/>
            </w:tcBorders>
            <w:noWrap w:val="0"/>
            <w:vAlign w:val="top"/>
          </w:tcPr>
          <w:p w14:paraId="46BE9FF3">
            <w:pPr>
              <w:widowControl w:val="0"/>
              <w:rPr>
                <w:rFonts w:hint="eastAsia" w:ascii="宋体" w:hAnsi="宋体" w:eastAsia="宋体" w:cs="宋体"/>
                <w:color w:val="auto"/>
                <w:sz w:val="21"/>
                <w:szCs w:val="21"/>
              </w:rPr>
            </w:pPr>
          </w:p>
        </w:tc>
        <w:tc>
          <w:tcPr>
            <w:tcW w:w="1058" w:type="dxa"/>
            <w:tcBorders>
              <w:top w:val="single" w:color="auto" w:sz="4" w:space="0"/>
              <w:left w:val="single" w:color="auto" w:sz="4" w:space="0"/>
              <w:bottom w:val="single" w:color="auto" w:sz="4" w:space="0"/>
              <w:right w:val="single" w:color="auto" w:sz="4" w:space="0"/>
            </w:tcBorders>
            <w:noWrap w:val="0"/>
            <w:vAlign w:val="top"/>
          </w:tcPr>
          <w:p w14:paraId="71F9A98A">
            <w:pPr>
              <w:widowControl w:val="0"/>
              <w:rPr>
                <w:rFonts w:hint="eastAsia" w:ascii="宋体" w:hAnsi="宋体" w:eastAsia="宋体" w:cs="宋体"/>
                <w:color w:val="auto"/>
                <w:sz w:val="21"/>
                <w:szCs w:val="21"/>
              </w:rPr>
            </w:pPr>
          </w:p>
        </w:tc>
      </w:tr>
      <w:bookmarkEnd w:id="83"/>
      <w:bookmarkEnd w:id="84"/>
      <w:bookmarkEnd w:id="85"/>
      <w:bookmarkEnd w:id="86"/>
      <w:bookmarkEnd w:id="87"/>
      <w:bookmarkEnd w:id="88"/>
      <w:bookmarkEnd w:id="89"/>
    </w:tbl>
    <w:p w14:paraId="22C57404">
      <w:pPr>
        <w:pStyle w:val="15"/>
        <w:shd w:val="clear" w:color="auto" w:fill="auto"/>
        <w:tabs>
          <w:tab w:val="left" w:pos="5580"/>
        </w:tabs>
        <w:spacing w:line="240" w:lineRule="atLeast"/>
        <w:rPr>
          <w:rFonts w:hint="eastAsia" w:ascii="宋体" w:hAnsi="宋体" w:eastAsia="宋体" w:cs="宋体"/>
          <w:color w:val="auto"/>
          <w:highlight w:val="none"/>
        </w:rPr>
      </w:pPr>
    </w:p>
    <w:p w14:paraId="775B6B9C">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4CB40B8D">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5970BC7D">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453654B6">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4CB72673">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1BF278A9">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74A250EC">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2CA2ECE4">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23D7FED8">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0A91D950">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725D4735">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5C9E38A1">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60F48028">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2E177A5D">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70FF153B">
      <w:pPr>
        <w:pStyle w:val="15"/>
        <w:shd w:val="clear" w:color="auto" w:fill="auto"/>
        <w:tabs>
          <w:tab w:val="left" w:pos="5580"/>
        </w:tabs>
        <w:spacing w:line="240" w:lineRule="atLeast"/>
        <w:ind w:left="1942" w:leftChars="912" w:firstLine="0" w:firstLineChars="0"/>
        <w:rPr>
          <w:rFonts w:hint="eastAsia" w:ascii="宋体" w:hAnsi="宋体" w:eastAsia="宋体" w:cs="宋体"/>
          <w:color w:val="auto"/>
          <w:highlight w:val="none"/>
        </w:rPr>
      </w:pPr>
    </w:p>
    <w:p w14:paraId="1ACED75F">
      <w:pPr>
        <w:pStyle w:val="92"/>
        <w:spacing w:before="220" w:beforeLines="0" w:afterLines="0" w:line="304" w:lineRule="auto"/>
        <w:ind w:right="8"/>
        <w:jc w:val="both"/>
        <w:rPr>
          <w:rFonts w:hint="eastAsia" w:ascii="宋体" w:hAnsi="宋体" w:eastAsia="宋体" w:cs="宋体"/>
          <w:spacing w:val="3"/>
          <w:sz w:val="18"/>
          <w:szCs w:val="18"/>
        </w:rPr>
      </w:pPr>
    </w:p>
    <w:p w14:paraId="5B181822">
      <w:pPr>
        <w:pStyle w:val="15"/>
        <w:shd w:val="clear" w:color="auto" w:fill="auto"/>
        <w:tabs>
          <w:tab w:val="left" w:pos="5580"/>
        </w:tabs>
        <w:spacing w:line="240" w:lineRule="atLeast"/>
        <w:ind w:left="1942" w:leftChars="912" w:firstLine="0" w:firstLineChars="0"/>
        <w:rPr>
          <w:rFonts w:hint="eastAsia"/>
          <w:color w:val="auto"/>
          <w:highlight w:val="none"/>
        </w:rPr>
      </w:pPr>
    </w:p>
    <w:p w14:paraId="2709AA7B">
      <w:pPr>
        <w:pStyle w:val="15"/>
        <w:shd w:val="clear" w:color="auto" w:fill="auto"/>
        <w:tabs>
          <w:tab w:val="left" w:pos="5580"/>
        </w:tabs>
        <w:spacing w:line="240" w:lineRule="atLeast"/>
        <w:rPr>
          <w:rFonts w:hint="eastAsia" w:asciiTheme="majorEastAsia" w:hAnsiTheme="majorEastAsia" w:eastAsiaTheme="majorEastAsia" w:cstheme="majorEastAsia"/>
          <w:color w:val="auto"/>
          <w:highlight w:val="none"/>
        </w:rPr>
      </w:pPr>
    </w:p>
    <w:sectPr>
      <w:headerReference r:id="rId3" w:type="default"/>
      <w:footerReference r:id="rId4" w:type="default"/>
      <w:pgSz w:w="11905" w:h="16838"/>
      <w:pgMar w:top="1440" w:right="1797" w:bottom="1440" w:left="1797" w:header="850" w:footer="992" w:gutter="0"/>
      <w:pgNumType w:fmt="decimal"/>
      <w:cols w:space="720" w:num="1"/>
      <w:rtlGutter w:val="0"/>
      <w:docGrid w:type="linesAndChars" w:linePitch="325" w:charSpace="6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_x000B__x000C_">
    <w:altName w:val="Courier New"/>
    <w:panose1 w:val="00000000000000000000"/>
    <w:charset w:val="0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0" w:usb3="00000000" w:csb0="00040001" w:csb1="00000000"/>
  </w:font>
  <w:font w:name="ヒラギノ角ゴ Pro W3">
    <w:altName w:val="Yu Gothic"/>
    <w:panose1 w:val="00000000000000000000"/>
    <w:charset w:val="80"/>
    <w:family w:val="auto"/>
    <w:pitch w:val="default"/>
    <w:sig w:usb0="00000000" w:usb1="00000000" w:usb2="00000012" w:usb3="00000000" w:csb0="0002000D" w:csb1="00000000"/>
  </w:font>
  <w:font w:name="Yu Gothic">
    <w:panose1 w:val="020B0400000000000000"/>
    <w:charset w:val="80"/>
    <w:family w:val="auto"/>
    <w:pitch w:val="default"/>
    <w:sig w:usb0="E00002FF" w:usb1="2AC7FDFF" w:usb2="00000016" w:usb3="00000000" w:csb0="2002009F" w:csb1="00000000"/>
  </w:font>
  <w:font w:name="长城仿宋">
    <w:altName w:val="宋体"/>
    <w:panose1 w:val="02010609000101010101"/>
    <w:charset w:val="86"/>
    <w:family w:val="modern"/>
    <w:pitch w:val="default"/>
    <w:sig w:usb0="00000000" w:usb1="00000000" w:usb2="00000010" w:usb3="00000000" w:csb0="00040000" w:csb1="00000000"/>
  </w:font>
  <w:font w:name="华文仿宋">
    <w:altName w:val="仿宋"/>
    <w:panose1 w:val="02010600040101010101"/>
    <w:charset w:val="86"/>
    <w:family w:val="swiss"/>
    <w:pitch w:val="default"/>
    <w:sig w:usb0="00000000" w:usb1="00000000" w:usb2="00000000" w:usb3="00000000" w:csb0="0004009F" w:csb1="DFD70000"/>
  </w:font>
  <w:font w:name="Tms Rmn">
    <w:altName w:val="Segoe Print"/>
    <w:panose1 w:val="02020603040505020304"/>
    <w:charset w:val="00"/>
    <w:family w:val="roman"/>
    <w:pitch w:val="default"/>
    <w:sig w:usb0="00000000" w:usb1="00000000" w:usb2="00000000" w:usb3="00000000" w:csb0="00000001" w:csb1="00000000"/>
  </w:font>
  <w:font w:name="华文楷体">
    <w:altName w:val="宋体"/>
    <w:panose1 w:val="02010600040101010101"/>
    <w:charset w:val="86"/>
    <w:family w:val="auto"/>
    <w:pitch w:val="default"/>
    <w:sig w:usb0="00000000" w:usb1="00000000" w:usb2="00000000" w:usb3="00000000" w:csb0="0004009F" w:csb1="DFD70000"/>
  </w:font>
  <w:font w:name="Perpetua">
    <w:altName w:val="PMingLiU-ExtB"/>
    <w:panose1 w:val="02020502060401020303"/>
    <w:charset w:val="00"/>
    <w:family w:val="roman"/>
    <w:pitch w:val="default"/>
    <w:sig w:usb0="00000000" w:usb1="00000000" w:usb2="00000000" w:usb3="00000000" w:csb0="200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宋体-18030">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7FAFF">
    <w:pPr>
      <w:pStyle w:val="17"/>
      <w:ind w:right="360"/>
      <w:jc w:val="both"/>
      <w:rPr>
        <w:rFonts w:hint="eastAsia"/>
      </w:rPr>
    </w:pPr>
    <w:r>
      <w:rPr>
        <w:sz w:val="1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DB0436">
                          <w:pPr>
                            <w:pStyle w:val="17"/>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0DB0436">
                    <w:pPr>
                      <w:pStyle w:val="17"/>
                    </w:pPr>
                    <w:r>
                      <w:fldChar w:fldCharType="begin"/>
                    </w:r>
                    <w:r>
                      <w:instrText xml:space="preserve"> PAGE  \* MERGEFORMAT </w:instrText>
                    </w:r>
                    <w:r>
                      <w:fldChar w:fldCharType="separate"/>
                    </w:r>
                    <w:r>
                      <w:t>48</w:t>
                    </w:r>
                    <w:r>
                      <w:fldChar w:fldCharType="end"/>
                    </w:r>
                  </w:p>
                </w:txbxContent>
              </v:textbox>
            </v:shape>
          </w:pict>
        </mc:Fallback>
      </mc:AlternateContent>
    </w:r>
    <w:r>
      <w:rPr>
        <w:rFonts w:hint="eastAsia"/>
        <w:color w:val="800000"/>
        <w:sz w:val="16"/>
        <w:szCs w:val="20"/>
        <w:lang w:val="en-US" w:eastAsia="zh-CN"/>
      </w:rPr>
      <w:t xml:space="preserve">        </w:t>
    </w:r>
  </w:p>
  <w:p w14:paraId="7849E320">
    <w:pPr>
      <w:pStyle w:val="17"/>
      <w:keepNext w:val="0"/>
      <w:keepLines w:val="0"/>
      <w:pageBreakBefore w:val="0"/>
      <w:widowControl w:val="0"/>
      <w:kinsoku/>
      <w:wordWrap/>
      <w:overflowPunct/>
      <w:topLinePunct w:val="0"/>
      <w:autoSpaceDE w:val="0"/>
      <w:autoSpaceDN w:val="0"/>
      <w:bidi w:val="0"/>
      <w:adjustRightInd w:val="0"/>
      <w:snapToGrid w:val="0"/>
      <w:spacing w:line="240" w:lineRule="auto"/>
      <w:ind w:left="7200" w:hanging="7200" w:hangingChars="4000"/>
      <w:jc w:val="both"/>
      <w:textAlignment w:val="auto"/>
      <w:rPr>
        <w:rFonts w:hint="default"/>
        <w:lang w:val="en-US"/>
      </w:rPr>
    </w:pPr>
  </w:p>
  <w:p w14:paraId="34ECDB1A">
    <w:pPr>
      <w:pStyle w:val="17"/>
      <w:ind w:right="360"/>
      <w:jc w:val="right"/>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BDB92">
    <w:pPr>
      <w:pStyle w:val="18"/>
      <w:pBdr>
        <w:bottom w:val="single" w:color="auto" w:sz="4" w:space="0"/>
      </w:pBdr>
      <w:jc w:val="both"/>
      <w:rPr>
        <w:rFonts w:hint="eastAsia" w:ascii="Times New Roman" w:hAnsi="Times New Roman" w:eastAsia="宋体" w:cs="Times New Roman"/>
        <w:sz w:val="22"/>
        <w:szCs w:val="28"/>
        <w:lang w:val="en-US" w:eastAsia="zh-CN"/>
      </w:rPr>
    </w:pPr>
    <w:r>
      <w:rPr>
        <w:rFonts w:hint="eastAsia" w:ascii="Times New Roman" w:hAnsi="Times New Roman" w:eastAsia="宋体" w:cs="Times New Roman"/>
        <w:sz w:val="22"/>
        <w:szCs w:val="28"/>
        <w:lang w:val="en-US" w:eastAsia="zh-CN"/>
      </w:rPr>
      <w:t xml:space="preserve">                                             </w:t>
    </w:r>
  </w:p>
  <w:p w14:paraId="4447B0AA">
    <w:pPr>
      <w:pStyle w:val="18"/>
      <w:pBdr>
        <w:bottom w:val="single" w:color="auto" w:sz="4" w:space="0"/>
      </w:pBdr>
      <w:jc w:val="left"/>
      <w:rPr>
        <w:rFonts w:hint="eastAsia" w:ascii="宋体" w:hAnsi="宋体" w:eastAsia="宋体" w:cs="宋体"/>
        <w:b w:val="0"/>
        <w:bCs w:val="0"/>
        <w:sz w:val="21"/>
        <w:szCs w:val="21"/>
        <w:lang w:val="en-US" w:eastAsia="zh-CN"/>
      </w:rPr>
    </w:pPr>
    <w:r>
      <w:rPr>
        <w:rFonts w:hint="eastAsia" w:ascii="Times New Roman" w:hAnsi="Times New Roman" w:eastAsia="宋体" w:cs="Times New Roman"/>
        <w:sz w:val="22"/>
        <w:szCs w:val="28"/>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715540"/>
    <w:multiLevelType w:val="multilevel"/>
    <w:tmpl w:val="11715540"/>
    <w:lvl w:ilvl="0" w:tentative="0">
      <w:start w:val="1"/>
      <w:numFmt w:val="japaneseCounting"/>
      <w:lvlText w:val="（%1）"/>
      <w:lvlJc w:val="left"/>
      <w:pPr>
        <w:tabs>
          <w:tab w:val="left" w:pos="1725"/>
        </w:tabs>
        <w:ind w:left="1725" w:hanging="1080"/>
      </w:pPr>
      <w:rPr>
        <w:rFonts w:hint="default"/>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1">
    <w:nsid w:val="11A64EEE"/>
    <w:multiLevelType w:val="singleLevel"/>
    <w:tmpl w:val="11A64EEE"/>
    <w:lvl w:ilvl="0" w:tentative="0">
      <w:start w:val="1"/>
      <w:numFmt w:val="chineseCounting"/>
      <w:suff w:val="nothing"/>
      <w:lvlText w:val="%1、"/>
      <w:lvlJc w:val="left"/>
      <w:pPr>
        <w:ind w:left="0"/>
      </w:pPr>
      <w:rPr>
        <w:rFonts w:hint="eastAsia"/>
      </w:rPr>
    </w:lvl>
  </w:abstractNum>
  <w:abstractNum w:abstractNumId="2">
    <w:nsid w:val="26F2549E"/>
    <w:multiLevelType w:val="multilevel"/>
    <w:tmpl w:val="26F2549E"/>
    <w:lvl w:ilvl="0" w:tentative="0">
      <w:start w:val="1"/>
      <w:numFmt w:val="decimal"/>
      <w:lvlText w:val="%1、"/>
      <w:lvlJc w:val="left"/>
      <w:pPr>
        <w:ind w:left="371" w:hanging="360"/>
      </w:pPr>
      <w:rPr>
        <w:rFonts w:hint="default"/>
      </w:rPr>
    </w:lvl>
    <w:lvl w:ilvl="1" w:tentative="0">
      <w:start w:val="1"/>
      <w:numFmt w:val="lowerLetter"/>
      <w:pStyle w:val="3"/>
      <w:lvlText w:val="%2)"/>
      <w:lvlJc w:val="left"/>
      <w:pPr>
        <w:ind w:left="851" w:hanging="420"/>
      </w:pPr>
    </w:lvl>
    <w:lvl w:ilvl="2" w:tentative="0">
      <w:start w:val="1"/>
      <w:numFmt w:val="lowerRoman"/>
      <w:lvlText w:val="%3."/>
      <w:lvlJc w:val="right"/>
      <w:pPr>
        <w:ind w:left="1271" w:hanging="420"/>
      </w:pPr>
    </w:lvl>
    <w:lvl w:ilvl="3" w:tentative="0">
      <w:start w:val="1"/>
      <w:numFmt w:val="decimal"/>
      <w:lvlText w:val="%4."/>
      <w:lvlJc w:val="left"/>
      <w:pPr>
        <w:ind w:left="1691" w:hanging="420"/>
      </w:pPr>
    </w:lvl>
    <w:lvl w:ilvl="4" w:tentative="0">
      <w:start w:val="1"/>
      <w:numFmt w:val="lowerLetter"/>
      <w:lvlText w:val="%5)"/>
      <w:lvlJc w:val="left"/>
      <w:pPr>
        <w:ind w:left="2111" w:hanging="420"/>
      </w:pPr>
    </w:lvl>
    <w:lvl w:ilvl="5" w:tentative="0">
      <w:start w:val="1"/>
      <w:numFmt w:val="lowerRoman"/>
      <w:lvlText w:val="%6."/>
      <w:lvlJc w:val="right"/>
      <w:pPr>
        <w:ind w:left="2531" w:hanging="420"/>
      </w:pPr>
    </w:lvl>
    <w:lvl w:ilvl="6" w:tentative="0">
      <w:start w:val="1"/>
      <w:numFmt w:val="decimal"/>
      <w:lvlText w:val="%7."/>
      <w:lvlJc w:val="left"/>
      <w:pPr>
        <w:ind w:left="2951" w:hanging="420"/>
      </w:pPr>
    </w:lvl>
    <w:lvl w:ilvl="7" w:tentative="0">
      <w:start w:val="1"/>
      <w:numFmt w:val="lowerLetter"/>
      <w:lvlText w:val="%8)"/>
      <w:lvlJc w:val="left"/>
      <w:pPr>
        <w:ind w:left="3371" w:hanging="420"/>
      </w:pPr>
    </w:lvl>
    <w:lvl w:ilvl="8" w:tentative="0">
      <w:start w:val="1"/>
      <w:numFmt w:val="lowerRoman"/>
      <w:lvlText w:val="%9."/>
      <w:lvlJc w:val="right"/>
      <w:pPr>
        <w:ind w:left="3791" w:hanging="420"/>
      </w:pPr>
    </w:lvl>
  </w:abstractNum>
  <w:abstractNum w:abstractNumId="3">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67"/>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4">
    <w:nsid w:val="55CD4C99"/>
    <w:multiLevelType w:val="singleLevel"/>
    <w:tmpl w:val="55CD4C99"/>
    <w:lvl w:ilvl="0" w:tentative="0">
      <w:start w:val="1"/>
      <w:numFmt w:val="chineseCounting"/>
      <w:suff w:val="nothing"/>
      <w:lvlText w:val="%1、"/>
      <w:lvlJc w:val="left"/>
    </w:lvl>
  </w:abstractNum>
  <w:abstractNum w:abstractNumId="5">
    <w:nsid w:val="6EC8727B"/>
    <w:multiLevelType w:val="singleLevel"/>
    <w:tmpl w:val="6EC8727B"/>
    <w:lvl w:ilvl="0" w:tentative="0">
      <w:start w:val="1"/>
      <w:numFmt w:val="decimal"/>
      <w:suff w:val="nothing"/>
      <w:lvlText w:val="%1、"/>
      <w:lvlJc w:val="left"/>
    </w:lvl>
  </w:abstractNum>
  <w:abstractNum w:abstractNumId="6">
    <w:nsid w:val="78AA6554"/>
    <w:multiLevelType w:val="multilevel"/>
    <w:tmpl w:val="78AA6554"/>
    <w:lvl w:ilvl="0" w:tentative="0">
      <w:start w:val="1"/>
      <w:numFmt w:val="japaneseCounting"/>
      <w:lvlText w:val="（%1）"/>
      <w:lvlJc w:val="left"/>
      <w:pPr>
        <w:tabs>
          <w:tab w:val="left" w:pos="1725"/>
        </w:tabs>
        <w:ind w:left="1725" w:hanging="1080"/>
      </w:pPr>
      <w:rPr>
        <w:rFonts w:hint="default"/>
        <w:lang w:val="en-US"/>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num w:numId="1">
    <w:abstractNumId w:val="2"/>
  </w:num>
  <w:num w:numId="2">
    <w:abstractNumId w:val="3"/>
  </w:num>
  <w:num w:numId="3">
    <w:abstractNumId w:val="1"/>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6"/>
  <w:drawingGridVerticalSpacing w:val="15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0ZjhlNWM2NTk4MmU0NWYxM2M4Y2RjMGY5YWUyZmUifQ=="/>
    <w:docVar w:name="KSO_WPS_MARK_KEY" w:val="ff543f3e-fe51-4785-9101-7742f663f052"/>
  </w:docVars>
  <w:rsids>
    <w:rsidRoot w:val="00AE79E0"/>
    <w:rsid w:val="000008FD"/>
    <w:rsid w:val="00003231"/>
    <w:rsid w:val="00003B78"/>
    <w:rsid w:val="00003F23"/>
    <w:rsid w:val="00005025"/>
    <w:rsid w:val="0000620B"/>
    <w:rsid w:val="0000681E"/>
    <w:rsid w:val="0000682D"/>
    <w:rsid w:val="00011FD2"/>
    <w:rsid w:val="000126C8"/>
    <w:rsid w:val="00012CFA"/>
    <w:rsid w:val="00013187"/>
    <w:rsid w:val="000137F2"/>
    <w:rsid w:val="00014B17"/>
    <w:rsid w:val="000165AB"/>
    <w:rsid w:val="000201C1"/>
    <w:rsid w:val="00021187"/>
    <w:rsid w:val="00021198"/>
    <w:rsid w:val="00021864"/>
    <w:rsid w:val="00023055"/>
    <w:rsid w:val="00023185"/>
    <w:rsid w:val="000242CE"/>
    <w:rsid w:val="00024AD6"/>
    <w:rsid w:val="00026A08"/>
    <w:rsid w:val="000279EA"/>
    <w:rsid w:val="000305D5"/>
    <w:rsid w:val="000319B0"/>
    <w:rsid w:val="00034387"/>
    <w:rsid w:val="00034B72"/>
    <w:rsid w:val="00034BA3"/>
    <w:rsid w:val="00034CDA"/>
    <w:rsid w:val="00034F63"/>
    <w:rsid w:val="0003627F"/>
    <w:rsid w:val="0003679A"/>
    <w:rsid w:val="00040E67"/>
    <w:rsid w:val="00041F06"/>
    <w:rsid w:val="000423B1"/>
    <w:rsid w:val="0004299A"/>
    <w:rsid w:val="000429F1"/>
    <w:rsid w:val="000437CC"/>
    <w:rsid w:val="00043E1C"/>
    <w:rsid w:val="00046FC5"/>
    <w:rsid w:val="00047373"/>
    <w:rsid w:val="000476D9"/>
    <w:rsid w:val="0005173F"/>
    <w:rsid w:val="00051864"/>
    <w:rsid w:val="00051ECE"/>
    <w:rsid w:val="000520FE"/>
    <w:rsid w:val="00053450"/>
    <w:rsid w:val="000538D1"/>
    <w:rsid w:val="00054A43"/>
    <w:rsid w:val="00055123"/>
    <w:rsid w:val="00055AB6"/>
    <w:rsid w:val="00055F34"/>
    <w:rsid w:val="00056350"/>
    <w:rsid w:val="00056A13"/>
    <w:rsid w:val="000576A3"/>
    <w:rsid w:val="00063B93"/>
    <w:rsid w:val="00064417"/>
    <w:rsid w:val="000649EF"/>
    <w:rsid w:val="00065388"/>
    <w:rsid w:val="00065665"/>
    <w:rsid w:val="00067D7A"/>
    <w:rsid w:val="00070288"/>
    <w:rsid w:val="00070340"/>
    <w:rsid w:val="000708C5"/>
    <w:rsid w:val="000712BD"/>
    <w:rsid w:val="000719DB"/>
    <w:rsid w:val="00072AC0"/>
    <w:rsid w:val="000738C2"/>
    <w:rsid w:val="000742BD"/>
    <w:rsid w:val="0007479D"/>
    <w:rsid w:val="00075123"/>
    <w:rsid w:val="00075390"/>
    <w:rsid w:val="0007565B"/>
    <w:rsid w:val="00075BB9"/>
    <w:rsid w:val="00076436"/>
    <w:rsid w:val="00076558"/>
    <w:rsid w:val="00077C43"/>
    <w:rsid w:val="00077D8B"/>
    <w:rsid w:val="0008094E"/>
    <w:rsid w:val="00080A6F"/>
    <w:rsid w:val="000816F2"/>
    <w:rsid w:val="00082869"/>
    <w:rsid w:val="00083463"/>
    <w:rsid w:val="00083CDC"/>
    <w:rsid w:val="00084CC1"/>
    <w:rsid w:val="000852D7"/>
    <w:rsid w:val="00085489"/>
    <w:rsid w:val="000863D1"/>
    <w:rsid w:val="00086A7A"/>
    <w:rsid w:val="00086B28"/>
    <w:rsid w:val="000874E4"/>
    <w:rsid w:val="0008796E"/>
    <w:rsid w:val="00087E9D"/>
    <w:rsid w:val="000901E9"/>
    <w:rsid w:val="00090BD9"/>
    <w:rsid w:val="00090F00"/>
    <w:rsid w:val="00091C9B"/>
    <w:rsid w:val="00091DC7"/>
    <w:rsid w:val="000926F6"/>
    <w:rsid w:val="000942A8"/>
    <w:rsid w:val="00094641"/>
    <w:rsid w:val="00094AC9"/>
    <w:rsid w:val="00095245"/>
    <w:rsid w:val="000955A6"/>
    <w:rsid w:val="00095B6E"/>
    <w:rsid w:val="0009686F"/>
    <w:rsid w:val="000A1761"/>
    <w:rsid w:val="000A184E"/>
    <w:rsid w:val="000A1B3C"/>
    <w:rsid w:val="000A2970"/>
    <w:rsid w:val="000A35E1"/>
    <w:rsid w:val="000A3813"/>
    <w:rsid w:val="000A4619"/>
    <w:rsid w:val="000A48D7"/>
    <w:rsid w:val="000A5705"/>
    <w:rsid w:val="000A6219"/>
    <w:rsid w:val="000A6DD1"/>
    <w:rsid w:val="000A7BFA"/>
    <w:rsid w:val="000A7E34"/>
    <w:rsid w:val="000B0CDF"/>
    <w:rsid w:val="000B19BA"/>
    <w:rsid w:val="000B21F3"/>
    <w:rsid w:val="000B5B49"/>
    <w:rsid w:val="000B5CD6"/>
    <w:rsid w:val="000B5D8E"/>
    <w:rsid w:val="000B71A8"/>
    <w:rsid w:val="000B7353"/>
    <w:rsid w:val="000B7627"/>
    <w:rsid w:val="000B7FDE"/>
    <w:rsid w:val="000C062A"/>
    <w:rsid w:val="000C0D0A"/>
    <w:rsid w:val="000C0D63"/>
    <w:rsid w:val="000C1047"/>
    <w:rsid w:val="000C2C5E"/>
    <w:rsid w:val="000C4AF2"/>
    <w:rsid w:val="000C58C5"/>
    <w:rsid w:val="000C627A"/>
    <w:rsid w:val="000C6774"/>
    <w:rsid w:val="000C68DD"/>
    <w:rsid w:val="000C742F"/>
    <w:rsid w:val="000C7D1B"/>
    <w:rsid w:val="000D07C7"/>
    <w:rsid w:val="000D16D6"/>
    <w:rsid w:val="000D1955"/>
    <w:rsid w:val="000D1963"/>
    <w:rsid w:val="000D260B"/>
    <w:rsid w:val="000D296C"/>
    <w:rsid w:val="000D2BE7"/>
    <w:rsid w:val="000D3BE4"/>
    <w:rsid w:val="000D3FDF"/>
    <w:rsid w:val="000D3FE5"/>
    <w:rsid w:val="000D5BFA"/>
    <w:rsid w:val="000D77C3"/>
    <w:rsid w:val="000E0018"/>
    <w:rsid w:val="000E169F"/>
    <w:rsid w:val="000E18AA"/>
    <w:rsid w:val="000E1F61"/>
    <w:rsid w:val="000E30EA"/>
    <w:rsid w:val="000E3822"/>
    <w:rsid w:val="000E416E"/>
    <w:rsid w:val="000E4C55"/>
    <w:rsid w:val="000E57CE"/>
    <w:rsid w:val="000E5BD2"/>
    <w:rsid w:val="000E6242"/>
    <w:rsid w:val="000E689E"/>
    <w:rsid w:val="000E6A46"/>
    <w:rsid w:val="000E6ED7"/>
    <w:rsid w:val="000F0113"/>
    <w:rsid w:val="000F1DED"/>
    <w:rsid w:val="000F2698"/>
    <w:rsid w:val="000F3E84"/>
    <w:rsid w:val="000F3FFF"/>
    <w:rsid w:val="000F4B95"/>
    <w:rsid w:val="000F6140"/>
    <w:rsid w:val="000F6A98"/>
    <w:rsid w:val="000F6AB9"/>
    <w:rsid w:val="000F6B00"/>
    <w:rsid w:val="000F6D6B"/>
    <w:rsid w:val="000F6DA7"/>
    <w:rsid w:val="000F7DEB"/>
    <w:rsid w:val="001008C8"/>
    <w:rsid w:val="00103AEE"/>
    <w:rsid w:val="00104E2B"/>
    <w:rsid w:val="00104E64"/>
    <w:rsid w:val="0010538C"/>
    <w:rsid w:val="001057AF"/>
    <w:rsid w:val="00110A45"/>
    <w:rsid w:val="00111249"/>
    <w:rsid w:val="001123E7"/>
    <w:rsid w:val="001135FE"/>
    <w:rsid w:val="00113871"/>
    <w:rsid w:val="0011439C"/>
    <w:rsid w:val="00114702"/>
    <w:rsid w:val="00116424"/>
    <w:rsid w:val="001167DB"/>
    <w:rsid w:val="00116D76"/>
    <w:rsid w:val="00117062"/>
    <w:rsid w:val="001170CE"/>
    <w:rsid w:val="001178E2"/>
    <w:rsid w:val="00117DEA"/>
    <w:rsid w:val="00117FAC"/>
    <w:rsid w:val="0012043E"/>
    <w:rsid w:val="001209D4"/>
    <w:rsid w:val="001209D7"/>
    <w:rsid w:val="00120A18"/>
    <w:rsid w:val="00120C83"/>
    <w:rsid w:val="00121289"/>
    <w:rsid w:val="001233FB"/>
    <w:rsid w:val="0012425E"/>
    <w:rsid w:val="0012511F"/>
    <w:rsid w:val="00125392"/>
    <w:rsid w:val="001255D4"/>
    <w:rsid w:val="001263BA"/>
    <w:rsid w:val="00126A4E"/>
    <w:rsid w:val="00126AD8"/>
    <w:rsid w:val="00126DF1"/>
    <w:rsid w:val="001276ED"/>
    <w:rsid w:val="00127742"/>
    <w:rsid w:val="00130067"/>
    <w:rsid w:val="00130C17"/>
    <w:rsid w:val="0013112F"/>
    <w:rsid w:val="0013118B"/>
    <w:rsid w:val="001311ED"/>
    <w:rsid w:val="0013431D"/>
    <w:rsid w:val="00134648"/>
    <w:rsid w:val="001348DF"/>
    <w:rsid w:val="00134FD5"/>
    <w:rsid w:val="0013509E"/>
    <w:rsid w:val="00135535"/>
    <w:rsid w:val="00135AED"/>
    <w:rsid w:val="00135BC4"/>
    <w:rsid w:val="00135F38"/>
    <w:rsid w:val="001369C3"/>
    <w:rsid w:val="00137B6B"/>
    <w:rsid w:val="00137D64"/>
    <w:rsid w:val="00137E4C"/>
    <w:rsid w:val="00141038"/>
    <w:rsid w:val="0014151F"/>
    <w:rsid w:val="00141941"/>
    <w:rsid w:val="00142184"/>
    <w:rsid w:val="0014311D"/>
    <w:rsid w:val="00144467"/>
    <w:rsid w:val="001449E6"/>
    <w:rsid w:val="0014579A"/>
    <w:rsid w:val="00145A0C"/>
    <w:rsid w:val="00145E17"/>
    <w:rsid w:val="00147477"/>
    <w:rsid w:val="0015038C"/>
    <w:rsid w:val="001508B1"/>
    <w:rsid w:val="00152331"/>
    <w:rsid w:val="00152403"/>
    <w:rsid w:val="00152CE0"/>
    <w:rsid w:val="00155001"/>
    <w:rsid w:val="001553F5"/>
    <w:rsid w:val="001554EC"/>
    <w:rsid w:val="00155CDB"/>
    <w:rsid w:val="00156646"/>
    <w:rsid w:val="001568CF"/>
    <w:rsid w:val="00157E12"/>
    <w:rsid w:val="00160800"/>
    <w:rsid w:val="00160863"/>
    <w:rsid w:val="0016087F"/>
    <w:rsid w:val="00160A88"/>
    <w:rsid w:val="001613E7"/>
    <w:rsid w:val="0016174A"/>
    <w:rsid w:val="001620F9"/>
    <w:rsid w:val="00165DAF"/>
    <w:rsid w:val="00167DD2"/>
    <w:rsid w:val="0017046D"/>
    <w:rsid w:val="0017080E"/>
    <w:rsid w:val="00171430"/>
    <w:rsid w:val="001714A4"/>
    <w:rsid w:val="00171FC2"/>
    <w:rsid w:val="001729B3"/>
    <w:rsid w:val="00172D11"/>
    <w:rsid w:val="00172FE9"/>
    <w:rsid w:val="001736ED"/>
    <w:rsid w:val="00173D1D"/>
    <w:rsid w:val="00174925"/>
    <w:rsid w:val="00174E84"/>
    <w:rsid w:val="00175BB3"/>
    <w:rsid w:val="00176570"/>
    <w:rsid w:val="00176A44"/>
    <w:rsid w:val="00176CDE"/>
    <w:rsid w:val="00177851"/>
    <w:rsid w:val="00180275"/>
    <w:rsid w:val="0018175A"/>
    <w:rsid w:val="00182153"/>
    <w:rsid w:val="00183525"/>
    <w:rsid w:val="00183724"/>
    <w:rsid w:val="00184539"/>
    <w:rsid w:val="00184EF2"/>
    <w:rsid w:val="0018523C"/>
    <w:rsid w:val="00186A8D"/>
    <w:rsid w:val="0019046D"/>
    <w:rsid w:val="00191194"/>
    <w:rsid w:val="00192441"/>
    <w:rsid w:val="001924AF"/>
    <w:rsid w:val="00192969"/>
    <w:rsid w:val="00192AB0"/>
    <w:rsid w:val="00193398"/>
    <w:rsid w:val="001935E2"/>
    <w:rsid w:val="00193A65"/>
    <w:rsid w:val="00194057"/>
    <w:rsid w:val="0019444D"/>
    <w:rsid w:val="001966AA"/>
    <w:rsid w:val="00196974"/>
    <w:rsid w:val="00196D5E"/>
    <w:rsid w:val="00196F4B"/>
    <w:rsid w:val="001972EB"/>
    <w:rsid w:val="001A0B29"/>
    <w:rsid w:val="001A12FE"/>
    <w:rsid w:val="001A406A"/>
    <w:rsid w:val="001A62A1"/>
    <w:rsid w:val="001A74C3"/>
    <w:rsid w:val="001B0B9D"/>
    <w:rsid w:val="001B1C75"/>
    <w:rsid w:val="001B2BBF"/>
    <w:rsid w:val="001B522A"/>
    <w:rsid w:val="001B560A"/>
    <w:rsid w:val="001B5738"/>
    <w:rsid w:val="001B6E93"/>
    <w:rsid w:val="001B70B5"/>
    <w:rsid w:val="001B7B84"/>
    <w:rsid w:val="001B7F39"/>
    <w:rsid w:val="001C05AB"/>
    <w:rsid w:val="001C1F35"/>
    <w:rsid w:val="001C2A8A"/>
    <w:rsid w:val="001C3B70"/>
    <w:rsid w:val="001C5539"/>
    <w:rsid w:val="001C59BE"/>
    <w:rsid w:val="001C5DC4"/>
    <w:rsid w:val="001C5E26"/>
    <w:rsid w:val="001C6220"/>
    <w:rsid w:val="001C6B18"/>
    <w:rsid w:val="001D0A93"/>
    <w:rsid w:val="001D2F5F"/>
    <w:rsid w:val="001D446C"/>
    <w:rsid w:val="001D5688"/>
    <w:rsid w:val="001D58FF"/>
    <w:rsid w:val="001D629D"/>
    <w:rsid w:val="001D63FD"/>
    <w:rsid w:val="001D6F3F"/>
    <w:rsid w:val="001D6F45"/>
    <w:rsid w:val="001D7E45"/>
    <w:rsid w:val="001E04F1"/>
    <w:rsid w:val="001E20D3"/>
    <w:rsid w:val="001E2E22"/>
    <w:rsid w:val="001E2FC4"/>
    <w:rsid w:val="001E36B7"/>
    <w:rsid w:val="001E47CD"/>
    <w:rsid w:val="001E5159"/>
    <w:rsid w:val="001E5832"/>
    <w:rsid w:val="001E591A"/>
    <w:rsid w:val="001E68D0"/>
    <w:rsid w:val="001F07C5"/>
    <w:rsid w:val="001F1324"/>
    <w:rsid w:val="001F134E"/>
    <w:rsid w:val="001F14AE"/>
    <w:rsid w:val="001F1946"/>
    <w:rsid w:val="001F26BA"/>
    <w:rsid w:val="001F3378"/>
    <w:rsid w:val="001F4661"/>
    <w:rsid w:val="001F4719"/>
    <w:rsid w:val="001F66D5"/>
    <w:rsid w:val="001F6A1F"/>
    <w:rsid w:val="001F7137"/>
    <w:rsid w:val="001F770C"/>
    <w:rsid w:val="00200094"/>
    <w:rsid w:val="00200808"/>
    <w:rsid w:val="00200C69"/>
    <w:rsid w:val="00201148"/>
    <w:rsid w:val="00202825"/>
    <w:rsid w:val="00202D5B"/>
    <w:rsid w:val="00202F2A"/>
    <w:rsid w:val="002036F3"/>
    <w:rsid w:val="00203F5C"/>
    <w:rsid w:val="00204191"/>
    <w:rsid w:val="0020421A"/>
    <w:rsid w:val="002047D3"/>
    <w:rsid w:val="0020497C"/>
    <w:rsid w:val="00205798"/>
    <w:rsid w:val="00205A83"/>
    <w:rsid w:val="00205DEE"/>
    <w:rsid w:val="00207016"/>
    <w:rsid w:val="0021092F"/>
    <w:rsid w:val="00210BCE"/>
    <w:rsid w:val="002111F8"/>
    <w:rsid w:val="002112B7"/>
    <w:rsid w:val="0021169E"/>
    <w:rsid w:val="00211789"/>
    <w:rsid w:val="00211B64"/>
    <w:rsid w:val="00211C86"/>
    <w:rsid w:val="00211FEE"/>
    <w:rsid w:val="002122F0"/>
    <w:rsid w:val="00212CA5"/>
    <w:rsid w:val="00212EB3"/>
    <w:rsid w:val="00213256"/>
    <w:rsid w:val="0021421B"/>
    <w:rsid w:val="0021435E"/>
    <w:rsid w:val="00217577"/>
    <w:rsid w:val="00217846"/>
    <w:rsid w:val="002203C0"/>
    <w:rsid w:val="002209E8"/>
    <w:rsid w:val="002215D0"/>
    <w:rsid w:val="0022309F"/>
    <w:rsid w:val="00224266"/>
    <w:rsid w:val="002248D5"/>
    <w:rsid w:val="00224BDB"/>
    <w:rsid w:val="00225A4D"/>
    <w:rsid w:val="00225E3E"/>
    <w:rsid w:val="00225E4A"/>
    <w:rsid w:val="00227FEE"/>
    <w:rsid w:val="00230CC1"/>
    <w:rsid w:val="00230D14"/>
    <w:rsid w:val="002314E9"/>
    <w:rsid w:val="00231CB1"/>
    <w:rsid w:val="00232C8A"/>
    <w:rsid w:val="0023334B"/>
    <w:rsid w:val="00234A89"/>
    <w:rsid w:val="00234E10"/>
    <w:rsid w:val="00235478"/>
    <w:rsid w:val="002358C7"/>
    <w:rsid w:val="002362AF"/>
    <w:rsid w:val="002362CC"/>
    <w:rsid w:val="00237506"/>
    <w:rsid w:val="002378D0"/>
    <w:rsid w:val="00237B57"/>
    <w:rsid w:val="00243A1C"/>
    <w:rsid w:val="00243B5E"/>
    <w:rsid w:val="00243C20"/>
    <w:rsid w:val="00243D7D"/>
    <w:rsid w:val="00243ECE"/>
    <w:rsid w:val="00245ACA"/>
    <w:rsid w:val="00246F54"/>
    <w:rsid w:val="0025249A"/>
    <w:rsid w:val="0025326E"/>
    <w:rsid w:val="002541D3"/>
    <w:rsid w:val="00254D18"/>
    <w:rsid w:val="00255705"/>
    <w:rsid w:val="00255C2F"/>
    <w:rsid w:val="00255D4D"/>
    <w:rsid w:val="00257088"/>
    <w:rsid w:val="002574B1"/>
    <w:rsid w:val="0025775C"/>
    <w:rsid w:val="0025785F"/>
    <w:rsid w:val="0026096A"/>
    <w:rsid w:val="00260B60"/>
    <w:rsid w:val="0026120E"/>
    <w:rsid w:val="00261315"/>
    <w:rsid w:val="0026223A"/>
    <w:rsid w:val="002632DC"/>
    <w:rsid w:val="00263F02"/>
    <w:rsid w:val="002648FB"/>
    <w:rsid w:val="00266892"/>
    <w:rsid w:val="00266CC0"/>
    <w:rsid w:val="002672ED"/>
    <w:rsid w:val="0027024E"/>
    <w:rsid w:val="00272390"/>
    <w:rsid w:val="0027543F"/>
    <w:rsid w:val="00275F7E"/>
    <w:rsid w:val="002760E4"/>
    <w:rsid w:val="002768B5"/>
    <w:rsid w:val="00277378"/>
    <w:rsid w:val="0028110D"/>
    <w:rsid w:val="00281371"/>
    <w:rsid w:val="002813D2"/>
    <w:rsid w:val="002819B4"/>
    <w:rsid w:val="0028291E"/>
    <w:rsid w:val="00282FBB"/>
    <w:rsid w:val="00283B88"/>
    <w:rsid w:val="00285CC4"/>
    <w:rsid w:val="00286851"/>
    <w:rsid w:val="00290235"/>
    <w:rsid w:val="00290EB7"/>
    <w:rsid w:val="002913B5"/>
    <w:rsid w:val="00291B90"/>
    <w:rsid w:val="00291EBD"/>
    <w:rsid w:val="00293933"/>
    <w:rsid w:val="00295F38"/>
    <w:rsid w:val="00296FAA"/>
    <w:rsid w:val="002970FB"/>
    <w:rsid w:val="00297E16"/>
    <w:rsid w:val="002A07DB"/>
    <w:rsid w:val="002A1959"/>
    <w:rsid w:val="002A3638"/>
    <w:rsid w:val="002A484A"/>
    <w:rsid w:val="002A49E9"/>
    <w:rsid w:val="002A4C87"/>
    <w:rsid w:val="002A4E7F"/>
    <w:rsid w:val="002A51FE"/>
    <w:rsid w:val="002A79FB"/>
    <w:rsid w:val="002A7C46"/>
    <w:rsid w:val="002A7D6F"/>
    <w:rsid w:val="002B08C1"/>
    <w:rsid w:val="002B0A6F"/>
    <w:rsid w:val="002B12D0"/>
    <w:rsid w:val="002B17E9"/>
    <w:rsid w:val="002B1A43"/>
    <w:rsid w:val="002B1ABC"/>
    <w:rsid w:val="002B220A"/>
    <w:rsid w:val="002B28DF"/>
    <w:rsid w:val="002B3EF5"/>
    <w:rsid w:val="002B4721"/>
    <w:rsid w:val="002B635D"/>
    <w:rsid w:val="002B6423"/>
    <w:rsid w:val="002B6D27"/>
    <w:rsid w:val="002B6EAE"/>
    <w:rsid w:val="002B7C85"/>
    <w:rsid w:val="002C1472"/>
    <w:rsid w:val="002C1DFD"/>
    <w:rsid w:val="002C316D"/>
    <w:rsid w:val="002C324F"/>
    <w:rsid w:val="002C32A4"/>
    <w:rsid w:val="002C34A7"/>
    <w:rsid w:val="002C404C"/>
    <w:rsid w:val="002C44F8"/>
    <w:rsid w:val="002C48D8"/>
    <w:rsid w:val="002C50D1"/>
    <w:rsid w:val="002C53E5"/>
    <w:rsid w:val="002C5959"/>
    <w:rsid w:val="002C66EA"/>
    <w:rsid w:val="002C6EE6"/>
    <w:rsid w:val="002C76A3"/>
    <w:rsid w:val="002D16A5"/>
    <w:rsid w:val="002D1856"/>
    <w:rsid w:val="002D4063"/>
    <w:rsid w:val="002D6C02"/>
    <w:rsid w:val="002D6F6A"/>
    <w:rsid w:val="002D702A"/>
    <w:rsid w:val="002D73D4"/>
    <w:rsid w:val="002D73FE"/>
    <w:rsid w:val="002E00B8"/>
    <w:rsid w:val="002E023A"/>
    <w:rsid w:val="002E05E3"/>
    <w:rsid w:val="002E0CF1"/>
    <w:rsid w:val="002E131F"/>
    <w:rsid w:val="002E3A5F"/>
    <w:rsid w:val="002E3A69"/>
    <w:rsid w:val="002E3A88"/>
    <w:rsid w:val="002E3B8A"/>
    <w:rsid w:val="002E5DDC"/>
    <w:rsid w:val="002E6CBA"/>
    <w:rsid w:val="002E70C0"/>
    <w:rsid w:val="002E779E"/>
    <w:rsid w:val="002F0126"/>
    <w:rsid w:val="002F1C05"/>
    <w:rsid w:val="002F3E1E"/>
    <w:rsid w:val="002F5154"/>
    <w:rsid w:val="002F5668"/>
    <w:rsid w:val="002F6350"/>
    <w:rsid w:val="002F726F"/>
    <w:rsid w:val="002F7307"/>
    <w:rsid w:val="002F775E"/>
    <w:rsid w:val="003002FC"/>
    <w:rsid w:val="00301764"/>
    <w:rsid w:val="0030256A"/>
    <w:rsid w:val="003049E1"/>
    <w:rsid w:val="00304EE7"/>
    <w:rsid w:val="003064DC"/>
    <w:rsid w:val="0030763F"/>
    <w:rsid w:val="0030791A"/>
    <w:rsid w:val="00311D1C"/>
    <w:rsid w:val="00311FE2"/>
    <w:rsid w:val="00312912"/>
    <w:rsid w:val="00312B46"/>
    <w:rsid w:val="003135CA"/>
    <w:rsid w:val="00314E48"/>
    <w:rsid w:val="00315218"/>
    <w:rsid w:val="003169FF"/>
    <w:rsid w:val="0031704D"/>
    <w:rsid w:val="00317374"/>
    <w:rsid w:val="0031782B"/>
    <w:rsid w:val="00317903"/>
    <w:rsid w:val="00317929"/>
    <w:rsid w:val="00320797"/>
    <w:rsid w:val="00321351"/>
    <w:rsid w:val="003215D0"/>
    <w:rsid w:val="003219FF"/>
    <w:rsid w:val="00321B0F"/>
    <w:rsid w:val="00323327"/>
    <w:rsid w:val="003233D3"/>
    <w:rsid w:val="0032368B"/>
    <w:rsid w:val="00323B3C"/>
    <w:rsid w:val="00323B9B"/>
    <w:rsid w:val="00323EE0"/>
    <w:rsid w:val="003250B5"/>
    <w:rsid w:val="00325C3D"/>
    <w:rsid w:val="00327B00"/>
    <w:rsid w:val="00330EEC"/>
    <w:rsid w:val="00331614"/>
    <w:rsid w:val="003316A2"/>
    <w:rsid w:val="003316AA"/>
    <w:rsid w:val="00331951"/>
    <w:rsid w:val="00333612"/>
    <w:rsid w:val="00333F5A"/>
    <w:rsid w:val="00334464"/>
    <w:rsid w:val="00335143"/>
    <w:rsid w:val="0033520E"/>
    <w:rsid w:val="003355DB"/>
    <w:rsid w:val="003360C0"/>
    <w:rsid w:val="00337E3A"/>
    <w:rsid w:val="00341701"/>
    <w:rsid w:val="00341E1B"/>
    <w:rsid w:val="00342063"/>
    <w:rsid w:val="00343AFA"/>
    <w:rsid w:val="00345340"/>
    <w:rsid w:val="00345DC6"/>
    <w:rsid w:val="00347D7F"/>
    <w:rsid w:val="0035000C"/>
    <w:rsid w:val="0035054D"/>
    <w:rsid w:val="00350672"/>
    <w:rsid w:val="003520CF"/>
    <w:rsid w:val="00352130"/>
    <w:rsid w:val="00352629"/>
    <w:rsid w:val="00352961"/>
    <w:rsid w:val="00352F5E"/>
    <w:rsid w:val="003535C3"/>
    <w:rsid w:val="00355078"/>
    <w:rsid w:val="003554BE"/>
    <w:rsid w:val="00355BD8"/>
    <w:rsid w:val="0035755D"/>
    <w:rsid w:val="00357634"/>
    <w:rsid w:val="003607F7"/>
    <w:rsid w:val="0036156D"/>
    <w:rsid w:val="00361C08"/>
    <w:rsid w:val="00362C15"/>
    <w:rsid w:val="003635A5"/>
    <w:rsid w:val="003639F7"/>
    <w:rsid w:val="00363A88"/>
    <w:rsid w:val="00364D6D"/>
    <w:rsid w:val="003660EB"/>
    <w:rsid w:val="0036682B"/>
    <w:rsid w:val="00366A3F"/>
    <w:rsid w:val="00366D2F"/>
    <w:rsid w:val="00367050"/>
    <w:rsid w:val="0036779C"/>
    <w:rsid w:val="00370079"/>
    <w:rsid w:val="00370746"/>
    <w:rsid w:val="003714B5"/>
    <w:rsid w:val="003727AA"/>
    <w:rsid w:val="003730CA"/>
    <w:rsid w:val="003733A8"/>
    <w:rsid w:val="00373B52"/>
    <w:rsid w:val="00374236"/>
    <w:rsid w:val="00374A30"/>
    <w:rsid w:val="0037500F"/>
    <w:rsid w:val="00375EBC"/>
    <w:rsid w:val="00376B56"/>
    <w:rsid w:val="00377293"/>
    <w:rsid w:val="003773A5"/>
    <w:rsid w:val="003773CE"/>
    <w:rsid w:val="003773E1"/>
    <w:rsid w:val="0037755A"/>
    <w:rsid w:val="0037765D"/>
    <w:rsid w:val="0037791B"/>
    <w:rsid w:val="00380988"/>
    <w:rsid w:val="003810A2"/>
    <w:rsid w:val="00381168"/>
    <w:rsid w:val="003827D4"/>
    <w:rsid w:val="00382C45"/>
    <w:rsid w:val="00383BED"/>
    <w:rsid w:val="00385827"/>
    <w:rsid w:val="00385E4B"/>
    <w:rsid w:val="0038654B"/>
    <w:rsid w:val="00386A77"/>
    <w:rsid w:val="00386B6F"/>
    <w:rsid w:val="00387676"/>
    <w:rsid w:val="00387770"/>
    <w:rsid w:val="00390418"/>
    <w:rsid w:val="003906A3"/>
    <w:rsid w:val="00390901"/>
    <w:rsid w:val="00390A55"/>
    <w:rsid w:val="00390D6E"/>
    <w:rsid w:val="00391153"/>
    <w:rsid w:val="0039119C"/>
    <w:rsid w:val="00392149"/>
    <w:rsid w:val="00392690"/>
    <w:rsid w:val="00392DE4"/>
    <w:rsid w:val="0039363C"/>
    <w:rsid w:val="00393D4C"/>
    <w:rsid w:val="00394FFF"/>
    <w:rsid w:val="00396C19"/>
    <w:rsid w:val="003A1A8E"/>
    <w:rsid w:val="003A1C83"/>
    <w:rsid w:val="003A1CE5"/>
    <w:rsid w:val="003A1FAF"/>
    <w:rsid w:val="003A24EE"/>
    <w:rsid w:val="003A4F37"/>
    <w:rsid w:val="003A6060"/>
    <w:rsid w:val="003A797D"/>
    <w:rsid w:val="003A7E53"/>
    <w:rsid w:val="003B03F9"/>
    <w:rsid w:val="003B0499"/>
    <w:rsid w:val="003B14CC"/>
    <w:rsid w:val="003B16BA"/>
    <w:rsid w:val="003B25CE"/>
    <w:rsid w:val="003B436D"/>
    <w:rsid w:val="003B4CAB"/>
    <w:rsid w:val="003B6267"/>
    <w:rsid w:val="003B76FC"/>
    <w:rsid w:val="003C01E5"/>
    <w:rsid w:val="003C1D2A"/>
    <w:rsid w:val="003C1E0B"/>
    <w:rsid w:val="003C2AF5"/>
    <w:rsid w:val="003C36AD"/>
    <w:rsid w:val="003C4FF3"/>
    <w:rsid w:val="003C5BF9"/>
    <w:rsid w:val="003C6429"/>
    <w:rsid w:val="003C6DB2"/>
    <w:rsid w:val="003C7068"/>
    <w:rsid w:val="003C7A1D"/>
    <w:rsid w:val="003D1587"/>
    <w:rsid w:val="003D1C4D"/>
    <w:rsid w:val="003D302B"/>
    <w:rsid w:val="003D32A3"/>
    <w:rsid w:val="003D38BA"/>
    <w:rsid w:val="003D44D8"/>
    <w:rsid w:val="003D4675"/>
    <w:rsid w:val="003D6965"/>
    <w:rsid w:val="003E04A9"/>
    <w:rsid w:val="003E0849"/>
    <w:rsid w:val="003E1E30"/>
    <w:rsid w:val="003E2182"/>
    <w:rsid w:val="003E333B"/>
    <w:rsid w:val="003E37E5"/>
    <w:rsid w:val="003E3BF0"/>
    <w:rsid w:val="003E4056"/>
    <w:rsid w:val="003E44EB"/>
    <w:rsid w:val="003E4507"/>
    <w:rsid w:val="003E54FB"/>
    <w:rsid w:val="003E5587"/>
    <w:rsid w:val="003E571E"/>
    <w:rsid w:val="003E5FB3"/>
    <w:rsid w:val="003E6E74"/>
    <w:rsid w:val="003E6F20"/>
    <w:rsid w:val="003E7AEF"/>
    <w:rsid w:val="003F101A"/>
    <w:rsid w:val="003F15CD"/>
    <w:rsid w:val="003F2112"/>
    <w:rsid w:val="003F3F4E"/>
    <w:rsid w:val="003F4963"/>
    <w:rsid w:val="003F51D0"/>
    <w:rsid w:val="003F5810"/>
    <w:rsid w:val="003F5F57"/>
    <w:rsid w:val="003F6082"/>
    <w:rsid w:val="003F60E2"/>
    <w:rsid w:val="003F6180"/>
    <w:rsid w:val="003F6452"/>
    <w:rsid w:val="003F659B"/>
    <w:rsid w:val="003F7825"/>
    <w:rsid w:val="003F7D6D"/>
    <w:rsid w:val="0040044F"/>
    <w:rsid w:val="00400942"/>
    <w:rsid w:val="00400AAA"/>
    <w:rsid w:val="0040108E"/>
    <w:rsid w:val="004019B0"/>
    <w:rsid w:val="00402C0A"/>
    <w:rsid w:val="004039CF"/>
    <w:rsid w:val="00403F19"/>
    <w:rsid w:val="00404DF2"/>
    <w:rsid w:val="00404F09"/>
    <w:rsid w:val="0040537E"/>
    <w:rsid w:val="00405A3C"/>
    <w:rsid w:val="00407458"/>
    <w:rsid w:val="00407A64"/>
    <w:rsid w:val="004100F4"/>
    <w:rsid w:val="00410282"/>
    <w:rsid w:val="0041072B"/>
    <w:rsid w:val="00411E24"/>
    <w:rsid w:val="004126E0"/>
    <w:rsid w:val="00415A8A"/>
    <w:rsid w:val="00415CBE"/>
    <w:rsid w:val="00415D23"/>
    <w:rsid w:val="004161D1"/>
    <w:rsid w:val="00416645"/>
    <w:rsid w:val="00416864"/>
    <w:rsid w:val="00416D19"/>
    <w:rsid w:val="0041780A"/>
    <w:rsid w:val="00417A6E"/>
    <w:rsid w:val="00417BC7"/>
    <w:rsid w:val="00417E88"/>
    <w:rsid w:val="00420C05"/>
    <w:rsid w:val="00420E6D"/>
    <w:rsid w:val="004211C4"/>
    <w:rsid w:val="00421C2B"/>
    <w:rsid w:val="004223C5"/>
    <w:rsid w:val="0042307D"/>
    <w:rsid w:val="004237BE"/>
    <w:rsid w:val="00423B8C"/>
    <w:rsid w:val="00423FF8"/>
    <w:rsid w:val="00426294"/>
    <w:rsid w:val="00426B59"/>
    <w:rsid w:val="0042715C"/>
    <w:rsid w:val="00427EEC"/>
    <w:rsid w:val="004310A8"/>
    <w:rsid w:val="00431381"/>
    <w:rsid w:val="004313CD"/>
    <w:rsid w:val="00431502"/>
    <w:rsid w:val="0043170A"/>
    <w:rsid w:val="004321AD"/>
    <w:rsid w:val="00432D5F"/>
    <w:rsid w:val="00432EA8"/>
    <w:rsid w:val="004338B0"/>
    <w:rsid w:val="00434745"/>
    <w:rsid w:val="0043632B"/>
    <w:rsid w:val="00441BE1"/>
    <w:rsid w:val="00441FA2"/>
    <w:rsid w:val="004424AF"/>
    <w:rsid w:val="004425B4"/>
    <w:rsid w:val="00442945"/>
    <w:rsid w:val="00442AA4"/>
    <w:rsid w:val="00443251"/>
    <w:rsid w:val="0044358F"/>
    <w:rsid w:val="0044399C"/>
    <w:rsid w:val="00444061"/>
    <w:rsid w:val="004441B5"/>
    <w:rsid w:val="0044427D"/>
    <w:rsid w:val="004451E6"/>
    <w:rsid w:val="004460F3"/>
    <w:rsid w:val="0044663D"/>
    <w:rsid w:val="0044683C"/>
    <w:rsid w:val="0045012A"/>
    <w:rsid w:val="004511E3"/>
    <w:rsid w:val="00453782"/>
    <w:rsid w:val="00453849"/>
    <w:rsid w:val="004542CB"/>
    <w:rsid w:val="0045480C"/>
    <w:rsid w:val="00454D19"/>
    <w:rsid w:val="00455612"/>
    <w:rsid w:val="00460038"/>
    <w:rsid w:val="0046010D"/>
    <w:rsid w:val="0046069B"/>
    <w:rsid w:val="004607F9"/>
    <w:rsid w:val="00460B47"/>
    <w:rsid w:val="00460F46"/>
    <w:rsid w:val="00461338"/>
    <w:rsid w:val="00461382"/>
    <w:rsid w:val="00462552"/>
    <w:rsid w:val="004630FD"/>
    <w:rsid w:val="0046401C"/>
    <w:rsid w:val="00464999"/>
    <w:rsid w:val="004658CB"/>
    <w:rsid w:val="00465A0C"/>
    <w:rsid w:val="004667AD"/>
    <w:rsid w:val="004668B1"/>
    <w:rsid w:val="004670CE"/>
    <w:rsid w:val="00471C43"/>
    <w:rsid w:val="00472037"/>
    <w:rsid w:val="00473549"/>
    <w:rsid w:val="0047382F"/>
    <w:rsid w:val="00473AFE"/>
    <w:rsid w:val="00474D40"/>
    <w:rsid w:val="00474DB3"/>
    <w:rsid w:val="0047507D"/>
    <w:rsid w:val="00476EE9"/>
    <w:rsid w:val="004776DB"/>
    <w:rsid w:val="00477F37"/>
    <w:rsid w:val="00481B35"/>
    <w:rsid w:val="0048235F"/>
    <w:rsid w:val="00482CF4"/>
    <w:rsid w:val="00483728"/>
    <w:rsid w:val="004845DF"/>
    <w:rsid w:val="004849C7"/>
    <w:rsid w:val="004851F9"/>
    <w:rsid w:val="0049006E"/>
    <w:rsid w:val="0049015B"/>
    <w:rsid w:val="004918CC"/>
    <w:rsid w:val="00492569"/>
    <w:rsid w:val="00492EA5"/>
    <w:rsid w:val="004946A1"/>
    <w:rsid w:val="00494B71"/>
    <w:rsid w:val="004962AD"/>
    <w:rsid w:val="004974CC"/>
    <w:rsid w:val="004A381A"/>
    <w:rsid w:val="004A44AE"/>
    <w:rsid w:val="004A4C5E"/>
    <w:rsid w:val="004A5D0F"/>
    <w:rsid w:val="004A6E1F"/>
    <w:rsid w:val="004A7AB9"/>
    <w:rsid w:val="004A7B48"/>
    <w:rsid w:val="004B1083"/>
    <w:rsid w:val="004B2FCE"/>
    <w:rsid w:val="004B3258"/>
    <w:rsid w:val="004B339D"/>
    <w:rsid w:val="004B411D"/>
    <w:rsid w:val="004B4880"/>
    <w:rsid w:val="004B522D"/>
    <w:rsid w:val="004B580C"/>
    <w:rsid w:val="004B6147"/>
    <w:rsid w:val="004B6214"/>
    <w:rsid w:val="004B6278"/>
    <w:rsid w:val="004B7182"/>
    <w:rsid w:val="004B74DD"/>
    <w:rsid w:val="004B7850"/>
    <w:rsid w:val="004C0519"/>
    <w:rsid w:val="004C084D"/>
    <w:rsid w:val="004C0F35"/>
    <w:rsid w:val="004C193F"/>
    <w:rsid w:val="004C1E29"/>
    <w:rsid w:val="004C2023"/>
    <w:rsid w:val="004C2C02"/>
    <w:rsid w:val="004C36C7"/>
    <w:rsid w:val="004C4656"/>
    <w:rsid w:val="004C49F4"/>
    <w:rsid w:val="004C5351"/>
    <w:rsid w:val="004C5697"/>
    <w:rsid w:val="004C5836"/>
    <w:rsid w:val="004C6035"/>
    <w:rsid w:val="004C6194"/>
    <w:rsid w:val="004C6E98"/>
    <w:rsid w:val="004D067C"/>
    <w:rsid w:val="004D072B"/>
    <w:rsid w:val="004D0C9D"/>
    <w:rsid w:val="004D1634"/>
    <w:rsid w:val="004D1A3A"/>
    <w:rsid w:val="004D3FCF"/>
    <w:rsid w:val="004D5837"/>
    <w:rsid w:val="004D5C9E"/>
    <w:rsid w:val="004D7796"/>
    <w:rsid w:val="004E1166"/>
    <w:rsid w:val="004E33E6"/>
    <w:rsid w:val="004E355E"/>
    <w:rsid w:val="004E3A33"/>
    <w:rsid w:val="004E3FCB"/>
    <w:rsid w:val="004E4947"/>
    <w:rsid w:val="004E5558"/>
    <w:rsid w:val="004E628E"/>
    <w:rsid w:val="004F0179"/>
    <w:rsid w:val="004F07B4"/>
    <w:rsid w:val="004F0E55"/>
    <w:rsid w:val="004F1A17"/>
    <w:rsid w:val="004F2179"/>
    <w:rsid w:val="004F2F65"/>
    <w:rsid w:val="004F4107"/>
    <w:rsid w:val="004F4817"/>
    <w:rsid w:val="004F4CE8"/>
    <w:rsid w:val="004F5E5D"/>
    <w:rsid w:val="005005CA"/>
    <w:rsid w:val="00503F0C"/>
    <w:rsid w:val="005049C2"/>
    <w:rsid w:val="00505000"/>
    <w:rsid w:val="00505F35"/>
    <w:rsid w:val="00506243"/>
    <w:rsid w:val="0051007B"/>
    <w:rsid w:val="005109B4"/>
    <w:rsid w:val="00510FF3"/>
    <w:rsid w:val="0051101A"/>
    <w:rsid w:val="005110F6"/>
    <w:rsid w:val="005123B0"/>
    <w:rsid w:val="00512C46"/>
    <w:rsid w:val="005133F8"/>
    <w:rsid w:val="00516E05"/>
    <w:rsid w:val="0051736C"/>
    <w:rsid w:val="0051783C"/>
    <w:rsid w:val="00520213"/>
    <w:rsid w:val="00521398"/>
    <w:rsid w:val="005216F4"/>
    <w:rsid w:val="00521CF7"/>
    <w:rsid w:val="005230ED"/>
    <w:rsid w:val="005238A4"/>
    <w:rsid w:val="00523F17"/>
    <w:rsid w:val="005241CD"/>
    <w:rsid w:val="00524DC0"/>
    <w:rsid w:val="00525CF8"/>
    <w:rsid w:val="00527504"/>
    <w:rsid w:val="0052792F"/>
    <w:rsid w:val="00527D7D"/>
    <w:rsid w:val="00530019"/>
    <w:rsid w:val="00530C83"/>
    <w:rsid w:val="0053165F"/>
    <w:rsid w:val="005324E4"/>
    <w:rsid w:val="0053342C"/>
    <w:rsid w:val="00533A96"/>
    <w:rsid w:val="005355C1"/>
    <w:rsid w:val="005360E0"/>
    <w:rsid w:val="0053718C"/>
    <w:rsid w:val="00537E7F"/>
    <w:rsid w:val="0054056B"/>
    <w:rsid w:val="00541337"/>
    <w:rsid w:val="00541E82"/>
    <w:rsid w:val="00542409"/>
    <w:rsid w:val="0054258E"/>
    <w:rsid w:val="00543761"/>
    <w:rsid w:val="0054384F"/>
    <w:rsid w:val="005438A9"/>
    <w:rsid w:val="00543A5B"/>
    <w:rsid w:val="00544669"/>
    <w:rsid w:val="0054546A"/>
    <w:rsid w:val="00546F61"/>
    <w:rsid w:val="00547251"/>
    <w:rsid w:val="00550481"/>
    <w:rsid w:val="00550683"/>
    <w:rsid w:val="00551490"/>
    <w:rsid w:val="00551BCD"/>
    <w:rsid w:val="00551CEA"/>
    <w:rsid w:val="00552194"/>
    <w:rsid w:val="00552507"/>
    <w:rsid w:val="0055255E"/>
    <w:rsid w:val="00555A2D"/>
    <w:rsid w:val="0055608D"/>
    <w:rsid w:val="00556248"/>
    <w:rsid w:val="005567A5"/>
    <w:rsid w:val="005600B6"/>
    <w:rsid w:val="0056070C"/>
    <w:rsid w:val="0056129C"/>
    <w:rsid w:val="00561DE3"/>
    <w:rsid w:val="00562825"/>
    <w:rsid w:val="00562CB9"/>
    <w:rsid w:val="00563609"/>
    <w:rsid w:val="00563C9B"/>
    <w:rsid w:val="005651DF"/>
    <w:rsid w:val="0056536A"/>
    <w:rsid w:val="005669E9"/>
    <w:rsid w:val="00567C7B"/>
    <w:rsid w:val="005713D9"/>
    <w:rsid w:val="00573793"/>
    <w:rsid w:val="00573BFA"/>
    <w:rsid w:val="0057417D"/>
    <w:rsid w:val="00576042"/>
    <w:rsid w:val="00576110"/>
    <w:rsid w:val="00576136"/>
    <w:rsid w:val="00577870"/>
    <w:rsid w:val="0058030A"/>
    <w:rsid w:val="0058170B"/>
    <w:rsid w:val="00581D96"/>
    <w:rsid w:val="00584303"/>
    <w:rsid w:val="00584D60"/>
    <w:rsid w:val="0058516E"/>
    <w:rsid w:val="005851F3"/>
    <w:rsid w:val="00586659"/>
    <w:rsid w:val="00586D56"/>
    <w:rsid w:val="00587298"/>
    <w:rsid w:val="005904F0"/>
    <w:rsid w:val="00590CD1"/>
    <w:rsid w:val="00592D2A"/>
    <w:rsid w:val="0059415A"/>
    <w:rsid w:val="00594EC0"/>
    <w:rsid w:val="00595493"/>
    <w:rsid w:val="005A1204"/>
    <w:rsid w:val="005A2ABF"/>
    <w:rsid w:val="005A5F79"/>
    <w:rsid w:val="005A5F8B"/>
    <w:rsid w:val="005A72E5"/>
    <w:rsid w:val="005A7A1D"/>
    <w:rsid w:val="005A7AEA"/>
    <w:rsid w:val="005B06D3"/>
    <w:rsid w:val="005B0BE5"/>
    <w:rsid w:val="005B1CAE"/>
    <w:rsid w:val="005B214C"/>
    <w:rsid w:val="005B2527"/>
    <w:rsid w:val="005B2632"/>
    <w:rsid w:val="005B33BF"/>
    <w:rsid w:val="005B3815"/>
    <w:rsid w:val="005B4E15"/>
    <w:rsid w:val="005B5A7C"/>
    <w:rsid w:val="005B7348"/>
    <w:rsid w:val="005B79A8"/>
    <w:rsid w:val="005C0C02"/>
    <w:rsid w:val="005C0E14"/>
    <w:rsid w:val="005C14DC"/>
    <w:rsid w:val="005C21FF"/>
    <w:rsid w:val="005C3BA3"/>
    <w:rsid w:val="005C4719"/>
    <w:rsid w:val="005C486A"/>
    <w:rsid w:val="005C528A"/>
    <w:rsid w:val="005C53AD"/>
    <w:rsid w:val="005C5B8B"/>
    <w:rsid w:val="005C5C66"/>
    <w:rsid w:val="005C62AB"/>
    <w:rsid w:val="005C7C3E"/>
    <w:rsid w:val="005C7C54"/>
    <w:rsid w:val="005D0271"/>
    <w:rsid w:val="005D03FC"/>
    <w:rsid w:val="005D1EE1"/>
    <w:rsid w:val="005D2E94"/>
    <w:rsid w:val="005D32B9"/>
    <w:rsid w:val="005D3FF4"/>
    <w:rsid w:val="005D4094"/>
    <w:rsid w:val="005D4866"/>
    <w:rsid w:val="005D50B8"/>
    <w:rsid w:val="005E0B12"/>
    <w:rsid w:val="005E2911"/>
    <w:rsid w:val="005E3267"/>
    <w:rsid w:val="005E37AB"/>
    <w:rsid w:val="005E3CB5"/>
    <w:rsid w:val="005E645C"/>
    <w:rsid w:val="005E7A4E"/>
    <w:rsid w:val="005F0D9A"/>
    <w:rsid w:val="005F265C"/>
    <w:rsid w:val="005F328D"/>
    <w:rsid w:val="005F34DC"/>
    <w:rsid w:val="005F3DE4"/>
    <w:rsid w:val="005F3E1C"/>
    <w:rsid w:val="005F3F5F"/>
    <w:rsid w:val="005F472D"/>
    <w:rsid w:val="005F4F61"/>
    <w:rsid w:val="005F78D5"/>
    <w:rsid w:val="0060096E"/>
    <w:rsid w:val="00600A38"/>
    <w:rsid w:val="00600F75"/>
    <w:rsid w:val="006020B2"/>
    <w:rsid w:val="006026B5"/>
    <w:rsid w:val="00602AF5"/>
    <w:rsid w:val="00603A0D"/>
    <w:rsid w:val="00604420"/>
    <w:rsid w:val="00604D8B"/>
    <w:rsid w:val="0060572C"/>
    <w:rsid w:val="00605E01"/>
    <w:rsid w:val="00605FB4"/>
    <w:rsid w:val="00610392"/>
    <w:rsid w:val="006107B7"/>
    <w:rsid w:val="006130F4"/>
    <w:rsid w:val="00614329"/>
    <w:rsid w:val="006147E7"/>
    <w:rsid w:val="006148C0"/>
    <w:rsid w:val="0061506A"/>
    <w:rsid w:val="006156B1"/>
    <w:rsid w:val="00615D13"/>
    <w:rsid w:val="00615F86"/>
    <w:rsid w:val="00616603"/>
    <w:rsid w:val="00620A41"/>
    <w:rsid w:val="00621166"/>
    <w:rsid w:val="0062163B"/>
    <w:rsid w:val="00621C81"/>
    <w:rsid w:val="0062339E"/>
    <w:rsid w:val="00623D09"/>
    <w:rsid w:val="00623DFC"/>
    <w:rsid w:val="0062440C"/>
    <w:rsid w:val="00624524"/>
    <w:rsid w:val="0062472F"/>
    <w:rsid w:val="00625550"/>
    <w:rsid w:val="00626629"/>
    <w:rsid w:val="00627474"/>
    <w:rsid w:val="00627610"/>
    <w:rsid w:val="00630DA0"/>
    <w:rsid w:val="00632B09"/>
    <w:rsid w:val="00633555"/>
    <w:rsid w:val="00633D90"/>
    <w:rsid w:val="00633EC2"/>
    <w:rsid w:val="006347A2"/>
    <w:rsid w:val="00634E5B"/>
    <w:rsid w:val="00635711"/>
    <w:rsid w:val="00635DBA"/>
    <w:rsid w:val="00635EA4"/>
    <w:rsid w:val="00637445"/>
    <w:rsid w:val="00641F14"/>
    <w:rsid w:val="00642501"/>
    <w:rsid w:val="0064308A"/>
    <w:rsid w:val="00643FD1"/>
    <w:rsid w:val="00644099"/>
    <w:rsid w:val="00644E89"/>
    <w:rsid w:val="00645F55"/>
    <w:rsid w:val="00646A25"/>
    <w:rsid w:val="006476B7"/>
    <w:rsid w:val="006510E8"/>
    <w:rsid w:val="006516DC"/>
    <w:rsid w:val="00651C53"/>
    <w:rsid w:val="0065308D"/>
    <w:rsid w:val="00654004"/>
    <w:rsid w:val="0065443A"/>
    <w:rsid w:val="006600B9"/>
    <w:rsid w:val="0066164D"/>
    <w:rsid w:val="00661C1D"/>
    <w:rsid w:val="00661D5F"/>
    <w:rsid w:val="00662E06"/>
    <w:rsid w:val="00662FB6"/>
    <w:rsid w:val="00663CF3"/>
    <w:rsid w:val="00664193"/>
    <w:rsid w:val="006647FA"/>
    <w:rsid w:val="00664E12"/>
    <w:rsid w:val="0066518D"/>
    <w:rsid w:val="006653DB"/>
    <w:rsid w:val="00666349"/>
    <w:rsid w:val="006665F2"/>
    <w:rsid w:val="00666FE8"/>
    <w:rsid w:val="006671DE"/>
    <w:rsid w:val="006704EB"/>
    <w:rsid w:val="0067089D"/>
    <w:rsid w:val="00671C63"/>
    <w:rsid w:val="006723D5"/>
    <w:rsid w:val="006726D4"/>
    <w:rsid w:val="0067287C"/>
    <w:rsid w:val="00672D10"/>
    <w:rsid w:val="006733E5"/>
    <w:rsid w:val="006736C1"/>
    <w:rsid w:val="00674496"/>
    <w:rsid w:val="00674497"/>
    <w:rsid w:val="006744CD"/>
    <w:rsid w:val="0067499E"/>
    <w:rsid w:val="006756EF"/>
    <w:rsid w:val="00676BD2"/>
    <w:rsid w:val="00677784"/>
    <w:rsid w:val="0068018B"/>
    <w:rsid w:val="00680B45"/>
    <w:rsid w:val="006810F1"/>
    <w:rsid w:val="00681A38"/>
    <w:rsid w:val="00681D83"/>
    <w:rsid w:val="00682F92"/>
    <w:rsid w:val="006847D7"/>
    <w:rsid w:val="006856B6"/>
    <w:rsid w:val="0068609C"/>
    <w:rsid w:val="00686B0B"/>
    <w:rsid w:val="0068706D"/>
    <w:rsid w:val="006874D8"/>
    <w:rsid w:val="00687F19"/>
    <w:rsid w:val="00690638"/>
    <w:rsid w:val="00691076"/>
    <w:rsid w:val="00691098"/>
    <w:rsid w:val="00691980"/>
    <w:rsid w:val="00693E86"/>
    <w:rsid w:val="00694648"/>
    <w:rsid w:val="0069481D"/>
    <w:rsid w:val="00694B5F"/>
    <w:rsid w:val="00694C91"/>
    <w:rsid w:val="00695104"/>
    <w:rsid w:val="00696109"/>
    <w:rsid w:val="00696144"/>
    <w:rsid w:val="00696684"/>
    <w:rsid w:val="00696B27"/>
    <w:rsid w:val="006A10C7"/>
    <w:rsid w:val="006A10D8"/>
    <w:rsid w:val="006A10EF"/>
    <w:rsid w:val="006A1B03"/>
    <w:rsid w:val="006A2518"/>
    <w:rsid w:val="006A39AF"/>
    <w:rsid w:val="006A40CB"/>
    <w:rsid w:val="006A46F3"/>
    <w:rsid w:val="006A5308"/>
    <w:rsid w:val="006A577F"/>
    <w:rsid w:val="006A6B2B"/>
    <w:rsid w:val="006A753C"/>
    <w:rsid w:val="006B0351"/>
    <w:rsid w:val="006B0578"/>
    <w:rsid w:val="006B2A74"/>
    <w:rsid w:val="006B2C55"/>
    <w:rsid w:val="006B32A5"/>
    <w:rsid w:val="006B5339"/>
    <w:rsid w:val="006B5367"/>
    <w:rsid w:val="006B54DA"/>
    <w:rsid w:val="006B5D9B"/>
    <w:rsid w:val="006B5EF9"/>
    <w:rsid w:val="006B66C8"/>
    <w:rsid w:val="006B705F"/>
    <w:rsid w:val="006B7579"/>
    <w:rsid w:val="006B7FDD"/>
    <w:rsid w:val="006C012F"/>
    <w:rsid w:val="006C05A8"/>
    <w:rsid w:val="006C0731"/>
    <w:rsid w:val="006C1DF0"/>
    <w:rsid w:val="006C5277"/>
    <w:rsid w:val="006C61AA"/>
    <w:rsid w:val="006C6996"/>
    <w:rsid w:val="006D2000"/>
    <w:rsid w:val="006D3D6F"/>
    <w:rsid w:val="006D5E67"/>
    <w:rsid w:val="006D6704"/>
    <w:rsid w:val="006D693D"/>
    <w:rsid w:val="006E06DF"/>
    <w:rsid w:val="006E08DB"/>
    <w:rsid w:val="006E13F6"/>
    <w:rsid w:val="006E17C0"/>
    <w:rsid w:val="006E188C"/>
    <w:rsid w:val="006E190E"/>
    <w:rsid w:val="006E19E5"/>
    <w:rsid w:val="006E1FBF"/>
    <w:rsid w:val="006E37EA"/>
    <w:rsid w:val="006E3D4E"/>
    <w:rsid w:val="006E49ED"/>
    <w:rsid w:val="006E5612"/>
    <w:rsid w:val="006E56B3"/>
    <w:rsid w:val="006E6620"/>
    <w:rsid w:val="006E7385"/>
    <w:rsid w:val="006E7B1E"/>
    <w:rsid w:val="006F0A3E"/>
    <w:rsid w:val="006F1BBF"/>
    <w:rsid w:val="006F20E6"/>
    <w:rsid w:val="006F258F"/>
    <w:rsid w:val="006F2DED"/>
    <w:rsid w:val="006F3ACD"/>
    <w:rsid w:val="006F3E63"/>
    <w:rsid w:val="006F46C4"/>
    <w:rsid w:val="006F62AF"/>
    <w:rsid w:val="006F7536"/>
    <w:rsid w:val="0070173D"/>
    <w:rsid w:val="0070339D"/>
    <w:rsid w:val="007033FB"/>
    <w:rsid w:val="007040AD"/>
    <w:rsid w:val="00705C81"/>
    <w:rsid w:val="00705D76"/>
    <w:rsid w:val="0070660A"/>
    <w:rsid w:val="007068A4"/>
    <w:rsid w:val="00707CF0"/>
    <w:rsid w:val="00707F3F"/>
    <w:rsid w:val="00711531"/>
    <w:rsid w:val="00712C7E"/>
    <w:rsid w:val="00712D53"/>
    <w:rsid w:val="007132EF"/>
    <w:rsid w:val="007136B0"/>
    <w:rsid w:val="00714D93"/>
    <w:rsid w:val="00716395"/>
    <w:rsid w:val="00716C51"/>
    <w:rsid w:val="00716CC4"/>
    <w:rsid w:val="00716E17"/>
    <w:rsid w:val="007176FE"/>
    <w:rsid w:val="0071790B"/>
    <w:rsid w:val="00717D6B"/>
    <w:rsid w:val="00721CC5"/>
    <w:rsid w:val="00721D24"/>
    <w:rsid w:val="00722543"/>
    <w:rsid w:val="007230A0"/>
    <w:rsid w:val="00723224"/>
    <w:rsid w:val="0072329B"/>
    <w:rsid w:val="00723C85"/>
    <w:rsid w:val="00725FB7"/>
    <w:rsid w:val="00726199"/>
    <w:rsid w:val="007272AF"/>
    <w:rsid w:val="007272F7"/>
    <w:rsid w:val="00730B1B"/>
    <w:rsid w:val="007312DA"/>
    <w:rsid w:val="0073162E"/>
    <w:rsid w:val="00731D13"/>
    <w:rsid w:val="00732771"/>
    <w:rsid w:val="007349FD"/>
    <w:rsid w:val="00734A42"/>
    <w:rsid w:val="00737C5E"/>
    <w:rsid w:val="00737D64"/>
    <w:rsid w:val="00740DCB"/>
    <w:rsid w:val="007424E4"/>
    <w:rsid w:val="00742777"/>
    <w:rsid w:val="00742D47"/>
    <w:rsid w:val="00743AB1"/>
    <w:rsid w:val="00743E21"/>
    <w:rsid w:val="0074550E"/>
    <w:rsid w:val="00745A35"/>
    <w:rsid w:val="00745A48"/>
    <w:rsid w:val="00745B06"/>
    <w:rsid w:val="00745C40"/>
    <w:rsid w:val="007471FA"/>
    <w:rsid w:val="00747369"/>
    <w:rsid w:val="007473D8"/>
    <w:rsid w:val="00747C72"/>
    <w:rsid w:val="007500CF"/>
    <w:rsid w:val="00750850"/>
    <w:rsid w:val="00750D66"/>
    <w:rsid w:val="00751160"/>
    <w:rsid w:val="00752854"/>
    <w:rsid w:val="007535AE"/>
    <w:rsid w:val="00754C61"/>
    <w:rsid w:val="00754F7F"/>
    <w:rsid w:val="00755347"/>
    <w:rsid w:val="00755C51"/>
    <w:rsid w:val="00755C99"/>
    <w:rsid w:val="00756853"/>
    <w:rsid w:val="007568B6"/>
    <w:rsid w:val="007571A1"/>
    <w:rsid w:val="00757DCD"/>
    <w:rsid w:val="00760288"/>
    <w:rsid w:val="00760490"/>
    <w:rsid w:val="00760A2B"/>
    <w:rsid w:val="007618D8"/>
    <w:rsid w:val="0076208F"/>
    <w:rsid w:val="007625DB"/>
    <w:rsid w:val="00762EF7"/>
    <w:rsid w:val="00763199"/>
    <w:rsid w:val="0076430C"/>
    <w:rsid w:val="00764A1D"/>
    <w:rsid w:val="00764DD4"/>
    <w:rsid w:val="00764F2B"/>
    <w:rsid w:val="00765C55"/>
    <w:rsid w:val="007666F9"/>
    <w:rsid w:val="007709DA"/>
    <w:rsid w:val="00770ABF"/>
    <w:rsid w:val="00770BAD"/>
    <w:rsid w:val="007719B5"/>
    <w:rsid w:val="00771D46"/>
    <w:rsid w:val="00772869"/>
    <w:rsid w:val="00772C02"/>
    <w:rsid w:val="00772F8D"/>
    <w:rsid w:val="00773132"/>
    <w:rsid w:val="00773831"/>
    <w:rsid w:val="00773B01"/>
    <w:rsid w:val="00774875"/>
    <w:rsid w:val="00774E2D"/>
    <w:rsid w:val="00774F6E"/>
    <w:rsid w:val="007802A7"/>
    <w:rsid w:val="00780F12"/>
    <w:rsid w:val="007813CF"/>
    <w:rsid w:val="0078213C"/>
    <w:rsid w:val="0078237E"/>
    <w:rsid w:val="00782936"/>
    <w:rsid w:val="0078381E"/>
    <w:rsid w:val="007844C8"/>
    <w:rsid w:val="0078470F"/>
    <w:rsid w:val="007855F1"/>
    <w:rsid w:val="00785690"/>
    <w:rsid w:val="007903F8"/>
    <w:rsid w:val="00790432"/>
    <w:rsid w:val="007904B9"/>
    <w:rsid w:val="007907E1"/>
    <w:rsid w:val="00790808"/>
    <w:rsid w:val="00790FA5"/>
    <w:rsid w:val="00791822"/>
    <w:rsid w:val="007930D5"/>
    <w:rsid w:val="007936DC"/>
    <w:rsid w:val="007936EA"/>
    <w:rsid w:val="007971A4"/>
    <w:rsid w:val="007974FA"/>
    <w:rsid w:val="00797555"/>
    <w:rsid w:val="00797F1D"/>
    <w:rsid w:val="007A0AC9"/>
    <w:rsid w:val="007A1FAF"/>
    <w:rsid w:val="007A2F88"/>
    <w:rsid w:val="007A3752"/>
    <w:rsid w:val="007A38B9"/>
    <w:rsid w:val="007A427A"/>
    <w:rsid w:val="007A45AA"/>
    <w:rsid w:val="007A4B5E"/>
    <w:rsid w:val="007A59E3"/>
    <w:rsid w:val="007A5F57"/>
    <w:rsid w:val="007A6174"/>
    <w:rsid w:val="007A6A9E"/>
    <w:rsid w:val="007A7059"/>
    <w:rsid w:val="007B13EC"/>
    <w:rsid w:val="007B233C"/>
    <w:rsid w:val="007B2825"/>
    <w:rsid w:val="007B31B9"/>
    <w:rsid w:val="007B462B"/>
    <w:rsid w:val="007B57F4"/>
    <w:rsid w:val="007B78B0"/>
    <w:rsid w:val="007B7E15"/>
    <w:rsid w:val="007C0309"/>
    <w:rsid w:val="007C03E0"/>
    <w:rsid w:val="007C0935"/>
    <w:rsid w:val="007C1BF5"/>
    <w:rsid w:val="007C1F01"/>
    <w:rsid w:val="007C27E1"/>
    <w:rsid w:val="007C31F9"/>
    <w:rsid w:val="007C3DE6"/>
    <w:rsid w:val="007C4012"/>
    <w:rsid w:val="007C460F"/>
    <w:rsid w:val="007C49DF"/>
    <w:rsid w:val="007C4CB0"/>
    <w:rsid w:val="007C57AA"/>
    <w:rsid w:val="007D2649"/>
    <w:rsid w:val="007D269D"/>
    <w:rsid w:val="007D3189"/>
    <w:rsid w:val="007D4838"/>
    <w:rsid w:val="007D51D1"/>
    <w:rsid w:val="007D548E"/>
    <w:rsid w:val="007D6896"/>
    <w:rsid w:val="007D7E77"/>
    <w:rsid w:val="007E022F"/>
    <w:rsid w:val="007E0419"/>
    <w:rsid w:val="007E0A1D"/>
    <w:rsid w:val="007E19D9"/>
    <w:rsid w:val="007E3F20"/>
    <w:rsid w:val="007E4803"/>
    <w:rsid w:val="007E4E45"/>
    <w:rsid w:val="007E61C8"/>
    <w:rsid w:val="007E62E8"/>
    <w:rsid w:val="007E6894"/>
    <w:rsid w:val="007E7E6F"/>
    <w:rsid w:val="007F0E76"/>
    <w:rsid w:val="007F1A84"/>
    <w:rsid w:val="007F411B"/>
    <w:rsid w:val="007F4373"/>
    <w:rsid w:val="007F5CC6"/>
    <w:rsid w:val="007F5DA7"/>
    <w:rsid w:val="007F6DD8"/>
    <w:rsid w:val="007F7A3F"/>
    <w:rsid w:val="00800E1B"/>
    <w:rsid w:val="008011CA"/>
    <w:rsid w:val="00802115"/>
    <w:rsid w:val="0080297F"/>
    <w:rsid w:val="00802AEB"/>
    <w:rsid w:val="00804AA7"/>
    <w:rsid w:val="008050D4"/>
    <w:rsid w:val="00805C97"/>
    <w:rsid w:val="00807409"/>
    <w:rsid w:val="00810D7D"/>
    <w:rsid w:val="0081224C"/>
    <w:rsid w:val="008122F0"/>
    <w:rsid w:val="0081255C"/>
    <w:rsid w:val="008130BC"/>
    <w:rsid w:val="008139AE"/>
    <w:rsid w:val="00814482"/>
    <w:rsid w:val="00814613"/>
    <w:rsid w:val="00815814"/>
    <w:rsid w:val="0081713C"/>
    <w:rsid w:val="00817A3E"/>
    <w:rsid w:val="00817E38"/>
    <w:rsid w:val="008203A0"/>
    <w:rsid w:val="0082098C"/>
    <w:rsid w:val="00821049"/>
    <w:rsid w:val="008221ED"/>
    <w:rsid w:val="0082324A"/>
    <w:rsid w:val="00823410"/>
    <w:rsid w:val="00823934"/>
    <w:rsid w:val="00823C0E"/>
    <w:rsid w:val="00825C04"/>
    <w:rsid w:val="00825FD1"/>
    <w:rsid w:val="0082732D"/>
    <w:rsid w:val="00827D38"/>
    <w:rsid w:val="00830D77"/>
    <w:rsid w:val="00833F56"/>
    <w:rsid w:val="00834226"/>
    <w:rsid w:val="00835041"/>
    <w:rsid w:val="00835338"/>
    <w:rsid w:val="00837C25"/>
    <w:rsid w:val="00837CF8"/>
    <w:rsid w:val="0084055A"/>
    <w:rsid w:val="008409F6"/>
    <w:rsid w:val="00841666"/>
    <w:rsid w:val="0084180C"/>
    <w:rsid w:val="00842054"/>
    <w:rsid w:val="00842DBE"/>
    <w:rsid w:val="00843E13"/>
    <w:rsid w:val="00844277"/>
    <w:rsid w:val="00844DE2"/>
    <w:rsid w:val="00844E9F"/>
    <w:rsid w:val="008477BC"/>
    <w:rsid w:val="008477D1"/>
    <w:rsid w:val="008500B8"/>
    <w:rsid w:val="00853B3C"/>
    <w:rsid w:val="00853BF2"/>
    <w:rsid w:val="008579B9"/>
    <w:rsid w:val="00857D81"/>
    <w:rsid w:val="00860125"/>
    <w:rsid w:val="00860281"/>
    <w:rsid w:val="008607B7"/>
    <w:rsid w:val="00864DFD"/>
    <w:rsid w:val="00864EE5"/>
    <w:rsid w:val="0086594A"/>
    <w:rsid w:val="008659FF"/>
    <w:rsid w:val="00870BED"/>
    <w:rsid w:val="00871639"/>
    <w:rsid w:val="008722A9"/>
    <w:rsid w:val="00872B76"/>
    <w:rsid w:val="00874032"/>
    <w:rsid w:val="008742D4"/>
    <w:rsid w:val="00875160"/>
    <w:rsid w:val="00877D18"/>
    <w:rsid w:val="0088034E"/>
    <w:rsid w:val="0088059E"/>
    <w:rsid w:val="00880A20"/>
    <w:rsid w:val="00881014"/>
    <w:rsid w:val="00881613"/>
    <w:rsid w:val="008819D7"/>
    <w:rsid w:val="00882328"/>
    <w:rsid w:val="00882CE4"/>
    <w:rsid w:val="008842B3"/>
    <w:rsid w:val="00884581"/>
    <w:rsid w:val="008848A4"/>
    <w:rsid w:val="00885487"/>
    <w:rsid w:val="0088623C"/>
    <w:rsid w:val="00887001"/>
    <w:rsid w:val="008875EC"/>
    <w:rsid w:val="008876A1"/>
    <w:rsid w:val="00887A30"/>
    <w:rsid w:val="0089204A"/>
    <w:rsid w:val="008925C1"/>
    <w:rsid w:val="00892823"/>
    <w:rsid w:val="00892E73"/>
    <w:rsid w:val="00893590"/>
    <w:rsid w:val="00893596"/>
    <w:rsid w:val="00893C65"/>
    <w:rsid w:val="008946D9"/>
    <w:rsid w:val="00894794"/>
    <w:rsid w:val="0089578A"/>
    <w:rsid w:val="00895FEA"/>
    <w:rsid w:val="00896309"/>
    <w:rsid w:val="00896CB1"/>
    <w:rsid w:val="00896D30"/>
    <w:rsid w:val="008973DD"/>
    <w:rsid w:val="008977E0"/>
    <w:rsid w:val="00897C4E"/>
    <w:rsid w:val="008A084B"/>
    <w:rsid w:val="008A0BEC"/>
    <w:rsid w:val="008A1976"/>
    <w:rsid w:val="008A3A8C"/>
    <w:rsid w:val="008A44AB"/>
    <w:rsid w:val="008A5646"/>
    <w:rsid w:val="008A60BD"/>
    <w:rsid w:val="008A646C"/>
    <w:rsid w:val="008A6591"/>
    <w:rsid w:val="008A68A6"/>
    <w:rsid w:val="008A6CCF"/>
    <w:rsid w:val="008A7BCB"/>
    <w:rsid w:val="008B0347"/>
    <w:rsid w:val="008B20D8"/>
    <w:rsid w:val="008B2C6E"/>
    <w:rsid w:val="008B37D1"/>
    <w:rsid w:val="008B4609"/>
    <w:rsid w:val="008B4713"/>
    <w:rsid w:val="008B4CFE"/>
    <w:rsid w:val="008B6593"/>
    <w:rsid w:val="008B7D9A"/>
    <w:rsid w:val="008C0275"/>
    <w:rsid w:val="008C06ED"/>
    <w:rsid w:val="008C1255"/>
    <w:rsid w:val="008C2893"/>
    <w:rsid w:val="008C2B3A"/>
    <w:rsid w:val="008C2DDF"/>
    <w:rsid w:val="008C382F"/>
    <w:rsid w:val="008C4945"/>
    <w:rsid w:val="008C594C"/>
    <w:rsid w:val="008C59D3"/>
    <w:rsid w:val="008C6AC6"/>
    <w:rsid w:val="008C6DBE"/>
    <w:rsid w:val="008D049E"/>
    <w:rsid w:val="008D08B1"/>
    <w:rsid w:val="008D1ADD"/>
    <w:rsid w:val="008D33DB"/>
    <w:rsid w:val="008D3CBB"/>
    <w:rsid w:val="008D489B"/>
    <w:rsid w:val="008D5020"/>
    <w:rsid w:val="008D6086"/>
    <w:rsid w:val="008D6221"/>
    <w:rsid w:val="008D6FA8"/>
    <w:rsid w:val="008E0008"/>
    <w:rsid w:val="008E0A7B"/>
    <w:rsid w:val="008E111A"/>
    <w:rsid w:val="008E1189"/>
    <w:rsid w:val="008E1259"/>
    <w:rsid w:val="008E265B"/>
    <w:rsid w:val="008E31C0"/>
    <w:rsid w:val="008E3C48"/>
    <w:rsid w:val="008E3C68"/>
    <w:rsid w:val="008E4E76"/>
    <w:rsid w:val="008E5C69"/>
    <w:rsid w:val="008E65EC"/>
    <w:rsid w:val="008E6792"/>
    <w:rsid w:val="008E7021"/>
    <w:rsid w:val="008E7ED9"/>
    <w:rsid w:val="008F0C15"/>
    <w:rsid w:val="008F1365"/>
    <w:rsid w:val="008F1512"/>
    <w:rsid w:val="008F1903"/>
    <w:rsid w:val="008F28AA"/>
    <w:rsid w:val="008F385E"/>
    <w:rsid w:val="008F5A54"/>
    <w:rsid w:val="008F5C39"/>
    <w:rsid w:val="008F5D8C"/>
    <w:rsid w:val="008F63D2"/>
    <w:rsid w:val="008F6C65"/>
    <w:rsid w:val="00900279"/>
    <w:rsid w:val="009009D3"/>
    <w:rsid w:val="0090149D"/>
    <w:rsid w:val="00901BC8"/>
    <w:rsid w:val="009027B1"/>
    <w:rsid w:val="00902A61"/>
    <w:rsid w:val="00902D57"/>
    <w:rsid w:val="00903801"/>
    <w:rsid w:val="009041D4"/>
    <w:rsid w:val="00905320"/>
    <w:rsid w:val="00905904"/>
    <w:rsid w:val="00906B8F"/>
    <w:rsid w:val="00907CB6"/>
    <w:rsid w:val="009100A1"/>
    <w:rsid w:val="009102B6"/>
    <w:rsid w:val="009102F3"/>
    <w:rsid w:val="009106B7"/>
    <w:rsid w:val="00910D50"/>
    <w:rsid w:val="0091102A"/>
    <w:rsid w:val="009113B6"/>
    <w:rsid w:val="009119E7"/>
    <w:rsid w:val="009131EA"/>
    <w:rsid w:val="00913747"/>
    <w:rsid w:val="00913E62"/>
    <w:rsid w:val="00914157"/>
    <w:rsid w:val="00914B70"/>
    <w:rsid w:val="00914D00"/>
    <w:rsid w:val="00916340"/>
    <w:rsid w:val="00917B17"/>
    <w:rsid w:val="00920CBB"/>
    <w:rsid w:val="009215B3"/>
    <w:rsid w:val="0092176E"/>
    <w:rsid w:val="00921771"/>
    <w:rsid w:val="00921855"/>
    <w:rsid w:val="00923804"/>
    <w:rsid w:val="009239A8"/>
    <w:rsid w:val="00924006"/>
    <w:rsid w:val="009250CC"/>
    <w:rsid w:val="009250E4"/>
    <w:rsid w:val="00925B70"/>
    <w:rsid w:val="00925D5A"/>
    <w:rsid w:val="009263DA"/>
    <w:rsid w:val="009269D9"/>
    <w:rsid w:val="00927530"/>
    <w:rsid w:val="0093028F"/>
    <w:rsid w:val="009311BF"/>
    <w:rsid w:val="00931895"/>
    <w:rsid w:val="009339B3"/>
    <w:rsid w:val="00934DF3"/>
    <w:rsid w:val="00934ED4"/>
    <w:rsid w:val="009359C1"/>
    <w:rsid w:val="00936246"/>
    <w:rsid w:val="00936BB8"/>
    <w:rsid w:val="00937A5C"/>
    <w:rsid w:val="009407CC"/>
    <w:rsid w:val="0094119C"/>
    <w:rsid w:val="00941460"/>
    <w:rsid w:val="009416A8"/>
    <w:rsid w:val="009422E8"/>
    <w:rsid w:val="00943EB7"/>
    <w:rsid w:val="00944BB1"/>
    <w:rsid w:val="00947807"/>
    <w:rsid w:val="00947CF9"/>
    <w:rsid w:val="00951727"/>
    <w:rsid w:val="00951F8F"/>
    <w:rsid w:val="00954165"/>
    <w:rsid w:val="00955535"/>
    <w:rsid w:val="00955EEC"/>
    <w:rsid w:val="00956106"/>
    <w:rsid w:val="009568E6"/>
    <w:rsid w:val="0095690D"/>
    <w:rsid w:val="00960C65"/>
    <w:rsid w:val="00960CD9"/>
    <w:rsid w:val="00960E15"/>
    <w:rsid w:val="009615D9"/>
    <w:rsid w:val="00961831"/>
    <w:rsid w:val="0096221C"/>
    <w:rsid w:val="00962495"/>
    <w:rsid w:val="009647EF"/>
    <w:rsid w:val="009670ED"/>
    <w:rsid w:val="00967352"/>
    <w:rsid w:val="00967700"/>
    <w:rsid w:val="0096771D"/>
    <w:rsid w:val="00967DB9"/>
    <w:rsid w:val="00970120"/>
    <w:rsid w:val="00970E0E"/>
    <w:rsid w:val="00971384"/>
    <w:rsid w:val="00971916"/>
    <w:rsid w:val="00971EAA"/>
    <w:rsid w:val="00972013"/>
    <w:rsid w:val="00973749"/>
    <w:rsid w:val="00974546"/>
    <w:rsid w:val="0097537A"/>
    <w:rsid w:val="00975419"/>
    <w:rsid w:val="00975464"/>
    <w:rsid w:val="00975672"/>
    <w:rsid w:val="0097685F"/>
    <w:rsid w:val="0098056A"/>
    <w:rsid w:val="009806FE"/>
    <w:rsid w:val="009816D9"/>
    <w:rsid w:val="009818C1"/>
    <w:rsid w:val="00981A95"/>
    <w:rsid w:val="00981D12"/>
    <w:rsid w:val="00983221"/>
    <w:rsid w:val="0098329F"/>
    <w:rsid w:val="00984000"/>
    <w:rsid w:val="009843FC"/>
    <w:rsid w:val="00985ECF"/>
    <w:rsid w:val="00986A3E"/>
    <w:rsid w:val="009870C7"/>
    <w:rsid w:val="009902FB"/>
    <w:rsid w:val="0099063B"/>
    <w:rsid w:val="0099116A"/>
    <w:rsid w:val="00991417"/>
    <w:rsid w:val="00991503"/>
    <w:rsid w:val="00992311"/>
    <w:rsid w:val="0099271E"/>
    <w:rsid w:val="00992C09"/>
    <w:rsid w:val="00993279"/>
    <w:rsid w:val="00993604"/>
    <w:rsid w:val="00994FDE"/>
    <w:rsid w:val="00995928"/>
    <w:rsid w:val="00995F70"/>
    <w:rsid w:val="009964C4"/>
    <w:rsid w:val="009968A9"/>
    <w:rsid w:val="00997029"/>
    <w:rsid w:val="009973BB"/>
    <w:rsid w:val="009979EA"/>
    <w:rsid w:val="009A01DD"/>
    <w:rsid w:val="009A0E02"/>
    <w:rsid w:val="009A28C4"/>
    <w:rsid w:val="009A36FE"/>
    <w:rsid w:val="009A4126"/>
    <w:rsid w:val="009A48AF"/>
    <w:rsid w:val="009A6664"/>
    <w:rsid w:val="009A786A"/>
    <w:rsid w:val="009B15F0"/>
    <w:rsid w:val="009B1E7B"/>
    <w:rsid w:val="009B20FF"/>
    <w:rsid w:val="009B2A02"/>
    <w:rsid w:val="009B2A70"/>
    <w:rsid w:val="009B572B"/>
    <w:rsid w:val="009B5D14"/>
    <w:rsid w:val="009B6080"/>
    <w:rsid w:val="009B695D"/>
    <w:rsid w:val="009B71DA"/>
    <w:rsid w:val="009B756F"/>
    <w:rsid w:val="009C0D73"/>
    <w:rsid w:val="009C11A8"/>
    <w:rsid w:val="009C3E8F"/>
    <w:rsid w:val="009C44D2"/>
    <w:rsid w:val="009C4DA6"/>
    <w:rsid w:val="009C514B"/>
    <w:rsid w:val="009C52C5"/>
    <w:rsid w:val="009C7253"/>
    <w:rsid w:val="009C796C"/>
    <w:rsid w:val="009C7D7A"/>
    <w:rsid w:val="009C7D96"/>
    <w:rsid w:val="009D176A"/>
    <w:rsid w:val="009D256C"/>
    <w:rsid w:val="009D39E9"/>
    <w:rsid w:val="009D3A7E"/>
    <w:rsid w:val="009D406F"/>
    <w:rsid w:val="009D46A1"/>
    <w:rsid w:val="009D4A03"/>
    <w:rsid w:val="009D506D"/>
    <w:rsid w:val="009D5FBF"/>
    <w:rsid w:val="009E1C4C"/>
    <w:rsid w:val="009E2240"/>
    <w:rsid w:val="009E29A8"/>
    <w:rsid w:val="009E3E09"/>
    <w:rsid w:val="009E4001"/>
    <w:rsid w:val="009E48CC"/>
    <w:rsid w:val="009E5B01"/>
    <w:rsid w:val="009F0055"/>
    <w:rsid w:val="009F113B"/>
    <w:rsid w:val="009F2064"/>
    <w:rsid w:val="009F2164"/>
    <w:rsid w:val="009F2CF8"/>
    <w:rsid w:val="009F33CE"/>
    <w:rsid w:val="009F3D24"/>
    <w:rsid w:val="009F3E85"/>
    <w:rsid w:val="009F4552"/>
    <w:rsid w:val="009F5866"/>
    <w:rsid w:val="009F587C"/>
    <w:rsid w:val="009F628B"/>
    <w:rsid w:val="009F6D38"/>
    <w:rsid w:val="009F70D5"/>
    <w:rsid w:val="00A01176"/>
    <w:rsid w:val="00A02C34"/>
    <w:rsid w:val="00A03F0D"/>
    <w:rsid w:val="00A0458E"/>
    <w:rsid w:val="00A04F33"/>
    <w:rsid w:val="00A0612A"/>
    <w:rsid w:val="00A070EA"/>
    <w:rsid w:val="00A0748F"/>
    <w:rsid w:val="00A0753F"/>
    <w:rsid w:val="00A07754"/>
    <w:rsid w:val="00A10C44"/>
    <w:rsid w:val="00A10F8C"/>
    <w:rsid w:val="00A117A1"/>
    <w:rsid w:val="00A11FFF"/>
    <w:rsid w:val="00A12A65"/>
    <w:rsid w:val="00A12B90"/>
    <w:rsid w:val="00A12DA2"/>
    <w:rsid w:val="00A13A72"/>
    <w:rsid w:val="00A15A35"/>
    <w:rsid w:val="00A16338"/>
    <w:rsid w:val="00A168AC"/>
    <w:rsid w:val="00A20282"/>
    <w:rsid w:val="00A202C8"/>
    <w:rsid w:val="00A202D9"/>
    <w:rsid w:val="00A208DF"/>
    <w:rsid w:val="00A2121E"/>
    <w:rsid w:val="00A21AA1"/>
    <w:rsid w:val="00A21C4D"/>
    <w:rsid w:val="00A21C7D"/>
    <w:rsid w:val="00A223FD"/>
    <w:rsid w:val="00A22490"/>
    <w:rsid w:val="00A22EC8"/>
    <w:rsid w:val="00A2338A"/>
    <w:rsid w:val="00A24C2E"/>
    <w:rsid w:val="00A25559"/>
    <w:rsid w:val="00A25C50"/>
    <w:rsid w:val="00A2784A"/>
    <w:rsid w:val="00A27CB5"/>
    <w:rsid w:val="00A3003E"/>
    <w:rsid w:val="00A3093E"/>
    <w:rsid w:val="00A3095C"/>
    <w:rsid w:val="00A30CD0"/>
    <w:rsid w:val="00A312FE"/>
    <w:rsid w:val="00A3196C"/>
    <w:rsid w:val="00A31CD2"/>
    <w:rsid w:val="00A31CD8"/>
    <w:rsid w:val="00A328EB"/>
    <w:rsid w:val="00A32B6C"/>
    <w:rsid w:val="00A33D86"/>
    <w:rsid w:val="00A34848"/>
    <w:rsid w:val="00A34E38"/>
    <w:rsid w:val="00A35020"/>
    <w:rsid w:val="00A35F68"/>
    <w:rsid w:val="00A3734F"/>
    <w:rsid w:val="00A374B9"/>
    <w:rsid w:val="00A37FDE"/>
    <w:rsid w:val="00A40184"/>
    <w:rsid w:val="00A4065C"/>
    <w:rsid w:val="00A4174E"/>
    <w:rsid w:val="00A41B9C"/>
    <w:rsid w:val="00A42695"/>
    <w:rsid w:val="00A42D81"/>
    <w:rsid w:val="00A443A9"/>
    <w:rsid w:val="00A444D0"/>
    <w:rsid w:val="00A44AC4"/>
    <w:rsid w:val="00A450FD"/>
    <w:rsid w:val="00A45114"/>
    <w:rsid w:val="00A45AC9"/>
    <w:rsid w:val="00A4620E"/>
    <w:rsid w:val="00A467FD"/>
    <w:rsid w:val="00A46894"/>
    <w:rsid w:val="00A501B7"/>
    <w:rsid w:val="00A50BD4"/>
    <w:rsid w:val="00A516DD"/>
    <w:rsid w:val="00A51E34"/>
    <w:rsid w:val="00A52588"/>
    <w:rsid w:val="00A567D2"/>
    <w:rsid w:val="00A572A2"/>
    <w:rsid w:val="00A6010A"/>
    <w:rsid w:val="00A605F8"/>
    <w:rsid w:val="00A60EE0"/>
    <w:rsid w:val="00A61456"/>
    <w:rsid w:val="00A6193F"/>
    <w:rsid w:val="00A629C1"/>
    <w:rsid w:val="00A62A44"/>
    <w:rsid w:val="00A62B99"/>
    <w:rsid w:val="00A632EB"/>
    <w:rsid w:val="00A632FE"/>
    <w:rsid w:val="00A63AD6"/>
    <w:rsid w:val="00A64448"/>
    <w:rsid w:val="00A64BD8"/>
    <w:rsid w:val="00A64FBA"/>
    <w:rsid w:val="00A64FCD"/>
    <w:rsid w:val="00A659F2"/>
    <w:rsid w:val="00A65BEE"/>
    <w:rsid w:val="00A67496"/>
    <w:rsid w:val="00A67AF8"/>
    <w:rsid w:val="00A705DC"/>
    <w:rsid w:val="00A70F7E"/>
    <w:rsid w:val="00A71179"/>
    <w:rsid w:val="00A715E1"/>
    <w:rsid w:val="00A71CD7"/>
    <w:rsid w:val="00A72559"/>
    <w:rsid w:val="00A72866"/>
    <w:rsid w:val="00A75B6D"/>
    <w:rsid w:val="00A75FDF"/>
    <w:rsid w:val="00A76242"/>
    <w:rsid w:val="00A76347"/>
    <w:rsid w:val="00A7657F"/>
    <w:rsid w:val="00A76874"/>
    <w:rsid w:val="00A77171"/>
    <w:rsid w:val="00A7793E"/>
    <w:rsid w:val="00A77B5C"/>
    <w:rsid w:val="00A807C2"/>
    <w:rsid w:val="00A81149"/>
    <w:rsid w:val="00A81926"/>
    <w:rsid w:val="00A81E2D"/>
    <w:rsid w:val="00A82819"/>
    <w:rsid w:val="00A8392C"/>
    <w:rsid w:val="00A84379"/>
    <w:rsid w:val="00A845F6"/>
    <w:rsid w:val="00A84C32"/>
    <w:rsid w:val="00A858B6"/>
    <w:rsid w:val="00A858E9"/>
    <w:rsid w:val="00A86180"/>
    <w:rsid w:val="00A86990"/>
    <w:rsid w:val="00A86C04"/>
    <w:rsid w:val="00A9048C"/>
    <w:rsid w:val="00A91899"/>
    <w:rsid w:val="00A91B2B"/>
    <w:rsid w:val="00A931B2"/>
    <w:rsid w:val="00A93736"/>
    <w:rsid w:val="00A93CA9"/>
    <w:rsid w:val="00A94933"/>
    <w:rsid w:val="00A94E4F"/>
    <w:rsid w:val="00A952A6"/>
    <w:rsid w:val="00A957A7"/>
    <w:rsid w:val="00A95C8D"/>
    <w:rsid w:val="00A96147"/>
    <w:rsid w:val="00A96E07"/>
    <w:rsid w:val="00A96E12"/>
    <w:rsid w:val="00A972C5"/>
    <w:rsid w:val="00AA0587"/>
    <w:rsid w:val="00AA0801"/>
    <w:rsid w:val="00AA0DE8"/>
    <w:rsid w:val="00AA273D"/>
    <w:rsid w:val="00AA2CC1"/>
    <w:rsid w:val="00AA2EFA"/>
    <w:rsid w:val="00AA3951"/>
    <w:rsid w:val="00AA3ADB"/>
    <w:rsid w:val="00AA441B"/>
    <w:rsid w:val="00AB1091"/>
    <w:rsid w:val="00AB1E5B"/>
    <w:rsid w:val="00AB227C"/>
    <w:rsid w:val="00AB2B6F"/>
    <w:rsid w:val="00AB3477"/>
    <w:rsid w:val="00AB357C"/>
    <w:rsid w:val="00AB44E6"/>
    <w:rsid w:val="00AB4A2B"/>
    <w:rsid w:val="00AB572F"/>
    <w:rsid w:val="00AB60CD"/>
    <w:rsid w:val="00AB6F2C"/>
    <w:rsid w:val="00AB7B80"/>
    <w:rsid w:val="00AC048B"/>
    <w:rsid w:val="00AC1C9C"/>
    <w:rsid w:val="00AC267E"/>
    <w:rsid w:val="00AC3246"/>
    <w:rsid w:val="00AC36A0"/>
    <w:rsid w:val="00AC399B"/>
    <w:rsid w:val="00AC47E1"/>
    <w:rsid w:val="00AC4AC9"/>
    <w:rsid w:val="00AC4EE1"/>
    <w:rsid w:val="00AC50A4"/>
    <w:rsid w:val="00AC6335"/>
    <w:rsid w:val="00AC6A0C"/>
    <w:rsid w:val="00AC7020"/>
    <w:rsid w:val="00AD0CC2"/>
    <w:rsid w:val="00AD12F6"/>
    <w:rsid w:val="00AD15B0"/>
    <w:rsid w:val="00AD1CBD"/>
    <w:rsid w:val="00AD1D1A"/>
    <w:rsid w:val="00AD1E38"/>
    <w:rsid w:val="00AD221E"/>
    <w:rsid w:val="00AD2DB6"/>
    <w:rsid w:val="00AD307C"/>
    <w:rsid w:val="00AD30C8"/>
    <w:rsid w:val="00AD34D4"/>
    <w:rsid w:val="00AD3D94"/>
    <w:rsid w:val="00AD41CC"/>
    <w:rsid w:val="00AD4205"/>
    <w:rsid w:val="00AD46EE"/>
    <w:rsid w:val="00AD50CD"/>
    <w:rsid w:val="00AD5273"/>
    <w:rsid w:val="00AD6858"/>
    <w:rsid w:val="00AD74D5"/>
    <w:rsid w:val="00AD763C"/>
    <w:rsid w:val="00AE0D5E"/>
    <w:rsid w:val="00AE22CE"/>
    <w:rsid w:val="00AE2C01"/>
    <w:rsid w:val="00AE3135"/>
    <w:rsid w:val="00AE3804"/>
    <w:rsid w:val="00AE3CBE"/>
    <w:rsid w:val="00AE5C9B"/>
    <w:rsid w:val="00AE6772"/>
    <w:rsid w:val="00AE79E0"/>
    <w:rsid w:val="00AE7D55"/>
    <w:rsid w:val="00AF0194"/>
    <w:rsid w:val="00AF0580"/>
    <w:rsid w:val="00AF06CF"/>
    <w:rsid w:val="00AF1827"/>
    <w:rsid w:val="00AF2006"/>
    <w:rsid w:val="00AF208F"/>
    <w:rsid w:val="00AF26A1"/>
    <w:rsid w:val="00AF3DAD"/>
    <w:rsid w:val="00AF5BD3"/>
    <w:rsid w:val="00AF5E95"/>
    <w:rsid w:val="00AF7329"/>
    <w:rsid w:val="00B0068A"/>
    <w:rsid w:val="00B00F74"/>
    <w:rsid w:val="00B02336"/>
    <w:rsid w:val="00B02486"/>
    <w:rsid w:val="00B04C8D"/>
    <w:rsid w:val="00B04D5F"/>
    <w:rsid w:val="00B05154"/>
    <w:rsid w:val="00B0534F"/>
    <w:rsid w:val="00B05DCC"/>
    <w:rsid w:val="00B12215"/>
    <w:rsid w:val="00B12BE1"/>
    <w:rsid w:val="00B13674"/>
    <w:rsid w:val="00B13953"/>
    <w:rsid w:val="00B16A4F"/>
    <w:rsid w:val="00B16DEE"/>
    <w:rsid w:val="00B17192"/>
    <w:rsid w:val="00B208E7"/>
    <w:rsid w:val="00B2316F"/>
    <w:rsid w:val="00B232AF"/>
    <w:rsid w:val="00B23F83"/>
    <w:rsid w:val="00B2454B"/>
    <w:rsid w:val="00B24814"/>
    <w:rsid w:val="00B2524B"/>
    <w:rsid w:val="00B2573C"/>
    <w:rsid w:val="00B25DE3"/>
    <w:rsid w:val="00B2626F"/>
    <w:rsid w:val="00B26F34"/>
    <w:rsid w:val="00B27682"/>
    <w:rsid w:val="00B319D1"/>
    <w:rsid w:val="00B330C3"/>
    <w:rsid w:val="00B336C1"/>
    <w:rsid w:val="00B34A54"/>
    <w:rsid w:val="00B34D79"/>
    <w:rsid w:val="00B36C44"/>
    <w:rsid w:val="00B379A1"/>
    <w:rsid w:val="00B37C87"/>
    <w:rsid w:val="00B4003E"/>
    <w:rsid w:val="00B400EF"/>
    <w:rsid w:val="00B41572"/>
    <w:rsid w:val="00B42D59"/>
    <w:rsid w:val="00B4334D"/>
    <w:rsid w:val="00B45C0B"/>
    <w:rsid w:val="00B45C89"/>
    <w:rsid w:val="00B47177"/>
    <w:rsid w:val="00B47A2D"/>
    <w:rsid w:val="00B5021E"/>
    <w:rsid w:val="00B502E8"/>
    <w:rsid w:val="00B5056D"/>
    <w:rsid w:val="00B506FF"/>
    <w:rsid w:val="00B50FF6"/>
    <w:rsid w:val="00B52414"/>
    <w:rsid w:val="00B5343C"/>
    <w:rsid w:val="00B535F4"/>
    <w:rsid w:val="00B53A6F"/>
    <w:rsid w:val="00B53CAD"/>
    <w:rsid w:val="00B54769"/>
    <w:rsid w:val="00B5599A"/>
    <w:rsid w:val="00B55ECC"/>
    <w:rsid w:val="00B56D38"/>
    <w:rsid w:val="00B57380"/>
    <w:rsid w:val="00B60944"/>
    <w:rsid w:val="00B61A33"/>
    <w:rsid w:val="00B61DBE"/>
    <w:rsid w:val="00B61E45"/>
    <w:rsid w:val="00B620C9"/>
    <w:rsid w:val="00B62560"/>
    <w:rsid w:val="00B634CE"/>
    <w:rsid w:val="00B635D6"/>
    <w:rsid w:val="00B639F0"/>
    <w:rsid w:val="00B6438D"/>
    <w:rsid w:val="00B6469B"/>
    <w:rsid w:val="00B6518D"/>
    <w:rsid w:val="00B652EA"/>
    <w:rsid w:val="00B65545"/>
    <w:rsid w:val="00B65886"/>
    <w:rsid w:val="00B6594F"/>
    <w:rsid w:val="00B67247"/>
    <w:rsid w:val="00B67F68"/>
    <w:rsid w:val="00B70670"/>
    <w:rsid w:val="00B71259"/>
    <w:rsid w:val="00B719E8"/>
    <w:rsid w:val="00B71C06"/>
    <w:rsid w:val="00B71FE4"/>
    <w:rsid w:val="00B723D1"/>
    <w:rsid w:val="00B72466"/>
    <w:rsid w:val="00B72A0C"/>
    <w:rsid w:val="00B74320"/>
    <w:rsid w:val="00B743FE"/>
    <w:rsid w:val="00B753CD"/>
    <w:rsid w:val="00B75D60"/>
    <w:rsid w:val="00B7710E"/>
    <w:rsid w:val="00B801AA"/>
    <w:rsid w:val="00B803B2"/>
    <w:rsid w:val="00B80855"/>
    <w:rsid w:val="00B827BF"/>
    <w:rsid w:val="00B82D67"/>
    <w:rsid w:val="00B82EB1"/>
    <w:rsid w:val="00B83506"/>
    <w:rsid w:val="00B83C43"/>
    <w:rsid w:val="00B85F5D"/>
    <w:rsid w:val="00B86290"/>
    <w:rsid w:val="00B86722"/>
    <w:rsid w:val="00B86BF9"/>
    <w:rsid w:val="00B87949"/>
    <w:rsid w:val="00B87968"/>
    <w:rsid w:val="00B87D47"/>
    <w:rsid w:val="00B907DE"/>
    <w:rsid w:val="00B90B20"/>
    <w:rsid w:val="00B91A97"/>
    <w:rsid w:val="00B92058"/>
    <w:rsid w:val="00B93275"/>
    <w:rsid w:val="00B93847"/>
    <w:rsid w:val="00B940D6"/>
    <w:rsid w:val="00B94110"/>
    <w:rsid w:val="00B95DB5"/>
    <w:rsid w:val="00B95EA9"/>
    <w:rsid w:val="00B96128"/>
    <w:rsid w:val="00BA086D"/>
    <w:rsid w:val="00BA27B9"/>
    <w:rsid w:val="00BA29A3"/>
    <w:rsid w:val="00BA2B5A"/>
    <w:rsid w:val="00BA396A"/>
    <w:rsid w:val="00BA3B4D"/>
    <w:rsid w:val="00BA440E"/>
    <w:rsid w:val="00BA46D5"/>
    <w:rsid w:val="00BA4761"/>
    <w:rsid w:val="00BA5988"/>
    <w:rsid w:val="00BA5EA9"/>
    <w:rsid w:val="00BA6677"/>
    <w:rsid w:val="00BA6CF0"/>
    <w:rsid w:val="00BA7B5F"/>
    <w:rsid w:val="00BA7D53"/>
    <w:rsid w:val="00BB07CA"/>
    <w:rsid w:val="00BB13B0"/>
    <w:rsid w:val="00BB2243"/>
    <w:rsid w:val="00BB2472"/>
    <w:rsid w:val="00BB26BD"/>
    <w:rsid w:val="00BB3071"/>
    <w:rsid w:val="00BB4DA8"/>
    <w:rsid w:val="00BB5C9B"/>
    <w:rsid w:val="00BB654C"/>
    <w:rsid w:val="00BB7259"/>
    <w:rsid w:val="00BB78E4"/>
    <w:rsid w:val="00BB7D10"/>
    <w:rsid w:val="00BC08F9"/>
    <w:rsid w:val="00BC2FB5"/>
    <w:rsid w:val="00BC7E1A"/>
    <w:rsid w:val="00BD0CCA"/>
    <w:rsid w:val="00BD0E1B"/>
    <w:rsid w:val="00BD14DA"/>
    <w:rsid w:val="00BD1520"/>
    <w:rsid w:val="00BD16A2"/>
    <w:rsid w:val="00BD17B8"/>
    <w:rsid w:val="00BD4A82"/>
    <w:rsid w:val="00BD4AF5"/>
    <w:rsid w:val="00BD581A"/>
    <w:rsid w:val="00BD6B29"/>
    <w:rsid w:val="00BE021F"/>
    <w:rsid w:val="00BE0B77"/>
    <w:rsid w:val="00BE1113"/>
    <w:rsid w:val="00BE2894"/>
    <w:rsid w:val="00BE28BA"/>
    <w:rsid w:val="00BE418D"/>
    <w:rsid w:val="00BE43EF"/>
    <w:rsid w:val="00BE4D39"/>
    <w:rsid w:val="00BE6C75"/>
    <w:rsid w:val="00BE6CE2"/>
    <w:rsid w:val="00BE6E37"/>
    <w:rsid w:val="00BE6F01"/>
    <w:rsid w:val="00BF0CD5"/>
    <w:rsid w:val="00BF2BAC"/>
    <w:rsid w:val="00BF35F2"/>
    <w:rsid w:val="00BF3885"/>
    <w:rsid w:val="00BF4700"/>
    <w:rsid w:val="00BF5832"/>
    <w:rsid w:val="00BF60FB"/>
    <w:rsid w:val="00BF61DA"/>
    <w:rsid w:val="00BF7616"/>
    <w:rsid w:val="00C012D5"/>
    <w:rsid w:val="00C03ECB"/>
    <w:rsid w:val="00C0410F"/>
    <w:rsid w:val="00C04D71"/>
    <w:rsid w:val="00C055D0"/>
    <w:rsid w:val="00C05A43"/>
    <w:rsid w:val="00C05BD9"/>
    <w:rsid w:val="00C06C13"/>
    <w:rsid w:val="00C074CA"/>
    <w:rsid w:val="00C11480"/>
    <w:rsid w:val="00C1189D"/>
    <w:rsid w:val="00C120BB"/>
    <w:rsid w:val="00C12496"/>
    <w:rsid w:val="00C124FE"/>
    <w:rsid w:val="00C12A5C"/>
    <w:rsid w:val="00C1366B"/>
    <w:rsid w:val="00C136D9"/>
    <w:rsid w:val="00C149D9"/>
    <w:rsid w:val="00C16774"/>
    <w:rsid w:val="00C20685"/>
    <w:rsid w:val="00C2267C"/>
    <w:rsid w:val="00C2287D"/>
    <w:rsid w:val="00C22FE8"/>
    <w:rsid w:val="00C23066"/>
    <w:rsid w:val="00C235C9"/>
    <w:rsid w:val="00C23A65"/>
    <w:rsid w:val="00C23C09"/>
    <w:rsid w:val="00C24E48"/>
    <w:rsid w:val="00C255CB"/>
    <w:rsid w:val="00C261D6"/>
    <w:rsid w:val="00C27ACA"/>
    <w:rsid w:val="00C308AD"/>
    <w:rsid w:val="00C30E75"/>
    <w:rsid w:val="00C31167"/>
    <w:rsid w:val="00C31EAC"/>
    <w:rsid w:val="00C348FC"/>
    <w:rsid w:val="00C34A09"/>
    <w:rsid w:val="00C35560"/>
    <w:rsid w:val="00C36D02"/>
    <w:rsid w:val="00C40878"/>
    <w:rsid w:val="00C408BB"/>
    <w:rsid w:val="00C40B12"/>
    <w:rsid w:val="00C40BF0"/>
    <w:rsid w:val="00C41E74"/>
    <w:rsid w:val="00C41EEE"/>
    <w:rsid w:val="00C42716"/>
    <w:rsid w:val="00C428C5"/>
    <w:rsid w:val="00C4294E"/>
    <w:rsid w:val="00C448B7"/>
    <w:rsid w:val="00C45DB4"/>
    <w:rsid w:val="00C45F58"/>
    <w:rsid w:val="00C469A0"/>
    <w:rsid w:val="00C46E5A"/>
    <w:rsid w:val="00C47624"/>
    <w:rsid w:val="00C47AC3"/>
    <w:rsid w:val="00C5028A"/>
    <w:rsid w:val="00C504A0"/>
    <w:rsid w:val="00C5082A"/>
    <w:rsid w:val="00C50869"/>
    <w:rsid w:val="00C51262"/>
    <w:rsid w:val="00C52038"/>
    <w:rsid w:val="00C525D6"/>
    <w:rsid w:val="00C53851"/>
    <w:rsid w:val="00C55002"/>
    <w:rsid w:val="00C55728"/>
    <w:rsid w:val="00C55B56"/>
    <w:rsid w:val="00C56EFF"/>
    <w:rsid w:val="00C6012A"/>
    <w:rsid w:val="00C612F0"/>
    <w:rsid w:val="00C61852"/>
    <w:rsid w:val="00C61AEE"/>
    <w:rsid w:val="00C625B0"/>
    <w:rsid w:val="00C631A9"/>
    <w:rsid w:val="00C633B9"/>
    <w:rsid w:val="00C63952"/>
    <w:rsid w:val="00C63D99"/>
    <w:rsid w:val="00C6488D"/>
    <w:rsid w:val="00C65AE3"/>
    <w:rsid w:val="00C66EE0"/>
    <w:rsid w:val="00C672F4"/>
    <w:rsid w:val="00C700B2"/>
    <w:rsid w:val="00C704CE"/>
    <w:rsid w:val="00C70CCA"/>
    <w:rsid w:val="00C72F5C"/>
    <w:rsid w:val="00C7318D"/>
    <w:rsid w:val="00C731B6"/>
    <w:rsid w:val="00C74632"/>
    <w:rsid w:val="00C74FB7"/>
    <w:rsid w:val="00C7504C"/>
    <w:rsid w:val="00C75318"/>
    <w:rsid w:val="00C7575F"/>
    <w:rsid w:val="00C75938"/>
    <w:rsid w:val="00C759C1"/>
    <w:rsid w:val="00C76BB7"/>
    <w:rsid w:val="00C76D91"/>
    <w:rsid w:val="00C80471"/>
    <w:rsid w:val="00C809B8"/>
    <w:rsid w:val="00C810F3"/>
    <w:rsid w:val="00C82E85"/>
    <w:rsid w:val="00C83C54"/>
    <w:rsid w:val="00C83E16"/>
    <w:rsid w:val="00C84924"/>
    <w:rsid w:val="00C84E8A"/>
    <w:rsid w:val="00C8793D"/>
    <w:rsid w:val="00C87B1E"/>
    <w:rsid w:val="00C90018"/>
    <w:rsid w:val="00C90BFA"/>
    <w:rsid w:val="00C92600"/>
    <w:rsid w:val="00C93782"/>
    <w:rsid w:val="00C93E4A"/>
    <w:rsid w:val="00C94BBA"/>
    <w:rsid w:val="00C94EA9"/>
    <w:rsid w:val="00C95513"/>
    <w:rsid w:val="00C95C89"/>
    <w:rsid w:val="00C96C17"/>
    <w:rsid w:val="00CA0FEE"/>
    <w:rsid w:val="00CA1540"/>
    <w:rsid w:val="00CA1659"/>
    <w:rsid w:val="00CA2763"/>
    <w:rsid w:val="00CA3355"/>
    <w:rsid w:val="00CA3699"/>
    <w:rsid w:val="00CA3BB0"/>
    <w:rsid w:val="00CA3D6A"/>
    <w:rsid w:val="00CA4DA6"/>
    <w:rsid w:val="00CA6301"/>
    <w:rsid w:val="00CA7A4C"/>
    <w:rsid w:val="00CB1B6F"/>
    <w:rsid w:val="00CB1E84"/>
    <w:rsid w:val="00CB289A"/>
    <w:rsid w:val="00CB328A"/>
    <w:rsid w:val="00CB37BA"/>
    <w:rsid w:val="00CB4157"/>
    <w:rsid w:val="00CB4437"/>
    <w:rsid w:val="00CB4A4F"/>
    <w:rsid w:val="00CB5402"/>
    <w:rsid w:val="00CB5AB1"/>
    <w:rsid w:val="00CB5C99"/>
    <w:rsid w:val="00CB637D"/>
    <w:rsid w:val="00CB7BB1"/>
    <w:rsid w:val="00CB7F68"/>
    <w:rsid w:val="00CC3265"/>
    <w:rsid w:val="00CC3EB7"/>
    <w:rsid w:val="00CC4C2A"/>
    <w:rsid w:val="00CC55FF"/>
    <w:rsid w:val="00CC69A1"/>
    <w:rsid w:val="00CC6EFE"/>
    <w:rsid w:val="00CC7BAB"/>
    <w:rsid w:val="00CD0675"/>
    <w:rsid w:val="00CD0684"/>
    <w:rsid w:val="00CD148C"/>
    <w:rsid w:val="00CD185E"/>
    <w:rsid w:val="00CD1D2C"/>
    <w:rsid w:val="00CD21B9"/>
    <w:rsid w:val="00CD2FC8"/>
    <w:rsid w:val="00CD3933"/>
    <w:rsid w:val="00CD3D29"/>
    <w:rsid w:val="00CD3D4F"/>
    <w:rsid w:val="00CD3E25"/>
    <w:rsid w:val="00CD3FB0"/>
    <w:rsid w:val="00CD4F6D"/>
    <w:rsid w:val="00CD5121"/>
    <w:rsid w:val="00CD5A03"/>
    <w:rsid w:val="00CD67D6"/>
    <w:rsid w:val="00CD6B69"/>
    <w:rsid w:val="00CD7CAF"/>
    <w:rsid w:val="00CE11E9"/>
    <w:rsid w:val="00CE11FE"/>
    <w:rsid w:val="00CE17F2"/>
    <w:rsid w:val="00CE24B4"/>
    <w:rsid w:val="00CE258D"/>
    <w:rsid w:val="00CE279C"/>
    <w:rsid w:val="00CE30D5"/>
    <w:rsid w:val="00CE470E"/>
    <w:rsid w:val="00CE58BA"/>
    <w:rsid w:val="00CE7CA4"/>
    <w:rsid w:val="00CE7E87"/>
    <w:rsid w:val="00CF0E20"/>
    <w:rsid w:val="00CF1B95"/>
    <w:rsid w:val="00CF210B"/>
    <w:rsid w:val="00CF2CDE"/>
    <w:rsid w:val="00CF2F34"/>
    <w:rsid w:val="00CF302C"/>
    <w:rsid w:val="00CF3462"/>
    <w:rsid w:val="00CF4433"/>
    <w:rsid w:val="00CF55CB"/>
    <w:rsid w:val="00CF572B"/>
    <w:rsid w:val="00CF5C36"/>
    <w:rsid w:val="00CF6C37"/>
    <w:rsid w:val="00CF6F8E"/>
    <w:rsid w:val="00CF711F"/>
    <w:rsid w:val="00CF7C7A"/>
    <w:rsid w:val="00CF7E51"/>
    <w:rsid w:val="00CF7F16"/>
    <w:rsid w:val="00D001EF"/>
    <w:rsid w:val="00D01418"/>
    <w:rsid w:val="00D01613"/>
    <w:rsid w:val="00D0287F"/>
    <w:rsid w:val="00D02E1A"/>
    <w:rsid w:val="00D02E6B"/>
    <w:rsid w:val="00D0475A"/>
    <w:rsid w:val="00D05A65"/>
    <w:rsid w:val="00D05CE8"/>
    <w:rsid w:val="00D079E0"/>
    <w:rsid w:val="00D1002A"/>
    <w:rsid w:val="00D10107"/>
    <w:rsid w:val="00D10AE1"/>
    <w:rsid w:val="00D1291A"/>
    <w:rsid w:val="00D133F8"/>
    <w:rsid w:val="00D136C0"/>
    <w:rsid w:val="00D13798"/>
    <w:rsid w:val="00D14704"/>
    <w:rsid w:val="00D149CA"/>
    <w:rsid w:val="00D14B54"/>
    <w:rsid w:val="00D15181"/>
    <w:rsid w:val="00D153B0"/>
    <w:rsid w:val="00D16DF7"/>
    <w:rsid w:val="00D16F70"/>
    <w:rsid w:val="00D1768D"/>
    <w:rsid w:val="00D17B8B"/>
    <w:rsid w:val="00D17DCF"/>
    <w:rsid w:val="00D20F6E"/>
    <w:rsid w:val="00D21313"/>
    <w:rsid w:val="00D213C7"/>
    <w:rsid w:val="00D222CF"/>
    <w:rsid w:val="00D242C6"/>
    <w:rsid w:val="00D255C8"/>
    <w:rsid w:val="00D2600A"/>
    <w:rsid w:val="00D26BF4"/>
    <w:rsid w:val="00D3001E"/>
    <w:rsid w:val="00D31C9B"/>
    <w:rsid w:val="00D32354"/>
    <w:rsid w:val="00D328D6"/>
    <w:rsid w:val="00D32C4F"/>
    <w:rsid w:val="00D34183"/>
    <w:rsid w:val="00D3432B"/>
    <w:rsid w:val="00D353D9"/>
    <w:rsid w:val="00D3573E"/>
    <w:rsid w:val="00D36292"/>
    <w:rsid w:val="00D36BE7"/>
    <w:rsid w:val="00D400FF"/>
    <w:rsid w:val="00D402A3"/>
    <w:rsid w:val="00D405CB"/>
    <w:rsid w:val="00D414D6"/>
    <w:rsid w:val="00D429C3"/>
    <w:rsid w:val="00D438DE"/>
    <w:rsid w:val="00D441B4"/>
    <w:rsid w:val="00D4616E"/>
    <w:rsid w:val="00D463AA"/>
    <w:rsid w:val="00D50142"/>
    <w:rsid w:val="00D50CF9"/>
    <w:rsid w:val="00D51288"/>
    <w:rsid w:val="00D51578"/>
    <w:rsid w:val="00D52C26"/>
    <w:rsid w:val="00D52CB4"/>
    <w:rsid w:val="00D53932"/>
    <w:rsid w:val="00D53F62"/>
    <w:rsid w:val="00D555F9"/>
    <w:rsid w:val="00D556F1"/>
    <w:rsid w:val="00D5619D"/>
    <w:rsid w:val="00D56ADB"/>
    <w:rsid w:val="00D56C5D"/>
    <w:rsid w:val="00D56F77"/>
    <w:rsid w:val="00D6008F"/>
    <w:rsid w:val="00D60DB7"/>
    <w:rsid w:val="00D613AE"/>
    <w:rsid w:val="00D61943"/>
    <w:rsid w:val="00D62BD7"/>
    <w:rsid w:val="00D63369"/>
    <w:rsid w:val="00D63413"/>
    <w:rsid w:val="00D64361"/>
    <w:rsid w:val="00D64870"/>
    <w:rsid w:val="00D64AAF"/>
    <w:rsid w:val="00D64C8B"/>
    <w:rsid w:val="00D659E4"/>
    <w:rsid w:val="00D661E3"/>
    <w:rsid w:val="00D66282"/>
    <w:rsid w:val="00D6681A"/>
    <w:rsid w:val="00D66BEA"/>
    <w:rsid w:val="00D6722E"/>
    <w:rsid w:val="00D6731B"/>
    <w:rsid w:val="00D70410"/>
    <w:rsid w:val="00D71682"/>
    <w:rsid w:val="00D72721"/>
    <w:rsid w:val="00D74EA2"/>
    <w:rsid w:val="00D75089"/>
    <w:rsid w:val="00D75A42"/>
    <w:rsid w:val="00D81951"/>
    <w:rsid w:val="00D819E4"/>
    <w:rsid w:val="00D829CD"/>
    <w:rsid w:val="00D8305D"/>
    <w:rsid w:val="00D83759"/>
    <w:rsid w:val="00D84259"/>
    <w:rsid w:val="00D842AF"/>
    <w:rsid w:val="00D844AF"/>
    <w:rsid w:val="00D849CC"/>
    <w:rsid w:val="00D85D34"/>
    <w:rsid w:val="00D86AB3"/>
    <w:rsid w:val="00D86D1E"/>
    <w:rsid w:val="00D87115"/>
    <w:rsid w:val="00D87B1F"/>
    <w:rsid w:val="00D9013D"/>
    <w:rsid w:val="00D90539"/>
    <w:rsid w:val="00D90B62"/>
    <w:rsid w:val="00D912FA"/>
    <w:rsid w:val="00D91D17"/>
    <w:rsid w:val="00D91D38"/>
    <w:rsid w:val="00D927DD"/>
    <w:rsid w:val="00D92C17"/>
    <w:rsid w:val="00D934D8"/>
    <w:rsid w:val="00D9467E"/>
    <w:rsid w:val="00D95823"/>
    <w:rsid w:val="00D958FA"/>
    <w:rsid w:val="00D974CF"/>
    <w:rsid w:val="00D97904"/>
    <w:rsid w:val="00D97E0B"/>
    <w:rsid w:val="00DA02A1"/>
    <w:rsid w:val="00DA0F36"/>
    <w:rsid w:val="00DA21E6"/>
    <w:rsid w:val="00DA2DBF"/>
    <w:rsid w:val="00DA2F8B"/>
    <w:rsid w:val="00DA2FDB"/>
    <w:rsid w:val="00DA3FC0"/>
    <w:rsid w:val="00DA475F"/>
    <w:rsid w:val="00DA50C3"/>
    <w:rsid w:val="00DA5358"/>
    <w:rsid w:val="00DA5E0D"/>
    <w:rsid w:val="00DA618B"/>
    <w:rsid w:val="00DA6A3B"/>
    <w:rsid w:val="00DA6C8E"/>
    <w:rsid w:val="00DA6E25"/>
    <w:rsid w:val="00DA7549"/>
    <w:rsid w:val="00DA7628"/>
    <w:rsid w:val="00DA78ED"/>
    <w:rsid w:val="00DA79B2"/>
    <w:rsid w:val="00DA7AEB"/>
    <w:rsid w:val="00DA7BB8"/>
    <w:rsid w:val="00DB0546"/>
    <w:rsid w:val="00DB0570"/>
    <w:rsid w:val="00DB0B57"/>
    <w:rsid w:val="00DB1A0B"/>
    <w:rsid w:val="00DB1A8A"/>
    <w:rsid w:val="00DB22EC"/>
    <w:rsid w:val="00DB2842"/>
    <w:rsid w:val="00DB5120"/>
    <w:rsid w:val="00DB5AE9"/>
    <w:rsid w:val="00DB63E0"/>
    <w:rsid w:val="00DB67B2"/>
    <w:rsid w:val="00DB6970"/>
    <w:rsid w:val="00DB6E92"/>
    <w:rsid w:val="00DB7515"/>
    <w:rsid w:val="00DC0B7E"/>
    <w:rsid w:val="00DC1C58"/>
    <w:rsid w:val="00DC2451"/>
    <w:rsid w:val="00DC2610"/>
    <w:rsid w:val="00DC2A70"/>
    <w:rsid w:val="00DC2BB3"/>
    <w:rsid w:val="00DC4673"/>
    <w:rsid w:val="00DC4CE9"/>
    <w:rsid w:val="00DC5812"/>
    <w:rsid w:val="00DC5C08"/>
    <w:rsid w:val="00DC634F"/>
    <w:rsid w:val="00DC749B"/>
    <w:rsid w:val="00DC7FE1"/>
    <w:rsid w:val="00DD0974"/>
    <w:rsid w:val="00DD1BE8"/>
    <w:rsid w:val="00DD2808"/>
    <w:rsid w:val="00DD472F"/>
    <w:rsid w:val="00DD4954"/>
    <w:rsid w:val="00DD4C91"/>
    <w:rsid w:val="00DD5F88"/>
    <w:rsid w:val="00DD6AF7"/>
    <w:rsid w:val="00DD7F04"/>
    <w:rsid w:val="00DE03AC"/>
    <w:rsid w:val="00DE0744"/>
    <w:rsid w:val="00DE0912"/>
    <w:rsid w:val="00DE0CE7"/>
    <w:rsid w:val="00DE11AA"/>
    <w:rsid w:val="00DE250C"/>
    <w:rsid w:val="00DE2D9B"/>
    <w:rsid w:val="00DE35DC"/>
    <w:rsid w:val="00DE4C68"/>
    <w:rsid w:val="00DE5439"/>
    <w:rsid w:val="00DE547D"/>
    <w:rsid w:val="00DE69D6"/>
    <w:rsid w:val="00DE6D58"/>
    <w:rsid w:val="00DE7091"/>
    <w:rsid w:val="00DE7C48"/>
    <w:rsid w:val="00DE7F94"/>
    <w:rsid w:val="00DF05BF"/>
    <w:rsid w:val="00DF0BFC"/>
    <w:rsid w:val="00DF1933"/>
    <w:rsid w:val="00DF2054"/>
    <w:rsid w:val="00DF2B2F"/>
    <w:rsid w:val="00DF383A"/>
    <w:rsid w:val="00DF3C46"/>
    <w:rsid w:val="00DF7B68"/>
    <w:rsid w:val="00E006FE"/>
    <w:rsid w:val="00E00923"/>
    <w:rsid w:val="00E00A9F"/>
    <w:rsid w:val="00E02DFF"/>
    <w:rsid w:val="00E03F70"/>
    <w:rsid w:val="00E042CE"/>
    <w:rsid w:val="00E055A6"/>
    <w:rsid w:val="00E10940"/>
    <w:rsid w:val="00E112B0"/>
    <w:rsid w:val="00E11603"/>
    <w:rsid w:val="00E12696"/>
    <w:rsid w:val="00E12FC8"/>
    <w:rsid w:val="00E13276"/>
    <w:rsid w:val="00E133DB"/>
    <w:rsid w:val="00E140D6"/>
    <w:rsid w:val="00E14B8C"/>
    <w:rsid w:val="00E163FB"/>
    <w:rsid w:val="00E1664D"/>
    <w:rsid w:val="00E16941"/>
    <w:rsid w:val="00E16BC3"/>
    <w:rsid w:val="00E20B42"/>
    <w:rsid w:val="00E22006"/>
    <w:rsid w:val="00E2221B"/>
    <w:rsid w:val="00E22A59"/>
    <w:rsid w:val="00E236A0"/>
    <w:rsid w:val="00E26279"/>
    <w:rsid w:val="00E27B8C"/>
    <w:rsid w:val="00E3247D"/>
    <w:rsid w:val="00E329E8"/>
    <w:rsid w:val="00E32C2F"/>
    <w:rsid w:val="00E32E78"/>
    <w:rsid w:val="00E33305"/>
    <w:rsid w:val="00E3376D"/>
    <w:rsid w:val="00E33A5A"/>
    <w:rsid w:val="00E342A5"/>
    <w:rsid w:val="00E346CB"/>
    <w:rsid w:val="00E35217"/>
    <w:rsid w:val="00E373F6"/>
    <w:rsid w:val="00E37DFC"/>
    <w:rsid w:val="00E37E76"/>
    <w:rsid w:val="00E410E7"/>
    <w:rsid w:val="00E417AC"/>
    <w:rsid w:val="00E41B52"/>
    <w:rsid w:val="00E433B4"/>
    <w:rsid w:val="00E44618"/>
    <w:rsid w:val="00E4489E"/>
    <w:rsid w:val="00E453E2"/>
    <w:rsid w:val="00E46769"/>
    <w:rsid w:val="00E4694A"/>
    <w:rsid w:val="00E5115E"/>
    <w:rsid w:val="00E512E4"/>
    <w:rsid w:val="00E51AA6"/>
    <w:rsid w:val="00E53016"/>
    <w:rsid w:val="00E530BF"/>
    <w:rsid w:val="00E53911"/>
    <w:rsid w:val="00E53AD9"/>
    <w:rsid w:val="00E53EDA"/>
    <w:rsid w:val="00E546B0"/>
    <w:rsid w:val="00E54C1A"/>
    <w:rsid w:val="00E54E1B"/>
    <w:rsid w:val="00E56A0C"/>
    <w:rsid w:val="00E57FD7"/>
    <w:rsid w:val="00E605CA"/>
    <w:rsid w:val="00E60D97"/>
    <w:rsid w:val="00E62D0A"/>
    <w:rsid w:val="00E63ADC"/>
    <w:rsid w:val="00E64A01"/>
    <w:rsid w:val="00E64D67"/>
    <w:rsid w:val="00E6520C"/>
    <w:rsid w:val="00E65C38"/>
    <w:rsid w:val="00E66CE3"/>
    <w:rsid w:val="00E67725"/>
    <w:rsid w:val="00E67BE5"/>
    <w:rsid w:val="00E70134"/>
    <w:rsid w:val="00E701D5"/>
    <w:rsid w:val="00E71065"/>
    <w:rsid w:val="00E7150A"/>
    <w:rsid w:val="00E716B6"/>
    <w:rsid w:val="00E7190B"/>
    <w:rsid w:val="00E7341C"/>
    <w:rsid w:val="00E7398E"/>
    <w:rsid w:val="00E73B80"/>
    <w:rsid w:val="00E73D2F"/>
    <w:rsid w:val="00E74078"/>
    <w:rsid w:val="00E74536"/>
    <w:rsid w:val="00E74992"/>
    <w:rsid w:val="00E74C71"/>
    <w:rsid w:val="00E74E3A"/>
    <w:rsid w:val="00E7605E"/>
    <w:rsid w:val="00E76DE1"/>
    <w:rsid w:val="00E77574"/>
    <w:rsid w:val="00E77AC8"/>
    <w:rsid w:val="00E8081E"/>
    <w:rsid w:val="00E80E44"/>
    <w:rsid w:val="00E81909"/>
    <w:rsid w:val="00E84074"/>
    <w:rsid w:val="00E84877"/>
    <w:rsid w:val="00E84A88"/>
    <w:rsid w:val="00E85453"/>
    <w:rsid w:val="00E863F8"/>
    <w:rsid w:val="00E86CC2"/>
    <w:rsid w:val="00E86E07"/>
    <w:rsid w:val="00E86E5E"/>
    <w:rsid w:val="00E876B6"/>
    <w:rsid w:val="00E9005B"/>
    <w:rsid w:val="00E90F76"/>
    <w:rsid w:val="00E91F98"/>
    <w:rsid w:val="00E924F6"/>
    <w:rsid w:val="00E92561"/>
    <w:rsid w:val="00E9292D"/>
    <w:rsid w:val="00E9395D"/>
    <w:rsid w:val="00E943F3"/>
    <w:rsid w:val="00E961FD"/>
    <w:rsid w:val="00E96E96"/>
    <w:rsid w:val="00E97FDF"/>
    <w:rsid w:val="00EA0702"/>
    <w:rsid w:val="00EA1CC0"/>
    <w:rsid w:val="00EA42C7"/>
    <w:rsid w:val="00EA4449"/>
    <w:rsid w:val="00EA4579"/>
    <w:rsid w:val="00EA5675"/>
    <w:rsid w:val="00EA66D1"/>
    <w:rsid w:val="00EA7677"/>
    <w:rsid w:val="00EB2D3E"/>
    <w:rsid w:val="00EB2F2E"/>
    <w:rsid w:val="00EB3E30"/>
    <w:rsid w:val="00EB4A95"/>
    <w:rsid w:val="00EB533C"/>
    <w:rsid w:val="00EB641D"/>
    <w:rsid w:val="00EB6EC1"/>
    <w:rsid w:val="00EB6FB3"/>
    <w:rsid w:val="00EB7189"/>
    <w:rsid w:val="00EB789B"/>
    <w:rsid w:val="00EC02CD"/>
    <w:rsid w:val="00EC0ABA"/>
    <w:rsid w:val="00EC1FC3"/>
    <w:rsid w:val="00EC2D5A"/>
    <w:rsid w:val="00EC30CB"/>
    <w:rsid w:val="00EC375B"/>
    <w:rsid w:val="00EC40C3"/>
    <w:rsid w:val="00EC4221"/>
    <w:rsid w:val="00EC4F2E"/>
    <w:rsid w:val="00EC6E5C"/>
    <w:rsid w:val="00EC6F9C"/>
    <w:rsid w:val="00EC7131"/>
    <w:rsid w:val="00EC720E"/>
    <w:rsid w:val="00EC7C65"/>
    <w:rsid w:val="00EC7F98"/>
    <w:rsid w:val="00ED2248"/>
    <w:rsid w:val="00ED2A3A"/>
    <w:rsid w:val="00ED3A1F"/>
    <w:rsid w:val="00ED3EFC"/>
    <w:rsid w:val="00ED4054"/>
    <w:rsid w:val="00ED4956"/>
    <w:rsid w:val="00ED5AB8"/>
    <w:rsid w:val="00ED7B42"/>
    <w:rsid w:val="00EE124D"/>
    <w:rsid w:val="00EE332D"/>
    <w:rsid w:val="00EE3592"/>
    <w:rsid w:val="00EE36F9"/>
    <w:rsid w:val="00EE4177"/>
    <w:rsid w:val="00EE648B"/>
    <w:rsid w:val="00EE68FD"/>
    <w:rsid w:val="00EE7C38"/>
    <w:rsid w:val="00EF0BB8"/>
    <w:rsid w:val="00EF0E62"/>
    <w:rsid w:val="00EF0EBF"/>
    <w:rsid w:val="00EF1922"/>
    <w:rsid w:val="00EF1FC9"/>
    <w:rsid w:val="00EF262F"/>
    <w:rsid w:val="00EF2817"/>
    <w:rsid w:val="00EF2A7B"/>
    <w:rsid w:val="00EF3BA9"/>
    <w:rsid w:val="00EF4457"/>
    <w:rsid w:val="00EF4D8E"/>
    <w:rsid w:val="00EF52FD"/>
    <w:rsid w:val="00EF5B50"/>
    <w:rsid w:val="00EF63E9"/>
    <w:rsid w:val="00EF6CBB"/>
    <w:rsid w:val="00EF7015"/>
    <w:rsid w:val="00EF7271"/>
    <w:rsid w:val="00EF7A2C"/>
    <w:rsid w:val="00F001FE"/>
    <w:rsid w:val="00F00500"/>
    <w:rsid w:val="00F00A68"/>
    <w:rsid w:val="00F00A84"/>
    <w:rsid w:val="00F01554"/>
    <w:rsid w:val="00F02A29"/>
    <w:rsid w:val="00F033D9"/>
    <w:rsid w:val="00F03723"/>
    <w:rsid w:val="00F037C6"/>
    <w:rsid w:val="00F03E68"/>
    <w:rsid w:val="00F04239"/>
    <w:rsid w:val="00F04FEA"/>
    <w:rsid w:val="00F05A1D"/>
    <w:rsid w:val="00F0698C"/>
    <w:rsid w:val="00F06CDD"/>
    <w:rsid w:val="00F070AC"/>
    <w:rsid w:val="00F07BFF"/>
    <w:rsid w:val="00F105E7"/>
    <w:rsid w:val="00F11B1D"/>
    <w:rsid w:val="00F1226A"/>
    <w:rsid w:val="00F1258C"/>
    <w:rsid w:val="00F131AB"/>
    <w:rsid w:val="00F151AC"/>
    <w:rsid w:val="00F15514"/>
    <w:rsid w:val="00F1568B"/>
    <w:rsid w:val="00F16B36"/>
    <w:rsid w:val="00F17B6E"/>
    <w:rsid w:val="00F2036F"/>
    <w:rsid w:val="00F21178"/>
    <w:rsid w:val="00F22270"/>
    <w:rsid w:val="00F22CA5"/>
    <w:rsid w:val="00F2307A"/>
    <w:rsid w:val="00F23E3B"/>
    <w:rsid w:val="00F240B0"/>
    <w:rsid w:val="00F261CC"/>
    <w:rsid w:val="00F30086"/>
    <w:rsid w:val="00F30959"/>
    <w:rsid w:val="00F312A0"/>
    <w:rsid w:val="00F3159C"/>
    <w:rsid w:val="00F31E22"/>
    <w:rsid w:val="00F31E26"/>
    <w:rsid w:val="00F31FC6"/>
    <w:rsid w:val="00F31FF4"/>
    <w:rsid w:val="00F32175"/>
    <w:rsid w:val="00F3233D"/>
    <w:rsid w:val="00F325B2"/>
    <w:rsid w:val="00F33C79"/>
    <w:rsid w:val="00F354F4"/>
    <w:rsid w:val="00F35940"/>
    <w:rsid w:val="00F36936"/>
    <w:rsid w:val="00F36A38"/>
    <w:rsid w:val="00F3735B"/>
    <w:rsid w:val="00F37467"/>
    <w:rsid w:val="00F37779"/>
    <w:rsid w:val="00F37B12"/>
    <w:rsid w:val="00F37B74"/>
    <w:rsid w:val="00F40DF4"/>
    <w:rsid w:val="00F4130C"/>
    <w:rsid w:val="00F41788"/>
    <w:rsid w:val="00F41D7B"/>
    <w:rsid w:val="00F42085"/>
    <w:rsid w:val="00F43602"/>
    <w:rsid w:val="00F43736"/>
    <w:rsid w:val="00F45082"/>
    <w:rsid w:val="00F45675"/>
    <w:rsid w:val="00F45B5A"/>
    <w:rsid w:val="00F46670"/>
    <w:rsid w:val="00F4686A"/>
    <w:rsid w:val="00F46DD5"/>
    <w:rsid w:val="00F5006D"/>
    <w:rsid w:val="00F508E4"/>
    <w:rsid w:val="00F51128"/>
    <w:rsid w:val="00F5277E"/>
    <w:rsid w:val="00F55257"/>
    <w:rsid w:val="00F553A9"/>
    <w:rsid w:val="00F558D1"/>
    <w:rsid w:val="00F55ADC"/>
    <w:rsid w:val="00F56628"/>
    <w:rsid w:val="00F5666C"/>
    <w:rsid w:val="00F566BA"/>
    <w:rsid w:val="00F56CC8"/>
    <w:rsid w:val="00F57B80"/>
    <w:rsid w:val="00F60472"/>
    <w:rsid w:val="00F604D1"/>
    <w:rsid w:val="00F61447"/>
    <w:rsid w:val="00F61698"/>
    <w:rsid w:val="00F61AF2"/>
    <w:rsid w:val="00F6209B"/>
    <w:rsid w:val="00F6252F"/>
    <w:rsid w:val="00F6253A"/>
    <w:rsid w:val="00F628FE"/>
    <w:rsid w:val="00F63A74"/>
    <w:rsid w:val="00F64798"/>
    <w:rsid w:val="00F64A4B"/>
    <w:rsid w:val="00F64B74"/>
    <w:rsid w:val="00F653F9"/>
    <w:rsid w:val="00F66F40"/>
    <w:rsid w:val="00F66FFC"/>
    <w:rsid w:val="00F6732E"/>
    <w:rsid w:val="00F67835"/>
    <w:rsid w:val="00F70005"/>
    <w:rsid w:val="00F704A5"/>
    <w:rsid w:val="00F72D0E"/>
    <w:rsid w:val="00F73507"/>
    <w:rsid w:val="00F75724"/>
    <w:rsid w:val="00F75DAA"/>
    <w:rsid w:val="00F76380"/>
    <w:rsid w:val="00F76509"/>
    <w:rsid w:val="00F7681B"/>
    <w:rsid w:val="00F76EDB"/>
    <w:rsid w:val="00F7717A"/>
    <w:rsid w:val="00F77419"/>
    <w:rsid w:val="00F80AB8"/>
    <w:rsid w:val="00F812D5"/>
    <w:rsid w:val="00F836BB"/>
    <w:rsid w:val="00F851C1"/>
    <w:rsid w:val="00F85C26"/>
    <w:rsid w:val="00F86142"/>
    <w:rsid w:val="00F8753B"/>
    <w:rsid w:val="00F92A28"/>
    <w:rsid w:val="00F92C0D"/>
    <w:rsid w:val="00F92C86"/>
    <w:rsid w:val="00F92F34"/>
    <w:rsid w:val="00F9336D"/>
    <w:rsid w:val="00F9400D"/>
    <w:rsid w:val="00F948A4"/>
    <w:rsid w:val="00F963DD"/>
    <w:rsid w:val="00F972CD"/>
    <w:rsid w:val="00F97950"/>
    <w:rsid w:val="00F97EA2"/>
    <w:rsid w:val="00FA155D"/>
    <w:rsid w:val="00FA2094"/>
    <w:rsid w:val="00FA2EB8"/>
    <w:rsid w:val="00FA365D"/>
    <w:rsid w:val="00FA36E8"/>
    <w:rsid w:val="00FA37CC"/>
    <w:rsid w:val="00FA7A2E"/>
    <w:rsid w:val="00FB1492"/>
    <w:rsid w:val="00FB1BF3"/>
    <w:rsid w:val="00FB1C90"/>
    <w:rsid w:val="00FB1EA1"/>
    <w:rsid w:val="00FB2E6A"/>
    <w:rsid w:val="00FB3ADF"/>
    <w:rsid w:val="00FB4720"/>
    <w:rsid w:val="00FB49F4"/>
    <w:rsid w:val="00FB4B82"/>
    <w:rsid w:val="00FB4F70"/>
    <w:rsid w:val="00FB67B4"/>
    <w:rsid w:val="00FB71F1"/>
    <w:rsid w:val="00FB731B"/>
    <w:rsid w:val="00FB7FB0"/>
    <w:rsid w:val="00FC052F"/>
    <w:rsid w:val="00FC2C14"/>
    <w:rsid w:val="00FC30FA"/>
    <w:rsid w:val="00FC38F4"/>
    <w:rsid w:val="00FC3C14"/>
    <w:rsid w:val="00FC45B8"/>
    <w:rsid w:val="00FC5154"/>
    <w:rsid w:val="00FC6FC5"/>
    <w:rsid w:val="00FC747E"/>
    <w:rsid w:val="00FC74B8"/>
    <w:rsid w:val="00FD134E"/>
    <w:rsid w:val="00FD173C"/>
    <w:rsid w:val="00FD1750"/>
    <w:rsid w:val="00FD1DD8"/>
    <w:rsid w:val="00FD34D9"/>
    <w:rsid w:val="00FD3564"/>
    <w:rsid w:val="00FD480F"/>
    <w:rsid w:val="00FD487A"/>
    <w:rsid w:val="00FD751A"/>
    <w:rsid w:val="00FE0B38"/>
    <w:rsid w:val="00FE1206"/>
    <w:rsid w:val="00FE1797"/>
    <w:rsid w:val="00FE190E"/>
    <w:rsid w:val="00FE1D88"/>
    <w:rsid w:val="00FE2703"/>
    <w:rsid w:val="00FE60E1"/>
    <w:rsid w:val="00FE67CB"/>
    <w:rsid w:val="00FE7E4B"/>
    <w:rsid w:val="00FF0585"/>
    <w:rsid w:val="00FF151A"/>
    <w:rsid w:val="00FF191B"/>
    <w:rsid w:val="00FF2228"/>
    <w:rsid w:val="00FF2493"/>
    <w:rsid w:val="00FF25EF"/>
    <w:rsid w:val="00FF2A4E"/>
    <w:rsid w:val="00FF3172"/>
    <w:rsid w:val="00FF366A"/>
    <w:rsid w:val="00FF41B1"/>
    <w:rsid w:val="00FF452F"/>
    <w:rsid w:val="00FF4CA8"/>
    <w:rsid w:val="00FF4E67"/>
    <w:rsid w:val="00FF4F99"/>
    <w:rsid w:val="00FF695D"/>
    <w:rsid w:val="00FF70A0"/>
    <w:rsid w:val="00FF7322"/>
    <w:rsid w:val="00FF77A2"/>
    <w:rsid w:val="00FF792F"/>
    <w:rsid w:val="00FF7B66"/>
    <w:rsid w:val="00FF7F07"/>
    <w:rsid w:val="010827C0"/>
    <w:rsid w:val="014F04E5"/>
    <w:rsid w:val="01724C2C"/>
    <w:rsid w:val="01920401"/>
    <w:rsid w:val="0195644C"/>
    <w:rsid w:val="019E4202"/>
    <w:rsid w:val="01B87B26"/>
    <w:rsid w:val="01C072D1"/>
    <w:rsid w:val="01C62F65"/>
    <w:rsid w:val="01E4322D"/>
    <w:rsid w:val="0255198A"/>
    <w:rsid w:val="027423B3"/>
    <w:rsid w:val="028E7BDF"/>
    <w:rsid w:val="02992DEC"/>
    <w:rsid w:val="02B472A9"/>
    <w:rsid w:val="02C95469"/>
    <w:rsid w:val="02D34744"/>
    <w:rsid w:val="02D61B95"/>
    <w:rsid w:val="02DA63DE"/>
    <w:rsid w:val="03101E00"/>
    <w:rsid w:val="032D5B2F"/>
    <w:rsid w:val="03915CBB"/>
    <w:rsid w:val="03C6073D"/>
    <w:rsid w:val="03E11484"/>
    <w:rsid w:val="03E73F6F"/>
    <w:rsid w:val="04463D2B"/>
    <w:rsid w:val="04552530"/>
    <w:rsid w:val="04585927"/>
    <w:rsid w:val="0465519A"/>
    <w:rsid w:val="0496681F"/>
    <w:rsid w:val="04A10F62"/>
    <w:rsid w:val="04B05277"/>
    <w:rsid w:val="04B14A54"/>
    <w:rsid w:val="04E33A5F"/>
    <w:rsid w:val="04F14B3B"/>
    <w:rsid w:val="04FF212C"/>
    <w:rsid w:val="05087233"/>
    <w:rsid w:val="050D4295"/>
    <w:rsid w:val="05371AF0"/>
    <w:rsid w:val="0548574A"/>
    <w:rsid w:val="05544350"/>
    <w:rsid w:val="05D02834"/>
    <w:rsid w:val="05E64C20"/>
    <w:rsid w:val="05ED6429"/>
    <w:rsid w:val="064A0705"/>
    <w:rsid w:val="06897EFF"/>
    <w:rsid w:val="06A04F45"/>
    <w:rsid w:val="06AF7AFE"/>
    <w:rsid w:val="06B04F83"/>
    <w:rsid w:val="06D500D3"/>
    <w:rsid w:val="06E20753"/>
    <w:rsid w:val="06E864EF"/>
    <w:rsid w:val="070E5316"/>
    <w:rsid w:val="074143D2"/>
    <w:rsid w:val="07443158"/>
    <w:rsid w:val="074A36D8"/>
    <w:rsid w:val="074E6108"/>
    <w:rsid w:val="076B3AA9"/>
    <w:rsid w:val="07D41F0B"/>
    <w:rsid w:val="07EF451C"/>
    <w:rsid w:val="080A62FE"/>
    <w:rsid w:val="082779D0"/>
    <w:rsid w:val="08305869"/>
    <w:rsid w:val="086607BD"/>
    <w:rsid w:val="088F1F3E"/>
    <w:rsid w:val="089E6217"/>
    <w:rsid w:val="08B2007D"/>
    <w:rsid w:val="08C96CD9"/>
    <w:rsid w:val="08D82CBE"/>
    <w:rsid w:val="08DF2475"/>
    <w:rsid w:val="08E421C5"/>
    <w:rsid w:val="08F63846"/>
    <w:rsid w:val="08F830FA"/>
    <w:rsid w:val="091F4B4B"/>
    <w:rsid w:val="092A4459"/>
    <w:rsid w:val="09F101AC"/>
    <w:rsid w:val="09F547F1"/>
    <w:rsid w:val="0A02043C"/>
    <w:rsid w:val="0A1641A0"/>
    <w:rsid w:val="0A206DCD"/>
    <w:rsid w:val="0A374116"/>
    <w:rsid w:val="0A425D09"/>
    <w:rsid w:val="0A615213"/>
    <w:rsid w:val="0A77066E"/>
    <w:rsid w:val="0AD361DF"/>
    <w:rsid w:val="0AF139A7"/>
    <w:rsid w:val="0B4D5B24"/>
    <w:rsid w:val="0B660A46"/>
    <w:rsid w:val="0B6D172F"/>
    <w:rsid w:val="0B98378C"/>
    <w:rsid w:val="0BAF7383"/>
    <w:rsid w:val="0BB97AC8"/>
    <w:rsid w:val="0BCE4606"/>
    <w:rsid w:val="0BCF5D24"/>
    <w:rsid w:val="0C174BC2"/>
    <w:rsid w:val="0C175FAD"/>
    <w:rsid w:val="0C1A784C"/>
    <w:rsid w:val="0C7D722D"/>
    <w:rsid w:val="0CB97FA9"/>
    <w:rsid w:val="0CCB1770"/>
    <w:rsid w:val="0CCE5B94"/>
    <w:rsid w:val="0CF06F2A"/>
    <w:rsid w:val="0CFF1A4A"/>
    <w:rsid w:val="0D173FCE"/>
    <w:rsid w:val="0D3F1B32"/>
    <w:rsid w:val="0D5F286E"/>
    <w:rsid w:val="0D7540BF"/>
    <w:rsid w:val="0DD025A3"/>
    <w:rsid w:val="0DEB14A0"/>
    <w:rsid w:val="0DEB54DD"/>
    <w:rsid w:val="0E096438"/>
    <w:rsid w:val="0E33119A"/>
    <w:rsid w:val="0E484B44"/>
    <w:rsid w:val="0EEF05BA"/>
    <w:rsid w:val="0F0F11BE"/>
    <w:rsid w:val="0F2203CF"/>
    <w:rsid w:val="0F272863"/>
    <w:rsid w:val="0F2C78B5"/>
    <w:rsid w:val="0F49256A"/>
    <w:rsid w:val="0F4D3FA3"/>
    <w:rsid w:val="0F6256F4"/>
    <w:rsid w:val="0F674CBA"/>
    <w:rsid w:val="0F9446C6"/>
    <w:rsid w:val="0F9D2C6D"/>
    <w:rsid w:val="0FAC2639"/>
    <w:rsid w:val="0FB2671F"/>
    <w:rsid w:val="0FBF4B97"/>
    <w:rsid w:val="10130368"/>
    <w:rsid w:val="102E514F"/>
    <w:rsid w:val="104C77C0"/>
    <w:rsid w:val="1061783B"/>
    <w:rsid w:val="108375A0"/>
    <w:rsid w:val="10A9252D"/>
    <w:rsid w:val="10BF71E9"/>
    <w:rsid w:val="10D241D0"/>
    <w:rsid w:val="10E35D14"/>
    <w:rsid w:val="11105DEF"/>
    <w:rsid w:val="111123A7"/>
    <w:rsid w:val="11252143"/>
    <w:rsid w:val="1132247A"/>
    <w:rsid w:val="114D73C4"/>
    <w:rsid w:val="11511AAD"/>
    <w:rsid w:val="11552A4A"/>
    <w:rsid w:val="11714438"/>
    <w:rsid w:val="117B2B3A"/>
    <w:rsid w:val="117C475F"/>
    <w:rsid w:val="119D24C1"/>
    <w:rsid w:val="11D10160"/>
    <w:rsid w:val="1204469C"/>
    <w:rsid w:val="121E04E8"/>
    <w:rsid w:val="12200177"/>
    <w:rsid w:val="126E04C4"/>
    <w:rsid w:val="12900868"/>
    <w:rsid w:val="12940358"/>
    <w:rsid w:val="13441AE5"/>
    <w:rsid w:val="134C6DD6"/>
    <w:rsid w:val="136D666B"/>
    <w:rsid w:val="139F799A"/>
    <w:rsid w:val="13B17C71"/>
    <w:rsid w:val="13CE17D5"/>
    <w:rsid w:val="1405689D"/>
    <w:rsid w:val="1425441D"/>
    <w:rsid w:val="14301B0C"/>
    <w:rsid w:val="146E69D8"/>
    <w:rsid w:val="14711FFC"/>
    <w:rsid w:val="147C18B9"/>
    <w:rsid w:val="147E2158"/>
    <w:rsid w:val="14970D4A"/>
    <w:rsid w:val="14AD4DB8"/>
    <w:rsid w:val="14C4258A"/>
    <w:rsid w:val="15026A44"/>
    <w:rsid w:val="153F3BAF"/>
    <w:rsid w:val="15E45152"/>
    <w:rsid w:val="15EC220C"/>
    <w:rsid w:val="15F555B1"/>
    <w:rsid w:val="161E3404"/>
    <w:rsid w:val="169C77DB"/>
    <w:rsid w:val="170A6E3A"/>
    <w:rsid w:val="1720040C"/>
    <w:rsid w:val="175005C5"/>
    <w:rsid w:val="17BA0860"/>
    <w:rsid w:val="17E05DED"/>
    <w:rsid w:val="17FF1CA5"/>
    <w:rsid w:val="186576DB"/>
    <w:rsid w:val="18673E19"/>
    <w:rsid w:val="1870581D"/>
    <w:rsid w:val="18852DC4"/>
    <w:rsid w:val="189F460D"/>
    <w:rsid w:val="18B43EE8"/>
    <w:rsid w:val="18E436BB"/>
    <w:rsid w:val="19744352"/>
    <w:rsid w:val="19940024"/>
    <w:rsid w:val="19B73F44"/>
    <w:rsid w:val="19DF0792"/>
    <w:rsid w:val="1A0149D1"/>
    <w:rsid w:val="1A1C0075"/>
    <w:rsid w:val="1A2235E4"/>
    <w:rsid w:val="1A304E0A"/>
    <w:rsid w:val="1A4C3528"/>
    <w:rsid w:val="1A570ED9"/>
    <w:rsid w:val="1A620D3B"/>
    <w:rsid w:val="1A943AF7"/>
    <w:rsid w:val="1AA43102"/>
    <w:rsid w:val="1AD31C39"/>
    <w:rsid w:val="1ADC3C25"/>
    <w:rsid w:val="1ADD03C2"/>
    <w:rsid w:val="1AE158EF"/>
    <w:rsid w:val="1B237142"/>
    <w:rsid w:val="1B2C68C9"/>
    <w:rsid w:val="1B6A170F"/>
    <w:rsid w:val="1B8A22F8"/>
    <w:rsid w:val="1B987231"/>
    <w:rsid w:val="1BA809D0"/>
    <w:rsid w:val="1BAD4A8B"/>
    <w:rsid w:val="1BC8769B"/>
    <w:rsid w:val="1C041A94"/>
    <w:rsid w:val="1C456AEB"/>
    <w:rsid w:val="1C54620B"/>
    <w:rsid w:val="1C817B9F"/>
    <w:rsid w:val="1C8C41A9"/>
    <w:rsid w:val="1C8E5E18"/>
    <w:rsid w:val="1C913B90"/>
    <w:rsid w:val="1C982E58"/>
    <w:rsid w:val="1CAA2094"/>
    <w:rsid w:val="1CB338B2"/>
    <w:rsid w:val="1CB95FBA"/>
    <w:rsid w:val="1CBC14A8"/>
    <w:rsid w:val="1CF52D14"/>
    <w:rsid w:val="1CF72A71"/>
    <w:rsid w:val="1D076741"/>
    <w:rsid w:val="1D0F3860"/>
    <w:rsid w:val="1D2A5E93"/>
    <w:rsid w:val="1D4E21CA"/>
    <w:rsid w:val="1D5C49B8"/>
    <w:rsid w:val="1D6227F8"/>
    <w:rsid w:val="1D644556"/>
    <w:rsid w:val="1DAB7C59"/>
    <w:rsid w:val="1DB00010"/>
    <w:rsid w:val="1DB418AE"/>
    <w:rsid w:val="1DC96A0D"/>
    <w:rsid w:val="1DE1661E"/>
    <w:rsid w:val="1DFE291F"/>
    <w:rsid w:val="1E141822"/>
    <w:rsid w:val="1E28404A"/>
    <w:rsid w:val="1E2D1660"/>
    <w:rsid w:val="1E3649B9"/>
    <w:rsid w:val="1E374DF7"/>
    <w:rsid w:val="1E385966"/>
    <w:rsid w:val="1E7D1FC4"/>
    <w:rsid w:val="1E990AA4"/>
    <w:rsid w:val="1ED56267"/>
    <w:rsid w:val="1EDE7903"/>
    <w:rsid w:val="1EE42889"/>
    <w:rsid w:val="1F0B19A2"/>
    <w:rsid w:val="1F262338"/>
    <w:rsid w:val="1F4C5B16"/>
    <w:rsid w:val="1F57762E"/>
    <w:rsid w:val="1F645A99"/>
    <w:rsid w:val="1F852551"/>
    <w:rsid w:val="1F8B6652"/>
    <w:rsid w:val="1FA73631"/>
    <w:rsid w:val="1FBB64FE"/>
    <w:rsid w:val="1FC009DE"/>
    <w:rsid w:val="1FC35DD8"/>
    <w:rsid w:val="1FF90AD1"/>
    <w:rsid w:val="20112FE8"/>
    <w:rsid w:val="201448F3"/>
    <w:rsid w:val="2056004D"/>
    <w:rsid w:val="205F5715"/>
    <w:rsid w:val="20616C82"/>
    <w:rsid w:val="206B2007"/>
    <w:rsid w:val="207B4905"/>
    <w:rsid w:val="20A04297"/>
    <w:rsid w:val="20C20C31"/>
    <w:rsid w:val="20C84D12"/>
    <w:rsid w:val="210F6386"/>
    <w:rsid w:val="21543824"/>
    <w:rsid w:val="2197751D"/>
    <w:rsid w:val="219910AC"/>
    <w:rsid w:val="21A6126D"/>
    <w:rsid w:val="21BA77C5"/>
    <w:rsid w:val="21CD2F3E"/>
    <w:rsid w:val="21E40288"/>
    <w:rsid w:val="220F1E76"/>
    <w:rsid w:val="221430F4"/>
    <w:rsid w:val="223C6316"/>
    <w:rsid w:val="224F3E0C"/>
    <w:rsid w:val="225D0766"/>
    <w:rsid w:val="22721D38"/>
    <w:rsid w:val="227578EC"/>
    <w:rsid w:val="227F3C44"/>
    <w:rsid w:val="22813E3B"/>
    <w:rsid w:val="22907A60"/>
    <w:rsid w:val="22D14F53"/>
    <w:rsid w:val="22F4274D"/>
    <w:rsid w:val="23447230"/>
    <w:rsid w:val="23563407"/>
    <w:rsid w:val="23804366"/>
    <w:rsid w:val="238D7FC6"/>
    <w:rsid w:val="23A936B3"/>
    <w:rsid w:val="23DB0465"/>
    <w:rsid w:val="2409047A"/>
    <w:rsid w:val="240E27FB"/>
    <w:rsid w:val="2448085F"/>
    <w:rsid w:val="2460453E"/>
    <w:rsid w:val="24613453"/>
    <w:rsid w:val="24C82820"/>
    <w:rsid w:val="24D16C22"/>
    <w:rsid w:val="24D740D4"/>
    <w:rsid w:val="24FE5B05"/>
    <w:rsid w:val="25011339"/>
    <w:rsid w:val="250749B9"/>
    <w:rsid w:val="254E4396"/>
    <w:rsid w:val="255F02C6"/>
    <w:rsid w:val="256E3D48"/>
    <w:rsid w:val="25BD2BB9"/>
    <w:rsid w:val="25F50CB6"/>
    <w:rsid w:val="26163EB5"/>
    <w:rsid w:val="26321F0A"/>
    <w:rsid w:val="26805550"/>
    <w:rsid w:val="26C568DA"/>
    <w:rsid w:val="26D905D7"/>
    <w:rsid w:val="26DB60FD"/>
    <w:rsid w:val="26EA6665"/>
    <w:rsid w:val="2746688A"/>
    <w:rsid w:val="276B6060"/>
    <w:rsid w:val="27822A1D"/>
    <w:rsid w:val="278F23C0"/>
    <w:rsid w:val="27B2145C"/>
    <w:rsid w:val="27F21951"/>
    <w:rsid w:val="27FA7131"/>
    <w:rsid w:val="281A0EA7"/>
    <w:rsid w:val="282D6669"/>
    <w:rsid w:val="28435545"/>
    <w:rsid w:val="287C121A"/>
    <w:rsid w:val="289229E4"/>
    <w:rsid w:val="28962D82"/>
    <w:rsid w:val="28AC6901"/>
    <w:rsid w:val="28BC30CB"/>
    <w:rsid w:val="28C22024"/>
    <w:rsid w:val="28F141AE"/>
    <w:rsid w:val="28F4605A"/>
    <w:rsid w:val="28FB2A87"/>
    <w:rsid w:val="290129D3"/>
    <w:rsid w:val="29BA46F0"/>
    <w:rsid w:val="29C722AC"/>
    <w:rsid w:val="29F56D48"/>
    <w:rsid w:val="2A0D0CC4"/>
    <w:rsid w:val="2A1B2201"/>
    <w:rsid w:val="2A420242"/>
    <w:rsid w:val="2A613DAE"/>
    <w:rsid w:val="2AC8240E"/>
    <w:rsid w:val="2ADE6591"/>
    <w:rsid w:val="2AE474F4"/>
    <w:rsid w:val="2AE91610"/>
    <w:rsid w:val="2AF23A16"/>
    <w:rsid w:val="2B2D0EF2"/>
    <w:rsid w:val="2B473D61"/>
    <w:rsid w:val="2B69661F"/>
    <w:rsid w:val="2BA271EA"/>
    <w:rsid w:val="2BAE7D76"/>
    <w:rsid w:val="2BCD7395"/>
    <w:rsid w:val="2BCE4856"/>
    <w:rsid w:val="2BEC2B5B"/>
    <w:rsid w:val="2C087578"/>
    <w:rsid w:val="2C0B1EB7"/>
    <w:rsid w:val="2C2F6E99"/>
    <w:rsid w:val="2C3708A1"/>
    <w:rsid w:val="2C740C6A"/>
    <w:rsid w:val="2C8F5842"/>
    <w:rsid w:val="2CBA5B43"/>
    <w:rsid w:val="2CE46028"/>
    <w:rsid w:val="2CF92365"/>
    <w:rsid w:val="2CFE750E"/>
    <w:rsid w:val="2D05394C"/>
    <w:rsid w:val="2D0F7889"/>
    <w:rsid w:val="2D5279D2"/>
    <w:rsid w:val="2D5779CF"/>
    <w:rsid w:val="2D660D84"/>
    <w:rsid w:val="2D874C30"/>
    <w:rsid w:val="2DF42E5B"/>
    <w:rsid w:val="2E0D4939"/>
    <w:rsid w:val="2E2837C2"/>
    <w:rsid w:val="2E5A659D"/>
    <w:rsid w:val="2E6C5C5A"/>
    <w:rsid w:val="2E734E6D"/>
    <w:rsid w:val="2EE46E89"/>
    <w:rsid w:val="2F234AE5"/>
    <w:rsid w:val="2F3C2100"/>
    <w:rsid w:val="2F3E7857"/>
    <w:rsid w:val="2F5E167A"/>
    <w:rsid w:val="2F624773"/>
    <w:rsid w:val="2F7B047E"/>
    <w:rsid w:val="2F9060E8"/>
    <w:rsid w:val="2FA31782"/>
    <w:rsid w:val="2FB23303"/>
    <w:rsid w:val="2FE00F3D"/>
    <w:rsid w:val="2FEC4067"/>
    <w:rsid w:val="2FF02C24"/>
    <w:rsid w:val="2FF40230"/>
    <w:rsid w:val="30246A80"/>
    <w:rsid w:val="305C0CAD"/>
    <w:rsid w:val="307325D9"/>
    <w:rsid w:val="30B11ABF"/>
    <w:rsid w:val="30C51EF2"/>
    <w:rsid w:val="30E84514"/>
    <w:rsid w:val="30F027A5"/>
    <w:rsid w:val="31137412"/>
    <w:rsid w:val="31181CFC"/>
    <w:rsid w:val="318750EF"/>
    <w:rsid w:val="318C73AC"/>
    <w:rsid w:val="31E71DFA"/>
    <w:rsid w:val="31F2015C"/>
    <w:rsid w:val="31F67EDC"/>
    <w:rsid w:val="3200310A"/>
    <w:rsid w:val="323C6334"/>
    <w:rsid w:val="324C3D0F"/>
    <w:rsid w:val="325D5CAE"/>
    <w:rsid w:val="327F717E"/>
    <w:rsid w:val="32A221C5"/>
    <w:rsid w:val="32BC4C6F"/>
    <w:rsid w:val="32E53E60"/>
    <w:rsid w:val="32F1121C"/>
    <w:rsid w:val="331575E0"/>
    <w:rsid w:val="333E257D"/>
    <w:rsid w:val="337C0898"/>
    <w:rsid w:val="33E54D41"/>
    <w:rsid w:val="33F16F60"/>
    <w:rsid w:val="33F22CD8"/>
    <w:rsid w:val="340145E2"/>
    <w:rsid w:val="3404022F"/>
    <w:rsid w:val="341774EA"/>
    <w:rsid w:val="343C6007"/>
    <w:rsid w:val="3474525E"/>
    <w:rsid w:val="348231C8"/>
    <w:rsid w:val="349756CD"/>
    <w:rsid w:val="34BB1D0D"/>
    <w:rsid w:val="34DB703E"/>
    <w:rsid w:val="352B6080"/>
    <w:rsid w:val="352E7A4E"/>
    <w:rsid w:val="355D1BDD"/>
    <w:rsid w:val="358636D8"/>
    <w:rsid w:val="35BC3ECF"/>
    <w:rsid w:val="35EF127D"/>
    <w:rsid w:val="35F273D0"/>
    <w:rsid w:val="35FF1075"/>
    <w:rsid w:val="36312BA6"/>
    <w:rsid w:val="363E3E80"/>
    <w:rsid w:val="364147F8"/>
    <w:rsid w:val="368C1FDB"/>
    <w:rsid w:val="36AB0D07"/>
    <w:rsid w:val="36F44901"/>
    <w:rsid w:val="371216F3"/>
    <w:rsid w:val="371562DB"/>
    <w:rsid w:val="37256F21"/>
    <w:rsid w:val="37555A58"/>
    <w:rsid w:val="37895702"/>
    <w:rsid w:val="37B26BC7"/>
    <w:rsid w:val="37BA272F"/>
    <w:rsid w:val="37C00961"/>
    <w:rsid w:val="37DF7667"/>
    <w:rsid w:val="37F91B59"/>
    <w:rsid w:val="3810197F"/>
    <w:rsid w:val="382A2A41"/>
    <w:rsid w:val="382F7F59"/>
    <w:rsid w:val="384358B1"/>
    <w:rsid w:val="3898459D"/>
    <w:rsid w:val="389C08AF"/>
    <w:rsid w:val="38B4677D"/>
    <w:rsid w:val="38D65532"/>
    <w:rsid w:val="39474803"/>
    <w:rsid w:val="39585248"/>
    <w:rsid w:val="39682C9F"/>
    <w:rsid w:val="396C7089"/>
    <w:rsid w:val="399A5BA1"/>
    <w:rsid w:val="39C0030D"/>
    <w:rsid w:val="39D07993"/>
    <w:rsid w:val="39E159DF"/>
    <w:rsid w:val="39EE7A9E"/>
    <w:rsid w:val="3A530EB7"/>
    <w:rsid w:val="3A9B45AD"/>
    <w:rsid w:val="3AF96F3C"/>
    <w:rsid w:val="3AFF6407"/>
    <w:rsid w:val="3B4E1274"/>
    <w:rsid w:val="3B641013"/>
    <w:rsid w:val="3B6A75F8"/>
    <w:rsid w:val="3B8A2759"/>
    <w:rsid w:val="3BA20BFD"/>
    <w:rsid w:val="3BA42B0A"/>
    <w:rsid w:val="3BC40B50"/>
    <w:rsid w:val="3C003D8D"/>
    <w:rsid w:val="3C0161AE"/>
    <w:rsid w:val="3C3917A1"/>
    <w:rsid w:val="3C3B785C"/>
    <w:rsid w:val="3C491007"/>
    <w:rsid w:val="3C5C2847"/>
    <w:rsid w:val="3C775A3F"/>
    <w:rsid w:val="3C925059"/>
    <w:rsid w:val="3CB23005"/>
    <w:rsid w:val="3CB5559F"/>
    <w:rsid w:val="3CB57633"/>
    <w:rsid w:val="3CBC2B52"/>
    <w:rsid w:val="3CDB69FF"/>
    <w:rsid w:val="3CE753A4"/>
    <w:rsid w:val="3D0F0D6D"/>
    <w:rsid w:val="3D1F312E"/>
    <w:rsid w:val="3D2C1009"/>
    <w:rsid w:val="3D6A7724"/>
    <w:rsid w:val="3D8364E0"/>
    <w:rsid w:val="3DDC1163"/>
    <w:rsid w:val="3E1C085C"/>
    <w:rsid w:val="3E3711E2"/>
    <w:rsid w:val="3E421533"/>
    <w:rsid w:val="3E4E44C1"/>
    <w:rsid w:val="3E6F5651"/>
    <w:rsid w:val="3E8D5E6B"/>
    <w:rsid w:val="3ED01430"/>
    <w:rsid w:val="3EDC25BB"/>
    <w:rsid w:val="3F0856F2"/>
    <w:rsid w:val="3F1572A1"/>
    <w:rsid w:val="3F3E5024"/>
    <w:rsid w:val="3F66594E"/>
    <w:rsid w:val="3F796D91"/>
    <w:rsid w:val="3F9733C2"/>
    <w:rsid w:val="3FA30497"/>
    <w:rsid w:val="3FD247CD"/>
    <w:rsid w:val="3FD414E4"/>
    <w:rsid w:val="40153FD6"/>
    <w:rsid w:val="406E7B8B"/>
    <w:rsid w:val="40BC0987"/>
    <w:rsid w:val="40D45C40"/>
    <w:rsid w:val="40DB5220"/>
    <w:rsid w:val="40E81C84"/>
    <w:rsid w:val="40F94293"/>
    <w:rsid w:val="4157061F"/>
    <w:rsid w:val="41662610"/>
    <w:rsid w:val="41921B27"/>
    <w:rsid w:val="41D75722"/>
    <w:rsid w:val="41F320F5"/>
    <w:rsid w:val="41FA72AF"/>
    <w:rsid w:val="421F113C"/>
    <w:rsid w:val="42711E84"/>
    <w:rsid w:val="429E34F1"/>
    <w:rsid w:val="42AA6865"/>
    <w:rsid w:val="42C57F36"/>
    <w:rsid w:val="42D27F5D"/>
    <w:rsid w:val="42EA6221"/>
    <w:rsid w:val="43170066"/>
    <w:rsid w:val="431F4DAC"/>
    <w:rsid w:val="432307B8"/>
    <w:rsid w:val="433511B2"/>
    <w:rsid w:val="434A46EC"/>
    <w:rsid w:val="435C7A89"/>
    <w:rsid w:val="4392187A"/>
    <w:rsid w:val="43941B2C"/>
    <w:rsid w:val="43CB2F74"/>
    <w:rsid w:val="444A568D"/>
    <w:rsid w:val="444C4C47"/>
    <w:rsid w:val="44590819"/>
    <w:rsid w:val="445B488C"/>
    <w:rsid w:val="446E48E9"/>
    <w:rsid w:val="44784B34"/>
    <w:rsid w:val="447B1C4D"/>
    <w:rsid w:val="44CF6D64"/>
    <w:rsid w:val="450F3328"/>
    <w:rsid w:val="451E1FAA"/>
    <w:rsid w:val="453252CE"/>
    <w:rsid w:val="453A4CCF"/>
    <w:rsid w:val="45597105"/>
    <w:rsid w:val="455E0086"/>
    <w:rsid w:val="45640302"/>
    <w:rsid w:val="456C63D5"/>
    <w:rsid w:val="45763405"/>
    <w:rsid w:val="45A10357"/>
    <w:rsid w:val="46293689"/>
    <w:rsid w:val="465A35BD"/>
    <w:rsid w:val="465D0485"/>
    <w:rsid w:val="465F0134"/>
    <w:rsid w:val="469B0FAE"/>
    <w:rsid w:val="46CC1167"/>
    <w:rsid w:val="46D93AEF"/>
    <w:rsid w:val="46E44703"/>
    <w:rsid w:val="46FB3692"/>
    <w:rsid w:val="46FD10BA"/>
    <w:rsid w:val="46FF6CC1"/>
    <w:rsid w:val="47113641"/>
    <w:rsid w:val="4742292E"/>
    <w:rsid w:val="474D4154"/>
    <w:rsid w:val="475E2568"/>
    <w:rsid w:val="47842674"/>
    <w:rsid w:val="4795427E"/>
    <w:rsid w:val="479F32A6"/>
    <w:rsid w:val="47B9126E"/>
    <w:rsid w:val="47E250E6"/>
    <w:rsid w:val="481E599D"/>
    <w:rsid w:val="48322A33"/>
    <w:rsid w:val="4866371A"/>
    <w:rsid w:val="487D6BBD"/>
    <w:rsid w:val="48A95C04"/>
    <w:rsid w:val="48BC3ABC"/>
    <w:rsid w:val="48CE652C"/>
    <w:rsid w:val="48D91605"/>
    <w:rsid w:val="48F97216"/>
    <w:rsid w:val="492275A4"/>
    <w:rsid w:val="493D6ACC"/>
    <w:rsid w:val="49446E29"/>
    <w:rsid w:val="49C56192"/>
    <w:rsid w:val="49C9699B"/>
    <w:rsid w:val="49DD50AA"/>
    <w:rsid w:val="4A046D8C"/>
    <w:rsid w:val="4A241BB8"/>
    <w:rsid w:val="4A496086"/>
    <w:rsid w:val="4A6C513B"/>
    <w:rsid w:val="4A74295D"/>
    <w:rsid w:val="4A8A736F"/>
    <w:rsid w:val="4AB8212E"/>
    <w:rsid w:val="4AC11C68"/>
    <w:rsid w:val="4ACE1952"/>
    <w:rsid w:val="4AEF15D8"/>
    <w:rsid w:val="4B005883"/>
    <w:rsid w:val="4B036369"/>
    <w:rsid w:val="4B254D20"/>
    <w:rsid w:val="4B61791F"/>
    <w:rsid w:val="4B666C2E"/>
    <w:rsid w:val="4B7A0F54"/>
    <w:rsid w:val="4BD034A7"/>
    <w:rsid w:val="4BE40D01"/>
    <w:rsid w:val="4BE7296C"/>
    <w:rsid w:val="4BF16132"/>
    <w:rsid w:val="4C016F73"/>
    <w:rsid w:val="4C0C7656"/>
    <w:rsid w:val="4C147838"/>
    <w:rsid w:val="4C3334E4"/>
    <w:rsid w:val="4C4C09CF"/>
    <w:rsid w:val="4C4D6CFC"/>
    <w:rsid w:val="4C87307B"/>
    <w:rsid w:val="4C8970D3"/>
    <w:rsid w:val="4CA02851"/>
    <w:rsid w:val="4CF2476C"/>
    <w:rsid w:val="4D141FE0"/>
    <w:rsid w:val="4D646B23"/>
    <w:rsid w:val="4D7F3CDB"/>
    <w:rsid w:val="4D8313CB"/>
    <w:rsid w:val="4DAC05E6"/>
    <w:rsid w:val="4DC236BE"/>
    <w:rsid w:val="4DF87158"/>
    <w:rsid w:val="4E0524B6"/>
    <w:rsid w:val="4E0E5897"/>
    <w:rsid w:val="4E4242CC"/>
    <w:rsid w:val="4E5F5F0E"/>
    <w:rsid w:val="4E677615"/>
    <w:rsid w:val="4E772300"/>
    <w:rsid w:val="4E796078"/>
    <w:rsid w:val="4ED079B5"/>
    <w:rsid w:val="4ED127FF"/>
    <w:rsid w:val="4ED96A7E"/>
    <w:rsid w:val="4F495A4B"/>
    <w:rsid w:val="4F52070A"/>
    <w:rsid w:val="4F540514"/>
    <w:rsid w:val="4F6666E3"/>
    <w:rsid w:val="4F9C22EA"/>
    <w:rsid w:val="4FA72771"/>
    <w:rsid w:val="4FB22195"/>
    <w:rsid w:val="4FFE3062"/>
    <w:rsid w:val="500372D1"/>
    <w:rsid w:val="50C01628"/>
    <w:rsid w:val="50C65FDD"/>
    <w:rsid w:val="50C77758"/>
    <w:rsid w:val="50E028B4"/>
    <w:rsid w:val="50E80B86"/>
    <w:rsid w:val="5119769F"/>
    <w:rsid w:val="511C4164"/>
    <w:rsid w:val="512027DB"/>
    <w:rsid w:val="51271000"/>
    <w:rsid w:val="514C1822"/>
    <w:rsid w:val="515A3F3F"/>
    <w:rsid w:val="51695940"/>
    <w:rsid w:val="517D674F"/>
    <w:rsid w:val="51B11960"/>
    <w:rsid w:val="51CB26F0"/>
    <w:rsid w:val="5200468D"/>
    <w:rsid w:val="52064EAD"/>
    <w:rsid w:val="520B5239"/>
    <w:rsid w:val="520B596A"/>
    <w:rsid w:val="5226253D"/>
    <w:rsid w:val="52393F66"/>
    <w:rsid w:val="526D37FE"/>
    <w:rsid w:val="52C5363A"/>
    <w:rsid w:val="52C728C5"/>
    <w:rsid w:val="52E57E15"/>
    <w:rsid w:val="52EB0BC7"/>
    <w:rsid w:val="52FD43C9"/>
    <w:rsid w:val="5305612D"/>
    <w:rsid w:val="531B187C"/>
    <w:rsid w:val="533C110A"/>
    <w:rsid w:val="536A3A27"/>
    <w:rsid w:val="53737AE7"/>
    <w:rsid w:val="538D0591"/>
    <w:rsid w:val="53AA394F"/>
    <w:rsid w:val="53DE35D5"/>
    <w:rsid w:val="5403105C"/>
    <w:rsid w:val="543E122D"/>
    <w:rsid w:val="544544DB"/>
    <w:rsid w:val="54454A38"/>
    <w:rsid w:val="54603722"/>
    <w:rsid w:val="5460414F"/>
    <w:rsid w:val="546E385E"/>
    <w:rsid w:val="546E6143"/>
    <w:rsid w:val="547F1F0F"/>
    <w:rsid w:val="54994D7E"/>
    <w:rsid w:val="54B76D9A"/>
    <w:rsid w:val="54C44B46"/>
    <w:rsid w:val="54CA07C9"/>
    <w:rsid w:val="54D34337"/>
    <w:rsid w:val="54DA5D8D"/>
    <w:rsid w:val="54E16725"/>
    <w:rsid w:val="54ED35AA"/>
    <w:rsid w:val="551D40DC"/>
    <w:rsid w:val="55A46EBE"/>
    <w:rsid w:val="55B921AE"/>
    <w:rsid w:val="55C217A6"/>
    <w:rsid w:val="55F964C0"/>
    <w:rsid w:val="565A665B"/>
    <w:rsid w:val="566B44F9"/>
    <w:rsid w:val="568000FE"/>
    <w:rsid w:val="56CE1E48"/>
    <w:rsid w:val="56E85B49"/>
    <w:rsid w:val="5705621C"/>
    <w:rsid w:val="572648C3"/>
    <w:rsid w:val="57441971"/>
    <w:rsid w:val="5781344E"/>
    <w:rsid w:val="578923D3"/>
    <w:rsid w:val="57A178C1"/>
    <w:rsid w:val="57C837F3"/>
    <w:rsid w:val="57CF0C77"/>
    <w:rsid w:val="57D27E9C"/>
    <w:rsid w:val="58002426"/>
    <w:rsid w:val="5810485C"/>
    <w:rsid w:val="58150567"/>
    <w:rsid w:val="5817739E"/>
    <w:rsid w:val="581B3CFC"/>
    <w:rsid w:val="58240761"/>
    <w:rsid w:val="58256929"/>
    <w:rsid w:val="584E6149"/>
    <w:rsid w:val="585A65D3"/>
    <w:rsid w:val="587873A1"/>
    <w:rsid w:val="587C29ED"/>
    <w:rsid w:val="587D598D"/>
    <w:rsid w:val="589F3852"/>
    <w:rsid w:val="58BB798B"/>
    <w:rsid w:val="58E77E9A"/>
    <w:rsid w:val="5914670B"/>
    <w:rsid w:val="59154646"/>
    <w:rsid w:val="5935428B"/>
    <w:rsid w:val="59537423"/>
    <w:rsid w:val="59695434"/>
    <w:rsid w:val="59740494"/>
    <w:rsid w:val="59B30690"/>
    <w:rsid w:val="59CA7788"/>
    <w:rsid w:val="59D06384"/>
    <w:rsid w:val="59EB363D"/>
    <w:rsid w:val="59F359C5"/>
    <w:rsid w:val="5A6E2A15"/>
    <w:rsid w:val="5AF54CD9"/>
    <w:rsid w:val="5B0433D8"/>
    <w:rsid w:val="5B105132"/>
    <w:rsid w:val="5B314FB8"/>
    <w:rsid w:val="5B395408"/>
    <w:rsid w:val="5B5136E8"/>
    <w:rsid w:val="5B67678A"/>
    <w:rsid w:val="5B8542BD"/>
    <w:rsid w:val="5BB22788"/>
    <w:rsid w:val="5BB71FA7"/>
    <w:rsid w:val="5BEF0AD5"/>
    <w:rsid w:val="5C0E64BD"/>
    <w:rsid w:val="5C0F3B78"/>
    <w:rsid w:val="5C36729C"/>
    <w:rsid w:val="5C520E7C"/>
    <w:rsid w:val="5C5611D3"/>
    <w:rsid w:val="5C6E5A67"/>
    <w:rsid w:val="5C8A1451"/>
    <w:rsid w:val="5CC055C4"/>
    <w:rsid w:val="5CC07DD9"/>
    <w:rsid w:val="5CC36B8D"/>
    <w:rsid w:val="5CFE2D22"/>
    <w:rsid w:val="5D0D35F8"/>
    <w:rsid w:val="5D123E93"/>
    <w:rsid w:val="5D1C654D"/>
    <w:rsid w:val="5D2017FC"/>
    <w:rsid w:val="5D5061F6"/>
    <w:rsid w:val="5DAB78D0"/>
    <w:rsid w:val="5DC23869"/>
    <w:rsid w:val="5DE8018F"/>
    <w:rsid w:val="5DF71782"/>
    <w:rsid w:val="5E6D4E5F"/>
    <w:rsid w:val="5E8343A9"/>
    <w:rsid w:val="5E930A90"/>
    <w:rsid w:val="5EB7064A"/>
    <w:rsid w:val="5ECF7C24"/>
    <w:rsid w:val="5ED70C07"/>
    <w:rsid w:val="5ED94A51"/>
    <w:rsid w:val="5EED19E5"/>
    <w:rsid w:val="5EFA2F5D"/>
    <w:rsid w:val="5F0E6877"/>
    <w:rsid w:val="5F1405A9"/>
    <w:rsid w:val="5F4026C0"/>
    <w:rsid w:val="5F4E2C09"/>
    <w:rsid w:val="5F7C47FC"/>
    <w:rsid w:val="5F952A26"/>
    <w:rsid w:val="5FB4164A"/>
    <w:rsid w:val="5FF41E65"/>
    <w:rsid w:val="60113788"/>
    <w:rsid w:val="603B13E0"/>
    <w:rsid w:val="60675D31"/>
    <w:rsid w:val="606E61E9"/>
    <w:rsid w:val="608F5287"/>
    <w:rsid w:val="60D17C50"/>
    <w:rsid w:val="61152866"/>
    <w:rsid w:val="61667B45"/>
    <w:rsid w:val="619443DB"/>
    <w:rsid w:val="61CE7FA1"/>
    <w:rsid w:val="61F91107"/>
    <w:rsid w:val="621A5025"/>
    <w:rsid w:val="622017F1"/>
    <w:rsid w:val="62DD1EB5"/>
    <w:rsid w:val="62EC69C1"/>
    <w:rsid w:val="6308511F"/>
    <w:rsid w:val="63154001"/>
    <w:rsid w:val="63346B19"/>
    <w:rsid w:val="633D39F4"/>
    <w:rsid w:val="63A50979"/>
    <w:rsid w:val="63D0339F"/>
    <w:rsid w:val="6413263F"/>
    <w:rsid w:val="643A6EDC"/>
    <w:rsid w:val="646F1B20"/>
    <w:rsid w:val="64B27796"/>
    <w:rsid w:val="64CA1A25"/>
    <w:rsid w:val="64E83DE8"/>
    <w:rsid w:val="64EC3D37"/>
    <w:rsid w:val="64EE1A97"/>
    <w:rsid w:val="65810E59"/>
    <w:rsid w:val="65817895"/>
    <w:rsid w:val="658E039D"/>
    <w:rsid w:val="65924CA9"/>
    <w:rsid w:val="65B46B2F"/>
    <w:rsid w:val="65C26A8E"/>
    <w:rsid w:val="65D35C16"/>
    <w:rsid w:val="65E51C8D"/>
    <w:rsid w:val="65FF6E40"/>
    <w:rsid w:val="660608AC"/>
    <w:rsid w:val="660D2ED6"/>
    <w:rsid w:val="6612135A"/>
    <w:rsid w:val="663F505A"/>
    <w:rsid w:val="6659207B"/>
    <w:rsid w:val="667E0188"/>
    <w:rsid w:val="66807B4C"/>
    <w:rsid w:val="668D1B06"/>
    <w:rsid w:val="66AE7DC2"/>
    <w:rsid w:val="66D6776C"/>
    <w:rsid w:val="66FC052E"/>
    <w:rsid w:val="672A3F5C"/>
    <w:rsid w:val="672C66EE"/>
    <w:rsid w:val="674D4335"/>
    <w:rsid w:val="67726657"/>
    <w:rsid w:val="678A4ED6"/>
    <w:rsid w:val="67BB05DB"/>
    <w:rsid w:val="68120612"/>
    <w:rsid w:val="68120C78"/>
    <w:rsid w:val="686052AA"/>
    <w:rsid w:val="68744C4B"/>
    <w:rsid w:val="688A35DC"/>
    <w:rsid w:val="6896352A"/>
    <w:rsid w:val="68D51FF8"/>
    <w:rsid w:val="68F41093"/>
    <w:rsid w:val="691D1325"/>
    <w:rsid w:val="69232A11"/>
    <w:rsid w:val="693E784B"/>
    <w:rsid w:val="694F6758"/>
    <w:rsid w:val="69507896"/>
    <w:rsid w:val="695E2B47"/>
    <w:rsid w:val="696A6892"/>
    <w:rsid w:val="69721525"/>
    <w:rsid w:val="69874162"/>
    <w:rsid w:val="69886D18"/>
    <w:rsid w:val="699C0B46"/>
    <w:rsid w:val="699E6EDB"/>
    <w:rsid w:val="69BF098B"/>
    <w:rsid w:val="69CE75CD"/>
    <w:rsid w:val="6A0C5CC5"/>
    <w:rsid w:val="6A0D4726"/>
    <w:rsid w:val="6A1011E7"/>
    <w:rsid w:val="6A5C61DA"/>
    <w:rsid w:val="6A7D7D3F"/>
    <w:rsid w:val="6A90057A"/>
    <w:rsid w:val="6A9C5931"/>
    <w:rsid w:val="6AC51738"/>
    <w:rsid w:val="6AF6662F"/>
    <w:rsid w:val="6B327947"/>
    <w:rsid w:val="6B8F438D"/>
    <w:rsid w:val="6BC27574"/>
    <w:rsid w:val="6BC92D5B"/>
    <w:rsid w:val="6BD20370"/>
    <w:rsid w:val="6BDC2A11"/>
    <w:rsid w:val="6BE85984"/>
    <w:rsid w:val="6BF81938"/>
    <w:rsid w:val="6C300F30"/>
    <w:rsid w:val="6C4179F9"/>
    <w:rsid w:val="6CBD5B5E"/>
    <w:rsid w:val="6CCA7D73"/>
    <w:rsid w:val="6CE25661"/>
    <w:rsid w:val="6D140FEE"/>
    <w:rsid w:val="6D2356D5"/>
    <w:rsid w:val="6D374CDD"/>
    <w:rsid w:val="6D7A376E"/>
    <w:rsid w:val="6D924ED4"/>
    <w:rsid w:val="6D94212F"/>
    <w:rsid w:val="6D985DF0"/>
    <w:rsid w:val="6DA40BC9"/>
    <w:rsid w:val="6DEB79B2"/>
    <w:rsid w:val="6E1F559C"/>
    <w:rsid w:val="6E74415F"/>
    <w:rsid w:val="6EC425A0"/>
    <w:rsid w:val="6EFE1F56"/>
    <w:rsid w:val="6F155591"/>
    <w:rsid w:val="6F4436E1"/>
    <w:rsid w:val="6F564781"/>
    <w:rsid w:val="6F60051B"/>
    <w:rsid w:val="6F944336"/>
    <w:rsid w:val="6FA110A6"/>
    <w:rsid w:val="6FAD4F96"/>
    <w:rsid w:val="6FC64B3E"/>
    <w:rsid w:val="6FFB6495"/>
    <w:rsid w:val="700A0487"/>
    <w:rsid w:val="70393F60"/>
    <w:rsid w:val="7052668D"/>
    <w:rsid w:val="706E6C67"/>
    <w:rsid w:val="706F7C6A"/>
    <w:rsid w:val="70A408DB"/>
    <w:rsid w:val="70D34E08"/>
    <w:rsid w:val="70EF5AB4"/>
    <w:rsid w:val="710E6933"/>
    <w:rsid w:val="712C3D7F"/>
    <w:rsid w:val="71411CC9"/>
    <w:rsid w:val="71502811"/>
    <w:rsid w:val="717E4766"/>
    <w:rsid w:val="71C10F2E"/>
    <w:rsid w:val="71C87C41"/>
    <w:rsid w:val="71C93E5C"/>
    <w:rsid w:val="71DC40A5"/>
    <w:rsid w:val="721022C6"/>
    <w:rsid w:val="722453CB"/>
    <w:rsid w:val="72365B57"/>
    <w:rsid w:val="725B146D"/>
    <w:rsid w:val="72611287"/>
    <w:rsid w:val="72BB5F8B"/>
    <w:rsid w:val="72BB6655"/>
    <w:rsid w:val="72C712E1"/>
    <w:rsid w:val="72FA1A10"/>
    <w:rsid w:val="72FF09A1"/>
    <w:rsid w:val="732A78A1"/>
    <w:rsid w:val="73322ECF"/>
    <w:rsid w:val="73414AE1"/>
    <w:rsid w:val="73662167"/>
    <w:rsid w:val="738B7B30"/>
    <w:rsid w:val="73952CB3"/>
    <w:rsid w:val="73BA21C4"/>
    <w:rsid w:val="73C55FFA"/>
    <w:rsid w:val="74257426"/>
    <w:rsid w:val="743E1047"/>
    <w:rsid w:val="74416441"/>
    <w:rsid w:val="7487654A"/>
    <w:rsid w:val="74A94712"/>
    <w:rsid w:val="751C6001"/>
    <w:rsid w:val="752C54C6"/>
    <w:rsid w:val="755E6CA6"/>
    <w:rsid w:val="75686957"/>
    <w:rsid w:val="75A40B9D"/>
    <w:rsid w:val="761A4816"/>
    <w:rsid w:val="76643CA8"/>
    <w:rsid w:val="76772852"/>
    <w:rsid w:val="767772E6"/>
    <w:rsid w:val="768A2321"/>
    <w:rsid w:val="769D3F76"/>
    <w:rsid w:val="76A63B31"/>
    <w:rsid w:val="76BB489F"/>
    <w:rsid w:val="76D36956"/>
    <w:rsid w:val="770B16B4"/>
    <w:rsid w:val="771D3195"/>
    <w:rsid w:val="77507D8D"/>
    <w:rsid w:val="7758241F"/>
    <w:rsid w:val="77707769"/>
    <w:rsid w:val="779A6594"/>
    <w:rsid w:val="77A23B7E"/>
    <w:rsid w:val="77CE2B0A"/>
    <w:rsid w:val="77F838AE"/>
    <w:rsid w:val="780B1F70"/>
    <w:rsid w:val="780E7E28"/>
    <w:rsid w:val="781B0555"/>
    <w:rsid w:val="78414E04"/>
    <w:rsid w:val="784E07A8"/>
    <w:rsid w:val="78533409"/>
    <w:rsid w:val="785739FC"/>
    <w:rsid w:val="78705799"/>
    <w:rsid w:val="78774B27"/>
    <w:rsid w:val="787765F1"/>
    <w:rsid w:val="78A02FA0"/>
    <w:rsid w:val="78AA1D1F"/>
    <w:rsid w:val="78B72E5C"/>
    <w:rsid w:val="78D26A7E"/>
    <w:rsid w:val="78E133E1"/>
    <w:rsid w:val="78F9553C"/>
    <w:rsid w:val="79384422"/>
    <w:rsid w:val="79940026"/>
    <w:rsid w:val="79AA6729"/>
    <w:rsid w:val="79E41B7A"/>
    <w:rsid w:val="7A162C99"/>
    <w:rsid w:val="7A173ECC"/>
    <w:rsid w:val="7A1B6787"/>
    <w:rsid w:val="7A72753A"/>
    <w:rsid w:val="7A8656D5"/>
    <w:rsid w:val="7A997061"/>
    <w:rsid w:val="7ABE07EB"/>
    <w:rsid w:val="7AF13DB6"/>
    <w:rsid w:val="7AF47429"/>
    <w:rsid w:val="7B0862D8"/>
    <w:rsid w:val="7B130B37"/>
    <w:rsid w:val="7B3F7B7E"/>
    <w:rsid w:val="7B406A51"/>
    <w:rsid w:val="7B6B4CD9"/>
    <w:rsid w:val="7B902651"/>
    <w:rsid w:val="7B9B00FB"/>
    <w:rsid w:val="7BB409DE"/>
    <w:rsid w:val="7BBF3D8E"/>
    <w:rsid w:val="7BC2574F"/>
    <w:rsid w:val="7BF7374C"/>
    <w:rsid w:val="7C01654E"/>
    <w:rsid w:val="7C09018C"/>
    <w:rsid w:val="7C127147"/>
    <w:rsid w:val="7C3A2988"/>
    <w:rsid w:val="7C420122"/>
    <w:rsid w:val="7C541224"/>
    <w:rsid w:val="7C675C0A"/>
    <w:rsid w:val="7C727ADF"/>
    <w:rsid w:val="7CC145C3"/>
    <w:rsid w:val="7CF02627"/>
    <w:rsid w:val="7D087779"/>
    <w:rsid w:val="7D114D01"/>
    <w:rsid w:val="7D4274B2"/>
    <w:rsid w:val="7D6E2861"/>
    <w:rsid w:val="7D741635"/>
    <w:rsid w:val="7D824126"/>
    <w:rsid w:val="7D9F61D8"/>
    <w:rsid w:val="7DC91981"/>
    <w:rsid w:val="7DDC6E34"/>
    <w:rsid w:val="7E0E4EF5"/>
    <w:rsid w:val="7E205AED"/>
    <w:rsid w:val="7E23216E"/>
    <w:rsid w:val="7E366327"/>
    <w:rsid w:val="7E5356EF"/>
    <w:rsid w:val="7E751182"/>
    <w:rsid w:val="7E8E57B1"/>
    <w:rsid w:val="7EA41695"/>
    <w:rsid w:val="7EAC1347"/>
    <w:rsid w:val="7ED96E19"/>
    <w:rsid w:val="7F245858"/>
    <w:rsid w:val="7F4D5629"/>
    <w:rsid w:val="7F5D6825"/>
    <w:rsid w:val="7F9A1827"/>
    <w:rsid w:val="7FA22F78"/>
    <w:rsid w:val="7FA27CF2"/>
    <w:rsid w:val="7FAF4BA7"/>
    <w:rsid w:val="7FB201B2"/>
    <w:rsid w:val="7FB3011B"/>
    <w:rsid w:val="7FBA3291"/>
    <w:rsid w:val="7FC46F0D"/>
    <w:rsid w:val="7FF00AD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adjustRightInd w:val="0"/>
      <w:spacing w:line="360" w:lineRule="atLeast"/>
      <w:textAlignment w:val="baseline"/>
      <w:outlineLvl w:val="1"/>
    </w:pPr>
    <w:rPr>
      <w:kern w:val="0"/>
      <w:sz w:val="24"/>
      <w:szCs w:val="20"/>
    </w:rPr>
  </w:style>
  <w:style w:type="paragraph" w:styleId="4">
    <w:name w:val="heading 3"/>
    <w:basedOn w:val="1"/>
    <w:next w:val="1"/>
    <w:qFormat/>
    <w:uiPriority w:val="0"/>
    <w:pPr>
      <w:keepNext/>
      <w:keepLines/>
      <w:spacing w:before="260" w:after="260" w:line="416" w:lineRule="atLeast"/>
      <w:jc w:val="both"/>
      <w:textAlignment w:val="baseline"/>
      <w:outlineLvl w:val="2"/>
    </w:pPr>
    <w:rPr>
      <w:b/>
      <w:bCs/>
      <w:color w:val="000000"/>
      <w:sz w:val="32"/>
      <w:szCs w:val="32"/>
      <w:u w:val="none" w:color="000000"/>
      <w:lang w:val="en-US" w:eastAsia="zh-CN" w:bidi="ar-SA"/>
    </w:rPr>
  </w:style>
  <w:style w:type="paragraph" w:styleId="5">
    <w:name w:val="heading 4"/>
    <w:basedOn w:val="1"/>
    <w:next w:val="1"/>
    <w:qFormat/>
    <w:uiPriority w:val="1"/>
    <w:pPr>
      <w:ind w:left="652"/>
      <w:outlineLvl w:val="3"/>
    </w:pPr>
    <w:rPr>
      <w:b/>
      <w:bCs/>
      <w:sz w:val="30"/>
      <w:szCs w:val="30"/>
    </w:rPr>
  </w:style>
  <w:style w:type="character" w:default="1" w:styleId="30">
    <w:name w:val="Default Paragraph Font"/>
    <w:semiHidden/>
    <w:qFormat/>
    <w:uiPriority w:val="0"/>
  </w:style>
  <w:style w:type="table" w:default="1" w:styleId="2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82"/>
      <w:textAlignment w:val="baseline"/>
    </w:pPr>
    <w:rPr>
      <w:kern w:val="0"/>
      <w:sz w:val="24"/>
      <w:szCs w:val="20"/>
    </w:rPr>
  </w:style>
  <w:style w:type="paragraph" w:styleId="7">
    <w:name w:val="Document Map"/>
    <w:basedOn w:val="1"/>
    <w:qFormat/>
    <w:uiPriority w:val="0"/>
    <w:pPr>
      <w:shd w:val="clear" w:color="auto" w:fill="000080"/>
    </w:pPr>
  </w:style>
  <w:style w:type="paragraph" w:styleId="8">
    <w:name w:val="toa heading"/>
    <w:basedOn w:val="1"/>
    <w:next w:val="1"/>
    <w:unhideWhenUsed/>
    <w:qFormat/>
    <w:uiPriority w:val="99"/>
    <w:pPr>
      <w:spacing w:before="120"/>
    </w:pPr>
    <w:rPr>
      <w:rFonts w:ascii="Cambria" w:hAnsi="Cambria"/>
      <w:sz w:val="24"/>
    </w:rPr>
  </w:style>
  <w:style w:type="paragraph" w:styleId="9">
    <w:name w:val="annotation text"/>
    <w:basedOn w:val="1"/>
    <w:qFormat/>
    <w:uiPriority w:val="0"/>
    <w:pPr>
      <w:jc w:val="left"/>
    </w:pPr>
  </w:style>
  <w:style w:type="paragraph" w:styleId="10">
    <w:name w:val="index 6"/>
    <w:next w:val="1"/>
    <w:qFormat/>
    <w:uiPriority w:val="0"/>
    <w:pPr>
      <w:widowControl w:val="0"/>
      <w:ind w:firstLine="840"/>
      <w:jc w:val="both"/>
    </w:pPr>
    <w:rPr>
      <w:rFonts w:ascii="Calibri" w:hAnsi="Calibri" w:eastAsia="宋体" w:cs="Arial"/>
      <w:kern w:val="2"/>
      <w:sz w:val="21"/>
      <w:szCs w:val="24"/>
      <w:lang w:val="en-US" w:eastAsia="zh-CN" w:bidi="ar-SA"/>
    </w:rPr>
  </w:style>
  <w:style w:type="paragraph" w:styleId="11">
    <w:name w:val="Body Text"/>
    <w:basedOn w:val="1"/>
    <w:next w:val="12"/>
    <w:link w:val="48"/>
    <w:qFormat/>
    <w:uiPriority w:val="0"/>
    <w:pPr>
      <w:spacing w:after="120"/>
    </w:pPr>
  </w:style>
  <w:style w:type="paragraph" w:styleId="12">
    <w:name w:val="Body Text First Indent"/>
    <w:basedOn w:val="11"/>
    <w:unhideWhenUsed/>
    <w:qFormat/>
    <w:uiPriority w:val="0"/>
    <w:pPr>
      <w:adjustRightInd/>
      <w:spacing w:after="120" w:line="240" w:lineRule="auto"/>
      <w:ind w:firstLine="420" w:firstLineChars="100"/>
      <w:jc w:val="both"/>
    </w:pPr>
    <w:rPr>
      <w:rFonts w:ascii="Times New Roman"/>
      <w:kern w:val="2"/>
      <w:sz w:val="21"/>
      <w:szCs w:val="24"/>
    </w:rPr>
  </w:style>
  <w:style w:type="paragraph" w:styleId="13">
    <w:name w:val="Body Text Indent"/>
    <w:basedOn w:val="1"/>
    <w:qFormat/>
    <w:uiPriority w:val="0"/>
    <w:pPr>
      <w:spacing w:after="120"/>
      <w:ind w:left="200" w:leftChars="200"/>
    </w:pPr>
  </w:style>
  <w:style w:type="paragraph" w:styleId="14">
    <w:name w:val="toc 3"/>
    <w:basedOn w:val="1"/>
    <w:next w:val="1"/>
    <w:qFormat/>
    <w:uiPriority w:val="39"/>
    <w:pPr>
      <w:tabs>
        <w:tab w:val="right" w:leader="dot" w:pos="9288"/>
      </w:tabs>
      <w:ind w:left="400" w:leftChars="400"/>
    </w:pPr>
    <w:rPr>
      <w:rFonts w:ascii="宋体"/>
    </w:rPr>
  </w:style>
  <w:style w:type="paragraph" w:styleId="15">
    <w:name w:val="Plain Text"/>
    <w:basedOn w:val="1"/>
    <w:link w:val="49"/>
    <w:qFormat/>
    <w:uiPriority w:val="0"/>
    <w:rPr>
      <w:rFonts w:ascii="宋体"/>
      <w:color w:val="000000"/>
      <w:szCs w:val="20"/>
      <w:u w:val="none" w:color="000000"/>
    </w:rPr>
  </w:style>
  <w:style w:type="paragraph" w:styleId="16">
    <w:name w:val="Date"/>
    <w:basedOn w:val="1"/>
    <w:next w:val="1"/>
    <w:link w:val="50"/>
    <w:qFormat/>
    <w:uiPriority w:val="0"/>
    <w:rPr>
      <w:rFonts w:ascii="Arial" w:hAnsi="Arial" w:eastAsia="仿宋_GB2312"/>
      <w:color w:val="000000"/>
      <w:sz w:val="32"/>
      <w:szCs w:val="20"/>
      <w:u w:val="none" w:color="000000"/>
    </w:rPr>
  </w:style>
  <w:style w:type="paragraph" w:styleId="17">
    <w:name w:val="footer"/>
    <w:basedOn w:val="1"/>
    <w:link w:val="51"/>
    <w:qFormat/>
    <w:uiPriority w:val="0"/>
    <w:pPr>
      <w:tabs>
        <w:tab w:val="center" w:pos="4153"/>
        <w:tab w:val="right" w:pos="8306"/>
      </w:tabs>
      <w:snapToGrid w:val="0"/>
      <w:jc w:val="left"/>
    </w:pPr>
    <w:rPr>
      <w:sz w:val="18"/>
      <w:szCs w:val="18"/>
    </w:rPr>
  </w:style>
  <w:style w:type="paragraph" w:styleId="18">
    <w:name w:val="header"/>
    <w:basedOn w:val="1"/>
    <w:link w:val="52"/>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style>
  <w:style w:type="paragraph" w:styleId="20">
    <w:name w:val="List"/>
    <w:basedOn w:val="1"/>
    <w:qFormat/>
    <w:uiPriority w:val="0"/>
    <w:pPr>
      <w:adjustRightInd/>
      <w:snapToGrid/>
      <w:spacing w:after="0"/>
      <w:ind w:left="200" w:hanging="200" w:hangingChars="200"/>
      <w:contextualSpacing/>
    </w:pPr>
    <w:rPr>
      <w:rFonts w:ascii="Times New Roman" w:hAnsi="Times New Roman" w:eastAsia="宋体"/>
      <w:sz w:val="20"/>
      <w:szCs w:val="20"/>
    </w:rPr>
  </w:style>
  <w:style w:type="paragraph" w:styleId="21">
    <w:name w:val="footnote text"/>
    <w:basedOn w:val="1"/>
    <w:next w:val="11"/>
    <w:qFormat/>
    <w:uiPriority w:val="0"/>
    <w:pPr>
      <w:snapToGrid w:val="0"/>
      <w:jc w:val="left"/>
    </w:pPr>
    <w:rPr>
      <w:rFonts w:ascii="Times New Roman" w:hAnsi="Times New Roman" w:eastAsia="宋体" w:cs="Times New Roman"/>
      <w:sz w:val="18"/>
    </w:rPr>
  </w:style>
  <w:style w:type="paragraph" w:styleId="22">
    <w:name w:val="index 7"/>
    <w:basedOn w:val="1"/>
    <w:next w:val="1"/>
    <w:qFormat/>
    <w:uiPriority w:val="0"/>
    <w:pPr>
      <w:autoSpaceDE/>
      <w:autoSpaceDN/>
      <w:adjustRightInd/>
      <w:ind w:left="1200" w:leftChars="1200"/>
    </w:pPr>
    <w:rPr>
      <w:color w:val="auto"/>
      <w:kern w:val="2"/>
      <w:szCs w:val="24"/>
    </w:rPr>
  </w:style>
  <w:style w:type="paragraph" w:styleId="23">
    <w:name w:val="toc 2"/>
    <w:basedOn w:val="1"/>
    <w:next w:val="1"/>
    <w:qFormat/>
    <w:uiPriority w:val="39"/>
    <w:pPr>
      <w:ind w:left="200" w:leftChars="200"/>
    </w:pPr>
  </w:style>
  <w:style w:type="paragraph" w:styleId="24">
    <w:name w:val="Body Text 2"/>
    <w:basedOn w:val="1"/>
    <w:qFormat/>
    <w:uiPriority w:val="0"/>
    <w:pPr>
      <w:tabs>
        <w:tab w:val="left" w:pos="0"/>
      </w:tabs>
      <w:spacing w:line="400" w:lineRule="atLeast"/>
    </w:pPr>
    <w:rPr>
      <w:rFonts w:ascii="Arial" w:hAnsi="Arial"/>
      <w:color w:val="000000"/>
    </w:rPr>
  </w:style>
  <w:style w:type="paragraph" w:styleId="2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6">
    <w:name w:val="Title"/>
    <w:basedOn w:val="1"/>
    <w:link w:val="80"/>
    <w:qFormat/>
    <w:uiPriority w:val="0"/>
    <w:pPr>
      <w:spacing w:before="240" w:after="60"/>
      <w:ind w:left="425" w:hanging="425"/>
      <w:jc w:val="center"/>
      <w:outlineLvl w:val="0"/>
    </w:pPr>
    <w:rPr>
      <w:rFonts w:ascii="Arial" w:hAnsi="Arial" w:cs="Arial"/>
      <w:b/>
      <w:bCs/>
      <w:sz w:val="32"/>
      <w:szCs w:val="32"/>
    </w:rPr>
  </w:style>
  <w:style w:type="paragraph" w:styleId="27">
    <w:name w:val="Body Text First Indent 2"/>
    <w:basedOn w:val="13"/>
    <w:unhideWhenUsed/>
    <w:qFormat/>
    <w:uiPriority w:val="99"/>
    <w:pPr>
      <w:spacing w:after="120" w:line="240" w:lineRule="auto"/>
      <w:ind w:left="420" w:leftChars="200" w:firstLine="420"/>
    </w:pPr>
    <w:rPr>
      <w:rFonts w:cs="宋体"/>
      <w:sz w:val="21"/>
      <w:szCs w:val="21"/>
    </w:r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0"/>
    <w:rPr>
      <w:b/>
    </w:rPr>
  </w:style>
  <w:style w:type="character" w:styleId="32">
    <w:name w:val="page number"/>
    <w:basedOn w:val="30"/>
    <w:qFormat/>
    <w:uiPriority w:val="0"/>
  </w:style>
  <w:style w:type="character" w:styleId="33">
    <w:name w:val="FollowedHyperlink"/>
    <w:qFormat/>
    <w:uiPriority w:val="0"/>
    <w:rPr>
      <w:color w:val="333333"/>
      <w:u w:val="none"/>
    </w:rPr>
  </w:style>
  <w:style w:type="character" w:styleId="34">
    <w:name w:val="HTML Definition"/>
    <w:basedOn w:val="30"/>
    <w:qFormat/>
    <w:uiPriority w:val="0"/>
  </w:style>
  <w:style w:type="character" w:styleId="35">
    <w:name w:val="HTML Typewriter"/>
    <w:basedOn w:val="30"/>
    <w:qFormat/>
    <w:uiPriority w:val="0"/>
    <w:rPr>
      <w:rFonts w:ascii="monospace" w:hAnsi="monospace" w:eastAsia="monospace" w:cs="monospace"/>
      <w:sz w:val="20"/>
    </w:rPr>
  </w:style>
  <w:style w:type="character" w:styleId="36">
    <w:name w:val="HTML Acronym"/>
    <w:basedOn w:val="30"/>
    <w:qFormat/>
    <w:uiPriority w:val="0"/>
  </w:style>
  <w:style w:type="character" w:styleId="37">
    <w:name w:val="HTML Variable"/>
    <w:basedOn w:val="30"/>
    <w:qFormat/>
    <w:uiPriority w:val="0"/>
  </w:style>
  <w:style w:type="character" w:styleId="38">
    <w:name w:val="Hyperlink"/>
    <w:qFormat/>
    <w:uiPriority w:val="99"/>
    <w:rPr>
      <w:color w:val="0000FF"/>
      <w:u w:val="single"/>
    </w:rPr>
  </w:style>
  <w:style w:type="character" w:styleId="39">
    <w:name w:val="HTML Code"/>
    <w:basedOn w:val="30"/>
    <w:qFormat/>
    <w:uiPriority w:val="0"/>
    <w:rPr>
      <w:rFonts w:hint="default" w:ascii="monospace" w:hAnsi="monospace" w:eastAsia="monospace" w:cs="monospace"/>
      <w:sz w:val="20"/>
    </w:rPr>
  </w:style>
  <w:style w:type="character" w:styleId="40">
    <w:name w:val="HTML Cite"/>
    <w:basedOn w:val="30"/>
    <w:qFormat/>
    <w:uiPriority w:val="0"/>
  </w:style>
  <w:style w:type="character" w:styleId="41">
    <w:name w:val="footnote reference"/>
    <w:basedOn w:val="30"/>
    <w:semiHidden/>
    <w:unhideWhenUsed/>
    <w:qFormat/>
    <w:uiPriority w:val="99"/>
    <w:rPr>
      <w:vertAlign w:val="superscript"/>
    </w:rPr>
  </w:style>
  <w:style w:type="character" w:styleId="42">
    <w:name w:val="HTML Keyboard"/>
    <w:basedOn w:val="30"/>
    <w:qFormat/>
    <w:uiPriority w:val="0"/>
    <w:rPr>
      <w:rFonts w:hint="default" w:ascii="monospace" w:hAnsi="monospace" w:eastAsia="monospace" w:cs="monospace"/>
      <w:sz w:val="20"/>
    </w:rPr>
  </w:style>
  <w:style w:type="character" w:styleId="43">
    <w:name w:val="HTML Sample"/>
    <w:basedOn w:val="30"/>
    <w:qFormat/>
    <w:uiPriority w:val="0"/>
    <w:rPr>
      <w:rFonts w:hint="default" w:ascii="monospace" w:hAnsi="monospace" w:eastAsia="monospace" w:cs="monospace"/>
    </w:rPr>
  </w:style>
  <w:style w:type="paragraph" w:customStyle="1" w:styleId="44">
    <w:name w:val="Char"/>
    <w:basedOn w:val="7"/>
    <w:next w:val="1"/>
    <w:qFormat/>
    <w:uiPriority w:val="0"/>
    <w:pPr>
      <w:widowControl/>
      <w:spacing w:line="360" w:lineRule="auto"/>
      <w:jc w:val="left"/>
    </w:pPr>
    <w:rPr>
      <w:kern w:val="0"/>
      <w:szCs w:val="20"/>
      <w:lang w:eastAsia="en-US"/>
    </w:rPr>
  </w:style>
  <w:style w:type="paragraph" w:customStyle="1" w:styleId="45">
    <w:name w:val="No Spacing"/>
    <w:basedOn w:val="1"/>
    <w:qFormat/>
    <w:uiPriority w:val="1"/>
    <w:pPr>
      <w:jc w:val="center"/>
    </w:pPr>
    <w:rPr>
      <w:rFonts w:eastAsia="黑体"/>
      <w:sz w:val="30"/>
    </w:rPr>
  </w:style>
  <w:style w:type="paragraph" w:customStyle="1" w:styleId="46">
    <w:name w:val="_Style 2"/>
    <w:basedOn w:val="1"/>
    <w:next w:val="1"/>
    <w:qFormat/>
    <w:uiPriority w:val="0"/>
    <w:pPr>
      <w:ind w:firstLine="200" w:firstLineChars="200"/>
    </w:pPr>
    <w:rPr>
      <w:rFonts w:ascii="Calibri" w:hAnsi="Calibri"/>
      <w:sz w:val="28"/>
      <w:szCs w:val="22"/>
    </w:rPr>
  </w:style>
  <w:style w:type="paragraph" w:customStyle="1" w:styleId="47">
    <w:name w:val="正文格式"/>
    <w:basedOn w:val="1"/>
    <w:qFormat/>
    <w:uiPriority w:val="99"/>
    <w:pPr>
      <w:widowControl/>
      <w:adjustRightInd w:val="0"/>
      <w:snapToGrid w:val="0"/>
      <w:spacing w:line="400" w:lineRule="atLeast"/>
      <w:ind w:firstLine="482"/>
      <w:textAlignment w:val="baseline"/>
    </w:pPr>
    <w:rPr>
      <w:rFonts w:ascii="Times New Roman" w:hAnsi="Times New Roman"/>
      <w:kern w:val="0"/>
      <w:sz w:val="24"/>
    </w:rPr>
  </w:style>
  <w:style w:type="character" w:customStyle="1" w:styleId="48">
    <w:name w:val="正文文本 Char"/>
    <w:link w:val="11"/>
    <w:semiHidden/>
    <w:qFormat/>
    <w:locked/>
    <w:uiPriority w:val="0"/>
    <w:rPr>
      <w:rFonts w:eastAsia="宋体"/>
      <w:kern w:val="2"/>
      <w:sz w:val="21"/>
      <w:szCs w:val="24"/>
      <w:lang w:val="en-US" w:eastAsia="zh-CN" w:bidi="ar-SA"/>
    </w:rPr>
  </w:style>
  <w:style w:type="character" w:customStyle="1" w:styleId="49">
    <w:name w:val="纯文本 Char"/>
    <w:link w:val="15"/>
    <w:qFormat/>
    <w:uiPriority w:val="0"/>
    <w:rPr>
      <w:rFonts w:ascii="宋体"/>
      <w:color w:val="000000"/>
      <w:kern w:val="2"/>
      <w:sz w:val="21"/>
      <w:u w:val="none" w:color="000000"/>
    </w:rPr>
  </w:style>
  <w:style w:type="character" w:customStyle="1" w:styleId="50">
    <w:name w:val="日期 Char"/>
    <w:link w:val="16"/>
    <w:qFormat/>
    <w:uiPriority w:val="0"/>
    <w:rPr>
      <w:rFonts w:ascii="Arial" w:hAnsi="Arial" w:eastAsia="仿宋_GB2312"/>
      <w:color w:val="000000"/>
      <w:kern w:val="2"/>
      <w:sz w:val="32"/>
      <w:u w:val="none" w:color="000000"/>
      <w:lang w:val="en-US" w:eastAsia="zh-CN" w:bidi="ar-SA"/>
    </w:rPr>
  </w:style>
  <w:style w:type="character" w:customStyle="1" w:styleId="51">
    <w:name w:val="页脚 Char"/>
    <w:link w:val="17"/>
    <w:qFormat/>
    <w:locked/>
    <w:uiPriority w:val="0"/>
    <w:rPr>
      <w:rFonts w:eastAsia="宋体"/>
      <w:kern w:val="2"/>
      <w:sz w:val="18"/>
      <w:szCs w:val="18"/>
      <w:lang w:val="en-US" w:eastAsia="zh-CN" w:bidi="ar-SA"/>
    </w:rPr>
  </w:style>
  <w:style w:type="character" w:customStyle="1" w:styleId="52">
    <w:name w:val="页眉 Char"/>
    <w:link w:val="18"/>
    <w:qFormat/>
    <w:locked/>
    <w:uiPriority w:val="0"/>
    <w:rPr>
      <w:rFonts w:eastAsia="宋体"/>
      <w:kern w:val="2"/>
      <w:sz w:val="18"/>
      <w:szCs w:val="18"/>
      <w:lang w:val="en-US" w:eastAsia="zh-CN" w:bidi="ar-SA"/>
    </w:rPr>
  </w:style>
  <w:style w:type="paragraph" w:customStyle="1" w:styleId="53">
    <w:name w:val="正文缩进1"/>
    <w:basedOn w:val="1"/>
    <w:qFormat/>
    <w:uiPriority w:val="0"/>
    <w:pPr>
      <w:ind w:firstLine="420" w:firstLineChars="200"/>
    </w:pPr>
  </w:style>
  <w:style w:type="character" w:customStyle="1" w:styleId="54">
    <w:name w:val="font01"/>
    <w:basedOn w:val="30"/>
    <w:qFormat/>
    <w:uiPriority w:val="0"/>
    <w:rPr>
      <w:rFonts w:hint="eastAsia" w:ascii="宋体" w:hAnsi="宋体" w:eastAsia="宋体" w:cs="宋体"/>
      <w:color w:val="000000"/>
      <w:sz w:val="22"/>
      <w:szCs w:val="22"/>
      <w:u w:val="none"/>
    </w:rPr>
  </w:style>
  <w:style w:type="character" w:customStyle="1" w:styleId="55">
    <w:name w:val="font111"/>
    <w:basedOn w:val="30"/>
    <w:qFormat/>
    <w:uiPriority w:val="0"/>
    <w:rPr>
      <w:rFonts w:ascii="Arial" w:hAnsi="Arial" w:cs="Arial"/>
      <w:color w:val="000000"/>
      <w:sz w:val="18"/>
      <w:szCs w:val="18"/>
      <w:u w:val="none"/>
    </w:rPr>
  </w:style>
  <w:style w:type="character" w:customStyle="1" w:styleId="56">
    <w:name w:val="Body Text Char"/>
    <w:qFormat/>
    <w:locked/>
    <w:uiPriority w:val="0"/>
    <w:rPr>
      <w:rFonts w:ascii="宋体" w:hAnsi="Arial"/>
      <w:sz w:val="28"/>
    </w:rPr>
  </w:style>
  <w:style w:type="paragraph" w:customStyle="1" w:styleId="57">
    <w:name w:val="black1"/>
    <w:basedOn w:val="1"/>
    <w:qFormat/>
    <w:uiPriority w:val="0"/>
    <w:pPr>
      <w:widowControl/>
      <w:spacing w:before="100" w:beforeLines="0" w:beforeAutospacing="1" w:after="100" w:afterLines="0" w:afterAutospacing="1" w:line="280" w:lineRule="atLeast"/>
      <w:jc w:val="left"/>
    </w:pPr>
    <w:rPr>
      <w:rFonts w:ascii="_x000B__x000C_" w:hAnsi="_x000B__x000C_"/>
      <w:color w:val="000000"/>
      <w:kern w:val="0"/>
      <w:sz w:val="18"/>
      <w:szCs w:val="18"/>
    </w:rPr>
  </w:style>
  <w:style w:type="paragraph" w:customStyle="1" w:styleId="58">
    <w:name w:val="Table Paragraph"/>
    <w:basedOn w:val="1"/>
    <w:qFormat/>
    <w:uiPriority w:val="1"/>
  </w:style>
  <w:style w:type="paragraph" w:customStyle="1" w:styleId="59">
    <w:name w:val="Body 1"/>
    <w:qFormat/>
    <w:uiPriority w:val="0"/>
    <w:pPr>
      <w:outlineLvl w:val="0"/>
    </w:pPr>
    <w:rPr>
      <w:rFonts w:ascii="Helvetica" w:hAnsi="Helvetica" w:eastAsia="ヒラギノ角ゴ Pro W3" w:cs="Times New Roman"/>
      <w:color w:val="000000"/>
      <w:sz w:val="22"/>
      <w:lang w:val="en-US" w:eastAsia="zh-CN" w:bidi="ar-SA"/>
    </w:rPr>
  </w:style>
  <w:style w:type="paragraph" w:customStyle="1" w:styleId="60">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61">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62">
    <w:name w:val="p0"/>
    <w:basedOn w:val="1"/>
    <w:qFormat/>
    <w:uiPriority w:val="0"/>
    <w:pPr>
      <w:widowControl/>
      <w:jc w:val="left"/>
    </w:pPr>
    <w:rPr>
      <w:rFonts w:ascii="宋体" w:hAnsi="宋体" w:cs="宋体"/>
      <w:kern w:val="0"/>
      <w:sz w:val="18"/>
      <w:szCs w:val="18"/>
    </w:rPr>
  </w:style>
  <w:style w:type="paragraph" w:customStyle="1" w:styleId="63">
    <w:name w:val="WPS Plain"/>
    <w:qFormat/>
    <w:uiPriority w:val="0"/>
    <w:rPr>
      <w:rFonts w:ascii="Times New Roman" w:hAnsi="Times New Roman" w:eastAsia="宋体" w:cs="Times New Roman"/>
      <w:lang w:val="en-US" w:eastAsia="zh-CN" w:bidi="ar-SA"/>
    </w:rPr>
  </w:style>
  <w:style w:type="paragraph" w:customStyle="1" w:styleId="64">
    <w:name w:val="节标题"/>
    <w:basedOn w:val="1"/>
    <w:next w:val="1"/>
    <w:qFormat/>
    <w:uiPriority w:val="0"/>
    <w:pPr>
      <w:widowControl/>
      <w:spacing w:line="289" w:lineRule="atLeast"/>
      <w:jc w:val="center"/>
      <w:textAlignment w:val="baseline"/>
    </w:pPr>
    <w:rPr>
      <w:color w:val="000000"/>
      <w:kern w:val="0"/>
      <w:sz w:val="28"/>
      <w:szCs w:val="20"/>
      <w:u w:val="none" w:color="000000"/>
    </w:rPr>
  </w:style>
  <w:style w:type="paragraph" w:styleId="65">
    <w:name w:val="List Paragraph"/>
    <w:basedOn w:val="1"/>
    <w:qFormat/>
    <w:uiPriority w:val="0"/>
    <w:pPr>
      <w:spacing w:line="360" w:lineRule="auto"/>
      <w:ind w:firstLine="420" w:firstLineChars="200"/>
    </w:pPr>
    <w:rPr>
      <w:rFonts w:ascii="宋体" w:hAnsi="宋体" w:cs="宋体"/>
      <w:sz w:val="24"/>
    </w:rPr>
  </w:style>
  <w:style w:type="paragraph" w:customStyle="1" w:styleId="66">
    <w:name w:val="样式 左侧:  0 厘米 悬挂缩进: 2.5 字符"/>
    <w:basedOn w:val="1"/>
    <w:qFormat/>
    <w:uiPriority w:val="0"/>
    <w:pPr>
      <w:ind w:left="525" w:hanging="525" w:hangingChars="250"/>
    </w:pPr>
    <w:rPr>
      <w:szCs w:val="20"/>
    </w:rPr>
  </w:style>
  <w:style w:type="paragraph" w:customStyle="1" w:styleId="67">
    <w:name w:val="标题 5（有编号）（绿盟科技）"/>
    <w:basedOn w:val="1"/>
    <w:next w:val="60"/>
    <w:qFormat/>
    <w:uiPriority w:val="0"/>
    <w:pPr>
      <w:keepNext/>
      <w:keepLines/>
      <w:numPr>
        <w:ilvl w:val="4"/>
        <w:numId w:val="2"/>
      </w:numPr>
      <w:spacing w:before="280" w:after="156" w:line="377" w:lineRule="auto"/>
      <w:jc w:val="left"/>
      <w:outlineLvl w:val="4"/>
    </w:pPr>
    <w:rPr>
      <w:rFonts w:ascii="Arial" w:hAnsi="Arial" w:eastAsia="黑体"/>
      <w:b/>
      <w:sz w:val="24"/>
      <w:szCs w:val="28"/>
    </w:rPr>
  </w:style>
  <w:style w:type="paragraph" w:customStyle="1" w:styleId="6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9">
    <w:name w:val="图例"/>
    <w:basedOn w:val="1"/>
    <w:qFormat/>
    <w:uiPriority w:val="0"/>
    <w:pPr>
      <w:spacing w:before="120" w:beforeLines="0" w:after="120" w:afterLines="0" w:line="360" w:lineRule="auto"/>
      <w:jc w:val="center"/>
    </w:pPr>
    <w:rPr>
      <w:rFonts w:eastAsia="仿宋_GB2312"/>
      <w:b/>
      <w:sz w:val="24"/>
    </w:rPr>
  </w:style>
  <w:style w:type="character" w:customStyle="1" w:styleId="70">
    <w:name w:val="font71"/>
    <w:basedOn w:val="30"/>
    <w:qFormat/>
    <w:uiPriority w:val="0"/>
    <w:rPr>
      <w:rFonts w:hint="default" w:ascii="Calibri" w:hAnsi="Calibri" w:cs="Calibri"/>
      <w:b/>
      <w:bCs/>
      <w:color w:val="000000"/>
      <w:sz w:val="21"/>
      <w:szCs w:val="21"/>
      <w:u w:val="none"/>
    </w:rPr>
  </w:style>
  <w:style w:type="character" w:customStyle="1" w:styleId="71">
    <w:name w:val="font61"/>
    <w:basedOn w:val="30"/>
    <w:qFormat/>
    <w:uiPriority w:val="0"/>
    <w:rPr>
      <w:rFonts w:hint="eastAsia" w:ascii="华文仿宋" w:hAnsi="华文仿宋" w:eastAsia="华文仿宋" w:cs="华文仿宋"/>
      <w:color w:val="000000"/>
      <w:sz w:val="21"/>
      <w:szCs w:val="21"/>
      <w:u w:val="none"/>
    </w:rPr>
  </w:style>
  <w:style w:type="character" w:customStyle="1" w:styleId="72">
    <w:name w:val="font91"/>
    <w:basedOn w:val="30"/>
    <w:qFormat/>
    <w:uiPriority w:val="0"/>
    <w:rPr>
      <w:rFonts w:hint="default" w:ascii="Calibri" w:hAnsi="Calibri" w:cs="Calibri"/>
      <w:b/>
      <w:bCs/>
      <w:color w:val="FF0000"/>
      <w:sz w:val="21"/>
      <w:szCs w:val="21"/>
      <w:u w:val="none"/>
    </w:rPr>
  </w:style>
  <w:style w:type="character" w:customStyle="1" w:styleId="73">
    <w:name w:val="font101"/>
    <w:basedOn w:val="30"/>
    <w:qFormat/>
    <w:uiPriority w:val="0"/>
    <w:rPr>
      <w:rFonts w:hint="eastAsia" w:ascii="宋体" w:hAnsi="宋体" w:eastAsia="宋体" w:cs="宋体"/>
      <w:color w:val="000000"/>
      <w:sz w:val="21"/>
      <w:szCs w:val="21"/>
      <w:u w:val="none"/>
    </w:rPr>
  </w:style>
  <w:style w:type="character" w:customStyle="1" w:styleId="74">
    <w:name w:val="font81"/>
    <w:basedOn w:val="30"/>
    <w:qFormat/>
    <w:uiPriority w:val="0"/>
    <w:rPr>
      <w:rFonts w:hint="default" w:ascii="Calibri" w:hAnsi="Calibri" w:cs="Calibri"/>
      <w:color w:val="000000"/>
      <w:sz w:val="21"/>
      <w:szCs w:val="21"/>
      <w:u w:val="none"/>
    </w:rPr>
  </w:style>
  <w:style w:type="character" w:customStyle="1" w:styleId="75">
    <w:name w:val="first-child"/>
    <w:basedOn w:val="30"/>
    <w:qFormat/>
    <w:uiPriority w:val="0"/>
  </w:style>
  <w:style w:type="character" w:customStyle="1" w:styleId="76">
    <w:name w:val="layui-layer-tabnow"/>
    <w:basedOn w:val="30"/>
    <w:qFormat/>
    <w:uiPriority w:val="0"/>
    <w:rPr>
      <w:bdr w:val="single" w:color="CCCCCC" w:sz="6" w:space="0"/>
      <w:shd w:val="clear" w:fill="FFFFFF"/>
    </w:rPr>
  </w:style>
  <w:style w:type="paragraph" w:customStyle="1" w:styleId="77">
    <w:name w:val="标书正文"/>
    <w:basedOn w:val="1"/>
    <w:qFormat/>
    <w:uiPriority w:val="0"/>
    <w:pPr>
      <w:spacing w:line="560" w:lineRule="exact"/>
      <w:ind w:firstLine="723" w:firstLineChars="200"/>
      <w:jc w:val="center"/>
    </w:pPr>
    <w:rPr>
      <w:rFonts w:ascii="仿宋_GB2312" w:eastAsia="仿宋_GB2312"/>
      <w:b/>
      <w:sz w:val="36"/>
    </w:rPr>
  </w:style>
  <w:style w:type="paragraph" w:customStyle="1" w:styleId="78">
    <w:name w:val="答复表头"/>
    <w:basedOn w:val="79"/>
    <w:next w:val="1"/>
    <w:qFormat/>
    <w:uiPriority w:val="0"/>
    <w:pPr>
      <w:tabs>
        <w:tab w:val="left" w:pos="480"/>
      </w:tabs>
    </w:pPr>
    <w:rPr>
      <w:b/>
    </w:rPr>
  </w:style>
  <w:style w:type="paragraph" w:customStyle="1" w:styleId="79">
    <w:name w:val="正表头"/>
    <w:basedOn w:val="1"/>
    <w:qFormat/>
    <w:uiPriority w:val="0"/>
    <w:pPr>
      <w:tabs>
        <w:tab w:val="left" w:pos="480"/>
      </w:tabs>
      <w:autoSpaceDE w:val="0"/>
      <w:autoSpaceDN w:val="0"/>
      <w:adjustRightInd w:val="0"/>
      <w:jc w:val="center"/>
      <w:textAlignment w:val="baseline"/>
    </w:pPr>
    <w:rPr>
      <w:rFonts w:ascii="宋体" w:hAnsi="Tms Rmn"/>
      <w:color w:val="000000"/>
      <w:kern w:val="0"/>
    </w:rPr>
  </w:style>
  <w:style w:type="character" w:customStyle="1" w:styleId="80">
    <w:name w:val="标题 字符"/>
    <w:link w:val="26"/>
    <w:qFormat/>
    <w:uiPriority w:val="0"/>
    <w:rPr>
      <w:rFonts w:ascii="Arial" w:hAnsi="Arial" w:cs="Arial"/>
      <w:b/>
      <w:bCs/>
      <w:sz w:val="32"/>
      <w:szCs w:val="32"/>
    </w:rPr>
  </w:style>
  <w:style w:type="character" w:customStyle="1" w:styleId="81">
    <w:name w:val="font112"/>
    <w:basedOn w:val="30"/>
    <w:qFormat/>
    <w:uiPriority w:val="0"/>
    <w:rPr>
      <w:rFonts w:hint="eastAsia" w:ascii="黑体" w:hAnsi="宋体" w:eastAsia="黑体" w:cs="黑体"/>
      <w:b/>
      <w:bCs/>
      <w:color w:val="000000"/>
      <w:sz w:val="22"/>
      <w:szCs w:val="22"/>
      <w:u w:val="none"/>
    </w:rPr>
  </w:style>
  <w:style w:type="character" w:customStyle="1" w:styleId="82">
    <w:name w:val="font41"/>
    <w:basedOn w:val="30"/>
    <w:qFormat/>
    <w:uiPriority w:val="0"/>
    <w:rPr>
      <w:rFonts w:hint="eastAsia" w:ascii="仿宋" w:hAnsi="仿宋" w:eastAsia="仿宋" w:cs="仿宋"/>
      <w:b/>
      <w:bCs/>
      <w:color w:val="000000"/>
      <w:sz w:val="21"/>
      <w:szCs w:val="21"/>
      <w:u w:val="none"/>
    </w:rPr>
  </w:style>
  <w:style w:type="character" w:customStyle="1" w:styleId="83">
    <w:name w:val="font51"/>
    <w:basedOn w:val="30"/>
    <w:qFormat/>
    <w:uiPriority w:val="0"/>
    <w:rPr>
      <w:rFonts w:hint="eastAsia" w:ascii="宋体" w:hAnsi="宋体" w:eastAsia="宋体" w:cs="宋体"/>
      <w:color w:val="000000"/>
      <w:sz w:val="22"/>
      <w:szCs w:val="22"/>
      <w:u w:val="none"/>
    </w:rPr>
  </w:style>
  <w:style w:type="character" w:customStyle="1" w:styleId="84">
    <w:name w:val="font121"/>
    <w:basedOn w:val="30"/>
    <w:qFormat/>
    <w:uiPriority w:val="0"/>
    <w:rPr>
      <w:rFonts w:hint="eastAsia" w:ascii="宋体" w:hAnsi="宋体" w:eastAsia="宋体" w:cs="宋体"/>
      <w:color w:val="000000"/>
      <w:sz w:val="24"/>
      <w:szCs w:val="24"/>
      <w:u w:val="none"/>
    </w:rPr>
  </w:style>
  <w:style w:type="character" w:customStyle="1" w:styleId="85">
    <w:name w:val="font131"/>
    <w:basedOn w:val="30"/>
    <w:qFormat/>
    <w:uiPriority w:val="0"/>
    <w:rPr>
      <w:rFonts w:hint="eastAsia" w:ascii="仿宋" w:hAnsi="仿宋" w:eastAsia="仿宋" w:cs="仿宋"/>
      <w:color w:val="000000"/>
      <w:sz w:val="24"/>
      <w:szCs w:val="24"/>
      <w:u w:val="none"/>
    </w:rPr>
  </w:style>
  <w:style w:type="character" w:customStyle="1" w:styleId="86">
    <w:name w:val="font141"/>
    <w:basedOn w:val="30"/>
    <w:qFormat/>
    <w:uiPriority w:val="0"/>
    <w:rPr>
      <w:rFonts w:hint="eastAsia" w:ascii="宋体" w:hAnsi="宋体" w:eastAsia="宋体" w:cs="宋体"/>
      <w:color w:val="FF0000"/>
      <w:sz w:val="22"/>
      <w:szCs w:val="22"/>
      <w:u w:val="none"/>
    </w:rPr>
  </w:style>
  <w:style w:type="paragraph" w:customStyle="1" w:styleId="87">
    <w:name w:val="Body text|2"/>
    <w:basedOn w:val="1"/>
    <w:qFormat/>
    <w:uiPriority w:val="0"/>
    <w:pPr>
      <w:widowControl w:val="0"/>
      <w:shd w:val="clear" w:color="auto" w:fill="auto"/>
      <w:spacing w:after="260"/>
      <w:ind w:firstLine="140"/>
    </w:pPr>
    <w:rPr>
      <w:rFonts w:ascii="宋体" w:hAnsi="宋体" w:eastAsia="宋体" w:cs="宋体"/>
      <w:sz w:val="30"/>
      <w:szCs w:val="30"/>
      <w:u w:val="none"/>
      <w:shd w:val="clear" w:color="auto" w:fill="auto"/>
      <w:lang w:val="zh-TW" w:eastAsia="zh-TW" w:bidi="zh-TW"/>
    </w:rPr>
  </w:style>
  <w:style w:type="paragraph" w:customStyle="1" w:styleId="88">
    <w:name w:val="Body text|1"/>
    <w:basedOn w:val="1"/>
    <w:qFormat/>
    <w:uiPriority w:val="0"/>
    <w:pPr>
      <w:widowControl w:val="0"/>
      <w:shd w:val="clear" w:color="auto" w:fill="auto"/>
      <w:spacing w:line="454" w:lineRule="auto"/>
      <w:ind w:firstLine="140"/>
    </w:pPr>
    <w:rPr>
      <w:rFonts w:ascii="宋体" w:hAnsi="宋体" w:eastAsia="宋体" w:cs="宋体"/>
      <w:sz w:val="22"/>
      <w:szCs w:val="22"/>
      <w:u w:val="none"/>
      <w:shd w:val="clear" w:color="auto" w:fill="auto"/>
      <w:lang w:val="zh-TW" w:eastAsia="zh-TW" w:bidi="zh-TW"/>
    </w:rPr>
  </w:style>
  <w:style w:type="paragraph" w:customStyle="1" w:styleId="89">
    <w:name w:val="Other|1"/>
    <w:basedOn w:val="1"/>
    <w:qFormat/>
    <w:uiPriority w:val="0"/>
    <w:pPr>
      <w:widowControl w:val="0"/>
      <w:shd w:val="clear" w:color="auto" w:fill="auto"/>
      <w:spacing w:line="454" w:lineRule="auto"/>
      <w:ind w:firstLine="140"/>
    </w:pPr>
    <w:rPr>
      <w:rFonts w:ascii="宋体" w:hAnsi="宋体" w:eastAsia="宋体" w:cs="宋体"/>
      <w:sz w:val="22"/>
      <w:szCs w:val="22"/>
      <w:u w:val="none"/>
      <w:shd w:val="clear" w:color="auto" w:fill="auto"/>
      <w:lang w:val="zh-TW" w:eastAsia="zh-TW" w:bidi="zh-TW"/>
    </w:rPr>
  </w:style>
  <w:style w:type="paragraph" w:customStyle="1" w:styleId="9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1">
    <w:name w:val="列出段落1"/>
    <w:basedOn w:val="1"/>
    <w:qFormat/>
    <w:uiPriority w:val="0"/>
    <w:pPr>
      <w:widowControl/>
      <w:spacing w:line="276" w:lineRule="auto"/>
      <w:ind w:firstLine="420" w:firstLineChars="200"/>
      <w:jc w:val="left"/>
    </w:pPr>
    <w:rPr>
      <w:rFonts w:ascii="Perpetua" w:hAnsi="Perpetua" w:eastAsia="宋体" w:cs="Times New Roman"/>
      <w:color w:val="000000"/>
      <w:kern w:val="0"/>
      <w:sz w:val="22"/>
      <w:szCs w:val="24"/>
    </w:rPr>
  </w:style>
  <w:style w:type="paragraph" w:customStyle="1" w:styleId="92">
    <w:name w:val="Table Text"/>
    <w:basedOn w:val="1"/>
    <w:semiHidden/>
    <w:qFormat/>
    <w:uiPriority w:val="0"/>
    <w:rPr>
      <w:rFonts w:ascii="宋体" w:hAnsi="宋体" w:eastAsia="宋体" w:cs="宋体"/>
      <w:sz w:val="24"/>
      <w:szCs w:val="24"/>
      <w:lang w:val="en-US" w:eastAsia="en-US" w:bidi="ar-SA"/>
    </w:rPr>
  </w:style>
  <w:style w:type="character" w:customStyle="1" w:styleId="93">
    <w:name w:val="font31"/>
    <w:basedOn w:val="30"/>
    <w:qFormat/>
    <w:uiPriority w:val="0"/>
    <w:rPr>
      <w:rFonts w:hint="eastAsia" w:ascii="宋体" w:hAnsi="宋体" w:eastAsia="宋体" w:cs="宋体"/>
      <w:b/>
      <w:bCs/>
      <w:color w:val="000000"/>
      <w:sz w:val="22"/>
      <w:szCs w:val="22"/>
      <w:u w:val="none"/>
    </w:rPr>
  </w:style>
  <w:style w:type="character" w:customStyle="1" w:styleId="94">
    <w:name w:val="font11"/>
    <w:basedOn w:val="30"/>
    <w:qFormat/>
    <w:uiPriority w:val="0"/>
    <w:rPr>
      <w:rFonts w:hint="eastAsia" w:ascii="宋体" w:hAnsi="宋体" w:eastAsia="宋体" w:cs="宋体"/>
      <w:color w:val="000000"/>
      <w:sz w:val="22"/>
      <w:szCs w:val="22"/>
      <w:u w:val="none"/>
    </w:rPr>
  </w:style>
  <w:style w:type="character" w:customStyle="1" w:styleId="95">
    <w:name w:val="font21"/>
    <w:basedOn w:val="30"/>
    <w:qFormat/>
    <w:uiPriority w:val="0"/>
    <w:rPr>
      <w:rFonts w:hint="eastAsia" w:ascii="宋体" w:hAnsi="宋体" w:eastAsia="宋体" w:cs="宋体"/>
      <w:b/>
      <w:bCs/>
      <w:color w:val="000000"/>
      <w:sz w:val="22"/>
      <w:szCs w:val="22"/>
      <w:u w:val="none"/>
    </w:rPr>
  </w:style>
  <w:style w:type="paragraph" w:customStyle="1" w:styleId="96">
    <w:name w:val="NormalIndent"/>
    <w:basedOn w:val="1"/>
    <w:qFormat/>
    <w:uiPriority w:val="0"/>
    <w:pPr>
      <w:ind w:firstLine="420"/>
      <w:jc w:val="left"/>
    </w:pPr>
    <w:rPr>
      <w:rFonts w:ascii="宋体" w:hAnsi="Calibri"/>
      <w:kern w:val="0"/>
      <w:sz w:val="24"/>
      <w:szCs w:val="20"/>
    </w:rPr>
  </w:style>
  <w:style w:type="table" w:customStyle="1" w:styleId="97">
    <w:name w:val="Table Normal"/>
    <w:basedOn w:val="28"/>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MSCD龙帝国技术社区 Htpp://Bbs.Mscode.Cc</Company>
  <Pages>69</Pages>
  <Words>311</Words>
  <Characters>367</Characters>
  <Lines>310</Lines>
  <Paragraphs>87</Paragraphs>
  <TotalTime>4</TotalTime>
  <ScaleCrop>false</ScaleCrop>
  <LinksUpToDate>false</LinksUpToDate>
  <CharactersWithSpaces>444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2014-07-12T00:56:00Z</dcterms:created>
  <dc:creator>陈倩倩</dc:creator>
  <cp:lastModifiedBy>-</cp:lastModifiedBy>
  <cp:lastPrinted>2025-06-24T12:17:00Z</cp:lastPrinted>
  <dcterms:modified xsi:type="dcterms:W3CDTF">2025-08-01T12:12:17Z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C613CA48F94344E1A29FF81814C8859A_13</vt:lpwstr>
  </property>
  <property fmtid="{D5CDD505-2E9C-101B-9397-08002B2CF9AE}" pid="4" name="KSOTemplateDocerSaveRecord">
    <vt:lpwstr>eyJoZGlkIjoiODk4MjZhMDQ2YjBmNDVmMzVkYzg2YzI1ODhjYjUwNjYiLCJ1c2VySWQiOiIxMDMyMzY5MDQ3In0=</vt:lpwstr>
  </property>
</Properties>
</file>