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0"/>
          <w:szCs w:val="40"/>
          <w:highlight w:val="none"/>
          <w:lang w:eastAsia="zh-CN"/>
        </w:rPr>
      </w:pPr>
    </w:p>
    <w:p>
      <w:pPr>
        <w:widowControl/>
        <w:jc w:val="center"/>
        <w:rPr>
          <w:rFonts w:hint="eastAsia" w:ascii="宋体" w:hAnsi="宋体" w:cs="宋体"/>
          <w:b/>
          <w:bCs/>
          <w:sz w:val="44"/>
          <w:szCs w:val="44"/>
          <w:highlight w:val="none"/>
          <w:lang w:eastAsia="zh-CN"/>
        </w:rPr>
      </w:pPr>
      <w:r>
        <w:rPr>
          <w:rFonts w:hint="eastAsia" w:ascii="宋体" w:hAnsi="宋体" w:cs="宋体"/>
          <w:b/>
          <w:bCs/>
          <w:sz w:val="44"/>
          <w:szCs w:val="44"/>
          <w:highlight w:val="none"/>
          <w:lang w:eastAsia="zh-CN"/>
        </w:rPr>
        <w:t>克州中心血站医疗设备采购项目</w:t>
      </w:r>
    </w:p>
    <w:p>
      <w:pPr>
        <w:widowControl/>
        <w:jc w:val="center"/>
        <w:rPr>
          <w:rFonts w:hint="eastAsia" w:ascii="宋体" w:hAnsi="宋体" w:eastAsia="宋体" w:cs="宋体"/>
          <w:b/>
          <w:kern w:val="0"/>
          <w:sz w:val="16"/>
          <w:szCs w:val="16"/>
          <w:highlight w:val="none"/>
        </w:rPr>
      </w:pPr>
      <w:r>
        <w:rPr>
          <w:rFonts w:hint="eastAsia" w:ascii="宋体" w:hAnsi="宋体" w:eastAsia="宋体" w:cs="宋体"/>
          <w:b/>
          <w:bCs/>
          <w:color w:val="000000"/>
          <w:kern w:val="0"/>
          <w:sz w:val="32"/>
          <w:szCs w:val="32"/>
          <w:highlight w:val="none"/>
          <w:shd w:val="clear" w:color="auto" w:fill="FFFFFF"/>
        </w:rPr>
        <w:t>（项目编号：</w:t>
      </w:r>
      <w:r>
        <w:rPr>
          <w:rFonts w:hint="eastAsia" w:ascii="宋体" w:hAnsi="宋体" w:eastAsia="宋体" w:cs="宋体"/>
          <w:b/>
          <w:bCs/>
          <w:color w:val="000000"/>
          <w:kern w:val="0"/>
          <w:sz w:val="32"/>
          <w:szCs w:val="32"/>
          <w:highlight w:val="none"/>
          <w:shd w:val="clear" w:color="auto" w:fill="FFFFFF"/>
          <w:lang w:val="en-US" w:eastAsia="zh-CN"/>
        </w:rPr>
        <w:t>KZZB-202</w:t>
      </w:r>
      <w:r>
        <w:rPr>
          <w:rFonts w:hint="eastAsia" w:ascii="宋体" w:hAnsi="宋体" w:cs="宋体"/>
          <w:b/>
          <w:bCs/>
          <w:color w:val="000000"/>
          <w:kern w:val="0"/>
          <w:sz w:val="32"/>
          <w:szCs w:val="32"/>
          <w:highlight w:val="none"/>
          <w:shd w:val="clear" w:color="auto" w:fill="FFFFFF"/>
          <w:lang w:val="en-US" w:eastAsia="zh-CN"/>
        </w:rPr>
        <w:t>3177</w:t>
      </w:r>
      <w:r>
        <w:rPr>
          <w:rFonts w:hint="eastAsia" w:ascii="宋体" w:hAnsi="宋体" w:eastAsia="宋体" w:cs="宋体"/>
          <w:b/>
          <w:bCs/>
          <w:color w:val="000000"/>
          <w:kern w:val="0"/>
          <w:sz w:val="32"/>
          <w:szCs w:val="32"/>
          <w:highlight w:val="none"/>
          <w:shd w:val="clear" w:color="auto" w:fill="FFFFFF"/>
        </w:rPr>
        <w:t>）</w:t>
      </w:r>
    </w:p>
    <w:p>
      <w:pPr>
        <w:widowControl/>
        <w:autoSpaceDE w:val="0"/>
        <w:autoSpaceDN w:val="0"/>
        <w:ind w:right="-26"/>
        <w:jc w:val="center"/>
        <w:textAlignment w:val="bottom"/>
        <w:rPr>
          <w:rFonts w:hint="eastAsia" w:ascii="宋体" w:hAnsi="宋体" w:eastAsia="宋体" w:cs="宋体"/>
          <w:b/>
          <w:sz w:val="56"/>
          <w:szCs w:val="56"/>
          <w:highlight w:val="none"/>
        </w:rPr>
      </w:pPr>
    </w:p>
    <w:p>
      <w:pPr>
        <w:widowControl/>
        <w:autoSpaceDE w:val="0"/>
        <w:autoSpaceDN w:val="0"/>
        <w:ind w:right="-26"/>
        <w:jc w:val="center"/>
        <w:textAlignment w:val="bottom"/>
        <w:rPr>
          <w:rFonts w:hint="eastAsia" w:ascii="宋体" w:hAnsi="宋体" w:eastAsia="宋体" w:cs="宋体"/>
          <w:b/>
          <w:sz w:val="56"/>
          <w:szCs w:val="56"/>
          <w:highlight w:val="none"/>
        </w:rPr>
      </w:pPr>
      <w:r>
        <w:rPr>
          <w:rFonts w:hint="eastAsia" w:ascii="宋体" w:hAnsi="宋体" w:eastAsia="宋体" w:cs="宋体"/>
          <w:b/>
          <w:sz w:val="56"/>
          <w:szCs w:val="56"/>
          <w:highlight w:val="none"/>
        </w:rPr>
        <w:t>招</w:t>
      </w:r>
    </w:p>
    <w:p>
      <w:pPr>
        <w:widowControl/>
        <w:autoSpaceDE w:val="0"/>
        <w:autoSpaceDN w:val="0"/>
        <w:ind w:right="-26"/>
        <w:jc w:val="center"/>
        <w:textAlignment w:val="bottom"/>
        <w:rPr>
          <w:rFonts w:hint="eastAsia" w:ascii="宋体" w:hAnsi="宋体" w:eastAsia="宋体" w:cs="宋体"/>
          <w:b/>
          <w:sz w:val="56"/>
          <w:szCs w:val="56"/>
          <w:highlight w:val="none"/>
          <w:lang w:val="en-US" w:eastAsia="zh-CN"/>
        </w:rPr>
      </w:pPr>
      <w:r>
        <w:rPr>
          <w:rFonts w:hint="eastAsia" w:ascii="宋体" w:hAnsi="宋体" w:eastAsia="宋体" w:cs="宋体"/>
          <w:b/>
          <w:sz w:val="56"/>
          <w:szCs w:val="56"/>
          <w:highlight w:val="none"/>
          <w:lang w:val="en-US" w:eastAsia="zh-CN"/>
        </w:rPr>
        <w:t xml:space="preserve"> </w:t>
      </w:r>
    </w:p>
    <w:p>
      <w:pPr>
        <w:widowControl/>
        <w:autoSpaceDE w:val="0"/>
        <w:autoSpaceDN w:val="0"/>
        <w:ind w:right="-26"/>
        <w:jc w:val="center"/>
        <w:textAlignment w:val="bottom"/>
        <w:rPr>
          <w:rFonts w:hint="eastAsia" w:ascii="宋体" w:hAnsi="宋体" w:eastAsia="宋体" w:cs="宋体"/>
          <w:b/>
          <w:sz w:val="56"/>
          <w:szCs w:val="56"/>
          <w:highlight w:val="none"/>
        </w:rPr>
      </w:pPr>
      <w:r>
        <w:rPr>
          <w:rFonts w:hint="eastAsia" w:ascii="宋体" w:hAnsi="宋体" w:cs="宋体"/>
          <w:b/>
          <w:sz w:val="56"/>
          <w:szCs w:val="56"/>
          <w:highlight w:val="none"/>
          <w:lang w:val="en-US" w:eastAsia="zh-CN"/>
        </w:rPr>
        <w:t xml:space="preserve"> </w:t>
      </w:r>
      <w:r>
        <w:rPr>
          <w:rFonts w:hint="eastAsia" w:ascii="宋体" w:hAnsi="宋体" w:eastAsia="宋体" w:cs="宋体"/>
          <w:b/>
          <w:sz w:val="56"/>
          <w:szCs w:val="56"/>
          <w:highlight w:val="none"/>
        </w:rPr>
        <w:t>标</w:t>
      </w:r>
    </w:p>
    <w:p>
      <w:pPr>
        <w:widowControl/>
        <w:autoSpaceDE w:val="0"/>
        <w:autoSpaceDN w:val="0"/>
        <w:ind w:right="-26"/>
        <w:jc w:val="center"/>
        <w:textAlignment w:val="bottom"/>
        <w:rPr>
          <w:rFonts w:hint="eastAsia" w:ascii="宋体" w:hAnsi="宋体" w:eastAsia="宋体" w:cs="宋体"/>
          <w:b/>
          <w:sz w:val="56"/>
          <w:szCs w:val="56"/>
          <w:highlight w:val="none"/>
          <w:lang w:val="en-US" w:eastAsia="zh-CN"/>
        </w:rPr>
      </w:pPr>
      <w:r>
        <w:rPr>
          <w:rFonts w:hint="eastAsia" w:ascii="宋体" w:hAnsi="宋体" w:eastAsia="宋体" w:cs="宋体"/>
          <w:b/>
          <w:sz w:val="56"/>
          <w:szCs w:val="56"/>
          <w:highlight w:val="none"/>
          <w:lang w:val="en-US" w:eastAsia="zh-CN"/>
        </w:rPr>
        <w:t xml:space="preserve"> </w:t>
      </w:r>
    </w:p>
    <w:p>
      <w:pPr>
        <w:widowControl/>
        <w:autoSpaceDE w:val="0"/>
        <w:autoSpaceDN w:val="0"/>
        <w:ind w:right="-26"/>
        <w:jc w:val="center"/>
        <w:textAlignment w:val="bottom"/>
        <w:rPr>
          <w:rFonts w:hint="eastAsia" w:ascii="宋体" w:hAnsi="宋体" w:eastAsia="宋体" w:cs="宋体"/>
          <w:b/>
          <w:sz w:val="56"/>
          <w:szCs w:val="56"/>
          <w:highlight w:val="none"/>
        </w:rPr>
      </w:pPr>
      <w:r>
        <w:rPr>
          <w:rFonts w:hint="eastAsia" w:ascii="宋体" w:hAnsi="宋体" w:eastAsia="宋体" w:cs="宋体"/>
          <w:b/>
          <w:sz w:val="56"/>
          <w:szCs w:val="56"/>
          <w:highlight w:val="none"/>
        </w:rPr>
        <w:t>文</w:t>
      </w:r>
    </w:p>
    <w:p>
      <w:pPr>
        <w:pStyle w:val="5"/>
        <w:rPr>
          <w:rFonts w:hint="eastAsia"/>
        </w:rPr>
      </w:pPr>
    </w:p>
    <w:p>
      <w:pPr>
        <w:widowControl/>
        <w:autoSpaceDE w:val="0"/>
        <w:autoSpaceDN w:val="0"/>
        <w:ind w:right="-26"/>
        <w:jc w:val="center"/>
        <w:textAlignment w:val="bottom"/>
        <w:rPr>
          <w:rFonts w:hint="eastAsia" w:ascii="宋体" w:hAnsi="宋体" w:eastAsia="宋体" w:cs="宋体"/>
          <w:b/>
          <w:kern w:val="0"/>
          <w:sz w:val="16"/>
          <w:szCs w:val="16"/>
          <w:highlight w:val="none"/>
        </w:rPr>
      </w:pPr>
      <w:r>
        <w:rPr>
          <w:rFonts w:hint="eastAsia" w:ascii="宋体" w:hAnsi="宋体" w:eastAsia="宋体" w:cs="宋体"/>
          <w:b/>
          <w:sz w:val="56"/>
          <w:szCs w:val="56"/>
          <w:highlight w:val="none"/>
        </w:rPr>
        <w:t>件</w:t>
      </w:r>
    </w:p>
    <w:p>
      <w:pPr>
        <w:pStyle w:val="108"/>
        <w:rPr>
          <w:rFonts w:hint="eastAsia" w:ascii="宋体" w:hAnsi="宋体" w:eastAsia="宋体" w:cs="宋体"/>
          <w:b/>
          <w:kern w:val="0"/>
          <w:sz w:val="16"/>
          <w:szCs w:val="16"/>
          <w:highlight w:val="none"/>
        </w:rPr>
      </w:pPr>
    </w:p>
    <w:p>
      <w:pPr>
        <w:pStyle w:val="108"/>
        <w:tabs>
          <w:tab w:val="left" w:pos="8616"/>
        </w:tabs>
        <w:rPr>
          <w:rFonts w:hint="eastAsia" w:ascii="宋体" w:hAnsi="宋体" w:eastAsia="宋体" w:cs="宋体"/>
          <w:b/>
          <w:kern w:val="0"/>
          <w:sz w:val="16"/>
          <w:szCs w:val="16"/>
          <w:highlight w:val="none"/>
          <w:lang w:eastAsia="zh-CN"/>
        </w:rPr>
      </w:pPr>
    </w:p>
    <w:p>
      <w:pPr>
        <w:pStyle w:val="108"/>
        <w:tabs>
          <w:tab w:val="left" w:pos="8616"/>
        </w:tabs>
        <w:jc w:val="center"/>
        <w:rPr>
          <w:rFonts w:hint="default" w:ascii="宋体" w:hAnsi="宋体" w:eastAsia="宋体" w:cs="宋体"/>
          <w:b/>
          <w:kern w:val="0"/>
          <w:sz w:val="18"/>
          <w:szCs w:val="18"/>
          <w:highlight w:val="none"/>
          <w:lang w:val="en-US" w:eastAsia="zh-CN"/>
        </w:rPr>
      </w:pPr>
      <w:r>
        <w:rPr>
          <w:rFonts w:hint="eastAsia" w:hAnsi="宋体" w:cs="宋体"/>
          <w:b/>
          <w:kern w:val="0"/>
          <w:sz w:val="16"/>
          <w:szCs w:val="16"/>
          <w:highlight w:val="none"/>
          <w:lang w:val="en-US" w:eastAsia="zh-CN"/>
        </w:rPr>
        <w:t xml:space="preserve"> </w:t>
      </w:r>
    </w:p>
    <w:p>
      <w:pPr>
        <w:pStyle w:val="108"/>
        <w:tabs>
          <w:tab w:val="left" w:pos="8616"/>
        </w:tabs>
        <w:jc w:val="center"/>
        <w:rPr>
          <w:rFonts w:hint="eastAsia" w:ascii="宋体" w:hAnsi="宋体" w:eastAsia="宋体" w:cs="宋体"/>
          <w:b/>
          <w:kern w:val="0"/>
          <w:sz w:val="16"/>
          <w:szCs w:val="16"/>
          <w:highlight w:val="none"/>
          <w:lang w:eastAsia="zh-CN"/>
        </w:rPr>
      </w:pPr>
    </w:p>
    <w:p>
      <w:pPr>
        <w:widowControl/>
        <w:autoSpaceDE w:val="0"/>
        <w:autoSpaceDN w:val="0"/>
        <w:ind w:left="1925" w:leftChars="152" w:right="-26" w:hanging="1606" w:hangingChars="500"/>
        <w:textAlignment w:val="bottom"/>
        <w:rPr>
          <w:rFonts w:hint="eastAsia" w:ascii="宋体" w:hAnsi="宋体" w:eastAsia="宋体" w:cs="宋体"/>
          <w:b/>
          <w:sz w:val="32"/>
          <w:highlight w:val="none"/>
        </w:rPr>
      </w:pPr>
      <w:r>
        <w:rPr>
          <w:rFonts w:hint="eastAsia" w:ascii="宋体" w:hAnsi="宋体" w:eastAsia="宋体" w:cs="宋体"/>
          <w:b/>
          <w:sz w:val="32"/>
          <w:highlight w:val="none"/>
        </w:rPr>
        <w:t>采购单位：</w:t>
      </w:r>
      <w:r>
        <w:rPr>
          <w:rFonts w:hint="eastAsia" w:ascii="宋体" w:hAnsi="宋体" w:cs="宋体"/>
          <w:b/>
          <w:sz w:val="32"/>
          <w:highlight w:val="none"/>
          <w:lang w:eastAsia="zh-CN"/>
        </w:rPr>
        <w:t>克孜勒苏柯尔克孜自治州中心血站</w:t>
      </w:r>
      <w:r>
        <w:rPr>
          <w:rFonts w:hint="eastAsia" w:ascii="宋体" w:hAnsi="宋体" w:eastAsia="宋体" w:cs="宋体"/>
          <w:b/>
          <w:bCs/>
          <w:sz w:val="32"/>
          <w:szCs w:val="32"/>
          <w:highlight w:val="none"/>
          <w:lang w:val="zh-CN"/>
        </w:rPr>
        <w:t>（盖章）</w:t>
      </w:r>
    </w:p>
    <w:p>
      <w:pPr>
        <w:widowControl/>
        <w:tabs>
          <w:tab w:val="left" w:pos="3335"/>
        </w:tabs>
        <w:autoSpaceDE w:val="0"/>
        <w:autoSpaceDN w:val="0"/>
        <w:ind w:right="-26" w:firstLine="630" w:firstLineChars="196"/>
        <w:textAlignment w:val="bottom"/>
        <w:rPr>
          <w:rFonts w:hint="eastAsia" w:ascii="宋体" w:hAnsi="宋体" w:eastAsia="宋体" w:cs="宋体"/>
          <w:b/>
          <w:sz w:val="32"/>
          <w:highlight w:val="none"/>
        </w:rPr>
      </w:pPr>
      <w:r>
        <w:rPr>
          <w:rFonts w:hint="eastAsia" w:ascii="宋体" w:hAnsi="宋体" w:eastAsia="宋体" w:cs="宋体"/>
          <w:b/>
          <w:sz w:val="32"/>
          <w:highlight w:val="none"/>
        </w:rPr>
        <w:tab/>
      </w:r>
    </w:p>
    <w:p>
      <w:pPr>
        <w:widowControl/>
        <w:autoSpaceDE w:val="0"/>
        <w:autoSpaceDN w:val="0"/>
        <w:ind w:right="-26" w:firstLine="321" w:firstLineChars="100"/>
        <w:textAlignment w:val="bottom"/>
        <w:rPr>
          <w:rFonts w:hint="eastAsia" w:ascii="宋体" w:hAnsi="宋体" w:eastAsia="宋体" w:cs="宋体"/>
          <w:b/>
          <w:sz w:val="32"/>
          <w:highlight w:val="none"/>
          <w:u w:val="single"/>
        </w:rPr>
      </w:pPr>
      <w:r>
        <w:rPr>
          <w:rFonts w:hint="eastAsia" w:ascii="宋体" w:hAnsi="宋体" w:eastAsia="宋体" w:cs="宋体"/>
          <w:b/>
          <w:sz w:val="32"/>
          <w:highlight w:val="none"/>
        </w:rPr>
        <w:t>代理机构：</w:t>
      </w:r>
      <w:r>
        <w:rPr>
          <w:rFonts w:hint="eastAsia" w:ascii="宋体" w:hAnsi="宋体" w:cs="宋体"/>
          <w:b/>
          <w:sz w:val="32"/>
          <w:highlight w:val="none"/>
          <w:lang w:eastAsia="zh-CN"/>
        </w:rPr>
        <w:t>中科高盛咨询集团有限公司</w:t>
      </w:r>
      <w:r>
        <w:rPr>
          <w:rFonts w:hint="eastAsia" w:ascii="宋体" w:hAnsi="宋体" w:eastAsia="宋体" w:cs="宋体"/>
          <w:b/>
          <w:bCs/>
          <w:sz w:val="32"/>
          <w:szCs w:val="32"/>
          <w:highlight w:val="none"/>
          <w:lang w:val="zh-CN"/>
        </w:rPr>
        <w:t>（盖章）</w:t>
      </w:r>
    </w:p>
    <w:p>
      <w:pPr>
        <w:widowControl/>
        <w:autoSpaceDE w:val="0"/>
        <w:autoSpaceDN w:val="0"/>
        <w:ind w:right="893" w:firstLine="630" w:firstLineChars="196"/>
        <w:textAlignment w:val="bottom"/>
        <w:rPr>
          <w:rFonts w:hint="eastAsia" w:ascii="宋体" w:hAnsi="宋体" w:eastAsia="宋体" w:cs="宋体"/>
          <w:b/>
          <w:sz w:val="32"/>
          <w:highlight w:val="none"/>
        </w:rPr>
      </w:pPr>
    </w:p>
    <w:p>
      <w:pPr>
        <w:widowControl/>
        <w:autoSpaceDE w:val="0"/>
        <w:autoSpaceDN w:val="0"/>
        <w:ind w:right="893" w:firstLine="321" w:firstLineChars="100"/>
        <w:textAlignment w:val="bottom"/>
        <w:rPr>
          <w:rFonts w:hint="eastAsia" w:ascii="宋体" w:hAnsi="宋体" w:eastAsia="宋体" w:cs="宋体"/>
          <w:b/>
          <w:sz w:val="32"/>
          <w:highlight w:val="none"/>
          <w:u w:val="single"/>
          <w:lang w:eastAsia="zh-CN"/>
        </w:rPr>
      </w:pPr>
      <w:r>
        <w:rPr>
          <w:rFonts w:hint="eastAsia" w:ascii="宋体" w:hAnsi="宋体" w:eastAsia="宋体" w:cs="宋体"/>
          <w:b/>
          <w:sz w:val="32"/>
          <w:highlight w:val="none"/>
        </w:rPr>
        <w:t>联 系 人：</w:t>
      </w:r>
      <w:r>
        <w:rPr>
          <w:rFonts w:hint="eastAsia" w:ascii="宋体" w:hAnsi="宋体" w:cs="宋体"/>
          <w:b/>
          <w:sz w:val="32"/>
          <w:highlight w:val="none"/>
          <w:lang w:val="en-US" w:eastAsia="zh-CN"/>
        </w:rPr>
        <w:t>夏先生</w:t>
      </w:r>
    </w:p>
    <w:p>
      <w:pPr>
        <w:widowControl/>
        <w:autoSpaceDE w:val="0"/>
        <w:autoSpaceDN w:val="0"/>
        <w:ind w:right="893" w:firstLine="630" w:firstLineChars="196"/>
        <w:textAlignment w:val="bottom"/>
        <w:rPr>
          <w:rFonts w:hint="eastAsia" w:ascii="宋体" w:hAnsi="宋体" w:eastAsia="宋体" w:cs="宋体"/>
          <w:b/>
          <w:sz w:val="32"/>
          <w:highlight w:val="none"/>
        </w:rPr>
      </w:pPr>
    </w:p>
    <w:p>
      <w:pPr>
        <w:widowControl/>
        <w:autoSpaceDE w:val="0"/>
        <w:autoSpaceDN w:val="0"/>
        <w:spacing w:line="480" w:lineRule="auto"/>
        <w:ind w:right="-26" w:firstLine="321" w:firstLineChars="100"/>
        <w:textAlignment w:val="bottom"/>
        <w:rPr>
          <w:rFonts w:hint="default" w:ascii="宋体" w:hAnsi="宋体" w:eastAsia="宋体" w:cs="宋体"/>
          <w:b/>
          <w:sz w:val="32"/>
          <w:highlight w:val="none"/>
          <w:u w:val="none"/>
          <w:lang w:val="en-US" w:eastAsia="zh-CN"/>
        </w:rPr>
      </w:pPr>
      <w:r>
        <w:rPr>
          <w:rFonts w:hint="eastAsia" w:ascii="宋体" w:hAnsi="宋体" w:eastAsia="宋体" w:cs="宋体"/>
          <w:b/>
          <w:sz w:val="32"/>
          <w:highlight w:val="none"/>
        </w:rPr>
        <w:t>联系电话</w:t>
      </w:r>
      <w:r>
        <w:rPr>
          <w:rFonts w:hint="eastAsia" w:ascii="宋体" w:hAnsi="宋体" w:eastAsia="宋体" w:cs="宋体"/>
          <w:b/>
          <w:sz w:val="32"/>
          <w:highlight w:val="none"/>
          <w:lang w:eastAsia="zh-CN"/>
        </w:rPr>
        <w:t>：</w:t>
      </w:r>
      <w:r>
        <w:rPr>
          <w:rFonts w:hint="eastAsia" w:ascii="宋体" w:hAnsi="宋体" w:cs="宋体"/>
          <w:b/>
          <w:sz w:val="32"/>
          <w:highlight w:val="none"/>
          <w:u w:val="none"/>
          <w:lang w:val="en-US" w:eastAsia="zh-CN"/>
        </w:rPr>
        <w:t>17881605898</w:t>
      </w:r>
    </w:p>
    <w:p>
      <w:pPr>
        <w:widowControl/>
        <w:autoSpaceDE w:val="0"/>
        <w:autoSpaceDN w:val="0"/>
        <w:spacing w:line="480" w:lineRule="auto"/>
        <w:ind w:right="-26" w:firstLine="321" w:firstLineChars="100"/>
        <w:textAlignment w:val="bottom"/>
        <w:rPr>
          <w:rFonts w:hint="eastAsia" w:ascii="宋体" w:hAnsi="宋体" w:eastAsia="宋体" w:cs="宋体"/>
          <w:b/>
          <w:sz w:val="32"/>
          <w:highlight w:val="none"/>
        </w:rPr>
      </w:pPr>
      <w:r>
        <w:rPr>
          <w:rFonts w:hint="eastAsia" w:ascii="宋体" w:hAnsi="宋体" w:eastAsia="宋体" w:cs="宋体"/>
          <w:b/>
          <w:sz w:val="32"/>
          <w:highlight w:val="none"/>
        </w:rPr>
        <w:t>日    期：20</w:t>
      </w:r>
      <w:r>
        <w:rPr>
          <w:rFonts w:hint="eastAsia" w:ascii="宋体" w:hAnsi="宋体" w:eastAsia="宋体" w:cs="宋体"/>
          <w:b/>
          <w:sz w:val="32"/>
          <w:highlight w:val="none"/>
          <w:lang w:val="en-US" w:eastAsia="zh-CN"/>
        </w:rPr>
        <w:t>2</w:t>
      </w:r>
      <w:r>
        <w:rPr>
          <w:rFonts w:hint="eastAsia" w:ascii="宋体" w:hAnsi="宋体" w:cs="宋体"/>
          <w:b/>
          <w:sz w:val="32"/>
          <w:highlight w:val="none"/>
          <w:lang w:val="en-US" w:eastAsia="zh-CN"/>
        </w:rPr>
        <w:t>3</w:t>
      </w:r>
      <w:r>
        <w:rPr>
          <w:rFonts w:hint="eastAsia" w:ascii="宋体" w:hAnsi="宋体" w:eastAsia="宋体" w:cs="宋体"/>
          <w:b/>
          <w:sz w:val="32"/>
          <w:highlight w:val="none"/>
        </w:rPr>
        <w:t>年</w:t>
      </w:r>
      <w:r>
        <w:rPr>
          <w:rFonts w:hint="eastAsia" w:ascii="宋体" w:hAnsi="宋体" w:eastAsia="宋体" w:cs="宋体"/>
          <w:b/>
          <w:sz w:val="32"/>
          <w:highlight w:val="none"/>
          <w:lang w:val="en-US" w:eastAsia="zh-CN"/>
        </w:rPr>
        <w:t>0</w:t>
      </w:r>
      <w:r>
        <w:rPr>
          <w:rFonts w:hint="eastAsia" w:ascii="宋体" w:hAnsi="宋体" w:cs="宋体"/>
          <w:b/>
          <w:sz w:val="32"/>
          <w:highlight w:val="none"/>
          <w:lang w:val="en-US" w:eastAsia="zh-CN"/>
        </w:rPr>
        <w:t>9</w:t>
      </w:r>
      <w:r>
        <w:rPr>
          <w:rFonts w:hint="eastAsia" w:ascii="宋体" w:hAnsi="宋体" w:eastAsia="宋体" w:cs="宋体"/>
          <w:b/>
          <w:sz w:val="32"/>
          <w:highlight w:val="none"/>
        </w:rPr>
        <w:t>月</w:t>
      </w:r>
    </w:p>
    <w:p>
      <w:pPr>
        <w:widowControl/>
        <w:autoSpaceDE w:val="0"/>
        <w:autoSpaceDN w:val="0"/>
        <w:ind w:right="893" w:firstLine="866" w:firstLineChars="196"/>
        <w:jc w:val="center"/>
        <w:textAlignment w:val="bottom"/>
        <w:rPr>
          <w:rFonts w:hint="eastAsia" w:ascii="宋体" w:hAnsi="宋体" w:eastAsia="宋体" w:cs="宋体"/>
          <w:b/>
          <w:sz w:val="44"/>
          <w:szCs w:val="44"/>
          <w:highlight w:val="none"/>
        </w:rPr>
        <w:sectPr>
          <w:headerReference r:id="rId3" w:type="default"/>
          <w:footerReference r:id="rId4" w:type="default"/>
          <w:pgSz w:w="11907" w:h="16840"/>
          <w:pgMar w:top="1134" w:right="1134" w:bottom="1134" w:left="1418" w:header="794" w:footer="737" w:gutter="0"/>
          <w:pgBorders w:offsetFrom="page">
            <w:top w:val="none" w:sz="0" w:space="0"/>
            <w:left w:val="none" w:sz="0" w:space="0"/>
            <w:bottom w:val="none" w:sz="0" w:space="0"/>
            <w:right w:val="none" w:sz="0" w:space="0"/>
          </w:pgBorders>
          <w:pgNumType w:fmt="decimalFullWidth" w:start="1"/>
          <w:cols w:space="720" w:num="1"/>
          <w:docGrid w:linePitch="312" w:charSpace="0"/>
        </w:sectPr>
      </w:pPr>
    </w:p>
    <w:p>
      <w:pPr>
        <w:jc w:val="center"/>
        <w:rPr>
          <w:rFonts w:hint="eastAsia" w:ascii="宋体" w:hAnsi="宋体" w:eastAsia="宋体" w:cs="宋体"/>
          <w:b/>
          <w:color w:val="000000"/>
          <w:sz w:val="28"/>
          <w:szCs w:val="28"/>
          <w:highlight w:val="none"/>
        </w:rPr>
      </w:pPr>
      <w:r>
        <w:rPr>
          <w:rFonts w:hint="eastAsia" w:ascii="宋体" w:hAnsi="宋体" w:eastAsia="宋体" w:cs="宋体"/>
          <w:b/>
          <w:sz w:val="36"/>
          <w:szCs w:val="36"/>
          <w:highlight w:val="none"/>
        </w:rPr>
        <w:t>招投标监督管理机构备案登记栏</w:t>
      </w:r>
      <w:bookmarkStart w:id="0" w:name="_Hlt10524010"/>
      <w:bookmarkEnd w:id="0"/>
      <w:bookmarkStart w:id="1" w:name="_Hlt10519329"/>
      <w:bookmarkEnd w:id="1"/>
      <w:bookmarkStart w:id="2" w:name="_Hlt10524029"/>
      <w:bookmarkEnd w:id="2"/>
      <w:bookmarkStart w:id="3" w:name="_Hlt10529670"/>
      <w:bookmarkEnd w:id="3"/>
      <w:bookmarkStart w:id="4" w:name="_Hlt42956360"/>
      <w:bookmarkEnd w:id="4"/>
      <w:bookmarkStart w:id="5" w:name="_Hlt10524018"/>
      <w:bookmarkEnd w:id="5"/>
      <w:bookmarkStart w:id="6" w:name="_Hlt10462525"/>
      <w:bookmarkEnd w:id="6"/>
      <w:bookmarkStart w:id="7" w:name="_Hlt10523642"/>
      <w:bookmarkEnd w:id="7"/>
      <w:bookmarkStart w:id="8" w:name="_Hlt42956379"/>
      <w:bookmarkEnd w:id="8"/>
      <w:bookmarkStart w:id="9" w:name="_Hlt10567911"/>
      <w:bookmarkEnd w:id="9"/>
    </w:p>
    <w:tbl>
      <w:tblPr>
        <w:tblStyle w:val="47"/>
        <w:tblpPr w:leftFromText="180" w:rightFromText="180" w:vertAnchor="text" w:horzAnchor="page" w:tblpX="1302" w:tblpY="192"/>
        <w:tblW w:w="97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86" w:type="dxa"/>
            <w:vAlign w:val="top"/>
          </w:tcPr>
          <w:p>
            <w:pPr>
              <w:keepNext w:val="0"/>
              <w:keepLines w:val="0"/>
              <w:suppressLineNumbers w:val="0"/>
              <w:spacing w:before="0" w:beforeAutospacing="0" w:after="0" w:afterAutospacing="0" w:line="720" w:lineRule="auto"/>
              <w:ind w:left="0" w:right="0"/>
              <w:rPr>
                <w:rFonts w:hint="eastAsia" w:ascii="宋体" w:hAnsi="宋体" w:eastAsia="宋体" w:cs="宋体"/>
                <w:sz w:val="36"/>
                <w:szCs w:val="32"/>
                <w:highlight w:val="none"/>
              </w:rPr>
            </w:pPr>
          </w:p>
          <w:p>
            <w:pPr>
              <w:keepNext w:val="0"/>
              <w:keepLines w:val="0"/>
              <w:suppressLineNumbers w:val="0"/>
              <w:spacing w:before="0" w:beforeAutospacing="0" w:after="0" w:afterAutospacing="0" w:line="720" w:lineRule="auto"/>
              <w:ind w:left="0" w:right="0"/>
              <w:rPr>
                <w:rFonts w:hint="eastAsia" w:ascii="宋体" w:hAnsi="宋体" w:eastAsia="宋体" w:cs="宋体"/>
                <w:sz w:val="36"/>
                <w:szCs w:val="32"/>
                <w:highlight w:val="none"/>
                <w:lang w:eastAsia="zh-CN"/>
              </w:rPr>
            </w:pPr>
            <w:r>
              <w:rPr>
                <w:rFonts w:hint="eastAsia" w:ascii="宋体" w:hAnsi="宋体" w:eastAsia="宋体" w:cs="宋体"/>
                <w:sz w:val="36"/>
                <w:szCs w:val="32"/>
                <w:highlight w:val="none"/>
              </w:rPr>
              <w:t>采购单位：</w:t>
            </w:r>
            <w:r>
              <w:rPr>
                <w:rFonts w:hint="eastAsia" w:ascii="宋体" w:hAnsi="宋体" w:cs="宋体"/>
                <w:sz w:val="36"/>
                <w:szCs w:val="32"/>
                <w:highlight w:val="none"/>
                <w:lang w:eastAsia="zh-CN"/>
              </w:rPr>
              <w:t>克孜勒苏柯尔克孜自治州中心血站</w:t>
            </w:r>
            <w:r>
              <w:rPr>
                <w:rFonts w:hint="eastAsia" w:ascii="宋体" w:hAnsi="宋体" w:eastAsia="宋体" w:cs="宋体"/>
                <w:sz w:val="36"/>
                <w:szCs w:val="32"/>
                <w:highlight w:val="none"/>
                <w:lang w:eastAsia="zh-CN"/>
              </w:rPr>
              <w:t>（盖章）</w:t>
            </w:r>
          </w:p>
          <w:p>
            <w:pPr>
              <w:pStyle w:val="5"/>
              <w:suppressLineNumbers w:val="0"/>
              <w:spacing w:beforeAutospacing="0" w:afterAutospacing="0"/>
              <w:ind w:left="0" w:right="0"/>
              <w:rPr>
                <w:rFonts w:hint="eastAsia"/>
                <w:lang w:eastAsia="zh-CN"/>
              </w:rPr>
            </w:pPr>
          </w:p>
          <w:p>
            <w:pPr>
              <w:keepNext w:val="0"/>
              <w:keepLines w:val="0"/>
              <w:suppressLineNumbers w:val="0"/>
              <w:tabs>
                <w:tab w:val="left" w:pos="318"/>
                <w:tab w:val="center" w:pos="4745"/>
              </w:tabs>
              <w:autoSpaceDE w:val="0"/>
              <w:autoSpaceDN w:val="0"/>
              <w:spacing w:before="0" w:beforeAutospacing="0" w:after="0" w:afterAutospacing="0"/>
              <w:ind w:left="2700" w:right="0" w:hanging="2700" w:hangingChars="750"/>
              <w:rPr>
                <w:rFonts w:hint="eastAsia" w:ascii="宋体" w:hAnsi="宋体" w:eastAsia="宋体" w:cs="宋体"/>
                <w:sz w:val="36"/>
                <w:szCs w:val="32"/>
                <w:highlight w:val="none"/>
              </w:rPr>
            </w:pPr>
          </w:p>
          <w:p>
            <w:pPr>
              <w:keepNext w:val="0"/>
              <w:keepLines w:val="0"/>
              <w:suppressLineNumbers w:val="0"/>
              <w:tabs>
                <w:tab w:val="left" w:pos="318"/>
                <w:tab w:val="center" w:pos="4745"/>
              </w:tabs>
              <w:autoSpaceDE w:val="0"/>
              <w:autoSpaceDN w:val="0"/>
              <w:spacing w:before="0" w:beforeAutospacing="0" w:after="0" w:afterAutospacing="0"/>
              <w:ind w:left="2700" w:right="0" w:hanging="2700" w:hangingChars="750"/>
              <w:rPr>
                <w:rFonts w:hint="eastAsia" w:ascii="宋体" w:hAnsi="宋体" w:eastAsia="宋体" w:cs="宋体"/>
                <w:sz w:val="36"/>
                <w:szCs w:val="32"/>
                <w:highlight w:val="none"/>
              </w:rPr>
            </w:pPr>
          </w:p>
          <w:p>
            <w:pPr>
              <w:keepNext w:val="0"/>
              <w:keepLines w:val="0"/>
              <w:suppressLineNumbers w:val="0"/>
              <w:spacing w:before="0" w:beforeAutospacing="0" w:after="0" w:afterAutospacing="0" w:line="720" w:lineRule="auto"/>
              <w:ind w:left="0" w:right="0"/>
              <w:rPr>
                <w:rFonts w:hint="eastAsia" w:ascii="宋体" w:hAnsi="宋体" w:cs="宋体"/>
                <w:sz w:val="36"/>
                <w:szCs w:val="32"/>
                <w:highlight w:val="none"/>
                <w:lang w:eastAsia="zh-CN"/>
              </w:rPr>
            </w:pPr>
            <w:r>
              <w:rPr>
                <w:rFonts w:hint="eastAsia" w:ascii="宋体" w:hAnsi="宋体" w:eastAsia="宋体" w:cs="宋体"/>
                <w:sz w:val="36"/>
                <w:szCs w:val="32"/>
                <w:highlight w:val="none"/>
              </w:rPr>
              <w:t>采购项目名称：</w:t>
            </w:r>
            <w:r>
              <w:rPr>
                <w:rFonts w:hint="eastAsia" w:ascii="宋体" w:hAnsi="宋体" w:cs="宋体"/>
                <w:sz w:val="36"/>
                <w:szCs w:val="32"/>
                <w:highlight w:val="none"/>
                <w:lang w:eastAsia="zh-CN"/>
              </w:rPr>
              <w:t>克州中心血站医疗设备采购项目</w:t>
            </w:r>
          </w:p>
          <w:p>
            <w:pPr>
              <w:pStyle w:val="5"/>
              <w:suppressLineNumbers w:val="0"/>
              <w:spacing w:beforeAutospacing="0" w:afterAutospacing="0"/>
              <w:ind w:left="0" w:right="0"/>
              <w:rPr>
                <w:rFonts w:hint="eastAsia" w:ascii="宋体" w:hAnsi="宋体" w:cs="宋体"/>
                <w:sz w:val="36"/>
                <w:szCs w:val="32"/>
                <w:highlight w:val="none"/>
                <w:lang w:eastAsia="zh-CN"/>
              </w:rPr>
            </w:pPr>
          </w:p>
          <w:p>
            <w:pPr>
              <w:pStyle w:val="5"/>
              <w:suppressLineNumbers w:val="0"/>
              <w:spacing w:beforeAutospacing="0" w:afterAutospacing="0"/>
              <w:ind w:left="0" w:right="0"/>
              <w:rPr>
                <w:rFonts w:hint="eastAsia"/>
              </w:rPr>
            </w:pPr>
          </w:p>
          <w:p>
            <w:pPr>
              <w:pStyle w:val="14"/>
              <w:keepNext w:val="0"/>
              <w:keepLines w:val="0"/>
              <w:suppressLineNumbers w:val="0"/>
              <w:spacing w:before="0" w:beforeAutospacing="0" w:after="0" w:afterAutospacing="0"/>
              <w:ind w:left="0" w:right="0"/>
              <w:rPr>
                <w:rFonts w:hint="eastAsia" w:ascii="宋体" w:hAnsi="宋体" w:eastAsia="宋体" w:cs="宋体"/>
                <w:highlight w:val="none"/>
              </w:rPr>
            </w:pPr>
          </w:p>
          <w:p>
            <w:pPr>
              <w:keepNext w:val="0"/>
              <w:keepLines w:val="0"/>
              <w:suppressLineNumbers w:val="0"/>
              <w:spacing w:before="0" w:beforeAutospacing="0" w:after="0" w:afterAutospacing="0" w:line="720" w:lineRule="auto"/>
              <w:ind w:left="0" w:right="0"/>
              <w:rPr>
                <w:rFonts w:hint="eastAsia" w:ascii="宋体" w:hAnsi="宋体" w:eastAsia="宋体" w:cs="宋体"/>
                <w:sz w:val="36"/>
                <w:szCs w:val="32"/>
                <w:highlight w:val="none"/>
                <w:lang w:eastAsia="zh-CN"/>
              </w:rPr>
            </w:pPr>
            <w:r>
              <w:rPr>
                <w:rFonts w:hint="eastAsia" w:ascii="宋体" w:hAnsi="宋体" w:eastAsia="宋体" w:cs="宋体"/>
                <w:sz w:val="36"/>
                <w:szCs w:val="32"/>
                <w:highlight w:val="none"/>
              </w:rPr>
              <w:t>代理机构：</w:t>
            </w:r>
            <w:r>
              <w:rPr>
                <w:rFonts w:hint="eastAsia" w:ascii="宋体" w:hAnsi="宋体" w:cs="宋体"/>
                <w:sz w:val="36"/>
                <w:szCs w:val="32"/>
                <w:highlight w:val="none"/>
                <w:lang w:eastAsia="zh-CN"/>
              </w:rPr>
              <w:t>中科高盛咨询集团有限公司</w:t>
            </w:r>
            <w:r>
              <w:rPr>
                <w:rFonts w:hint="eastAsia" w:ascii="宋体" w:hAnsi="宋体" w:eastAsia="宋体" w:cs="宋体"/>
                <w:sz w:val="36"/>
                <w:szCs w:val="32"/>
                <w:highlight w:val="none"/>
                <w:lang w:eastAsia="zh-CN"/>
              </w:rPr>
              <w:t>（盖章）</w:t>
            </w:r>
          </w:p>
          <w:p>
            <w:pPr>
              <w:keepNext w:val="0"/>
              <w:keepLines w:val="0"/>
              <w:suppressLineNumbers w:val="0"/>
              <w:spacing w:before="0" w:beforeAutospacing="0" w:after="0" w:afterAutospacing="0"/>
              <w:ind w:left="0" w:right="0"/>
              <w:rPr>
                <w:rFonts w:hint="eastAsia" w:ascii="宋体" w:hAnsi="宋体" w:eastAsia="宋体" w:cs="宋体"/>
                <w:sz w:val="36"/>
                <w:szCs w:val="32"/>
                <w:highlight w:val="none"/>
              </w:rPr>
            </w:pPr>
          </w:p>
          <w:p>
            <w:pPr>
              <w:pStyle w:val="108"/>
              <w:keepNext w:val="0"/>
              <w:keepLines w:val="0"/>
              <w:suppressLineNumbers w:val="0"/>
              <w:spacing w:before="0" w:beforeAutospacing="0" w:after="0" w:afterAutospacing="0"/>
              <w:ind w:left="0" w:right="0"/>
              <w:rPr>
                <w:rFonts w:hint="eastAsia" w:ascii="宋体" w:hAnsi="宋体" w:eastAsia="宋体" w:cs="宋体"/>
                <w:highlight w:val="none"/>
              </w:rPr>
            </w:pPr>
          </w:p>
          <w:p>
            <w:pPr>
              <w:keepNext w:val="0"/>
              <w:keepLines w:val="0"/>
              <w:suppressLineNumbers w:val="0"/>
              <w:spacing w:before="0" w:beforeAutospacing="0" w:after="0" w:afterAutospacing="0"/>
              <w:ind w:left="0" w:right="0"/>
              <w:jc w:val="center"/>
              <w:rPr>
                <w:rFonts w:hint="eastAsia" w:ascii="宋体" w:hAnsi="宋体" w:eastAsia="宋体" w:cs="宋体"/>
                <w:sz w:val="36"/>
                <w:szCs w:val="32"/>
                <w:highlight w:val="none"/>
              </w:rPr>
            </w:pPr>
            <w:r>
              <w:rPr>
                <w:rFonts w:hint="eastAsia" w:ascii="宋体" w:hAnsi="宋体" w:eastAsia="宋体" w:cs="宋体"/>
                <w:sz w:val="36"/>
                <w:szCs w:val="32"/>
                <w:highlight w:val="none"/>
              </w:rPr>
              <w:t>本采购招标文件已报备</w:t>
            </w:r>
          </w:p>
          <w:p>
            <w:pPr>
              <w:keepNext w:val="0"/>
              <w:keepLines w:val="0"/>
              <w:suppressLineNumbers w:val="0"/>
              <w:spacing w:before="0" w:beforeAutospacing="0" w:after="0" w:afterAutospacing="0"/>
              <w:ind w:left="0" w:right="0"/>
              <w:jc w:val="center"/>
              <w:rPr>
                <w:rFonts w:hint="eastAsia" w:ascii="宋体" w:hAnsi="宋体" w:eastAsia="宋体" w:cs="宋体"/>
                <w:sz w:val="36"/>
                <w:szCs w:val="32"/>
                <w:highlight w:val="none"/>
              </w:rPr>
            </w:pPr>
          </w:p>
          <w:p>
            <w:pPr>
              <w:keepNext w:val="0"/>
              <w:keepLines w:val="0"/>
              <w:suppressLineNumbers w:val="0"/>
              <w:spacing w:before="0" w:beforeAutospacing="0" w:after="0" w:afterAutospacing="0"/>
              <w:ind w:left="0" w:right="0"/>
              <w:jc w:val="center"/>
              <w:rPr>
                <w:rFonts w:hint="eastAsia" w:ascii="宋体" w:hAnsi="宋体" w:eastAsia="宋体" w:cs="宋体"/>
                <w:sz w:val="36"/>
                <w:szCs w:val="32"/>
                <w:highlight w:val="none"/>
                <w:lang w:eastAsia="zh-CN"/>
              </w:rPr>
            </w:pPr>
            <w:r>
              <w:rPr>
                <w:rFonts w:hint="eastAsia" w:ascii="宋体" w:hAnsi="宋体" w:eastAsia="宋体" w:cs="宋体"/>
                <w:sz w:val="36"/>
                <w:szCs w:val="32"/>
                <w:highlight w:val="none"/>
                <w:lang w:eastAsia="zh-CN"/>
              </w:rPr>
              <w:t>202</w:t>
            </w:r>
            <w:r>
              <w:rPr>
                <w:rFonts w:hint="eastAsia" w:ascii="宋体" w:hAnsi="宋体" w:cs="宋体"/>
                <w:sz w:val="36"/>
                <w:szCs w:val="32"/>
                <w:highlight w:val="none"/>
                <w:lang w:val="en-US" w:eastAsia="zh-CN"/>
              </w:rPr>
              <w:t>3</w:t>
            </w:r>
            <w:r>
              <w:rPr>
                <w:rFonts w:hint="eastAsia" w:ascii="宋体" w:hAnsi="宋体" w:eastAsia="宋体" w:cs="宋体"/>
                <w:sz w:val="36"/>
                <w:szCs w:val="32"/>
                <w:highlight w:val="none"/>
                <w:lang w:eastAsia="zh-CN"/>
              </w:rPr>
              <w:t>年</w:t>
            </w:r>
            <w:r>
              <w:rPr>
                <w:rFonts w:hint="eastAsia" w:ascii="宋体" w:hAnsi="宋体" w:eastAsia="宋体" w:cs="宋体"/>
                <w:sz w:val="36"/>
                <w:szCs w:val="32"/>
                <w:highlight w:val="none"/>
                <w:lang w:val="en-US" w:eastAsia="zh-CN"/>
              </w:rPr>
              <w:t>0</w:t>
            </w:r>
            <w:r>
              <w:rPr>
                <w:rFonts w:hint="eastAsia" w:ascii="宋体" w:hAnsi="宋体" w:cs="宋体"/>
                <w:sz w:val="36"/>
                <w:szCs w:val="32"/>
                <w:highlight w:val="none"/>
                <w:lang w:val="en-US" w:eastAsia="zh-CN"/>
              </w:rPr>
              <w:t>9</w:t>
            </w:r>
            <w:r>
              <w:rPr>
                <w:rFonts w:hint="eastAsia" w:ascii="宋体" w:hAnsi="宋体" w:eastAsia="宋体" w:cs="宋体"/>
                <w:sz w:val="36"/>
                <w:szCs w:val="32"/>
                <w:highlight w:val="none"/>
                <w:lang w:eastAsia="zh-CN"/>
              </w:rPr>
              <w:t>月</w:t>
            </w:r>
          </w:p>
          <w:p>
            <w:pPr>
              <w:pStyle w:val="5"/>
              <w:suppressLineNumbers w:val="0"/>
              <w:spacing w:beforeAutospacing="0" w:afterAutospacing="0"/>
              <w:ind w:left="0" w:right="0"/>
              <w:outlineLvl w:val="9"/>
              <w:rPr>
                <w:rFonts w:hint="eastAsia" w:ascii="宋体" w:hAnsi="宋体" w:eastAsia="宋体" w:cs="宋体"/>
                <w:highlight w:val="none"/>
                <w:lang w:eastAsia="zh-CN"/>
              </w:rPr>
            </w:pPr>
          </w:p>
        </w:tc>
      </w:tr>
    </w:tbl>
    <w:p>
      <w:pPr>
        <w:spacing w:line="340" w:lineRule="exact"/>
        <w:ind w:firstLine="150" w:firstLineChars="50"/>
        <w:jc w:val="center"/>
        <w:rPr>
          <w:rFonts w:hint="eastAsia" w:ascii="宋体" w:hAnsi="宋体" w:eastAsia="宋体" w:cs="宋体"/>
          <w:b/>
          <w:color w:val="000000"/>
          <w:sz w:val="30"/>
          <w:szCs w:val="30"/>
          <w:highlight w:val="none"/>
        </w:rPr>
      </w:pPr>
    </w:p>
    <w:p>
      <w:pPr>
        <w:spacing w:line="340" w:lineRule="exact"/>
        <w:jc w:val="both"/>
        <w:rPr>
          <w:rFonts w:hint="eastAsia" w:ascii="宋体" w:hAnsi="宋体" w:eastAsia="宋体" w:cs="宋体"/>
          <w:b/>
          <w:color w:val="000000"/>
          <w:sz w:val="30"/>
          <w:szCs w:val="30"/>
          <w:highlight w:val="none"/>
        </w:rPr>
      </w:pPr>
    </w:p>
    <w:p>
      <w:pPr>
        <w:spacing w:before="0" w:beforeLines="0" w:after="0" w:afterLines="0" w:line="240" w:lineRule="auto"/>
        <w:ind w:left="0" w:leftChars="0" w:right="0" w:rightChars="0" w:firstLine="0" w:firstLineChars="0"/>
        <w:jc w:val="center"/>
        <w:rPr>
          <w:highlight w:val="none"/>
        </w:rPr>
      </w:pPr>
      <w:r>
        <w:rPr>
          <w:rFonts w:ascii="宋体" w:hAnsi="宋体" w:eastAsia="宋体"/>
          <w:sz w:val="21"/>
          <w:highlight w:val="none"/>
        </w:rPr>
        <w:t>目录</w:t>
      </w:r>
    </w:p>
    <w:p>
      <w:pPr>
        <w:pStyle w:val="32"/>
        <w:tabs>
          <w:tab w:val="right" w:leader="dot" w:pos="9746"/>
          <w:tab w:val="clear" w:pos="1260"/>
          <w:tab w:val="clear" w:pos="9060"/>
        </w:tabs>
      </w:pPr>
      <w:r>
        <w:rPr>
          <w:rFonts w:hint="eastAsia"/>
          <w:highlight w:val="none"/>
          <w:lang w:eastAsia="zh-CN"/>
        </w:rPr>
        <w:fldChar w:fldCharType="begin"/>
      </w:r>
      <w:r>
        <w:rPr>
          <w:rFonts w:hint="eastAsia"/>
          <w:highlight w:val="none"/>
          <w:lang w:eastAsia="zh-CN"/>
        </w:rPr>
        <w:instrText xml:space="preserve">TOC \o "1-1" \h \u </w:instrText>
      </w:r>
      <w:r>
        <w:rPr>
          <w:rFonts w:hint="eastAsia"/>
          <w:highlight w:val="none"/>
          <w:lang w:eastAsia="zh-CN"/>
        </w:rPr>
        <w:fldChar w:fldCharType="separate"/>
      </w:r>
      <w:r>
        <w:rPr>
          <w:rFonts w:hint="eastAsia"/>
          <w:highlight w:val="none"/>
          <w:lang w:eastAsia="zh-CN"/>
        </w:rPr>
        <w:fldChar w:fldCharType="begin"/>
      </w:r>
      <w:r>
        <w:rPr>
          <w:rFonts w:hint="eastAsia"/>
          <w:highlight w:val="none"/>
          <w:lang w:eastAsia="zh-CN"/>
        </w:rPr>
        <w:instrText xml:space="preserve"> HYPERLINK \l _Toc5242 </w:instrText>
      </w:r>
      <w:r>
        <w:rPr>
          <w:rFonts w:hint="eastAsia"/>
          <w:highlight w:val="none"/>
          <w:lang w:eastAsia="zh-CN"/>
        </w:rPr>
        <w:fldChar w:fldCharType="separate"/>
      </w:r>
      <w:r>
        <w:rPr>
          <w:rFonts w:hint="eastAsia" w:ascii="宋体" w:hAnsi="宋体" w:eastAsia="宋体" w:cs="宋体"/>
          <w:kern w:val="0"/>
          <w:szCs w:val="22"/>
          <w:highlight w:val="none"/>
          <w:lang w:val="en-US" w:eastAsia="zh-CN"/>
        </w:rPr>
        <w:t>第一部分 招标公告</w:t>
      </w:r>
      <w:r>
        <w:tab/>
      </w:r>
      <w:r>
        <w:fldChar w:fldCharType="begin"/>
      </w:r>
      <w:r>
        <w:instrText xml:space="preserve"> PAGEREF _Toc5242 \h </w:instrText>
      </w:r>
      <w:r>
        <w:fldChar w:fldCharType="separate"/>
      </w:r>
      <w:r>
        <w:t>５</w:t>
      </w:r>
      <w:r>
        <w:fldChar w:fldCharType="end"/>
      </w:r>
      <w:r>
        <w:rPr>
          <w:rFonts w:hint="eastAsia"/>
          <w:highlight w:val="none"/>
          <w:lang w:eastAsia="zh-CN"/>
        </w:rPr>
        <w:fldChar w:fldCharType="end"/>
      </w:r>
    </w:p>
    <w:p>
      <w:pPr>
        <w:pStyle w:val="32"/>
        <w:tabs>
          <w:tab w:val="right" w:leader="dot" w:pos="9746"/>
          <w:tab w:val="clear" w:pos="1260"/>
          <w:tab w:val="clear" w:pos="9060"/>
        </w:tabs>
      </w:pPr>
      <w:r>
        <w:rPr>
          <w:rFonts w:hint="eastAsia"/>
          <w:highlight w:val="none"/>
          <w:lang w:eastAsia="zh-CN"/>
        </w:rPr>
        <w:fldChar w:fldCharType="begin"/>
      </w:r>
      <w:r>
        <w:rPr>
          <w:rFonts w:hint="eastAsia"/>
          <w:highlight w:val="none"/>
          <w:lang w:eastAsia="zh-CN"/>
        </w:rPr>
        <w:instrText xml:space="preserve"> HYPERLINK \l _Toc14219 </w:instrText>
      </w:r>
      <w:r>
        <w:rPr>
          <w:rFonts w:hint="eastAsia"/>
          <w:highlight w:val="none"/>
          <w:lang w:eastAsia="zh-CN"/>
        </w:rPr>
        <w:fldChar w:fldCharType="separate"/>
      </w:r>
      <w:r>
        <w:rPr>
          <w:rFonts w:hint="eastAsia"/>
          <w:szCs w:val="32"/>
          <w:highlight w:val="none"/>
          <w:lang w:eastAsia="zh-CN"/>
        </w:rPr>
        <w:t>中科高盛咨询集团有限公司</w:t>
      </w:r>
      <w:r>
        <w:rPr>
          <w:rFonts w:hint="eastAsia"/>
          <w:szCs w:val="32"/>
          <w:highlight w:val="none"/>
          <w:lang w:val="en-US" w:eastAsia="zh-CN"/>
        </w:rPr>
        <w:t>关于</w:t>
      </w:r>
      <w:r>
        <w:rPr>
          <w:rFonts w:hint="eastAsia"/>
          <w:szCs w:val="32"/>
          <w:highlight w:val="none"/>
          <w:lang w:eastAsia="zh-CN"/>
        </w:rPr>
        <w:t>克州中心血站医疗设备采购项目</w:t>
      </w:r>
      <w:r>
        <w:tab/>
      </w:r>
      <w:r>
        <w:fldChar w:fldCharType="begin"/>
      </w:r>
      <w:r>
        <w:instrText xml:space="preserve"> PAGEREF _Toc14219 \h </w:instrText>
      </w:r>
      <w:r>
        <w:fldChar w:fldCharType="separate"/>
      </w:r>
      <w:r>
        <w:t>５</w:t>
      </w:r>
      <w:r>
        <w:fldChar w:fldCharType="end"/>
      </w:r>
      <w:r>
        <w:rPr>
          <w:rFonts w:hint="eastAsia"/>
          <w:highlight w:val="none"/>
          <w:lang w:eastAsia="zh-CN"/>
        </w:rPr>
        <w:fldChar w:fldCharType="end"/>
      </w:r>
    </w:p>
    <w:p>
      <w:pPr>
        <w:pStyle w:val="32"/>
        <w:tabs>
          <w:tab w:val="right" w:leader="dot" w:pos="9746"/>
          <w:tab w:val="clear" w:pos="1260"/>
          <w:tab w:val="clear" w:pos="9060"/>
        </w:tabs>
      </w:pPr>
      <w:r>
        <w:rPr>
          <w:rFonts w:hint="eastAsia"/>
          <w:highlight w:val="none"/>
          <w:lang w:eastAsia="zh-CN"/>
        </w:rPr>
        <w:fldChar w:fldCharType="begin"/>
      </w:r>
      <w:r>
        <w:rPr>
          <w:rFonts w:hint="eastAsia"/>
          <w:highlight w:val="none"/>
          <w:lang w:eastAsia="zh-CN"/>
        </w:rPr>
        <w:instrText xml:space="preserve"> HYPERLINK \l _Toc12957 </w:instrText>
      </w:r>
      <w:r>
        <w:rPr>
          <w:rFonts w:hint="eastAsia"/>
          <w:highlight w:val="none"/>
          <w:lang w:eastAsia="zh-CN"/>
        </w:rPr>
        <w:fldChar w:fldCharType="separate"/>
      </w:r>
      <w:r>
        <w:rPr>
          <w:rFonts w:hint="eastAsia"/>
          <w:szCs w:val="32"/>
          <w:highlight w:val="none"/>
          <w:lang w:val="en-US" w:eastAsia="zh-CN"/>
        </w:rPr>
        <w:t>公开</w:t>
      </w:r>
      <w:r>
        <w:rPr>
          <w:szCs w:val="32"/>
          <w:highlight w:val="none"/>
        </w:rPr>
        <w:t>招标公告</w:t>
      </w:r>
      <w:r>
        <w:tab/>
      </w:r>
      <w:r>
        <w:fldChar w:fldCharType="begin"/>
      </w:r>
      <w:r>
        <w:instrText xml:space="preserve"> PAGEREF _Toc12957 \h </w:instrText>
      </w:r>
      <w:r>
        <w:fldChar w:fldCharType="separate"/>
      </w:r>
      <w:r>
        <w:t>５</w:t>
      </w:r>
      <w:r>
        <w:fldChar w:fldCharType="end"/>
      </w:r>
      <w:r>
        <w:rPr>
          <w:rFonts w:hint="eastAsia"/>
          <w:highlight w:val="none"/>
          <w:lang w:eastAsia="zh-CN"/>
        </w:rPr>
        <w:fldChar w:fldCharType="end"/>
      </w:r>
    </w:p>
    <w:p>
      <w:pPr>
        <w:pStyle w:val="32"/>
        <w:tabs>
          <w:tab w:val="right" w:leader="dot" w:pos="9746"/>
          <w:tab w:val="clear" w:pos="1260"/>
          <w:tab w:val="clear" w:pos="9060"/>
        </w:tabs>
      </w:pPr>
      <w:r>
        <w:rPr>
          <w:rFonts w:hint="eastAsia"/>
          <w:highlight w:val="none"/>
          <w:lang w:eastAsia="zh-CN"/>
        </w:rPr>
        <w:fldChar w:fldCharType="begin"/>
      </w:r>
      <w:r>
        <w:rPr>
          <w:rFonts w:hint="eastAsia"/>
          <w:highlight w:val="none"/>
          <w:lang w:eastAsia="zh-CN"/>
        </w:rPr>
        <w:instrText xml:space="preserve"> HYPERLINK \l _Toc6725 </w:instrText>
      </w:r>
      <w:r>
        <w:rPr>
          <w:rFonts w:hint="eastAsia"/>
          <w:highlight w:val="none"/>
          <w:lang w:eastAsia="zh-CN"/>
        </w:rPr>
        <w:fldChar w:fldCharType="separate"/>
      </w:r>
      <w:r>
        <w:rPr>
          <w:rFonts w:hint="eastAsia" w:ascii="宋体" w:hAnsi="宋体" w:eastAsia="宋体" w:cs="宋体"/>
          <w:kern w:val="0"/>
          <w:highlight w:val="none"/>
        </w:rPr>
        <w:t>第二部分  投标人须知</w:t>
      </w:r>
      <w:r>
        <w:tab/>
      </w:r>
      <w:r>
        <w:fldChar w:fldCharType="begin"/>
      </w:r>
      <w:r>
        <w:instrText xml:space="preserve"> PAGEREF _Toc6725 \h </w:instrText>
      </w:r>
      <w:r>
        <w:fldChar w:fldCharType="separate"/>
      </w:r>
      <w:r>
        <w:t>８</w:t>
      </w:r>
      <w:r>
        <w:fldChar w:fldCharType="end"/>
      </w:r>
      <w:r>
        <w:rPr>
          <w:rFonts w:hint="eastAsia"/>
          <w:highlight w:val="none"/>
          <w:lang w:eastAsia="zh-CN"/>
        </w:rPr>
        <w:fldChar w:fldCharType="end"/>
      </w:r>
    </w:p>
    <w:p>
      <w:pPr>
        <w:pStyle w:val="32"/>
        <w:tabs>
          <w:tab w:val="right" w:leader="dot" w:pos="9746"/>
          <w:tab w:val="clear" w:pos="1260"/>
          <w:tab w:val="clear" w:pos="9060"/>
        </w:tabs>
      </w:pPr>
      <w:r>
        <w:rPr>
          <w:rFonts w:hint="eastAsia"/>
          <w:highlight w:val="none"/>
          <w:lang w:eastAsia="zh-CN"/>
        </w:rPr>
        <w:fldChar w:fldCharType="begin"/>
      </w:r>
      <w:r>
        <w:rPr>
          <w:rFonts w:hint="eastAsia"/>
          <w:highlight w:val="none"/>
          <w:lang w:eastAsia="zh-CN"/>
        </w:rPr>
        <w:instrText xml:space="preserve"> HYPERLINK \l _Toc1952 </w:instrText>
      </w:r>
      <w:r>
        <w:rPr>
          <w:rFonts w:hint="eastAsia"/>
          <w:highlight w:val="none"/>
          <w:lang w:eastAsia="zh-CN"/>
        </w:rPr>
        <w:fldChar w:fldCharType="separate"/>
      </w:r>
      <w:r>
        <w:rPr>
          <w:rFonts w:hint="eastAsia"/>
          <w:szCs w:val="28"/>
          <w:highlight w:val="none"/>
        </w:rPr>
        <w:t>（四）投标文件的制作、上传及递交要求</w:t>
      </w:r>
      <w:r>
        <w:tab/>
      </w:r>
      <w:r>
        <w:fldChar w:fldCharType="begin"/>
      </w:r>
      <w:r>
        <w:instrText xml:space="preserve"> PAGEREF _Toc1952 \h </w:instrText>
      </w:r>
      <w:r>
        <w:fldChar w:fldCharType="separate"/>
      </w:r>
      <w:r>
        <w:t>２３</w:t>
      </w:r>
      <w:r>
        <w:fldChar w:fldCharType="end"/>
      </w:r>
      <w:r>
        <w:rPr>
          <w:rFonts w:hint="eastAsia"/>
          <w:highlight w:val="none"/>
          <w:lang w:eastAsia="zh-CN"/>
        </w:rPr>
        <w:fldChar w:fldCharType="end"/>
      </w:r>
    </w:p>
    <w:p>
      <w:pPr>
        <w:pStyle w:val="32"/>
        <w:tabs>
          <w:tab w:val="right" w:leader="dot" w:pos="9746"/>
          <w:tab w:val="clear" w:pos="1260"/>
          <w:tab w:val="clear" w:pos="9060"/>
        </w:tabs>
      </w:pPr>
      <w:r>
        <w:rPr>
          <w:rFonts w:hint="eastAsia"/>
          <w:highlight w:val="none"/>
          <w:lang w:eastAsia="zh-CN"/>
        </w:rPr>
        <w:fldChar w:fldCharType="begin"/>
      </w:r>
      <w:r>
        <w:rPr>
          <w:rFonts w:hint="eastAsia"/>
          <w:highlight w:val="none"/>
          <w:lang w:eastAsia="zh-CN"/>
        </w:rPr>
        <w:instrText xml:space="preserve"> HYPERLINK \l _Toc1478 </w:instrText>
      </w:r>
      <w:r>
        <w:rPr>
          <w:rFonts w:hint="eastAsia"/>
          <w:highlight w:val="none"/>
          <w:lang w:eastAsia="zh-CN"/>
        </w:rPr>
        <w:fldChar w:fldCharType="separate"/>
      </w:r>
      <w:r>
        <w:rPr>
          <w:rFonts w:hint="eastAsia" w:ascii="宋体" w:hAnsi="宋体" w:eastAsia="宋体" w:cs="宋体"/>
          <w:bCs/>
          <w:szCs w:val="32"/>
          <w:highlight w:val="none"/>
          <w:lang w:eastAsia="zh-CN"/>
        </w:rPr>
        <w:t>政府采购投诉书（范本）、质疑函范本</w:t>
      </w:r>
      <w:r>
        <w:tab/>
      </w:r>
      <w:r>
        <w:fldChar w:fldCharType="begin"/>
      </w:r>
      <w:r>
        <w:instrText xml:space="preserve"> PAGEREF _Toc1478 \h </w:instrText>
      </w:r>
      <w:r>
        <w:fldChar w:fldCharType="separate"/>
      </w:r>
      <w:r>
        <w:t>３３</w:t>
      </w:r>
      <w:r>
        <w:fldChar w:fldCharType="end"/>
      </w:r>
      <w:r>
        <w:rPr>
          <w:rFonts w:hint="eastAsia"/>
          <w:highlight w:val="none"/>
          <w:lang w:eastAsia="zh-CN"/>
        </w:rPr>
        <w:fldChar w:fldCharType="end"/>
      </w:r>
    </w:p>
    <w:p>
      <w:pPr>
        <w:pStyle w:val="32"/>
        <w:tabs>
          <w:tab w:val="right" w:leader="dot" w:pos="9746"/>
          <w:tab w:val="clear" w:pos="1260"/>
          <w:tab w:val="clear" w:pos="9060"/>
        </w:tabs>
      </w:pPr>
      <w:r>
        <w:rPr>
          <w:rFonts w:hint="eastAsia"/>
          <w:highlight w:val="none"/>
          <w:lang w:eastAsia="zh-CN"/>
        </w:rPr>
        <w:fldChar w:fldCharType="begin"/>
      </w:r>
      <w:r>
        <w:rPr>
          <w:rFonts w:hint="eastAsia"/>
          <w:highlight w:val="none"/>
          <w:lang w:eastAsia="zh-CN"/>
        </w:rPr>
        <w:instrText xml:space="preserve"> HYPERLINK \l _Toc24352 </w:instrText>
      </w:r>
      <w:r>
        <w:rPr>
          <w:rFonts w:hint="eastAsia"/>
          <w:highlight w:val="none"/>
          <w:lang w:eastAsia="zh-CN"/>
        </w:rPr>
        <w:fldChar w:fldCharType="separate"/>
      </w:r>
      <w:r>
        <w:rPr>
          <w:rFonts w:hint="eastAsia" w:ascii="宋体" w:hAnsi="宋体" w:eastAsia="宋体" w:cs="宋体"/>
          <w:szCs w:val="21"/>
          <w:highlight w:val="none"/>
        </w:rPr>
        <w:t>1.具体的投诉事项及事实依据；</w:t>
      </w:r>
      <w:r>
        <w:tab/>
      </w:r>
      <w:r>
        <w:fldChar w:fldCharType="begin"/>
      </w:r>
      <w:r>
        <w:instrText xml:space="preserve"> PAGEREF _Toc24352 \h </w:instrText>
      </w:r>
      <w:r>
        <w:fldChar w:fldCharType="separate"/>
      </w:r>
      <w:r>
        <w:t>３３</w:t>
      </w:r>
      <w:r>
        <w:fldChar w:fldCharType="end"/>
      </w:r>
      <w:r>
        <w:rPr>
          <w:rFonts w:hint="eastAsia"/>
          <w:highlight w:val="none"/>
          <w:lang w:eastAsia="zh-CN"/>
        </w:rPr>
        <w:fldChar w:fldCharType="end"/>
      </w:r>
    </w:p>
    <w:p>
      <w:pPr>
        <w:pStyle w:val="32"/>
        <w:tabs>
          <w:tab w:val="right" w:leader="dot" w:pos="9746"/>
          <w:tab w:val="clear" w:pos="1260"/>
          <w:tab w:val="clear" w:pos="9060"/>
        </w:tabs>
      </w:pPr>
      <w:r>
        <w:rPr>
          <w:rFonts w:hint="eastAsia"/>
          <w:highlight w:val="none"/>
          <w:lang w:eastAsia="zh-CN"/>
        </w:rPr>
        <w:fldChar w:fldCharType="begin"/>
      </w:r>
      <w:r>
        <w:rPr>
          <w:rFonts w:hint="eastAsia"/>
          <w:highlight w:val="none"/>
          <w:lang w:eastAsia="zh-CN"/>
        </w:rPr>
        <w:instrText xml:space="preserve"> HYPERLINK \l _Toc9312 </w:instrText>
      </w:r>
      <w:r>
        <w:rPr>
          <w:rFonts w:hint="eastAsia"/>
          <w:highlight w:val="none"/>
          <w:lang w:eastAsia="zh-CN"/>
        </w:rPr>
        <w:fldChar w:fldCharType="separate"/>
      </w:r>
      <w:r>
        <w:rPr>
          <w:rFonts w:hint="eastAsia" w:ascii="宋体" w:hAnsi="宋体" w:eastAsia="宋体" w:cs="宋体"/>
          <w:szCs w:val="21"/>
          <w:highlight w:val="none"/>
        </w:rPr>
        <w:t>2.质疑和质疑答复情况简要描述；</w:t>
      </w:r>
      <w:r>
        <w:tab/>
      </w:r>
      <w:r>
        <w:fldChar w:fldCharType="begin"/>
      </w:r>
      <w:r>
        <w:instrText xml:space="preserve"> PAGEREF _Toc9312 \h </w:instrText>
      </w:r>
      <w:r>
        <w:fldChar w:fldCharType="separate"/>
      </w:r>
      <w:r>
        <w:t>３３</w:t>
      </w:r>
      <w:r>
        <w:fldChar w:fldCharType="end"/>
      </w:r>
      <w:r>
        <w:rPr>
          <w:rFonts w:hint="eastAsia"/>
          <w:highlight w:val="none"/>
          <w:lang w:eastAsia="zh-CN"/>
        </w:rPr>
        <w:fldChar w:fldCharType="end"/>
      </w:r>
    </w:p>
    <w:p>
      <w:pPr>
        <w:pStyle w:val="32"/>
        <w:tabs>
          <w:tab w:val="right" w:leader="dot" w:pos="9746"/>
          <w:tab w:val="clear" w:pos="1260"/>
          <w:tab w:val="clear" w:pos="9060"/>
        </w:tabs>
      </w:pPr>
      <w:r>
        <w:rPr>
          <w:rFonts w:hint="eastAsia"/>
          <w:highlight w:val="none"/>
          <w:lang w:eastAsia="zh-CN"/>
        </w:rPr>
        <w:fldChar w:fldCharType="begin"/>
      </w:r>
      <w:r>
        <w:rPr>
          <w:rFonts w:hint="eastAsia"/>
          <w:highlight w:val="none"/>
          <w:lang w:eastAsia="zh-CN"/>
        </w:rPr>
        <w:instrText xml:space="preserve"> HYPERLINK \l _Toc15016 </w:instrText>
      </w:r>
      <w:r>
        <w:rPr>
          <w:rFonts w:hint="eastAsia"/>
          <w:highlight w:val="none"/>
          <w:lang w:eastAsia="zh-CN"/>
        </w:rPr>
        <w:fldChar w:fldCharType="separate"/>
      </w:r>
      <w:r>
        <w:rPr>
          <w:rFonts w:hint="eastAsia" w:ascii="宋体" w:hAnsi="宋体" w:eastAsia="宋体" w:cs="宋体"/>
          <w:szCs w:val="21"/>
          <w:highlight w:val="none"/>
        </w:rPr>
        <w:t>3.投诉请求。</w:t>
      </w:r>
      <w:r>
        <w:tab/>
      </w:r>
      <w:r>
        <w:fldChar w:fldCharType="begin"/>
      </w:r>
      <w:r>
        <w:instrText xml:space="preserve"> PAGEREF _Toc15016 \h </w:instrText>
      </w:r>
      <w:r>
        <w:fldChar w:fldCharType="separate"/>
      </w:r>
      <w:r>
        <w:t>３３</w:t>
      </w:r>
      <w:r>
        <w:fldChar w:fldCharType="end"/>
      </w:r>
      <w:r>
        <w:rPr>
          <w:rFonts w:hint="eastAsia"/>
          <w:highlight w:val="none"/>
          <w:lang w:eastAsia="zh-CN"/>
        </w:rPr>
        <w:fldChar w:fldCharType="end"/>
      </w:r>
    </w:p>
    <w:p>
      <w:pPr>
        <w:pStyle w:val="32"/>
        <w:tabs>
          <w:tab w:val="right" w:leader="dot" w:pos="9746"/>
          <w:tab w:val="clear" w:pos="1260"/>
          <w:tab w:val="clear" w:pos="9060"/>
        </w:tabs>
      </w:pPr>
      <w:r>
        <w:rPr>
          <w:rFonts w:hint="eastAsia"/>
          <w:highlight w:val="none"/>
          <w:lang w:eastAsia="zh-CN"/>
        </w:rPr>
        <w:fldChar w:fldCharType="begin"/>
      </w:r>
      <w:r>
        <w:rPr>
          <w:rFonts w:hint="eastAsia"/>
          <w:highlight w:val="none"/>
          <w:lang w:eastAsia="zh-CN"/>
        </w:rPr>
        <w:instrText xml:space="preserve"> HYPERLINK \l _Toc30698 </w:instrText>
      </w:r>
      <w:r>
        <w:rPr>
          <w:rFonts w:hint="eastAsia"/>
          <w:highlight w:val="none"/>
          <w:lang w:eastAsia="zh-CN"/>
        </w:rPr>
        <w:fldChar w:fldCharType="separate"/>
      </w:r>
      <w:r>
        <w:rPr>
          <w:rFonts w:hint="eastAsia" w:ascii="宋体" w:hAnsi="宋体" w:eastAsia="宋体" w:cs="宋体"/>
          <w:szCs w:val="21"/>
          <w:highlight w:val="none"/>
        </w:rPr>
        <w:t>1.质疑书和质疑答复书；</w:t>
      </w:r>
      <w:r>
        <w:tab/>
      </w:r>
      <w:r>
        <w:fldChar w:fldCharType="begin"/>
      </w:r>
      <w:r>
        <w:instrText xml:space="preserve"> PAGEREF _Toc30698 \h </w:instrText>
      </w:r>
      <w:r>
        <w:fldChar w:fldCharType="separate"/>
      </w:r>
      <w:r>
        <w:t>３３</w:t>
      </w:r>
      <w:r>
        <w:fldChar w:fldCharType="end"/>
      </w:r>
      <w:r>
        <w:rPr>
          <w:rFonts w:hint="eastAsia"/>
          <w:highlight w:val="none"/>
          <w:lang w:eastAsia="zh-CN"/>
        </w:rPr>
        <w:fldChar w:fldCharType="end"/>
      </w:r>
    </w:p>
    <w:p>
      <w:pPr>
        <w:pStyle w:val="32"/>
        <w:tabs>
          <w:tab w:val="right" w:leader="dot" w:pos="9746"/>
          <w:tab w:val="clear" w:pos="1260"/>
          <w:tab w:val="clear" w:pos="9060"/>
        </w:tabs>
      </w:pPr>
      <w:r>
        <w:rPr>
          <w:rFonts w:hint="eastAsia"/>
          <w:highlight w:val="none"/>
          <w:lang w:eastAsia="zh-CN"/>
        </w:rPr>
        <w:fldChar w:fldCharType="begin"/>
      </w:r>
      <w:r>
        <w:rPr>
          <w:rFonts w:hint="eastAsia"/>
          <w:highlight w:val="none"/>
          <w:lang w:eastAsia="zh-CN"/>
        </w:rPr>
        <w:instrText xml:space="preserve"> HYPERLINK \l _Toc26947 </w:instrText>
      </w:r>
      <w:r>
        <w:rPr>
          <w:rFonts w:hint="eastAsia"/>
          <w:highlight w:val="none"/>
          <w:lang w:eastAsia="zh-CN"/>
        </w:rPr>
        <w:fldChar w:fldCharType="separate"/>
      </w:r>
      <w:r>
        <w:rPr>
          <w:rFonts w:hint="eastAsia" w:ascii="宋体" w:hAnsi="宋体" w:eastAsia="宋体" w:cs="宋体"/>
          <w:szCs w:val="21"/>
          <w:highlight w:val="none"/>
        </w:rPr>
        <w:t>2.证据材料（需注明证据来源），证人的姓名、住址和联系方式等；</w:t>
      </w:r>
      <w:r>
        <w:tab/>
      </w:r>
      <w:r>
        <w:fldChar w:fldCharType="begin"/>
      </w:r>
      <w:r>
        <w:instrText xml:space="preserve"> PAGEREF _Toc26947 \h </w:instrText>
      </w:r>
      <w:r>
        <w:fldChar w:fldCharType="separate"/>
      </w:r>
      <w:r>
        <w:t>３３</w:t>
      </w:r>
      <w:r>
        <w:fldChar w:fldCharType="end"/>
      </w:r>
      <w:r>
        <w:rPr>
          <w:rFonts w:hint="eastAsia"/>
          <w:highlight w:val="none"/>
          <w:lang w:eastAsia="zh-CN"/>
        </w:rPr>
        <w:fldChar w:fldCharType="end"/>
      </w:r>
    </w:p>
    <w:p>
      <w:pPr>
        <w:pStyle w:val="32"/>
        <w:tabs>
          <w:tab w:val="right" w:leader="dot" w:pos="9746"/>
          <w:tab w:val="clear" w:pos="1260"/>
          <w:tab w:val="clear" w:pos="9060"/>
        </w:tabs>
      </w:pPr>
      <w:r>
        <w:rPr>
          <w:rFonts w:hint="eastAsia"/>
          <w:highlight w:val="none"/>
          <w:lang w:eastAsia="zh-CN"/>
        </w:rPr>
        <w:fldChar w:fldCharType="begin"/>
      </w:r>
      <w:r>
        <w:rPr>
          <w:rFonts w:hint="eastAsia"/>
          <w:highlight w:val="none"/>
          <w:lang w:eastAsia="zh-CN"/>
        </w:rPr>
        <w:instrText xml:space="preserve"> HYPERLINK \l _Toc23952 </w:instrText>
      </w:r>
      <w:r>
        <w:rPr>
          <w:rFonts w:hint="eastAsia"/>
          <w:highlight w:val="none"/>
          <w:lang w:eastAsia="zh-CN"/>
        </w:rPr>
        <w:fldChar w:fldCharType="separate"/>
      </w:r>
      <w:r>
        <w:rPr>
          <w:rFonts w:hint="eastAsia" w:ascii="宋体" w:hAnsi="宋体" w:eastAsia="宋体" w:cs="宋体"/>
          <w:szCs w:val="21"/>
          <w:highlight w:val="none"/>
        </w:rPr>
        <w:t>3.营业执照；</w:t>
      </w:r>
      <w:r>
        <w:tab/>
      </w:r>
      <w:r>
        <w:fldChar w:fldCharType="begin"/>
      </w:r>
      <w:r>
        <w:instrText xml:space="preserve"> PAGEREF _Toc23952 \h </w:instrText>
      </w:r>
      <w:r>
        <w:fldChar w:fldCharType="separate"/>
      </w:r>
      <w:r>
        <w:t>３３</w:t>
      </w:r>
      <w:r>
        <w:fldChar w:fldCharType="end"/>
      </w:r>
      <w:r>
        <w:rPr>
          <w:rFonts w:hint="eastAsia"/>
          <w:highlight w:val="none"/>
          <w:lang w:eastAsia="zh-CN"/>
        </w:rPr>
        <w:fldChar w:fldCharType="end"/>
      </w:r>
    </w:p>
    <w:p>
      <w:pPr>
        <w:pStyle w:val="32"/>
        <w:tabs>
          <w:tab w:val="right" w:leader="dot" w:pos="9746"/>
          <w:tab w:val="clear" w:pos="1260"/>
          <w:tab w:val="clear" w:pos="9060"/>
        </w:tabs>
      </w:pPr>
      <w:r>
        <w:rPr>
          <w:rFonts w:hint="eastAsia"/>
          <w:highlight w:val="none"/>
          <w:lang w:eastAsia="zh-CN"/>
        </w:rPr>
        <w:fldChar w:fldCharType="begin"/>
      </w:r>
      <w:r>
        <w:rPr>
          <w:rFonts w:hint="eastAsia"/>
          <w:highlight w:val="none"/>
          <w:lang w:eastAsia="zh-CN"/>
        </w:rPr>
        <w:instrText xml:space="preserve"> HYPERLINK \l _Toc7310 </w:instrText>
      </w:r>
      <w:r>
        <w:rPr>
          <w:rFonts w:hint="eastAsia"/>
          <w:highlight w:val="none"/>
          <w:lang w:eastAsia="zh-CN"/>
        </w:rPr>
        <w:fldChar w:fldCharType="separate"/>
      </w:r>
      <w:r>
        <w:rPr>
          <w:rFonts w:hint="eastAsia" w:ascii="宋体" w:hAnsi="宋体" w:eastAsia="宋体" w:cs="宋体"/>
          <w:szCs w:val="21"/>
          <w:highlight w:val="none"/>
        </w:rPr>
        <w:t>4.法定代表人身份证明函</w:t>
      </w:r>
      <w:r>
        <w:tab/>
      </w:r>
      <w:r>
        <w:fldChar w:fldCharType="begin"/>
      </w:r>
      <w:r>
        <w:instrText xml:space="preserve"> PAGEREF _Toc7310 \h </w:instrText>
      </w:r>
      <w:r>
        <w:fldChar w:fldCharType="separate"/>
      </w:r>
      <w:r>
        <w:t>３３</w:t>
      </w:r>
      <w:r>
        <w:fldChar w:fldCharType="end"/>
      </w:r>
      <w:r>
        <w:rPr>
          <w:rFonts w:hint="eastAsia"/>
          <w:highlight w:val="none"/>
          <w:lang w:eastAsia="zh-CN"/>
        </w:rPr>
        <w:fldChar w:fldCharType="end"/>
      </w:r>
    </w:p>
    <w:p>
      <w:pPr>
        <w:pStyle w:val="32"/>
        <w:tabs>
          <w:tab w:val="right" w:leader="dot" w:pos="9746"/>
          <w:tab w:val="clear" w:pos="1260"/>
          <w:tab w:val="clear" w:pos="9060"/>
        </w:tabs>
      </w:pPr>
      <w:r>
        <w:rPr>
          <w:rFonts w:hint="eastAsia"/>
          <w:highlight w:val="none"/>
          <w:lang w:eastAsia="zh-CN"/>
        </w:rPr>
        <w:fldChar w:fldCharType="begin"/>
      </w:r>
      <w:r>
        <w:rPr>
          <w:rFonts w:hint="eastAsia"/>
          <w:highlight w:val="none"/>
          <w:lang w:eastAsia="zh-CN"/>
        </w:rPr>
        <w:instrText xml:space="preserve"> HYPERLINK \l _Toc27923 </w:instrText>
      </w:r>
      <w:r>
        <w:rPr>
          <w:rFonts w:hint="eastAsia"/>
          <w:highlight w:val="none"/>
          <w:lang w:eastAsia="zh-CN"/>
        </w:rPr>
        <w:fldChar w:fldCharType="separate"/>
      </w:r>
      <w:r>
        <w:rPr>
          <w:rFonts w:hint="eastAsia" w:ascii="宋体" w:hAnsi="宋体" w:eastAsia="宋体" w:cs="宋体"/>
          <w:szCs w:val="21"/>
          <w:highlight w:val="none"/>
        </w:rPr>
        <w:t>5.法定代表人授权委托书（包含法定代表人和委托代理人的身份证复印件）；</w:t>
      </w:r>
      <w:r>
        <w:tab/>
      </w:r>
      <w:r>
        <w:fldChar w:fldCharType="begin"/>
      </w:r>
      <w:r>
        <w:instrText xml:space="preserve"> PAGEREF _Toc27923 \h </w:instrText>
      </w:r>
      <w:r>
        <w:fldChar w:fldCharType="separate"/>
      </w:r>
      <w:r>
        <w:t>３３</w:t>
      </w:r>
      <w:r>
        <w:fldChar w:fldCharType="end"/>
      </w:r>
      <w:r>
        <w:rPr>
          <w:rFonts w:hint="eastAsia"/>
          <w:highlight w:val="none"/>
          <w:lang w:eastAsia="zh-CN"/>
        </w:rPr>
        <w:fldChar w:fldCharType="end"/>
      </w:r>
    </w:p>
    <w:p>
      <w:pPr>
        <w:pStyle w:val="32"/>
        <w:tabs>
          <w:tab w:val="right" w:leader="dot" w:pos="9746"/>
          <w:tab w:val="clear" w:pos="1260"/>
          <w:tab w:val="clear" w:pos="9060"/>
        </w:tabs>
      </w:pPr>
      <w:r>
        <w:rPr>
          <w:rFonts w:hint="eastAsia"/>
          <w:highlight w:val="none"/>
          <w:lang w:eastAsia="zh-CN"/>
        </w:rPr>
        <w:fldChar w:fldCharType="begin"/>
      </w:r>
      <w:r>
        <w:rPr>
          <w:rFonts w:hint="eastAsia"/>
          <w:highlight w:val="none"/>
          <w:lang w:eastAsia="zh-CN"/>
        </w:rPr>
        <w:instrText xml:space="preserve"> HYPERLINK \l _Toc28542 </w:instrText>
      </w:r>
      <w:r>
        <w:rPr>
          <w:rFonts w:hint="eastAsia"/>
          <w:highlight w:val="none"/>
          <w:lang w:eastAsia="zh-CN"/>
        </w:rPr>
        <w:fldChar w:fldCharType="separate"/>
      </w:r>
      <w:r>
        <w:rPr>
          <w:rFonts w:hint="eastAsia" w:ascii="宋体" w:hAnsi="宋体" w:eastAsia="宋体" w:cs="宋体"/>
          <w:szCs w:val="21"/>
          <w:highlight w:val="none"/>
        </w:rPr>
        <w:t>6.政府采购监管部门认为应当提供的其它材料。</w:t>
      </w:r>
      <w:r>
        <w:tab/>
      </w:r>
      <w:r>
        <w:fldChar w:fldCharType="begin"/>
      </w:r>
      <w:r>
        <w:instrText xml:space="preserve"> PAGEREF _Toc28542 \h </w:instrText>
      </w:r>
      <w:r>
        <w:fldChar w:fldCharType="separate"/>
      </w:r>
      <w:r>
        <w:t>３３</w:t>
      </w:r>
      <w:r>
        <w:fldChar w:fldCharType="end"/>
      </w:r>
      <w:r>
        <w:rPr>
          <w:rFonts w:hint="eastAsia"/>
          <w:highlight w:val="none"/>
          <w:lang w:eastAsia="zh-CN"/>
        </w:rPr>
        <w:fldChar w:fldCharType="end"/>
      </w:r>
    </w:p>
    <w:p>
      <w:pPr>
        <w:pStyle w:val="32"/>
        <w:tabs>
          <w:tab w:val="right" w:leader="dot" w:pos="9746"/>
          <w:tab w:val="clear" w:pos="1260"/>
          <w:tab w:val="clear" w:pos="9060"/>
        </w:tabs>
      </w:pPr>
      <w:r>
        <w:rPr>
          <w:rFonts w:hint="eastAsia"/>
          <w:highlight w:val="none"/>
          <w:lang w:eastAsia="zh-CN"/>
        </w:rPr>
        <w:fldChar w:fldCharType="begin"/>
      </w:r>
      <w:r>
        <w:rPr>
          <w:rFonts w:hint="eastAsia"/>
          <w:highlight w:val="none"/>
          <w:lang w:eastAsia="zh-CN"/>
        </w:rPr>
        <w:instrText xml:space="preserve"> HYPERLINK \l _Toc30458 </w:instrText>
      </w:r>
      <w:r>
        <w:rPr>
          <w:rFonts w:hint="eastAsia"/>
          <w:highlight w:val="none"/>
          <w:lang w:eastAsia="zh-CN"/>
        </w:rPr>
        <w:fldChar w:fldCharType="separate"/>
      </w:r>
      <w:r>
        <w:rPr>
          <w:rFonts w:hint="eastAsia" w:ascii="宋体" w:hAnsi="宋体" w:eastAsia="宋体" w:cs="宋体"/>
          <w:bCs/>
          <w:szCs w:val="32"/>
          <w:highlight w:val="none"/>
        </w:rPr>
        <w:t>投诉相关说明</w:t>
      </w:r>
      <w:r>
        <w:tab/>
      </w:r>
      <w:r>
        <w:fldChar w:fldCharType="begin"/>
      </w:r>
      <w:r>
        <w:instrText xml:space="preserve"> PAGEREF _Toc30458 \h </w:instrText>
      </w:r>
      <w:r>
        <w:fldChar w:fldCharType="separate"/>
      </w:r>
      <w:r>
        <w:t>３４</w:t>
      </w:r>
      <w:r>
        <w:fldChar w:fldCharType="end"/>
      </w:r>
      <w:r>
        <w:rPr>
          <w:rFonts w:hint="eastAsia"/>
          <w:highlight w:val="none"/>
          <w:lang w:eastAsia="zh-CN"/>
        </w:rPr>
        <w:fldChar w:fldCharType="end"/>
      </w:r>
    </w:p>
    <w:p>
      <w:pPr>
        <w:pStyle w:val="32"/>
        <w:tabs>
          <w:tab w:val="right" w:leader="dot" w:pos="9746"/>
          <w:tab w:val="clear" w:pos="1260"/>
          <w:tab w:val="clear" w:pos="9060"/>
        </w:tabs>
      </w:pPr>
      <w:r>
        <w:rPr>
          <w:rFonts w:hint="eastAsia"/>
          <w:highlight w:val="none"/>
          <w:lang w:eastAsia="zh-CN"/>
        </w:rPr>
        <w:fldChar w:fldCharType="begin"/>
      </w:r>
      <w:r>
        <w:rPr>
          <w:rFonts w:hint="eastAsia"/>
          <w:highlight w:val="none"/>
          <w:lang w:eastAsia="zh-CN"/>
        </w:rPr>
        <w:instrText xml:space="preserve"> HYPERLINK \l _Toc13369 </w:instrText>
      </w:r>
      <w:r>
        <w:rPr>
          <w:rFonts w:hint="eastAsia"/>
          <w:highlight w:val="none"/>
          <w:lang w:eastAsia="zh-CN"/>
        </w:rPr>
        <w:fldChar w:fldCharType="separate"/>
      </w:r>
      <w:r>
        <w:rPr>
          <w:rFonts w:hint="eastAsia" w:ascii="宋体" w:hAnsi="宋体" w:eastAsia="宋体" w:cs="宋体"/>
          <w:bCs/>
          <w:szCs w:val="21"/>
        </w:rPr>
        <w:t xml:space="preserve">一、 </w:t>
      </w:r>
      <w:r>
        <w:rPr>
          <w:rFonts w:hint="eastAsia" w:ascii="宋体" w:hAnsi="宋体" w:eastAsia="宋体" w:cs="宋体"/>
          <w:bCs/>
          <w:szCs w:val="21"/>
          <w:highlight w:val="none"/>
        </w:rPr>
        <w:t>质疑前置及时间要求</w:t>
      </w:r>
      <w:r>
        <w:tab/>
      </w:r>
      <w:r>
        <w:fldChar w:fldCharType="begin"/>
      </w:r>
      <w:r>
        <w:instrText xml:space="preserve"> PAGEREF _Toc13369 \h </w:instrText>
      </w:r>
      <w:r>
        <w:fldChar w:fldCharType="separate"/>
      </w:r>
      <w:r>
        <w:t>３４</w:t>
      </w:r>
      <w:r>
        <w:fldChar w:fldCharType="end"/>
      </w:r>
      <w:r>
        <w:rPr>
          <w:rFonts w:hint="eastAsia"/>
          <w:highlight w:val="none"/>
          <w:lang w:eastAsia="zh-CN"/>
        </w:rPr>
        <w:fldChar w:fldCharType="end"/>
      </w:r>
    </w:p>
    <w:p>
      <w:pPr>
        <w:pStyle w:val="32"/>
        <w:tabs>
          <w:tab w:val="right" w:leader="dot" w:pos="9746"/>
          <w:tab w:val="clear" w:pos="1260"/>
          <w:tab w:val="clear" w:pos="9060"/>
        </w:tabs>
      </w:pPr>
      <w:r>
        <w:rPr>
          <w:rFonts w:hint="eastAsia"/>
          <w:highlight w:val="none"/>
          <w:lang w:eastAsia="zh-CN"/>
        </w:rPr>
        <w:fldChar w:fldCharType="begin"/>
      </w:r>
      <w:r>
        <w:rPr>
          <w:rFonts w:hint="eastAsia"/>
          <w:highlight w:val="none"/>
          <w:lang w:eastAsia="zh-CN"/>
        </w:rPr>
        <w:instrText xml:space="preserve"> HYPERLINK \l _Toc16790 </w:instrText>
      </w:r>
      <w:r>
        <w:rPr>
          <w:rFonts w:hint="eastAsia"/>
          <w:highlight w:val="none"/>
          <w:lang w:eastAsia="zh-CN"/>
        </w:rPr>
        <w:fldChar w:fldCharType="separate"/>
      </w:r>
      <w:r>
        <w:rPr>
          <w:rFonts w:hint="eastAsia" w:ascii="宋体" w:hAnsi="宋体" w:eastAsia="宋体" w:cs="宋体"/>
          <w:bCs/>
          <w:szCs w:val="21"/>
          <w:highlight w:val="none"/>
        </w:rPr>
        <w:t>二、书面方式</w:t>
      </w:r>
      <w:r>
        <w:tab/>
      </w:r>
      <w:r>
        <w:fldChar w:fldCharType="begin"/>
      </w:r>
      <w:r>
        <w:instrText xml:space="preserve"> PAGEREF _Toc16790 \h </w:instrText>
      </w:r>
      <w:r>
        <w:fldChar w:fldCharType="separate"/>
      </w:r>
      <w:r>
        <w:t>３４</w:t>
      </w:r>
      <w:r>
        <w:fldChar w:fldCharType="end"/>
      </w:r>
      <w:r>
        <w:rPr>
          <w:rFonts w:hint="eastAsia"/>
          <w:highlight w:val="none"/>
          <w:lang w:eastAsia="zh-CN"/>
        </w:rPr>
        <w:fldChar w:fldCharType="end"/>
      </w:r>
    </w:p>
    <w:p>
      <w:pPr>
        <w:pStyle w:val="32"/>
        <w:tabs>
          <w:tab w:val="right" w:leader="dot" w:pos="9746"/>
          <w:tab w:val="clear" w:pos="1260"/>
          <w:tab w:val="clear" w:pos="9060"/>
        </w:tabs>
      </w:pPr>
      <w:r>
        <w:rPr>
          <w:rFonts w:hint="eastAsia"/>
          <w:highlight w:val="none"/>
          <w:lang w:eastAsia="zh-CN"/>
        </w:rPr>
        <w:fldChar w:fldCharType="begin"/>
      </w:r>
      <w:r>
        <w:rPr>
          <w:rFonts w:hint="eastAsia"/>
          <w:highlight w:val="none"/>
          <w:lang w:eastAsia="zh-CN"/>
        </w:rPr>
        <w:instrText xml:space="preserve"> HYPERLINK \l _Toc18853 </w:instrText>
      </w:r>
      <w:r>
        <w:rPr>
          <w:rFonts w:hint="eastAsia"/>
          <w:highlight w:val="none"/>
          <w:lang w:eastAsia="zh-CN"/>
        </w:rPr>
        <w:fldChar w:fldCharType="separate"/>
      </w:r>
      <w:r>
        <w:rPr>
          <w:rFonts w:hint="eastAsia" w:ascii="宋体" w:hAnsi="宋体" w:eastAsia="宋体" w:cs="宋体"/>
          <w:bCs/>
          <w:szCs w:val="21"/>
          <w:highlight w:val="none"/>
        </w:rPr>
        <w:t>三、虚假、恶意投诉法律责任</w:t>
      </w:r>
      <w:r>
        <w:tab/>
      </w:r>
      <w:r>
        <w:fldChar w:fldCharType="begin"/>
      </w:r>
      <w:r>
        <w:instrText xml:space="preserve"> PAGEREF _Toc18853 \h </w:instrText>
      </w:r>
      <w:r>
        <w:fldChar w:fldCharType="separate"/>
      </w:r>
      <w:r>
        <w:t>３５</w:t>
      </w:r>
      <w:r>
        <w:fldChar w:fldCharType="end"/>
      </w:r>
      <w:r>
        <w:rPr>
          <w:rFonts w:hint="eastAsia"/>
          <w:highlight w:val="none"/>
          <w:lang w:eastAsia="zh-CN"/>
        </w:rPr>
        <w:fldChar w:fldCharType="end"/>
      </w:r>
    </w:p>
    <w:p>
      <w:pPr>
        <w:pStyle w:val="32"/>
        <w:tabs>
          <w:tab w:val="right" w:leader="dot" w:pos="9746"/>
          <w:tab w:val="clear" w:pos="1260"/>
          <w:tab w:val="clear" w:pos="9060"/>
        </w:tabs>
      </w:pPr>
      <w:r>
        <w:rPr>
          <w:rFonts w:hint="eastAsia"/>
          <w:highlight w:val="none"/>
          <w:lang w:eastAsia="zh-CN"/>
        </w:rPr>
        <w:fldChar w:fldCharType="begin"/>
      </w:r>
      <w:r>
        <w:rPr>
          <w:rFonts w:hint="eastAsia"/>
          <w:highlight w:val="none"/>
          <w:lang w:eastAsia="zh-CN"/>
        </w:rPr>
        <w:instrText xml:space="preserve"> HYPERLINK \l _Toc25273 </w:instrText>
      </w:r>
      <w:r>
        <w:rPr>
          <w:rFonts w:hint="eastAsia"/>
          <w:highlight w:val="none"/>
          <w:lang w:eastAsia="zh-CN"/>
        </w:rPr>
        <w:fldChar w:fldCharType="separate"/>
      </w:r>
      <w:r>
        <w:rPr>
          <w:rFonts w:hint="eastAsia" w:ascii="宋体" w:hAnsi="宋体" w:eastAsia="宋体" w:cs="宋体"/>
          <w:bCs/>
          <w:szCs w:val="32"/>
          <w:highlight w:val="none"/>
        </w:rPr>
        <w:t>质疑函范本</w:t>
      </w:r>
      <w:r>
        <w:tab/>
      </w:r>
      <w:r>
        <w:fldChar w:fldCharType="begin"/>
      </w:r>
      <w:r>
        <w:instrText xml:space="preserve"> PAGEREF _Toc25273 \h </w:instrText>
      </w:r>
      <w:r>
        <w:fldChar w:fldCharType="separate"/>
      </w:r>
      <w:r>
        <w:t>３６</w:t>
      </w:r>
      <w:r>
        <w:fldChar w:fldCharType="end"/>
      </w:r>
      <w:r>
        <w:rPr>
          <w:rFonts w:hint="eastAsia"/>
          <w:highlight w:val="none"/>
          <w:lang w:eastAsia="zh-CN"/>
        </w:rPr>
        <w:fldChar w:fldCharType="end"/>
      </w:r>
    </w:p>
    <w:p>
      <w:pPr>
        <w:pStyle w:val="32"/>
        <w:tabs>
          <w:tab w:val="right" w:leader="dot" w:pos="9746"/>
          <w:tab w:val="clear" w:pos="1260"/>
          <w:tab w:val="clear" w:pos="9060"/>
        </w:tabs>
      </w:pPr>
      <w:r>
        <w:rPr>
          <w:rFonts w:hint="eastAsia"/>
          <w:highlight w:val="none"/>
          <w:lang w:eastAsia="zh-CN"/>
        </w:rPr>
        <w:fldChar w:fldCharType="begin"/>
      </w:r>
      <w:r>
        <w:rPr>
          <w:rFonts w:hint="eastAsia"/>
          <w:highlight w:val="none"/>
          <w:lang w:eastAsia="zh-CN"/>
        </w:rPr>
        <w:instrText xml:space="preserve"> HYPERLINK \l _Toc32421 </w:instrText>
      </w:r>
      <w:r>
        <w:rPr>
          <w:rFonts w:hint="eastAsia"/>
          <w:highlight w:val="none"/>
          <w:lang w:eastAsia="zh-CN"/>
        </w:rPr>
        <w:fldChar w:fldCharType="separate"/>
      </w:r>
      <w:r>
        <w:rPr>
          <w:rFonts w:hint="eastAsia" w:ascii="宋体" w:hAnsi="宋体" w:eastAsia="宋体" w:cs="宋体"/>
          <w:bCs/>
          <w:szCs w:val="21"/>
          <w:highlight w:val="none"/>
        </w:rPr>
        <w:t>一、质疑供应商基本信息</w:t>
      </w:r>
      <w:r>
        <w:tab/>
      </w:r>
      <w:r>
        <w:fldChar w:fldCharType="begin"/>
      </w:r>
      <w:r>
        <w:instrText xml:space="preserve"> PAGEREF _Toc32421 \h </w:instrText>
      </w:r>
      <w:r>
        <w:fldChar w:fldCharType="separate"/>
      </w:r>
      <w:r>
        <w:t>３６</w:t>
      </w:r>
      <w:r>
        <w:fldChar w:fldCharType="end"/>
      </w:r>
      <w:r>
        <w:rPr>
          <w:rFonts w:hint="eastAsia"/>
          <w:highlight w:val="none"/>
          <w:lang w:eastAsia="zh-CN"/>
        </w:rPr>
        <w:fldChar w:fldCharType="end"/>
      </w:r>
    </w:p>
    <w:p>
      <w:pPr>
        <w:pStyle w:val="32"/>
        <w:tabs>
          <w:tab w:val="right" w:leader="dot" w:pos="9746"/>
          <w:tab w:val="clear" w:pos="1260"/>
          <w:tab w:val="clear" w:pos="9060"/>
        </w:tabs>
      </w:pPr>
      <w:r>
        <w:rPr>
          <w:rFonts w:hint="eastAsia"/>
          <w:highlight w:val="none"/>
          <w:lang w:eastAsia="zh-CN"/>
        </w:rPr>
        <w:fldChar w:fldCharType="begin"/>
      </w:r>
      <w:r>
        <w:rPr>
          <w:rFonts w:hint="eastAsia"/>
          <w:highlight w:val="none"/>
          <w:lang w:eastAsia="zh-CN"/>
        </w:rPr>
        <w:instrText xml:space="preserve"> HYPERLINK \l _Toc17556 </w:instrText>
      </w:r>
      <w:r>
        <w:rPr>
          <w:rFonts w:hint="eastAsia"/>
          <w:highlight w:val="none"/>
          <w:lang w:eastAsia="zh-CN"/>
        </w:rPr>
        <w:fldChar w:fldCharType="separate"/>
      </w:r>
      <w:r>
        <w:rPr>
          <w:rFonts w:hint="eastAsia" w:ascii="宋体" w:hAnsi="宋体" w:eastAsia="宋体" w:cs="宋体"/>
          <w:bCs/>
          <w:szCs w:val="21"/>
          <w:highlight w:val="none"/>
        </w:rPr>
        <w:t>二、质疑项目基本情况</w:t>
      </w:r>
      <w:r>
        <w:tab/>
      </w:r>
      <w:r>
        <w:fldChar w:fldCharType="begin"/>
      </w:r>
      <w:r>
        <w:instrText xml:space="preserve"> PAGEREF _Toc17556 \h </w:instrText>
      </w:r>
      <w:r>
        <w:fldChar w:fldCharType="separate"/>
      </w:r>
      <w:r>
        <w:t>３６</w:t>
      </w:r>
      <w:r>
        <w:fldChar w:fldCharType="end"/>
      </w:r>
      <w:r>
        <w:rPr>
          <w:rFonts w:hint="eastAsia"/>
          <w:highlight w:val="none"/>
          <w:lang w:eastAsia="zh-CN"/>
        </w:rPr>
        <w:fldChar w:fldCharType="end"/>
      </w:r>
    </w:p>
    <w:p>
      <w:pPr>
        <w:pStyle w:val="32"/>
        <w:tabs>
          <w:tab w:val="right" w:leader="dot" w:pos="9746"/>
          <w:tab w:val="clear" w:pos="1260"/>
          <w:tab w:val="clear" w:pos="9060"/>
        </w:tabs>
      </w:pPr>
      <w:r>
        <w:rPr>
          <w:rFonts w:hint="eastAsia"/>
          <w:highlight w:val="none"/>
          <w:lang w:eastAsia="zh-CN"/>
        </w:rPr>
        <w:fldChar w:fldCharType="begin"/>
      </w:r>
      <w:r>
        <w:rPr>
          <w:rFonts w:hint="eastAsia"/>
          <w:highlight w:val="none"/>
          <w:lang w:eastAsia="zh-CN"/>
        </w:rPr>
        <w:instrText xml:space="preserve"> HYPERLINK \l _Toc30754 </w:instrText>
      </w:r>
      <w:r>
        <w:rPr>
          <w:rFonts w:hint="eastAsia"/>
          <w:highlight w:val="none"/>
          <w:lang w:eastAsia="zh-CN"/>
        </w:rPr>
        <w:fldChar w:fldCharType="separate"/>
      </w:r>
      <w:r>
        <w:rPr>
          <w:rFonts w:hint="eastAsia" w:ascii="宋体" w:hAnsi="宋体" w:eastAsia="宋体" w:cs="宋体"/>
          <w:bCs/>
          <w:szCs w:val="21"/>
          <w:highlight w:val="none"/>
        </w:rPr>
        <w:t>三、质疑事项具体内容</w:t>
      </w:r>
      <w:r>
        <w:tab/>
      </w:r>
      <w:r>
        <w:fldChar w:fldCharType="begin"/>
      </w:r>
      <w:r>
        <w:instrText xml:space="preserve"> PAGEREF _Toc30754 \h </w:instrText>
      </w:r>
      <w:r>
        <w:fldChar w:fldCharType="separate"/>
      </w:r>
      <w:r>
        <w:t>３６</w:t>
      </w:r>
      <w:r>
        <w:fldChar w:fldCharType="end"/>
      </w:r>
      <w:r>
        <w:rPr>
          <w:rFonts w:hint="eastAsia"/>
          <w:highlight w:val="none"/>
          <w:lang w:eastAsia="zh-CN"/>
        </w:rPr>
        <w:fldChar w:fldCharType="end"/>
      </w:r>
    </w:p>
    <w:p>
      <w:pPr>
        <w:pStyle w:val="32"/>
        <w:tabs>
          <w:tab w:val="right" w:leader="dot" w:pos="9746"/>
          <w:tab w:val="clear" w:pos="1260"/>
          <w:tab w:val="clear" w:pos="9060"/>
        </w:tabs>
      </w:pPr>
      <w:r>
        <w:rPr>
          <w:rFonts w:hint="eastAsia"/>
          <w:highlight w:val="none"/>
          <w:lang w:eastAsia="zh-CN"/>
        </w:rPr>
        <w:fldChar w:fldCharType="begin"/>
      </w:r>
      <w:r>
        <w:rPr>
          <w:rFonts w:hint="eastAsia"/>
          <w:highlight w:val="none"/>
          <w:lang w:eastAsia="zh-CN"/>
        </w:rPr>
        <w:instrText xml:space="preserve"> HYPERLINK \l _Toc5657 </w:instrText>
      </w:r>
      <w:r>
        <w:rPr>
          <w:rFonts w:hint="eastAsia"/>
          <w:highlight w:val="none"/>
          <w:lang w:eastAsia="zh-CN"/>
        </w:rPr>
        <w:fldChar w:fldCharType="separate"/>
      </w:r>
      <w:r>
        <w:rPr>
          <w:rFonts w:hint="eastAsia" w:ascii="宋体" w:hAnsi="宋体" w:eastAsia="宋体" w:cs="宋体"/>
          <w:bCs/>
          <w:szCs w:val="21"/>
          <w:highlight w:val="none"/>
        </w:rPr>
        <w:t>四、与质疑事项相关的质疑请求</w:t>
      </w:r>
      <w:r>
        <w:tab/>
      </w:r>
      <w:r>
        <w:fldChar w:fldCharType="begin"/>
      </w:r>
      <w:r>
        <w:instrText xml:space="preserve"> PAGEREF _Toc5657 \h </w:instrText>
      </w:r>
      <w:r>
        <w:fldChar w:fldCharType="separate"/>
      </w:r>
      <w:r>
        <w:t>３６</w:t>
      </w:r>
      <w:r>
        <w:fldChar w:fldCharType="end"/>
      </w:r>
      <w:r>
        <w:rPr>
          <w:rFonts w:hint="eastAsia"/>
          <w:highlight w:val="none"/>
          <w:lang w:eastAsia="zh-CN"/>
        </w:rPr>
        <w:fldChar w:fldCharType="end"/>
      </w:r>
    </w:p>
    <w:p>
      <w:pPr>
        <w:pStyle w:val="32"/>
        <w:tabs>
          <w:tab w:val="right" w:leader="dot" w:pos="9746"/>
          <w:tab w:val="clear" w:pos="1260"/>
          <w:tab w:val="clear" w:pos="9060"/>
        </w:tabs>
      </w:pPr>
      <w:r>
        <w:rPr>
          <w:rFonts w:hint="eastAsia"/>
          <w:highlight w:val="none"/>
          <w:lang w:eastAsia="zh-CN"/>
        </w:rPr>
        <w:fldChar w:fldCharType="begin"/>
      </w:r>
      <w:r>
        <w:rPr>
          <w:rFonts w:hint="eastAsia"/>
          <w:highlight w:val="none"/>
          <w:lang w:eastAsia="zh-CN"/>
        </w:rPr>
        <w:instrText xml:space="preserve"> HYPERLINK \l _Toc30785 </w:instrText>
      </w:r>
      <w:r>
        <w:rPr>
          <w:rFonts w:hint="eastAsia"/>
          <w:highlight w:val="none"/>
          <w:lang w:eastAsia="zh-CN"/>
        </w:rPr>
        <w:fldChar w:fldCharType="separate"/>
      </w:r>
      <w:r>
        <w:rPr>
          <w:rFonts w:hint="eastAsia" w:ascii="黑体" w:eastAsia="黑体"/>
          <w:szCs w:val="30"/>
          <w:highlight w:val="none"/>
        </w:rPr>
        <w:t>第三章  评标办法</w:t>
      </w:r>
      <w:r>
        <w:tab/>
      </w:r>
      <w:r>
        <w:fldChar w:fldCharType="begin"/>
      </w:r>
      <w:r>
        <w:instrText xml:space="preserve"> PAGEREF _Toc30785 \h </w:instrText>
      </w:r>
      <w:r>
        <w:fldChar w:fldCharType="separate"/>
      </w:r>
      <w:r>
        <w:t>３７</w:t>
      </w:r>
      <w:r>
        <w:fldChar w:fldCharType="end"/>
      </w:r>
      <w:r>
        <w:rPr>
          <w:rFonts w:hint="eastAsia"/>
          <w:highlight w:val="none"/>
          <w:lang w:eastAsia="zh-CN"/>
        </w:rPr>
        <w:fldChar w:fldCharType="end"/>
      </w:r>
    </w:p>
    <w:p>
      <w:pPr>
        <w:pStyle w:val="32"/>
        <w:tabs>
          <w:tab w:val="right" w:leader="dot" w:pos="9746"/>
          <w:tab w:val="clear" w:pos="1260"/>
          <w:tab w:val="clear" w:pos="9060"/>
        </w:tabs>
      </w:pPr>
      <w:r>
        <w:rPr>
          <w:rFonts w:hint="eastAsia"/>
          <w:highlight w:val="none"/>
          <w:lang w:eastAsia="zh-CN"/>
        </w:rPr>
        <w:fldChar w:fldCharType="begin"/>
      </w:r>
      <w:r>
        <w:rPr>
          <w:rFonts w:hint="eastAsia"/>
          <w:highlight w:val="none"/>
          <w:lang w:eastAsia="zh-CN"/>
        </w:rPr>
        <w:instrText xml:space="preserve"> HYPERLINK \l _Toc11215 </w:instrText>
      </w:r>
      <w:r>
        <w:rPr>
          <w:rFonts w:hint="eastAsia"/>
          <w:highlight w:val="none"/>
          <w:lang w:eastAsia="zh-CN"/>
        </w:rPr>
        <w:fldChar w:fldCharType="separate"/>
      </w:r>
      <w:r>
        <w:rPr>
          <w:rFonts w:hint="eastAsia" w:ascii="宋体"/>
          <w:szCs w:val="32"/>
          <w:highlight w:val="none"/>
        </w:rPr>
        <w:t>第四章  采购内容及技术要求</w:t>
      </w:r>
      <w:r>
        <w:tab/>
      </w:r>
      <w:r>
        <w:fldChar w:fldCharType="begin"/>
      </w:r>
      <w:r>
        <w:instrText xml:space="preserve"> PAGEREF _Toc11215 \h </w:instrText>
      </w:r>
      <w:r>
        <w:fldChar w:fldCharType="separate"/>
      </w:r>
      <w:r>
        <w:t>４５</w:t>
      </w:r>
      <w:r>
        <w:fldChar w:fldCharType="end"/>
      </w:r>
      <w:r>
        <w:rPr>
          <w:rFonts w:hint="eastAsia"/>
          <w:highlight w:val="none"/>
          <w:lang w:eastAsia="zh-CN"/>
        </w:rPr>
        <w:fldChar w:fldCharType="end"/>
      </w:r>
    </w:p>
    <w:p>
      <w:pPr>
        <w:pStyle w:val="32"/>
        <w:tabs>
          <w:tab w:val="right" w:leader="dot" w:pos="9746"/>
          <w:tab w:val="clear" w:pos="1260"/>
          <w:tab w:val="clear" w:pos="9060"/>
        </w:tabs>
      </w:pPr>
      <w:r>
        <w:rPr>
          <w:rFonts w:hint="eastAsia"/>
          <w:highlight w:val="none"/>
          <w:lang w:eastAsia="zh-CN"/>
        </w:rPr>
        <w:fldChar w:fldCharType="begin"/>
      </w:r>
      <w:r>
        <w:rPr>
          <w:rFonts w:hint="eastAsia"/>
          <w:highlight w:val="none"/>
          <w:lang w:eastAsia="zh-CN"/>
        </w:rPr>
        <w:instrText xml:space="preserve"> HYPERLINK \l _Toc6273 </w:instrText>
      </w:r>
      <w:r>
        <w:rPr>
          <w:rFonts w:hint="eastAsia"/>
          <w:highlight w:val="none"/>
          <w:lang w:eastAsia="zh-CN"/>
        </w:rPr>
        <w:fldChar w:fldCharType="separate"/>
      </w:r>
      <w:r>
        <w:rPr>
          <w:rFonts w:hint="eastAsia" w:ascii="宋体"/>
          <w:szCs w:val="30"/>
        </w:rPr>
        <w:t xml:space="preserve">第五章 </w:t>
      </w:r>
      <w:r>
        <w:rPr>
          <w:rFonts w:hint="eastAsia" w:ascii="宋体"/>
          <w:szCs w:val="30"/>
          <w:highlight w:val="none"/>
        </w:rPr>
        <w:t>合同条款及格式</w:t>
      </w:r>
      <w:r>
        <w:tab/>
      </w:r>
      <w:r>
        <w:fldChar w:fldCharType="begin"/>
      </w:r>
      <w:r>
        <w:instrText xml:space="preserve"> PAGEREF _Toc6273 \h </w:instrText>
      </w:r>
      <w:r>
        <w:fldChar w:fldCharType="separate"/>
      </w:r>
      <w:r>
        <w:t>５３</w:t>
      </w:r>
      <w:r>
        <w:fldChar w:fldCharType="end"/>
      </w:r>
      <w:r>
        <w:rPr>
          <w:rFonts w:hint="eastAsia"/>
          <w:highlight w:val="none"/>
          <w:lang w:eastAsia="zh-CN"/>
        </w:rPr>
        <w:fldChar w:fldCharType="end"/>
      </w:r>
    </w:p>
    <w:p>
      <w:pPr>
        <w:pStyle w:val="32"/>
        <w:tabs>
          <w:tab w:val="right" w:leader="dot" w:pos="9746"/>
          <w:tab w:val="clear" w:pos="1260"/>
          <w:tab w:val="clear" w:pos="9060"/>
        </w:tabs>
      </w:pPr>
      <w:r>
        <w:rPr>
          <w:rFonts w:hint="eastAsia"/>
          <w:highlight w:val="none"/>
          <w:lang w:eastAsia="zh-CN"/>
        </w:rPr>
        <w:fldChar w:fldCharType="begin"/>
      </w:r>
      <w:r>
        <w:rPr>
          <w:rFonts w:hint="eastAsia"/>
          <w:highlight w:val="none"/>
          <w:lang w:eastAsia="zh-CN"/>
        </w:rPr>
        <w:instrText xml:space="preserve"> HYPERLINK \l _Toc15366 </w:instrText>
      </w:r>
      <w:r>
        <w:rPr>
          <w:rFonts w:hint="eastAsia"/>
          <w:highlight w:val="none"/>
          <w:lang w:eastAsia="zh-CN"/>
        </w:rPr>
        <w:fldChar w:fldCharType="separate"/>
      </w:r>
      <w:r>
        <w:rPr>
          <w:rFonts w:hint="eastAsia" w:ascii="宋体" w:cs="Times New Roman"/>
          <w:szCs w:val="30"/>
        </w:rPr>
        <w:t xml:space="preserve">第六章 </w:t>
      </w:r>
      <w:r>
        <w:rPr>
          <w:rFonts w:hint="eastAsia" w:ascii="宋体" w:cs="Times New Roman"/>
          <w:szCs w:val="30"/>
          <w:highlight w:val="none"/>
        </w:rPr>
        <w:t>投标文件格式</w:t>
      </w:r>
      <w:r>
        <w:tab/>
      </w:r>
      <w:r>
        <w:fldChar w:fldCharType="begin"/>
      </w:r>
      <w:r>
        <w:instrText xml:space="preserve"> PAGEREF _Toc15366 \h </w:instrText>
      </w:r>
      <w:r>
        <w:fldChar w:fldCharType="separate"/>
      </w:r>
      <w:r>
        <w:t>６２</w:t>
      </w:r>
      <w:r>
        <w:fldChar w:fldCharType="end"/>
      </w:r>
      <w:r>
        <w:rPr>
          <w:rFonts w:hint="eastAsia"/>
          <w:highlight w:val="none"/>
          <w:lang w:eastAsia="zh-CN"/>
        </w:rPr>
        <w:fldChar w:fldCharType="end"/>
      </w:r>
    </w:p>
    <w:p>
      <w:pPr>
        <w:pStyle w:val="32"/>
        <w:tabs>
          <w:tab w:val="right" w:leader="dot" w:pos="9746"/>
          <w:tab w:val="clear" w:pos="1260"/>
          <w:tab w:val="clear" w:pos="9060"/>
        </w:tabs>
      </w:pPr>
      <w:r>
        <w:rPr>
          <w:rFonts w:hint="eastAsia"/>
          <w:highlight w:val="none"/>
          <w:lang w:eastAsia="zh-CN"/>
        </w:rPr>
        <w:fldChar w:fldCharType="begin"/>
      </w:r>
      <w:r>
        <w:rPr>
          <w:rFonts w:hint="eastAsia"/>
          <w:highlight w:val="none"/>
          <w:lang w:eastAsia="zh-CN"/>
        </w:rPr>
        <w:instrText xml:space="preserve"> HYPERLINK \l _Toc21910 </w:instrText>
      </w:r>
      <w:r>
        <w:rPr>
          <w:rFonts w:hint="eastAsia"/>
          <w:highlight w:val="none"/>
          <w:lang w:eastAsia="zh-CN"/>
        </w:rPr>
        <w:fldChar w:fldCharType="separate"/>
      </w:r>
      <w:r>
        <w:rPr>
          <w:rFonts w:hint="eastAsia" w:ascii="宋体" w:hAnsi="宋体" w:eastAsia="宋体" w:cs="宋体"/>
          <w:szCs w:val="28"/>
          <w:highlight w:val="none"/>
        </w:rPr>
        <w:t>政府采购投标担保函 （项目用）（投标文件格式三）</w:t>
      </w:r>
      <w:r>
        <w:tab/>
      </w:r>
      <w:r>
        <w:fldChar w:fldCharType="begin"/>
      </w:r>
      <w:r>
        <w:instrText xml:space="preserve"> PAGEREF _Toc21910 \h </w:instrText>
      </w:r>
      <w:r>
        <w:fldChar w:fldCharType="separate"/>
      </w:r>
      <w:r>
        <w:t>６９</w:t>
      </w:r>
      <w:r>
        <w:fldChar w:fldCharType="end"/>
      </w:r>
      <w:r>
        <w:rPr>
          <w:rFonts w:hint="eastAsia"/>
          <w:highlight w:val="none"/>
          <w:lang w:eastAsia="zh-CN"/>
        </w:rPr>
        <w:fldChar w:fldCharType="end"/>
      </w:r>
    </w:p>
    <w:p>
      <w:pPr>
        <w:pStyle w:val="32"/>
        <w:tabs>
          <w:tab w:val="right" w:leader="dot" w:pos="9746"/>
          <w:tab w:val="clear" w:pos="1260"/>
          <w:tab w:val="clear" w:pos="9060"/>
        </w:tabs>
      </w:pPr>
      <w:r>
        <w:rPr>
          <w:rFonts w:hint="eastAsia"/>
          <w:highlight w:val="none"/>
          <w:lang w:eastAsia="zh-CN"/>
        </w:rPr>
        <w:fldChar w:fldCharType="begin"/>
      </w:r>
      <w:r>
        <w:rPr>
          <w:rFonts w:hint="eastAsia"/>
          <w:highlight w:val="none"/>
          <w:lang w:eastAsia="zh-CN"/>
        </w:rPr>
        <w:instrText xml:space="preserve"> HYPERLINK \l _Toc31165 </w:instrText>
      </w:r>
      <w:r>
        <w:rPr>
          <w:rFonts w:hint="eastAsia"/>
          <w:highlight w:val="none"/>
          <w:lang w:eastAsia="zh-CN"/>
        </w:rPr>
        <w:fldChar w:fldCharType="separate"/>
      </w:r>
      <w:r>
        <w:rPr>
          <w:rFonts w:hint="eastAsia" w:ascii="宋体" w:hAnsi="宋体" w:eastAsia="宋体" w:cs="宋体"/>
          <w:highlight w:val="none"/>
        </w:rPr>
        <w:t>一、保证责任的情形及保证金额</w:t>
      </w:r>
      <w:r>
        <w:tab/>
      </w:r>
      <w:r>
        <w:fldChar w:fldCharType="begin"/>
      </w:r>
      <w:r>
        <w:instrText xml:space="preserve"> PAGEREF _Toc31165 \h </w:instrText>
      </w:r>
      <w:r>
        <w:fldChar w:fldCharType="separate"/>
      </w:r>
      <w:r>
        <w:t>６９</w:t>
      </w:r>
      <w:r>
        <w:fldChar w:fldCharType="end"/>
      </w:r>
      <w:r>
        <w:rPr>
          <w:rFonts w:hint="eastAsia"/>
          <w:highlight w:val="none"/>
          <w:lang w:eastAsia="zh-CN"/>
        </w:rPr>
        <w:fldChar w:fldCharType="end"/>
      </w:r>
    </w:p>
    <w:p>
      <w:pPr>
        <w:pStyle w:val="32"/>
        <w:tabs>
          <w:tab w:val="right" w:leader="dot" w:pos="9746"/>
          <w:tab w:val="clear" w:pos="1260"/>
          <w:tab w:val="clear" w:pos="9060"/>
        </w:tabs>
      </w:pPr>
      <w:r>
        <w:rPr>
          <w:rFonts w:hint="eastAsia"/>
          <w:highlight w:val="none"/>
          <w:lang w:eastAsia="zh-CN"/>
        </w:rPr>
        <w:fldChar w:fldCharType="begin"/>
      </w:r>
      <w:r>
        <w:rPr>
          <w:rFonts w:hint="eastAsia"/>
          <w:highlight w:val="none"/>
          <w:lang w:eastAsia="zh-CN"/>
        </w:rPr>
        <w:instrText xml:space="preserve"> HYPERLINK \l _Toc819 </w:instrText>
      </w:r>
      <w:r>
        <w:rPr>
          <w:rFonts w:hint="eastAsia"/>
          <w:highlight w:val="none"/>
          <w:lang w:eastAsia="zh-CN"/>
        </w:rPr>
        <w:fldChar w:fldCharType="separate"/>
      </w:r>
      <w:r>
        <w:rPr>
          <w:rFonts w:hint="eastAsia" w:ascii="宋体" w:hAnsi="宋体" w:eastAsia="宋体" w:cs="宋体"/>
          <w:highlight w:val="none"/>
        </w:rPr>
        <w:t>二、保证的方式及保证期间</w:t>
      </w:r>
      <w:r>
        <w:tab/>
      </w:r>
      <w:r>
        <w:fldChar w:fldCharType="begin"/>
      </w:r>
      <w:r>
        <w:instrText xml:space="preserve"> PAGEREF _Toc819 \h </w:instrText>
      </w:r>
      <w:r>
        <w:fldChar w:fldCharType="separate"/>
      </w:r>
      <w:r>
        <w:t>６９</w:t>
      </w:r>
      <w:r>
        <w:fldChar w:fldCharType="end"/>
      </w:r>
      <w:r>
        <w:rPr>
          <w:rFonts w:hint="eastAsia"/>
          <w:highlight w:val="none"/>
          <w:lang w:eastAsia="zh-CN"/>
        </w:rPr>
        <w:fldChar w:fldCharType="end"/>
      </w:r>
    </w:p>
    <w:p>
      <w:pPr>
        <w:pStyle w:val="32"/>
        <w:tabs>
          <w:tab w:val="right" w:leader="dot" w:pos="9746"/>
          <w:tab w:val="clear" w:pos="1260"/>
          <w:tab w:val="clear" w:pos="9060"/>
        </w:tabs>
      </w:pPr>
      <w:r>
        <w:rPr>
          <w:rFonts w:hint="eastAsia"/>
          <w:highlight w:val="none"/>
          <w:lang w:eastAsia="zh-CN"/>
        </w:rPr>
        <w:fldChar w:fldCharType="begin"/>
      </w:r>
      <w:r>
        <w:rPr>
          <w:rFonts w:hint="eastAsia"/>
          <w:highlight w:val="none"/>
          <w:lang w:eastAsia="zh-CN"/>
        </w:rPr>
        <w:instrText xml:space="preserve"> HYPERLINK \l _Toc27588 </w:instrText>
      </w:r>
      <w:r>
        <w:rPr>
          <w:rFonts w:hint="eastAsia"/>
          <w:highlight w:val="none"/>
          <w:lang w:eastAsia="zh-CN"/>
        </w:rPr>
        <w:fldChar w:fldCharType="separate"/>
      </w:r>
      <w:r>
        <w:rPr>
          <w:rFonts w:hint="eastAsia" w:ascii="宋体" w:hAnsi="宋体" w:eastAsia="宋体" w:cs="宋体"/>
          <w:highlight w:val="none"/>
        </w:rPr>
        <w:t>三、承担保证责任的程序</w:t>
      </w:r>
      <w:r>
        <w:tab/>
      </w:r>
      <w:r>
        <w:fldChar w:fldCharType="begin"/>
      </w:r>
      <w:r>
        <w:instrText xml:space="preserve"> PAGEREF _Toc27588 \h </w:instrText>
      </w:r>
      <w:r>
        <w:fldChar w:fldCharType="separate"/>
      </w:r>
      <w:r>
        <w:t>６９</w:t>
      </w:r>
      <w:r>
        <w:fldChar w:fldCharType="end"/>
      </w:r>
      <w:r>
        <w:rPr>
          <w:rFonts w:hint="eastAsia"/>
          <w:highlight w:val="none"/>
          <w:lang w:eastAsia="zh-CN"/>
        </w:rPr>
        <w:fldChar w:fldCharType="end"/>
      </w:r>
    </w:p>
    <w:p>
      <w:pPr>
        <w:pStyle w:val="32"/>
        <w:tabs>
          <w:tab w:val="right" w:leader="dot" w:pos="9746"/>
          <w:tab w:val="clear" w:pos="1260"/>
          <w:tab w:val="clear" w:pos="9060"/>
        </w:tabs>
      </w:pPr>
      <w:r>
        <w:rPr>
          <w:rFonts w:hint="eastAsia"/>
          <w:highlight w:val="none"/>
          <w:lang w:eastAsia="zh-CN"/>
        </w:rPr>
        <w:fldChar w:fldCharType="begin"/>
      </w:r>
      <w:r>
        <w:rPr>
          <w:rFonts w:hint="eastAsia"/>
          <w:highlight w:val="none"/>
          <w:lang w:eastAsia="zh-CN"/>
        </w:rPr>
        <w:instrText xml:space="preserve"> HYPERLINK \l _Toc12074 </w:instrText>
      </w:r>
      <w:r>
        <w:rPr>
          <w:rFonts w:hint="eastAsia"/>
          <w:highlight w:val="none"/>
          <w:lang w:eastAsia="zh-CN"/>
        </w:rPr>
        <w:fldChar w:fldCharType="separate"/>
      </w:r>
      <w:r>
        <w:rPr>
          <w:rFonts w:hint="eastAsia" w:ascii="宋体" w:hAnsi="宋体" w:eastAsia="宋体" w:cs="宋体"/>
          <w:highlight w:val="none"/>
        </w:rPr>
        <w:t>四、保证责任的终止</w:t>
      </w:r>
      <w:r>
        <w:tab/>
      </w:r>
      <w:r>
        <w:fldChar w:fldCharType="begin"/>
      </w:r>
      <w:r>
        <w:instrText xml:space="preserve"> PAGEREF _Toc12074 \h </w:instrText>
      </w:r>
      <w:r>
        <w:fldChar w:fldCharType="separate"/>
      </w:r>
      <w:r>
        <w:t>６９</w:t>
      </w:r>
      <w:r>
        <w:fldChar w:fldCharType="end"/>
      </w:r>
      <w:r>
        <w:rPr>
          <w:rFonts w:hint="eastAsia"/>
          <w:highlight w:val="none"/>
          <w:lang w:eastAsia="zh-CN"/>
        </w:rPr>
        <w:fldChar w:fldCharType="end"/>
      </w:r>
    </w:p>
    <w:p>
      <w:pPr>
        <w:pStyle w:val="32"/>
        <w:tabs>
          <w:tab w:val="right" w:leader="dot" w:pos="9746"/>
          <w:tab w:val="clear" w:pos="1260"/>
          <w:tab w:val="clear" w:pos="9060"/>
        </w:tabs>
      </w:pPr>
      <w:r>
        <w:rPr>
          <w:rFonts w:hint="eastAsia"/>
          <w:highlight w:val="none"/>
          <w:lang w:eastAsia="zh-CN"/>
        </w:rPr>
        <w:fldChar w:fldCharType="begin"/>
      </w:r>
      <w:r>
        <w:rPr>
          <w:rFonts w:hint="eastAsia"/>
          <w:highlight w:val="none"/>
          <w:lang w:eastAsia="zh-CN"/>
        </w:rPr>
        <w:instrText xml:space="preserve"> HYPERLINK \l _Toc2523 </w:instrText>
      </w:r>
      <w:r>
        <w:rPr>
          <w:rFonts w:hint="eastAsia"/>
          <w:highlight w:val="none"/>
          <w:lang w:eastAsia="zh-CN"/>
        </w:rPr>
        <w:fldChar w:fldCharType="separate"/>
      </w:r>
      <w:r>
        <w:rPr>
          <w:rFonts w:hint="eastAsia" w:ascii="宋体" w:hAnsi="宋体" w:eastAsia="宋体" w:cs="宋体"/>
          <w:highlight w:val="none"/>
        </w:rPr>
        <w:t>五、免责条款</w:t>
      </w:r>
      <w:r>
        <w:tab/>
      </w:r>
      <w:r>
        <w:fldChar w:fldCharType="begin"/>
      </w:r>
      <w:r>
        <w:instrText xml:space="preserve"> PAGEREF _Toc2523 \h </w:instrText>
      </w:r>
      <w:r>
        <w:fldChar w:fldCharType="separate"/>
      </w:r>
      <w:r>
        <w:t>６９</w:t>
      </w:r>
      <w:r>
        <w:fldChar w:fldCharType="end"/>
      </w:r>
      <w:r>
        <w:rPr>
          <w:rFonts w:hint="eastAsia"/>
          <w:highlight w:val="none"/>
          <w:lang w:eastAsia="zh-CN"/>
        </w:rPr>
        <w:fldChar w:fldCharType="end"/>
      </w:r>
    </w:p>
    <w:p>
      <w:pPr>
        <w:pStyle w:val="32"/>
        <w:tabs>
          <w:tab w:val="right" w:leader="dot" w:pos="9746"/>
          <w:tab w:val="clear" w:pos="1260"/>
          <w:tab w:val="clear" w:pos="9060"/>
        </w:tabs>
      </w:pPr>
      <w:r>
        <w:rPr>
          <w:rFonts w:hint="eastAsia"/>
          <w:highlight w:val="none"/>
          <w:lang w:eastAsia="zh-CN"/>
        </w:rPr>
        <w:fldChar w:fldCharType="begin"/>
      </w:r>
      <w:r>
        <w:rPr>
          <w:rFonts w:hint="eastAsia"/>
          <w:highlight w:val="none"/>
          <w:lang w:eastAsia="zh-CN"/>
        </w:rPr>
        <w:instrText xml:space="preserve"> HYPERLINK \l _Toc30347 </w:instrText>
      </w:r>
      <w:r>
        <w:rPr>
          <w:rFonts w:hint="eastAsia"/>
          <w:highlight w:val="none"/>
          <w:lang w:eastAsia="zh-CN"/>
        </w:rPr>
        <w:fldChar w:fldCharType="separate"/>
      </w:r>
      <w:r>
        <w:rPr>
          <w:rFonts w:hint="eastAsia" w:ascii="宋体" w:hAnsi="宋体" w:eastAsia="宋体" w:cs="宋体"/>
          <w:highlight w:val="none"/>
        </w:rPr>
        <w:t>六、争议的解决</w:t>
      </w:r>
      <w:r>
        <w:tab/>
      </w:r>
      <w:r>
        <w:fldChar w:fldCharType="begin"/>
      </w:r>
      <w:r>
        <w:instrText xml:space="preserve"> PAGEREF _Toc30347 \h </w:instrText>
      </w:r>
      <w:r>
        <w:fldChar w:fldCharType="separate"/>
      </w:r>
      <w:r>
        <w:t>６９</w:t>
      </w:r>
      <w:r>
        <w:fldChar w:fldCharType="end"/>
      </w:r>
      <w:r>
        <w:rPr>
          <w:rFonts w:hint="eastAsia"/>
          <w:highlight w:val="none"/>
          <w:lang w:eastAsia="zh-CN"/>
        </w:rPr>
        <w:fldChar w:fldCharType="end"/>
      </w:r>
    </w:p>
    <w:p>
      <w:pPr>
        <w:pStyle w:val="32"/>
        <w:tabs>
          <w:tab w:val="right" w:leader="dot" w:pos="9746"/>
          <w:tab w:val="clear" w:pos="1260"/>
          <w:tab w:val="clear" w:pos="9060"/>
        </w:tabs>
      </w:pPr>
      <w:r>
        <w:rPr>
          <w:rFonts w:hint="eastAsia"/>
          <w:highlight w:val="none"/>
          <w:lang w:eastAsia="zh-CN"/>
        </w:rPr>
        <w:fldChar w:fldCharType="begin"/>
      </w:r>
      <w:r>
        <w:rPr>
          <w:rFonts w:hint="eastAsia"/>
          <w:highlight w:val="none"/>
          <w:lang w:eastAsia="zh-CN"/>
        </w:rPr>
        <w:instrText xml:space="preserve"> HYPERLINK \l _Toc14304 </w:instrText>
      </w:r>
      <w:r>
        <w:rPr>
          <w:rFonts w:hint="eastAsia"/>
          <w:highlight w:val="none"/>
          <w:lang w:eastAsia="zh-CN"/>
        </w:rPr>
        <w:fldChar w:fldCharType="separate"/>
      </w:r>
      <w:r>
        <w:rPr>
          <w:rFonts w:hint="eastAsia" w:ascii="宋体" w:hAnsi="宋体" w:eastAsia="宋体" w:cs="宋体"/>
          <w:highlight w:val="none"/>
        </w:rPr>
        <w:t>七、保函的生效</w:t>
      </w:r>
      <w:r>
        <w:tab/>
      </w:r>
      <w:r>
        <w:fldChar w:fldCharType="begin"/>
      </w:r>
      <w:r>
        <w:instrText xml:space="preserve"> PAGEREF _Toc14304 \h </w:instrText>
      </w:r>
      <w:r>
        <w:fldChar w:fldCharType="separate"/>
      </w:r>
      <w:r>
        <w:t>６９</w:t>
      </w:r>
      <w:r>
        <w:fldChar w:fldCharType="end"/>
      </w:r>
      <w:r>
        <w:rPr>
          <w:rFonts w:hint="eastAsia"/>
          <w:highlight w:val="none"/>
          <w:lang w:eastAsia="zh-CN"/>
        </w:rPr>
        <w:fldChar w:fldCharType="end"/>
      </w:r>
    </w:p>
    <w:p>
      <w:pPr>
        <w:pStyle w:val="32"/>
        <w:tabs>
          <w:tab w:val="right" w:leader="dot" w:pos="9746"/>
          <w:tab w:val="clear" w:pos="1260"/>
          <w:tab w:val="clear" w:pos="9060"/>
        </w:tabs>
      </w:pPr>
      <w:r>
        <w:rPr>
          <w:rFonts w:hint="eastAsia"/>
          <w:highlight w:val="none"/>
          <w:lang w:eastAsia="zh-CN"/>
        </w:rPr>
        <w:fldChar w:fldCharType="begin"/>
      </w:r>
      <w:r>
        <w:rPr>
          <w:rFonts w:hint="eastAsia"/>
          <w:highlight w:val="none"/>
          <w:lang w:eastAsia="zh-CN"/>
        </w:rPr>
        <w:instrText xml:space="preserve"> HYPERLINK \l _Toc9380 </w:instrText>
      </w:r>
      <w:r>
        <w:rPr>
          <w:rFonts w:hint="eastAsia"/>
          <w:highlight w:val="none"/>
          <w:lang w:eastAsia="zh-CN"/>
        </w:rPr>
        <w:fldChar w:fldCharType="separate"/>
      </w:r>
      <w:r>
        <w:rPr>
          <w:rFonts w:hint="eastAsia"/>
          <w:szCs w:val="32"/>
          <w:highlight w:val="none"/>
        </w:rPr>
        <w:t>第二部分  商务及技术文件</w:t>
      </w:r>
      <w:r>
        <w:tab/>
      </w:r>
      <w:r>
        <w:fldChar w:fldCharType="begin"/>
      </w:r>
      <w:r>
        <w:instrText xml:space="preserve"> PAGEREF _Toc9380 \h </w:instrText>
      </w:r>
      <w:r>
        <w:fldChar w:fldCharType="separate"/>
      </w:r>
      <w:r>
        <w:t>７４</w:t>
      </w:r>
      <w:r>
        <w:fldChar w:fldCharType="end"/>
      </w:r>
      <w:r>
        <w:rPr>
          <w:rFonts w:hint="eastAsia"/>
          <w:highlight w:val="none"/>
          <w:lang w:eastAsia="zh-CN"/>
        </w:rPr>
        <w:fldChar w:fldCharType="end"/>
      </w:r>
    </w:p>
    <w:p>
      <w:pPr>
        <w:pStyle w:val="108"/>
        <w:rPr>
          <w:rFonts w:hint="eastAsia"/>
          <w:highlight w:val="none"/>
          <w:lang w:eastAsia="zh-CN"/>
        </w:rPr>
      </w:pPr>
      <w:r>
        <w:rPr>
          <w:rFonts w:hint="eastAsia"/>
          <w:highlight w:val="none"/>
          <w:lang w:eastAsia="zh-CN"/>
        </w:rPr>
        <w:fldChar w:fldCharType="end"/>
      </w:r>
    </w:p>
    <w:p>
      <w:pPr>
        <w:pStyle w:val="108"/>
        <w:outlineLvl w:val="9"/>
        <w:rPr>
          <w:rFonts w:hint="eastAsia"/>
          <w:highlight w:val="none"/>
          <w:lang w:eastAsia="zh-CN"/>
        </w:rPr>
      </w:pPr>
    </w:p>
    <w:p>
      <w:pPr>
        <w:pStyle w:val="5"/>
        <w:rPr>
          <w:rFonts w:hint="eastAsia"/>
          <w:lang w:val="en-US" w:eastAsia="zh-CN"/>
        </w:rPr>
      </w:pPr>
    </w:p>
    <w:p>
      <w:pPr>
        <w:rPr>
          <w:rFonts w:hint="eastAsia"/>
          <w:lang w:val="en-US" w:eastAsia="zh-CN"/>
        </w:rPr>
      </w:pPr>
    </w:p>
    <w:p>
      <w:pPr>
        <w:pStyle w:val="5"/>
        <w:rPr>
          <w:rFonts w:hint="eastAsia"/>
          <w:lang w:val="en-US" w:eastAsia="zh-CN"/>
        </w:rPr>
      </w:pPr>
    </w:p>
    <w:p>
      <w:pPr>
        <w:rPr>
          <w:rFonts w:hint="eastAsia"/>
          <w:lang w:val="en-US" w:eastAsia="zh-CN"/>
        </w:rPr>
      </w:pPr>
    </w:p>
    <w:p>
      <w:pPr>
        <w:pStyle w:val="5"/>
        <w:rPr>
          <w:rFonts w:hint="eastAsia"/>
          <w:lang w:val="en-US" w:eastAsia="zh-CN"/>
        </w:rPr>
      </w:pPr>
    </w:p>
    <w:p>
      <w:pPr>
        <w:rPr>
          <w:rFonts w:hint="eastAsia"/>
          <w:lang w:val="en-US" w:eastAsia="zh-CN"/>
        </w:rPr>
      </w:pPr>
    </w:p>
    <w:p>
      <w:pPr>
        <w:widowControl/>
        <w:spacing w:line="240" w:lineRule="auto"/>
        <w:jc w:val="both"/>
        <w:outlineLvl w:val="0"/>
        <w:rPr>
          <w:rFonts w:hint="eastAsia" w:ascii="宋体" w:hAnsi="宋体" w:eastAsia="宋体" w:cs="宋体"/>
          <w:b/>
          <w:kern w:val="0"/>
          <w:sz w:val="32"/>
          <w:szCs w:val="22"/>
          <w:highlight w:val="none"/>
          <w:lang w:val="en-US" w:eastAsia="zh-CN"/>
        </w:rPr>
      </w:pPr>
    </w:p>
    <w:p>
      <w:pPr>
        <w:widowControl/>
        <w:spacing w:line="240" w:lineRule="auto"/>
        <w:jc w:val="center"/>
        <w:outlineLvl w:val="0"/>
        <w:rPr>
          <w:rFonts w:hint="default" w:ascii="宋体" w:hAnsi="宋体" w:eastAsia="宋体" w:cs="宋体"/>
          <w:b/>
          <w:kern w:val="0"/>
          <w:sz w:val="32"/>
          <w:szCs w:val="22"/>
          <w:highlight w:val="none"/>
          <w:lang w:val="en-US" w:eastAsia="zh-CN"/>
        </w:rPr>
      </w:pPr>
      <w:bookmarkStart w:id="10" w:name="_Toc5242"/>
      <w:r>
        <w:rPr>
          <w:rFonts w:hint="eastAsia" w:ascii="宋体" w:hAnsi="宋体" w:eastAsia="宋体" w:cs="宋体"/>
          <w:b/>
          <w:kern w:val="0"/>
          <w:sz w:val="32"/>
          <w:szCs w:val="22"/>
          <w:highlight w:val="none"/>
          <w:lang w:val="en-US" w:eastAsia="zh-CN"/>
        </w:rPr>
        <w:t>第一部分 招标公告</w:t>
      </w:r>
      <w:bookmarkEnd w:id="10"/>
    </w:p>
    <w:p>
      <w:pPr>
        <w:pStyle w:val="3"/>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sz w:val="32"/>
          <w:szCs w:val="32"/>
          <w:highlight w:val="none"/>
          <w:lang w:eastAsia="zh-CN"/>
        </w:rPr>
      </w:pPr>
      <w:bookmarkStart w:id="11" w:name="_Toc14219"/>
      <w:r>
        <w:rPr>
          <w:rFonts w:hint="eastAsia"/>
          <w:sz w:val="32"/>
          <w:szCs w:val="32"/>
          <w:highlight w:val="none"/>
          <w:lang w:eastAsia="zh-CN"/>
        </w:rPr>
        <w:t>中科高盛咨询集团有限公司</w:t>
      </w:r>
      <w:r>
        <w:rPr>
          <w:rFonts w:hint="eastAsia"/>
          <w:sz w:val="32"/>
          <w:szCs w:val="32"/>
          <w:highlight w:val="none"/>
          <w:lang w:val="en-US" w:eastAsia="zh-CN"/>
        </w:rPr>
        <w:t>关于</w:t>
      </w:r>
      <w:r>
        <w:rPr>
          <w:rFonts w:hint="eastAsia"/>
          <w:sz w:val="32"/>
          <w:szCs w:val="32"/>
          <w:highlight w:val="none"/>
          <w:lang w:eastAsia="zh-CN"/>
        </w:rPr>
        <w:t>克州中心血站医疗设备采购项目</w:t>
      </w:r>
      <w:bookmarkEnd w:id="11"/>
    </w:p>
    <w:p>
      <w:pPr>
        <w:pStyle w:val="3"/>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sz w:val="32"/>
          <w:szCs w:val="32"/>
          <w:highlight w:val="none"/>
        </w:rPr>
      </w:pPr>
      <w:bookmarkStart w:id="12" w:name="_Toc12957"/>
      <w:r>
        <w:rPr>
          <w:rFonts w:hint="eastAsia"/>
          <w:sz w:val="32"/>
          <w:szCs w:val="32"/>
          <w:highlight w:val="none"/>
          <w:lang w:val="en-US" w:eastAsia="zh-CN"/>
        </w:rPr>
        <w:t>公开</w:t>
      </w:r>
      <w:r>
        <w:rPr>
          <w:sz w:val="32"/>
          <w:szCs w:val="32"/>
          <w:highlight w:val="none"/>
        </w:rPr>
        <w:t>招标公告</w:t>
      </w:r>
      <w:bookmarkEnd w:id="12"/>
    </w:p>
    <w:tbl>
      <w:tblPr>
        <w:tblStyle w:val="48"/>
        <w:tblW w:w="9845" w:type="dxa"/>
        <w:tblInd w:w="-2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1" w:hRule="atLeast"/>
        </w:trPr>
        <w:tc>
          <w:tcPr>
            <w:tcW w:w="9845" w:type="dxa"/>
            <w:vAlign w:val="top"/>
          </w:tcPr>
          <w:p>
            <w:pPr>
              <w:pStyle w:val="4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60" w:lineRule="exact"/>
              <w:ind w:left="0" w:right="0"/>
              <w:jc w:val="both"/>
              <w:textAlignment w:val="auto"/>
              <w:rPr>
                <w:rFonts w:hint="default" w:ascii="仿宋" w:hAnsi="仿宋" w:eastAsia="仿宋" w:cs="仿宋"/>
                <w:i w:val="0"/>
                <w:iCs w:val="0"/>
                <w:caps w:val="0"/>
                <w:color w:val="000000"/>
                <w:spacing w:val="0"/>
                <w:sz w:val="24"/>
                <w:szCs w:val="24"/>
                <w:highlight w:val="none"/>
              </w:rPr>
            </w:pPr>
            <w:r>
              <w:rPr>
                <w:rFonts w:hint="default" w:ascii="仿宋" w:hAnsi="仿宋" w:eastAsia="仿宋" w:cs="仿宋"/>
                <w:i w:val="0"/>
                <w:iCs w:val="0"/>
                <w:caps w:val="0"/>
                <w:color w:val="000000"/>
                <w:spacing w:val="0"/>
                <w:sz w:val="24"/>
                <w:szCs w:val="24"/>
                <w:highlight w:val="none"/>
              </w:rPr>
              <w:t>项目概况</w:t>
            </w:r>
          </w:p>
          <w:p>
            <w:pPr>
              <w:pStyle w:val="4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60" w:lineRule="exact"/>
              <w:ind w:left="0" w:right="0" w:firstLine="480" w:firstLineChars="200"/>
              <w:jc w:val="both"/>
              <w:textAlignment w:val="auto"/>
              <w:rPr>
                <w:rFonts w:hint="default" w:ascii="Calibri" w:hAnsi="Calibri" w:eastAsia="宋体" w:cs="Times New Roman"/>
                <w:highlight w:val="none"/>
              </w:rPr>
            </w:pPr>
            <w:r>
              <w:rPr>
                <w:rFonts w:hint="eastAsia" w:ascii="仿宋" w:hAnsi="仿宋" w:eastAsia="仿宋" w:cs="仿宋"/>
                <w:i w:val="0"/>
                <w:iCs w:val="0"/>
                <w:caps w:val="0"/>
                <w:color w:val="000000"/>
                <w:spacing w:val="0"/>
                <w:sz w:val="24"/>
                <w:szCs w:val="24"/>
                <w:highlight w:val="none"/>
                <w:lang w:eastAsia="zh-CN"/>
              </w:rPr>
              <w:t>克州中心血站医疗设备采购项目</w:t>
            </w:r>
            <w:r>
              <w:rPr>
                <w:rFonts w:hint="eastAsia" w:ascii="仿宋" w:hAnsi="仿宋" w:eastAsia="仿宋" w:cs="仿宋"/>
                <w:i w:val="0"/>
                <w:iCs w:val="0"/>
                <w:caps w:val="0"/>
                <w:color w:val="000000"/>
                <w:spacing w:val="0"/>
                <w:sz w:val="24"/>
                <w:szCs w:val="24"/>
                <w:highlight w:val="none"/>
              </w:rPr>
              <w:t>的潜在投标人应在供应商登陆政采云平台http://www.zcygov.cn/，在线申请获取招标文件（登录政府采购云平台 →项目采购→获取招标文件→申请）获取招标文件，并于</w:t>
            </w:r>
            <w:r>
              <w:rPr>
                <w:rFonts w:hint="eastAsia" w:ascii="仿宋" w:hAnsi="仿宋" w:eastAsia="仿宋" w:cs="仿宋"/>
                <w:i w:val="0"/>
                <w:iCs w:val="0"/>
                <w:caps w:val="0"/>
                <w:color w:val="0000FF"/>
                <w:spacing w:val="0"/>
                <w:sz w:val="24"/>
                <w:szCs w:val="24"/>
                <w:highlight w:val="none"/>
              </w:rPr>
              <w:t>202</w:t>
            </w:r>
            <w:r>
              <w:rPr>
                <w:rFonts w:hint="eastAsia" w:ascii="仿宋" w:hAnsi="仿宋" w:eastAsia="仿宋" w:cs="仿宋"/>
                <w:i w:val="0"/>
                <w:iCs w:val="0"/>
                <w:caps w:val="0"/>
                <w:color w:val="0000FF"/>
                <w:spacing w:val="0"/>
                <w:sz w:val="24"/>
                <w:szCs w:val="24"/>
                <w:highlight w:val="none"/>
                <w:lang w:val="en-US" w:eastAsia="zh-CN"/>
              </w:rPr>
              <w:t>3</w:t>
            </w:r>
            <w:r>
              <w:rPr>
                <w:rFonts w:hint="eastAsia" w:ascii="仿宋" w:hAnsi="仿宋" w:eastAsia="仿宋" w:cs="仿宋"/>
                <w:i w:val="0"/>
                <w:iCs w:val="0"/>
                <w:caps w:val="0"/>
                <w:color w:val="0000FF"/>
                <w:spacing w:val="0"/>
                <w:sz w:val="24"/>
                <w:szCs w:val="24"/>
                <w:highlight w:val="none"/>
              </w:rPr>
              <w:t>年</w:t>
            </w:r>
            <w:r>
              <w:rPr>
                <w:rFonts w:hint="eastAsia" w:ascii="仿宋" w:hAnsi="仿宋" w:eastAsia="仿宋" w:cs="仿宋"/>
                <w:i w:val="0"/>
                <w:iCs w:val="0"/>
                <w:caps w:val="0"/>
                <w:color w:val="0000FF"/>
                <w:spacing w:val="0"/>
                <w:sz w:val="24"/>
                <w:szCs w:val="24"/>
                <w:highlight w:val="none"/>
                <w:lang w:val="en-US" w:eastAsia="zh-CN"/>
              </w:rPr>
              <w:t>10</w:t>
            </w:r>
            <w:r>
              <w:rPr>
                <w:rFonts w:hint="eastAsia" w:ascii="仿宋" w:hAnsi="仿宋" w:eastAsia="仿宋" w:cs="仿宋"/>
                <w:i w:val="0"/>
                <w:iCs w:val="0"/>
                <w:caps w:val="0"/>
                <w:color w:val="0000FF"/>
                <w:spacing w:val="0"/>
                <w:sz w:val="24"/>
                <w:szCs w:val="24"/>
                <w:highlight w:val="none"/>
              </w:rPr>
              <w:t>月</w:t>
            </w:r>
            <w:r>
              <w:rPr>
                <w:rFonts w:hint="eastAsia" w:ascii="仿宋" w:hAnsi="仿宋" w:eastAsia="仿宋" w:cs="仿宋"/>
                <w:i w:val="0"/>
                <w:iCs w:val="0"/>
                <w:caps w:val="0"/>
                <w:color w:val="0000FF"/>
                <w:spacing w:val="0"/>
                <w:sz w:val="24"/>
                <w:szCs w:val="24"/>
                <w:highlight w:val="none"/>
                <w:lang w:val="en-US" w:eastAsia="zh-CN"/>
              </w:rPr>
              <w:t>18</w:t>
            </w:r>
            <w:r>
              <w:rPr>
                <w:rFonts w:hint="eastAsia" w:ascii="仿宋" w:hAnsi="仿宋" w:eastAsia="仿宋" w:cs="仿宋"/>
                <w:i w:val="0"/>
                <w:iCs w:val="0"/>
                <w:caps w:val="0"/>
                <w:color w:val="0000FF"/>
                <w:spacing w:val="0"/>
                <w:sz w:val="24"/>
                <w:szCs w:val="24"/>
                <w:highlight w:val="none"/>
              </w:rPr>
              <w:t>日</w:t>
            </w:r>
            <w:r>
              <w:rPr>
                <w:rFonts w:hint="eastAsia" w:ascii="仿宋" w:hAnsi="仿宋" w:eastAsia="仿宋" w:cs="仿宋"/>
                <w:i w:val="0"/>
                <w:iCs w:val="0"/>
                <w:caps w:val="0"/>
                <w:color w:val="0000FF"/>
                <w:spacing w:val="0"/>
                <w:sz w:val="24"/>
                <w:szCs w:val="24"/>
                <w:highlight w:val="none"/>
                <w:lang w:val="en-US" w:eastAsia="zh-CN"/>
              </w:rPr>
              <w:t>10：30</w:t>
            </w:r>
            <w:r>
              <w:rPr>
                <w:rFonts w:hint="eastAsia" w:ascii="仿宋" w:hAnsi="仿宋" w:eastAsia="仿宋" w:cs="仿宋"/>
                <w:i w:val="0"/>
                <w:iCs w:val="0"/>
                <w:caps w:val="0"/>
                <w:color w:val="000000"/>
                <w:spacing w:val="0"/>
                <w:sz w:val="24"/>
                <w:szCs w:val="24"/>
                <w:highlight w:val="none"/>
              </w:rPr>
              <w:t>（北京时间）前递交投标文件。</w:t>
            </w:r>
          </w:p>
        </w:tc>
      </w:tr>
    </w:tbl>
    <w:p>
      <w:pPr>
        <w:pStyle w:val="42"/>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20" w:lineRule="exact"/>
        <w:ind w:left="0" w:right="0"/>
        <w:jc w:val="both"/>
        <w:textAlignment w:val="auto"/>
        <w:rPr>
          <w:rFonts w:ascii="黑体" w:hAnsi="宋体" w:eastAsia="黑体" w:cs="黑体"/>
          <w:sz w:val="27"/>
          <w:szCs w:val="27"/>
          <w:highlight w:val="none"/>
        </w:rPr>
      </w:pPr>
      <w:r>
        <w:rPr>
          <w:rStyle w:val="50"/>
          <w:rFonts w:ascii="黑体" w:hAnsi="宋体" w:eastAsia="黑体" w:cs="黑体"/>
          <w:i w:val="0"/>
          <w:iCs w:val="0"/>
          <w:caps w:val="0"/>
          <w:color w:val="000000"/>
          <w:spacing w:val="0"/>
          <w:sz w:val="27"/>
          <w:szCs w:val="27"/>
          <w:highlight w:val="none"/>
        </w:rPr>
        <w:t>一、项目基本情况</w:t>
      </w:r>
    </w:p>
    <w:p>
      <w:pPr>
        <w:pStyle w:val="4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right="0" w:firstLine="240" w:firstLineChars="100"/>
        <w:textAlignment w:val="auto"/>
        <w:rPr>
          <w:rFonts w:hint="default"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rPr>
        <w:t>项目编号：</w:t>
      </w:r>
      <w:r>
        <w:rPr>
          <w:rFonts w:hint="eastAsia" w:ascii="仿宋" w:hAnsi="仿宋" w:eastAsia="仿宋" w:cs="仿宋"/>
          <w:i w:val="0"/>
          <w:iCs w:val="0"/>
          <w:caps w:val="0"/>
          <w:color w:val="000000"/>
          <w:spacing w:val="0"/>
          <w:sz w:val="24"/>
          <w:szCs w:val="24"/>
          <w:highlight w:val="none"/>
          <w:lang w:val="en-US" w:eastAsia="zh-CN"/>
        </w:rPr>
        <w:t>KZZB-2023177</w:t>
      </w:r>
    </w:p>
    <w:p>
      <w:pPr>
        <w:pStyle w:val="4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right="0" w:firstLine="240" w:firstLineChars="100"/>
        <w:textAlignment w:val="auto"/>
        <w:rPr>
          <w:rFonts w:hint="eastAsia" w:ascii="仿宋" w:hAnsi="仿宋" w:eastAsia="仿宋" w:cs="仿宋"/>
          <w:i w:val="0"/>
          <w:iCs w:val="0"/>
          <w:caps w:val="0"/>
          <w:color w:val="000000"/>
          <w:spacing w:val="0"/>
          <w:sz w:val="24"/>
          <w:szCs w:val="24"/>
          <w:highlight w:val="none"/>
          <w:lang w:eastAsia="zh-CN"/>
        </w:rPr>
      </w:pPr>
      <w:r>
        <w:rPr>
          <w:rFonts w:hint="eastAsia" w:ascii="仿宋" w:hAnsi="仿宋" w:eastAsia="仿宋" w:cs="仿宋"/>
          <w:i w:val="0"/>
          <w:iCs w:val="0"/>
          <w:caps w:val="0"/>
          <w:color w:val="000000"/>
          <w:spacing w:val="0"/>
          <w:sz w:val="24"/>
          <w:szCs w:val="24"/>
          <w:highlight w:val="none"/>
        </w:rPr>
        <w:t>项目名称：</w:t>
      </w:r>
      <w:r>
        <w:rPr>
          <w:rFonts w:hint="eastAsia" w:ascii="仿宋" w:hAnsi="仿宋" w:eastAsia="仿宋" w:cs="仿宋"/>
          <w:i w:val="0"/>
          <w:iCs w:val="0"/>
          <w:caps w:val="0"/>
          <w:color w:val="000000"/>
          <w:spacing w:val="0"/>
          <w:sz w:val="24"/>
          <w:szCs w:val="24"/>
          <w:highlight w:val="none"/>
          <w:lang w:eastAsia="zh-CN"/>
        </w:rPr>
        <w:t>克州中心血站医疗设备采购项目</w:t>
      </w:r>
    </w:p>
    <w:p>
      <w:pPr>
        <w:pStyle w:val="4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right="0" w:firstLine="240" w:firstLineChars="100"/>
        <w:textAlignment w:val="auto"/>
        <w:rPr>
          <w:rFonts w:hint="eastAsia" w:ascii="仿宋" w:hAnsi="仿宋" w:eastAsia="仿宋" w:cs="仿宋"/>
          <w:i w:val="0"/>
          <w:iCs w:val="0"/>
          <w:caps w:val="0"/>
          <w:color w:val="000000"/>
          <w:spacing w:val="0"/>
          <w:sz w:val="24"/>
          <w:szCs w:val="24"/>
          <w:highlight w:val="none"/>
        </w:rPr>
      </w:pPr>
      <w:r>
        <w:rPr>
          <w:rFonts w:hint="eastAsia" w:ascii="仿宋" w:hAnsi="仿宋" w:eastAsia="仿宋" w:cs="仿宋"/>
          <w:i w:val="0"/>
          <w:iCs w:val="0"/>
          <w:caps w:val="0"/>
          <w:color w:val="000000"/>
          <w:spacing w:val="0"/>
          <w:sz w:val="24"/>
          <w:szCs w:val="24"/>
          <w:highlight w:val="none"/>
        </w:rPr>
        <w:t>采购方式：公开招标</w:t>
      </w:r>
    </w:p>
    <w:p>
      <w:pPr>
        <w:pStyle w:val="4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right="0" w:firstLine="240" w:firstLineChars="100"/>
        <w:textAlignment w:val="auto"/>
        <w:rPr>
          <w:rFonts w:hint="default"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rPr>
        <w:t>预算金额（元）：</w:t>
      </w:r>
      <w:r>
        <w:rPr>
          <w:rFonts w:hint="eastAsia" w:ascii="仿宋" w:hAnsi="仿宋" w:eastAsia="仿宋" w:cs="仿宋"/>
          <w:i w:val="0"/>
          <w:iCs w:val="0"/>
          <w:caps w:val="0"/>
          <w:color w:val="000000"/>
          <w:spacing w:val="0"/>
          <w:sz w:val="24"/>
          <w:szCs w:val="24"/>
          <w:highlight w:val="none"/>
          <w:lang w:val="en-US" w:eastAsia="zh-CN"/>
        </w:rPr>
        <w:t>2097952.06</w:t>
      </w:r>
    </w:p>
    <w:p>
      <w:pPr>
        <w:pStyle w:val="4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right="0" w:firstLine="240" w:firstLineChars="100"/>
        <w:textAlignment w:val="auto"/>
        <w:rPr>
          <w:rFonts w:hint="default"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rPr>
        <w:t>最高限价（元）：</w:t>
      </w:r>
      <w:r>
        <w:rPr>
          <w:rFonts w:hint="eastAsia" w:ascii="仿宋" w:hAnsi="仿宋" w:eastAsia="仿宋" w:cs="仿宋"/>
          <w:i w:val="0"/>
          <w:iCs w:val="0"/>
          <w:caps w:val="0"/>
          <w:color w:val="000000"/>
          <w:spacing w:val="0"/>
          <w:sz w:val="24"/>
          <w:szCs w:val="24"/>
          <w:highlight w:val="none"/>
          <w:lang w:val="en-US" w:eastAsia="zh-CN"/>
        </w:rPr>
        <w:t>2097952.06</w:t>
      </w:r>
    </w:p>
    <w:p>
      <w:pPr>
        <w:pStyle w:val="4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239" w:leftChars="114" w:right="0" w:firstLine="0" w:firstLineChars="0"/>
        <w:textAlignment w:val="auto"/>
        <w:rPr>
          <w:rFonts w:hint="eastAsia" w:ascii="仿宋" w:hAnsi="仿宋" w:eastAsia="仿宋" w:cs="仿宋"/>
          <w:i w:val="0"/>
          <w:iCs w:val="0"/>
          <w:caps w:val="0"/>
          <w:color w:val="000000"/>
          <w:spacing w:val="0"/>
          <w:sz w:val="24"/>
          <w:szCs w:val="24"/>
          <w:highlight w:val="none"/>
          <w:lang w:eastAsia="zh-CN"/>
        </w:rPr>
      </w:pPr>
      <w:r>
        <w:rPr>
          <w:rFonts w:hint="eastAsia" w:ascii="仿宋" w:hAnsi="仿宋" w:eastAsia="仿宋" w:cs="仿宋"/>
          <w:i w:val="0"/>
          <w:iCs w:val="0"/>
          <w:caps w:val="0"/>
          <w:color w:val="000000"/>
          <w:spacing w:val="0"/>
          <w:sz w:val="24"/>
          <w:szCs w:val="24"/>
          <w:highlight w:val="none"/>
        </w:rPr>
        <w:t>采购需求：</w:t>
      </w:r>
      <w:r>
        <w:rPr>
          <w:rFonts w:hint="eastAsia" w:ascii="仿宋" w:hAnsi="仿宋" w:eastAsia="仿宋" w:cs="仿宋"/>
          <w:i w:val="0"/>
          <w:iCs w:val="0"/>
          <w:caps w:val="0"/>
          <w:color w:val="000000"/>
          <w:spacing w:val="0"/>
          <w:sz w:val="24"/>
          <w:szCs w:val="24"/>
          <w:highlight w:val="none"/>
        </w:rPr>
        <w:br w:type="textWrapping"/>
      </w:r>
      <w:r>
        <w:rPr>
          <w:rFonts w:hint="eastAsia" w:ascii="仿宋" w:hAnsi="仿宋" w:eastAsia="仿宋" w:cs="仿宋"/>
          <w:i w:val="0"/>
          <w:iCs w:val="0"/>
          <w:caps w:val="0"/>
          <w:color w:val="000000"/>
          <w:spacing w:val="0"/>
          <w:sz w:val="24"/>
          <w:szCs w:val="24"/>
          <w:highlight w:val="none"/>
        </w:rPr>
        <w:t>标项名称:</w:t>
      </w:r>
      <w:r>
        <w:rPr>
          <w:rFonts w:hint="eastAsia" w:ascii="仿宋" w:hAnsi="仿宋" w:eastAsia="仿宋" w:cs="仿宋"/>
          <w:i w:val="0"/>
          <w:iCs w:val="0"/>
          <w:caps w:val="0"/>
          <w:color w:val="000000"/>
          <w:spacing w:val="0"/>
          <w:sz w:val="24"/>
          <w:szCs w:val="24"/>
          <w:highlight w:val="none"/>
          <w:lang w:eastAsia="zh-CN"/>
        </w:rPr>
        <w:t>克州中心血站医疗设备采购项目</w:t>
      </w:r>
    </w:p>
    <w:p>
      <w:pPr>
        <w:pStyle w:val="4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right="0" w:firstLine="240" w:firstLineChars="100"/>
        <w:textAlignment w:val="auto"/>
        <w:rPr>
          <w:rFonts w:hint="eastAsia" w:ascii="仿宋" w:hAnsi="仿宋" w:eastAsia="仿宋" w:cs="仿宋"/>
          <w:i w:val="0"/>
          <w:iCs w:val="0"/>
          <w:caps w:val="0"/>
          <w:color w:val="000000"/>
          <w:spacing w:val="0"/>
          <w:sz w:val="24"/>
          <w:szCs w:val="24"/>
          <w:highlight w:val="none"/>
        </w:rPr>
      </w:pPr>
      <w:r>
        <w:rPr>
          <w:rFonts w:hint="eastAsia" w:ascii="仿宋" w:hAnsi="仿宋" w:eastAsia="仿宋" w:cs="仿宋"/>
          <w:i w:val="0"/>
          <w:iCs w:val="0"/>
          <w:caps w:val="0"/>
          <w:color w:val="000000"/>
          <w:spacing w:val="0"/>
          <w:sz w:val="24"/>
          <w:szCs w:val="24"/>
          <w:highlight w:val="none"/>
        </w:rPr>
        <w:t>数量:1</w:t>
      </w:r>
    </w:p>
    <w:p>
      <w:pPr>
        <w:pStyle w:val="4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right="0" w:firstLine="240" w:firstLineChars="100"/>
        <w:textAlignment w:val="auto"/>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rPr>
        <w:t>预算金额（元）:</w:t>
      </w:r>
      <w:r>
        <w:rPr>
          <w:rFonts w:hint="eastAsia" w:ascii="仿宋" w:hAnsi="仿宋" w:eastAsia="仿宋" w:cs="仿宋"/>
          <w:i w:val="0"/>
          <w:iCs w:val="0"/>
          <w:caps w:val="0"/>
          <w:color w:val="000000"/>
          <w:spacing w:val="0"/>
          <w:sz w:val="24"/>
          <w:szCs w:val="24"/>
          <w:highlight w:val="none"/>
          <w:lang w:val="en-US" w:eastAsia="zh-CN"/>
        </w:rPr>
        <w:t>2097952.06</w:t>
      </w:r>
    </w:p>
    <w:p>
      <w:pPr>
        <w:pStyle w:val="4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239" w:leftChars="114" w:right="0" w:firstLine="0" w:firstLineChars="0"/>
        <w:textAlignment w:val="auto"/>
        <w:rPr>
          <w:rFonts w:hint="eastAsia" w:ascii="仿宋" w:hAnsi="仿宋" w:eastAsia="仿宋" w:cs="仿宋"/>
          <w:i w:val="0"/>
          <w:iCs w:val="0"/>
          <w:caps w:val="0"/>
          <w:color w:val="000000"/>
          <w:spacing w:val="0"/>
          <w:sz w:val="24"/>
          <w:szCs w:val="24"/>
          <w:highlight w:val="none"/>
        </w:rPr>
      </w:pPr>
      <w:r>
        <w:rPr>
          <w:rFonts w:hint="eastAsia" w:ascii="仿宋" w:hAnsi="仿宋" w:eastAsia="仿宋" w:cs="仿宋"/>
          <w:i w:val="0"/>
          <w:iCs w:val="0"/>
          <w:caps w:val="0"/>
          <w:color w:val="000000"/>
          <w:spacing w:val="0"/>
          <w:sz w:val="24"/>
          <w:szCs w:val="24"/>
          <w:highlight w:val="none"/>
          <w:lang w:val="en-US" w:eastAsia="zh-CN"/>
        </w:rPr>
        <w:t>单位：批</w:t>
      </w:r>
      <w:r>
        <w:rPr>
          <w:rFonts w:hint="eastAsia" w:ascii="仿宋" w:hAnsi="仿宋" w:eastAsia="仿宋" w:cs="仿宋"/>
          <w:i w:val="0"/>
          <w:iCs w:val="0"/>
          <w:caps w:val="0"/>
          <w:color w:val="000000"/>
          <w:spacing w:val="0"/>
          <w:sz w:val="24"/>
          <w:szCs w:val="24"/>
          <w:highlight w:val="none"/>
        </w:rPr>
        <w:br w:type="textWrapping"/>
      </w:r>
      <w:r>
        <w:rPr>
          <w:rFonts w:hint="eastAsia" w:ascii="仿宋" w:hAnsi="仿宋" w:eastAsia="仿宋" w:cs="仿宋"/>
          <w:i w:val="0"/>
          <w:iCs w:val="0"/>
          <w:caps w:val="0"/>
          <w:color w:val="000000"/>
          <w:spacing w:val="0"/>
          <w:sz w:val="24"/>
          <w:szCs w:val="24"/>
          <w:highlight w:val="none"/>
        </w:rPr>
        <w:t>简要规格描述或项目基本概况介绍、用途：全自动生化分析仪1台，全自动酶免仪1台，落地式低温自动脱帽离心机1台，纯水机1台，医用低温保存箱1台，医用冷藏箱1台，真空采血管自动脱盖机1台 实现血液生化项目检测和酶免检测，确保血液质量安全。 全自动生化和酶免设备能够实现检测数据的自动化传输、数据互传，自动判定血液是否合格。能够与业务软件实现联网。</w:t>
      </w:r>
    </w:p>
    <w:p>
      <w:pPr>
        <w:pStyle w:val="4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239" w:leftChars="114" w:right="0" w:firstLine="0" w:firstLineChars="0"/>
        <w:textAlignment w:val="auto"/>
        <w:rPr>
          <w:sz w:val="24"/>
          <w:szCs w:val="24"/>
          <w:highlight w:val="none"/>
        </w:rPr>
      </w:pPr>
      <w:r>
        <w:rPr>
          <w:rFonts w:hint="eastAsia" w:ascii="仿宋" w:hAnsi="仿宋" w:eastAsia="仿宋" w:cs="仿宋"/>
          <w:i w:val="0"/>
          <w:iCs w:val="0"/>
          <w:caps w:val="0"/>
          <w:color w:val="000000"/>
          <w:spacing w:val="0"/>
          <w:sz w:val="24"/>
          <w:szCs w:val="24"/>
          <w:highlight w:val="none"/>
        </w:rPr>
        <w:t>备注：具体详见参数附件或招标文件</w:t>
      </w:r>
    </w:p>
    <w:p>
      <w:pPr>
        <w:pStyle w:val="4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right="0" w:firstLine="240" w:firstLineChars="100"/>
        <w:textAlignment w:val="auto"/>
        <w:rPr>
          <w:sz w:val="24"/>
          <w:szCs w:val="24"/>
          <w:highlight w:val="none"/>
        </w:rPr>
      </w:pPr>
      <w:r>
        <w:rPr>
          <w:rFonts w:hint="eastAsia" w:ascii="仿宋" w:hAnsi="仿宋" w:eastAsia="仿宋" w:cs="仿宋"/>
          <w:i w:val="0"/>
          <w:iCs w:val="0"/>
          <w:caps w:val="0"/>
          <w:color w:val="000000"/>
          <w:spacing w:val="0"/>
          <w:sz w:val="24"/>
          <w:szCs w:val="24"/>
          <w:highlight w:val="none"/>
        </w:rPr>
        <w:t>合同履约期限：标项 1，详见招标文件</w:t>
      </w:r>
    </w:p>
    <w:p>
      <w:pPr>
        <w:pStyle w:val="4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right="0" w:firstLine="240" w:firstLineChars="100"/>
        <w:textAlignment w:val="auto"/>
        <w:rPr>
          <w:sz w:val="24"/>
          <w:szCs w:val="24"/>
          <w:highlight w:val="none"/>
        </w:rPr>
      </w:pPr>
      <w:r>
        <w:rPr>
          <w:rFonts w:hint="eastAsia" w:ascii="仿宋" w:hAnsi="仿宋" w:eastAsia="仿宋" w:cs="仿宋"/>
          <w:i w:val="0"/>
          <w:iCs w:val="0"/>
          <w:caps w:val="0"/>
          <w:color w:val="000000"/>
          <w:spacing w:val="0"/>
          <w:sz w:val="24"/>
          <w:szCs w:val="24"/>
          <w:highlight w:val="none"/>
        </w:rPr>
        <w:t>本项目</w:t>
      </w:r>
      <w:r>
        <w:rPr>
          <w:rFonts w:hint="eastAsia" w:ascii="仿宋" w:hAnsi="仿宋" w:eastAsia="仿宋" w:cs="仿宋"/>
          <w:i w:val="0"/>
          <w:iCs w:val="0"/>
          <w:caps w:val="0"/>
          <w:color w:val="000000"/>
          <w:spacing w:val="0"/>
          <w:sz w:val="24"/>
          <w:szCs w:val="24"/>
          <w:highlight w:val="none"/>
          <w:lang w:val="en-US" w:eastAsia="zh-CN"/>
        </w:rPr>
        <w:t>（否）</w:t>
      </w:r>
      <w:r>
        <w:rPr>
          <w:rFonts w:hint="eastAsia" w:ascii="仿宋" w:hAnsi="仿宋" w:eastAsia="仿宋" w:cs="仿宋"/>
          <w:i w:val="0"/>
          <w:iCs w:val="0"/>
          <w:caps w:val="0"/>
          <w:color w:val="000000"/>
          <w:spacing w:val="0"/>
          <w:sz w:val="24"/>
          <w:szCs w:val="24"/>
          <w:highlight w:val="none"/>
        </w:rPr>
        <w:t>接受联合体投标。</w:t>
      </w:r>
    </w:p>
    <w:p>
      <w:pPr>
        <w:pStyle w:val="4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textAlignment w:val="auto"/>
        <w:rPr>
          <w:highlight w:val="none"/>
        </w:rPr>
      </w:pPr>
      <w:r>
        <w:rPr>
          <w:rStyle w:val="50"/>
          <w:rFonts w:ascii="黑体" w:hAnsi="宋体" w:eastAsia="黑体" w:cs="黑体"/>
          <w:i w:val="0"/>
          <w:iCs w:val="0"/>
          <w:caps w:val="0"/>
          <w:color w:val="000000"/>
          <w:spacing w:val="0"/>
          <w:sz w:val="27"/>
          <w:szCs w:val="27"/>
          <w:highlight w:val="none"/>
        </w:rPr>
        <w:t>二、申请人的资格要求：</w:t>
      </w:r>
    </w:p>
    <w:p>
      <w:pPr>
        <w:pStyle w:val="4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rPr>
          <w:color w:val="0000FF"/>
          <w:sz w:val="24"/>
          <w:szCs w:val="24"/>
          <w:highlight w:val="none"/>
        </w:rPr>
      </w:pPr>
      <w:r>
        <w:rPr>
          <w:rFonts w:hint="eastAsia" w:ascii="仿宋" w:hAnsi="仿宋" w:eastAsia="仿宋" w:cs="仿宋"/>
          <w:i w:val="0"/>
          <w:iCs w:val="0"/>
          <w:caps w:val="0"/>
          <w:color w:val="0000FF"/>
          <w:spacing w:val="0"/>
          <w:sz w:val="24"/>
          <w:szCs w:val="24"/>
          <w:highlight w:val="none"/>
        </w:rPr>
        <w:t>1.满足《中华人民共和国政府采购法》第二十二条规定；</w:t>
      </w:r>
      <w:bookmarkStart w:id="225" w:name="_GoBack"/>
      <w:bookmarkEnd w:id="225"/>
    </w:p>
    <w:p>
      <w:pPr>
        <w:pStyle w:val="4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rPr>
          <w:rFonts w:hint="eastAsia" w:ascii="仿宋" w:hAnsi="仿宋" w:eastAsia="仿宋" w:cs="仿宋"/>
          <w:i w:val="0"/>
          <w:iCs w:val="0"/>
          <w:caps w:val="0"/>
          <w:color w:val="0000FF"/>
          <w:spacing w:val="0"/>
          <w:sz w:val="24"/>
          <w:szCs w:val="24"/>
          <w:highlight w:val="none"/>
          <w:lang w:val="en-US" w:eastAsia="zh-CN"/>
        </w:rPr>
      </w:pPr>
      <w:r>
        <w:rPr>
          <w:rFonts w:hint="eastAsia" w:ascii="仿宋" w:hAnsi="仿宋" w:eastAsia="仿宋" w:cs="仿宋"/>
          <w:i w:val="0"/>
          <w:iCs w:val="0"/>
          <w:caps w:val="0"/>
          <w:color w:val="0000FF"/>
          <w:spacing w:val="0"/>
          <w:sz w:val="24"/>
          <w:szCs w:val="24"/>
          <w:highlight w:val="none"/>
        </w:rPr>
        <w:t>2.落实政府采购政策需满足的资格要求：</w:t>
      </w:r>
      <w:r>
        <w:rPr>
          <w:rFonts w:hint="eastAsia" w:ascii="仿宋" w:hAnsi="仿宋" w:eastAsia="仿宋" w:cs="仿宋"/>
          <w:i w:val="0"/>
          <w:iCs w:val="0"/>
          <w:caps w:val="0"/>
          <w:color w:val="0000FF"/>
          <w:spacing w:val="0"/>
          <w:sz w:val="24"/>
          <w:szCs w:val="24"/>
          <w:highlight w:val="none"/>
          <w:lang w:val="en-US" w:eastAsia="zh-CN"/>
        </w:rPr>
        <w:t>标项1：本项目为非专门面向中小企业，根据《政府采购促进中小企业发展管理办法》（财库【2020】46号）及（财库[2022]19号）的规定，评标时将给予此类企业进行价格扣除10%的优惠，用优惠后的价格参与评审。</w:t>
      </w:r>
    </w:p>
    <w:p>
      <w:pPr>
        <w:pStyle w:val="4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rPr>
          <w:rFonts w:hint="default" w:ascii="仿宋" w:hAnsi="仿宋" w:eastAsia="仿宋" w:cs="仿宋"/>
          <w:i w:val="0"/>
          <w:iCs w:val="0"/>
          <w:caps w:val="0"/>
          <w:color w:val="0000FF"/>
          <w:spacing w:val="0"/>
          <w:sz w:val="24"/>
          <w:szCs w:val="24"/>
          <w:highlight w:val="none"/>
          <w:lang w:val="en-US" w:eastAsia="zh-CN"/>
        </w:rPr>
      </w:pPr>
      <w:r>
        <w:rPr>
          <w:rFonts w:hint="eastAsia" w:ascii="仿宋" w:hAnsi="仿宋" w:eastAsia="仿宋" w:cs="仿宋"/>
          <w:i w:val="0"/>
          <w:iCs w:val="0"/>
          <w:caps w:val="0"/>
          <w:color w:val="0000FF"/>
          <w:spacing w:val="0"/>
          <w:sz w:val="24"/>
          <w:szCs w:val="24"/>
          <w:highlight w:val="none"/>
        </w:rPr>
        <w:t>3.本项目的特定资格要求：</w:t>
      </w:r>
      <w:r>
        <w:rPr>
          <w:rFonts w:hint="eastAsia" w:ascii="仿宋" w:hAnsi="仿宋" w:eastAsia="仿宋" w:cs="仿宋"/>
          <w:i w:val="0"/>
          <w:iCs w:val="0"/>
          <w:caps w:val="0"/>
          <w:color w:val="0000FF"/>
          <w:spacing w:val="0"/>
          <w:sz w:val="24"/>
          <w:szCs w:val="24"/>
          <w:highlight w:val="none"/>
          <w:lang w:val="en-US" w:eastAsia="zh-CN"/>
        </w:rPr>
        <w:t>标项1：</w:t>
      </w:r>
    </w:p>
    <w:p>
      <w:pPr>
        <w:pStyle w:val="4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rPr>
          <w:rFonts w:hint="eastAsia" w:ascii="仿宋" w:hAnsi="仿宋" w:eastAsia="仿宋" w:cs="仿宋"/>
          <w:i w:val="0"/>
          <w:iCs w:val="0"/>
          <w:caps w:val="0"/>
          <w:color w:val="0000FF"/>
          <w:spacing w:val="0"/>
          <w:sz w:val="24"/>
          <w:szCs w:val="24"/>
          <w:highlight w:val="none"/>
        </w:rPr>
      </w:pPr>
      <w:r>
        <w:rPr>
          <w:rFonts w:hint="eastAsia" w:ascii="仿宋" w:hAnsi="仿宋" w:eastAsia="仿宋" w:cs="仿宋"/>
          <w:i w:val="0"/>
          <w:iCs w:val="0"/>
          <w:caps w:val="0"/>
          <w:color w:val="0000FF"/>
          <w:spacing w:val="0"/>
          <w:sz w:val="24"/>
          <w:szCs w:val="24"/>
          <w:highlight w:val="none"/>
        </w:rPr>
        <w:t>（1）有效的三证合一营业执照副本；</w:t>
      </w:r>
    </w:p>
    <w:p>
      <w:pPr>
        <w:pStyle w:val="4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rPr>
          <w:rFonts w:hint="eastAsia" w:ascii="仿宋" w:hAnsi="仿宋" w:eastAsia="仿宋" w:cs="仿宋"/>
          <w:i w:val="0"/>
          <w:iCs w:val="0"/>
          <w:caps w:val="0"/>
          <w:color w:val="0000FF"/>
          <w:spacing w:val="0"/>
          <w:sz w:val="24"/>
          <w:szCs w:val="24"/>
          <w:highlight w:val="none"/>
        </w:rPr>
      </w:pPr>
      <w:r>
        <w:rPr>
          <w:rFonts w:hint="eastAsia" w:ascii="仿宋" w:hAnsi="仿宋" w:eastAsia="仿宋" w:cs="仿宋"/>
          <w:i w:val="0"/>
          <w:iCs w:val="0"/>
          <w:caps w:val="0"/>
          <w:color w:val="0000FF"/>
          <w:spacing w:val="0"/>
          <w:sz w:val="24"/>
          <w:szCs w:val="24"/>
          <w:highlight w:val="none"/>
        </w:rPr>
        <w:t>（2）</w:t>
      </w:r>
      <w:r>
        <w:rPr>
          <w:rFonts w:hint="eastAsia" w:ascii="仿宋" w:hAnsi="仿宋" w:eastAsia="仿宋" w:cs="仿宋"/>
          <w:i w:val="0"/>
          <w:iCs w:val="0"/>
          <w:caps w:val="0"/>
          <w:color w:val="0000FF"/>
          <w:spacing w:val="0"/>
          <w:sz w:val="24"/>
          <w:szCs w:val="24"/>
          <w:highlight w:val="none"/>
          <w:lang w:eastAsia="zh-CN"/>
        </w:rPr>
        <w:t>法定代表人投标需提供法定代表人资格证明书，委托代理人投标需提供法定代表人授权委托书</w:t>
      </w:r>
      <w:r>
        <w:rPr>
          <w:rFonts w:hint="eastAsia" w:ascii="仿宋" w:hAnsi="仿宋" w:eastAsia="仿宋" w:cs="仿宋"/>
          <w:i w:val="0"/>
          <w:iCs w:val="0"/>
          <w:caps w:val="0"/>
          <w:color w:val="0000FF"/>
          <w:spacing w:val="0"/>
          <w:sz w:val="24"/>
          <w:szCs w:val="24"/>
          <w:highlight w:val="none"/>
        </w:rPr>
        <w:t>；</w:t>
      </w:r>
    </w:p>
    <w:p>
      <w:pPr>
        <w:pStyle w:val="4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rPr>
          <w:rFonts w:hint="eastAsia" w:ascii="仿宋" w:hAnsi="仿宋" w:eastAsia="仿宋" w:cs="仿宋"/>
          <w:i w:val="0"/>
          <w:iCs w:val="0"/>
          <w:caps w:val="0"/>
          <w:color w:val="0000FF"/>
          <w:spacing w:val="0"/>
          <w:sz w:val="24"/>
          <w:szCs w:val="24"/>
          <w:highlight w:val="none"/>
        </w:rPr>
      </w:pPr>
      <w:r>
        <w:rPr>
          <w:rFonts w:hint="eastAsia" w:ascii="仿宋" w:hAnsi="仿宋" w:eastAsia="仿宋" w:cs="仿宋"/>
          <w:i w:val="0"/>
          <w:iCs w:val="0"/>
          <w:caps w:val="0"/>
          <w:color w:val="0000FF"/>
          <w:spacing w:val="0"/>
          <w:sz w:val="24"/>
          <w:szCs w:val="24"/>
          <w:highlight w:val="none"/>
        </w:rPr>
        <w:t>（3）投标企业须提供投标人（被授权在职人员）近6个月的社保证明；</w:t>
      </w:r>
    </w:p>
    <w:p>
      <w:pPr>
        <w:pStyle w:val="4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rPr>
          <w:rFonts w:hint="eastAsia" w:ascii="仿宋" w:hAnsi="仿宋" w:eastAsia="仿宋" w:cs="仿宋"/>
          <w:i w:val="0"/>
          <w:iCs w:val="0"/>
          <w:caps w:val="0"/>
          <w:color w:val="0000FF"/>
          <w:spacing w:val="0"/>
          <w:sz w:val="24"/>
          <w:szCs w:val="24"/>
          <w:highlight w:val="none"/>
          <w:lang w:eastAsia="zh-CN"/>
        </w:rPr>
      </w:pPr>
      <w:r>
        <w:rPr>
          <w:rFonts w:hint="eastAsia" w:ascii="仿宋" w:hAnsi="仿宋" w:eastAsia="仿宋" w:cs="仿宋"/>
          <w:i w:val="0"/>
          <w:iCs w:val="0"/>
          <w:caps w:val="0"/>
          <w:color w:val="0000FF"/>
          <w:spacing w:val="0"/>
          <w:sz w:val="24"/>
          <w:szCs w:val="24"/>
          <w:highlight w:val="none"/>
        </w:rPr>
        <w:t>（4）</w:t>
      </w:r>
      <w:r>
        <w:rPr>
          <w:rFonts w:hint="eastAsia" w:ascii="仿宋" w:hAnsi="仿宋" w:eastAsia="仿宋" w:cs="仿宋"/>
          <w:i w:val="0"/>
          <w:iCs w:val="0"/>
          <w:caps w:val="0"/>
          <w:color w:val="0000FF"/>
          <w:spacing w:val="0"/>
          <w:sz w:val="24"/>
          <w:szCs w:val="24"/>
          <w:highlight w:val="none"/>
          <w:lang w:val="en-US" w:eastAsia="zh-CN"/>
        </w:rPr>
        <w:t>近三年内</w:t>
      </w:r>
      <w:r>
        <w:rPr>
          <w:rFonts w:hint="eastAsia" w:ascii="仿宋" w:hAnsi="仿宋" w:eastAsia="仿宋" w:cs="仿宋"/>
          <w:i w:val="0"/>
          <w:iCs w:val="0"/>
          <w:caps w:val="0"/>
          <w:color w:val="0000FF"/>
          <w:spacing w:val="0"/>
          <w:sz w:val="24"/>
          <w:szCs w:val="24"/>
          <w:highlight w:val="none"/>
        </w:rPr>
        <w:t>未被“信用中国”（www.creditchina.gov.cn）、中国政府采购网（www.ccgp.gov.cn）列入失信被执行人、重大税收违法案件当事人名单、政府采购严重违法失信行为记录名单</w:t>
      </w:r>
      <w:r>
        <w:rPr>
          <w:rFonts w:hint="eastAsia" w:ascii="仿宋" w:hAnsi="仿宋" w:eastAsia="仿宋" w:cs="仿宋"/>
          <w:i w:val="0"/>
          <w:iCs w:val="0"/>
          <w:caps w:val="0"/>
          <w:color w:val="0000FF"/>
          <w:spacing w:val="0"/>
          <w:sz w:val="24"/>
          <w:szCs w:val="24"/>
          <w:highlight w:val="none"/>
          <w:lang w:eastAsia="zh-CN"/>
        </w:rPr>
        <w:t>。</w:t>
      </w:r>
    </w:p>
    <w:p>
      <w:pPr>
        <w:pStyle w:val="4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rPr>
          <w:rFonts w:hint="default" w:ascii="仿宋" w:hAnsi="仿宋" w:eastAsia="仿宋" w:cs="仿宋"/>
          <w:i w:val="0"/>
          <w:iCs w:val="0"/>
          <w:caps w:val="0"/>
          <w:color w:val="0000FF"/>
          <w:spacing w:val="0"/>
          <w:sz w:val="24"/>
          <w:szCs w:val="24"/>
          <w:highlight w:val="none"/>
          <w:lang w:val="en-US" w:eastAsia="zh-CN"/>
        </w:rPr>
      </w:pPr>
      <w:r>
        <w:rPr>
          <w:rFonts w:hint="eastAsia" w:ascii="仿宋" w:hAnsi="仿宋" w:eastAsia="仿宋" w:cs="仿宋"/>
          <w:i w:val="0"/>
          <w:iCs w:val="0"/>
          <w:caps w:val="0"/>
          <w:color w:val="0000FF"/>
          <w:spacing w:val="0"/>
          <w:sz w:val="24"/>
          <w:szCs w:val="24"/>
          <w:highlight w:val="none"/>
        </w:rPr>
        <w:t>（</w:t>
      </w:r>
      <w:r>
        <w:rPr>
          <w:rFonts w:hint="eastAsia" w:ascii="仿宋" w:hAnsi="仿宋" w:eastAsia="仿宋" w:cs="仿宋"/>
          <w:i w:val="0"/>
          <w:iCs w:val="0"/>
          <w:caps w:val="0"/>
          <w:color w:val="0000FF"/>
          <w:spacing w:val="0"/>
          <w:sz w:val="24"/>
          <w:szCs w:val="24"/>
          <w:highlight w:val="none"/>
          <w:lang w:val="en-US" w:eastAsia="zh-CN"/>
        </w:rPr>
        <w:t>5</w:t>
      </w:r>
      <w:r>
        <w:rPr>
          <w:rFonts w:hint="eastAsia" w:ascii="仿宋" w:hAnsi="仿宋" w:eastAsia="仿宋" w:cs="仿宋"/>
          <w:i w:val="0"/>
          <w:iCs w:val="0"/>
          <w:caps w:val="0"/>
          <w:color w:val="0000FF"/>
          <w:spacing w:val="0"/>
          <w:sz w:val="24"/>
          <w:szCs w:val="24"/>
          <w:highlight w:val="none"/>
        </w:rPr>
        <w:t>）</w:t>
      </w:r>
      <w:r>
        <w:rPr>
          <w:rFonts w:hint="eastAsia" w:ascii="仿宋" w:hAnsi="仿宋" w:eastAsia="仿宋" w:cs="仿宋"/>
          <w:i w:val="0"/>
          <w:iCs w:val="0"/>
          <w:caps w:val="0"/>
          <w:color w:val="0000FF"/>
          <w:spacing w:val="0"/>
          <w:sz w:val="24"/>
          <w:szCs w:val="24"/>
          <w:highlight w:val="none"/>
          <w:lang w:val="en-US" w:eastAsia="zh-CN"/>
        </w:rPr>
        <w:t>所投产品属于第二类医疗器械的，还需提供有效的行政主管部门颁发的医疗器械经营备案凭证（或医疗器械生产许可证或医疗器械经营许可证）；所投产品属于第三类医疗器械的，还需提供有效的行政主管部门颁发的医疗器械生产许可证（或医疗器械经营许可证）。</w:t>
      </w:r>
    </w:p>
    <w:p>
      <w:pPr>
        <w:pStyle w:val="42"/>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20" w:lineRule="exact"/>
        <w:ind w:left="0" w:right="0"/>
        <w:jc w:val="both"/>
        <w:textAlignment w:val="auto"/>
        <w:rPr>
          <w:rFonts w:ascii="黑体" w:hAnsi="宋体" w:eastAsia="黑体" w:cs="黑体"/>
          <w:sz w:val="27"/>
          <w:szCs w:val="27"/>
          <w:highlight w:val="none"/>
        </w:rPr>
      </w:pPr>
      <w:r>
        <w:rPr>
          <w:rStyle w:val="50"/>
          <w:rFonts w:ascii="黑体" w:hAnsi="宋体" w:eastAsia="黑体" w:cs="黑体"/>
          <w:i w:val="0"/>
          <w:iCs w:val="0"/>
          <w:caps w:val="0"/>
          <w:color w:val="000000"/>
          <w:spacing w:val="0"/>
          <w:sz w:val="27"/>
          <w:szCs w:val="27"/>
          <w:highlight w:val="none"/>
        </w:rPr>
        <w:t>三、获取招标文件</w:t>
      </w:r>
    </w:p>
    <w:p>
      <w:pPr>
        <w:pStyle w:val="4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rPr>
          <w:sz w:val="24"/>
          <w:szCs w:val="24"/>
          <w:highlight w:val="none"/>
        </w:rPr>
      </w:pPr>
      <w:r>
        <w:rPr>
          <w:rFonts w:hint="eastAsia" w:ascii="仿宋" w:hAnsi="仿宋" w:eastAsia="仿宋" w:cs="仿宋"/>
          <w:i w:val="0"/>
          <w:iCs w:val="0"/>
          <w:caps w:val="0"/>
          <w:color w:val="000000"/>
          <w:spacing w:val="0"/>
          <w:sz w:val="24"/>
          <w:szCs w:val="24"/>
          <w:highlight w:val="none"/>
        </w:rPr>
        <w:t>时间：</w:t>
      </w:r>
      <w:r>
        <w:rPr>
          <w:rFonts w:hint="eastAsia" w:ascii="仿宋" w:hAnsi="仿宋" w:eastAsia="仿宋" w:cs="仿宋"/>
          <w:i w:val="0"/>
          <w:iCs w:val="0"/>
          <w:caps w:val="0"/>
          <w:color w:val="0000FF"/>
          <w:spacing w:val="0"/>
          <w:sz w:val="24"/>
          <w:szCs w:val="24"/>
          <w:highlight w:val="none"/>
        </w:rPr>
        <w:t>202</w:t>
      </w:r>
      <w:r>
        <w:rPr>
          <w:rFonts w:hint="eastAsia" w:ascii="仿宋" w:hAnsi="仿宋" w:eastAsia="仿宋" w:cs="仿宋"/>
          <w:i w:val="0"/>
          <w:iCs w:val="0"/>
          <w:caps w:val="0"/>
          <w:color w:val="0000FF"/>
          <w:spacing w:val="0"/>
          <w:sz w:val="24"/>
          <w:szCs w:val="24"/>
          <w:highlight w:val="none"/>
          <w:lang w:val="en-US" w:eastAsia="zh-CN"/>
        </w:rPr>
        <w:t>3</w:t>
      </w:r>
      <w:r>
        <w:rPr>
          <w:rFonts w:hint="eastAsia" w:ascii="仿宋" w:hAnsi="仿宋" w:eastAsia="仿宋" w:cs="仿宋"/>
          <w:i w:val="0"/>
          <w:iCs w:val="0"/>
          <w:caps w:val="0"/>
          <w:color w:val="0000FF"/>
          <w:spacing w:val="0"/>
          <w:sz w:val="24"/>
          <w:szCs w:val="24"/>
          <w:highlight w:val="none"/>
        </w:rPr>
        <w:t>年</w:t>
      </w:r>
      <w:r>
        <w:rPr>
          <w:rFonts w:hint="eastAsia" w:ascii="仿宋" w:hAnsi="仿宋" w:eastAsia="仿宋" w:cs="仿宋"/>
          <w:i w:val="0"/>
          <w:iCs w:val="0"/>
          <w:caps w:val="0"/>
          <w:color w:val="0000FF"/>
          <w:spacing w:val="0"/>
          <w:sz w:val="24"/>
          <w:szCs w:val="24"/>
          <w:highlight w:val="none"/>
          <w:lang w:val="en-US" w:eastAsia="zh-CN"/>
        </w:rPr>
        <w:t>9</w:t>
      </w:r>
      <w:r>
        <w:rPr>
          <w:rFonts w:hint="eastAsia" w:ascii="仿宋" w:hAnsi="仿宋" w:eastAsia="仿宋" w:cs="仿宋"/>
          <w:i w:val="0"/>
          <w:iCs w:val="0"/>
          <w:caps w:val="0"/>
          <w:color w:val="0000FF"/>
          <w:spacing w:val="0"/>
          <w:sz w:val="24"/>
          <w:szCs w:val="24"/>
          <w:highlight w:val="none"/>
        </w:rPr>
        <w:t>月</w:t>
      </w:r>
      <w:r>
        <w:rPr>
          <w:rFonts w:hint="eastAsia" w:ascii="仿宋" w:hAnsi="仿宋" w:eastAsia="仿宋" w:cs="仿宋"/>
          <w:i w:val="0"/>
          <w:iCs w:val="0"/>
          <w:caps w:val="0"/>
          <w:color w:val="0000FF"/>
          <w:spacing w:val="0"/>
          <w:sz w:val="24"/>
          <w:szCs w:val="24"/>
          <w:highlight w:val="none"/>
          <w:lang w:val="en-US" w:eastAsia="zh-CN"/>
        </w:rPr>
        <w:t>28</w:t>
      </w:r>
      <w:r>
        <w:rPr>
          <w:rFonts w:hint="eastAsia" w:ascii="仿宋" w:hAnsi="仿宋" w:eastAsia="仿宋" w:cs="仿宋"/>
          <w:i w:val="0"/>
          <w:iCs w:val="0"/>
          <w:caps w:val="0"/>
          <w:color w:val="0000FF"/>
          <w:spacing w:val="0"/>
          <w:sz w:val="24"/>
          <w:szCs w:val="24"/>
          <w:highlight w:val="none"/>
        </w:rPr>
        <w:t>日至202</w:t>
      </w:r>
      <w:r>
        <w:rPr>
          <w:rFonts w:hint="eastAsia" w:ascii="仿宋" w:hAnsi="仿宋" w:eastAsia="仿宋" w:cs="仿宋"/>
          <w:i w:val="0"/>
          <w:iCs w:val="0"/>
          <w:caps w:val="0"/>
          <w:color w:val="0000FF"/>
          <w:spacing w:val="0"/>
          <w:sz w:val="24"/>
          <w:szCs w:val="24"/>
          <w:highlight w:val="none"/>
          <w:lang w:val="en-US" w:eastAsia="zh-CN"/>
        </w:rPr>
        <w:t>3</w:t>
      </w:r>
      <w:r>
        <w:rPr>
          <w:rFonts w:hint="eastAsia" w:ascii="仿宋" w:hAnsi="仿宋" w:eastAsia="仿宋" w:cs="仿宋"/>
          <w:i w:val="0"/>
          <w:iCs w:val="0"/>
          <w:caps w:val="0"/>
          <w:color w:val="0000FF"/>
          <w:spacing w:val="0"/>
          <w:sz w:val="24"/>
          <w:szCs w:val="24"/>
          <w:highlight w:val="none"/>
        </w:rPr>
        <w:t>年</w:t>
      </w:r>
      <w:r>
        <w:rPr>
          <w:rFonts w:hint="eastAsia" w:ascii="仿宋" w:hAnsi="仿宋" w:eastAsia="仿宋" w:cs="仿宋"/>
          <w:i w:val="0"/>
          <w:iCs w:val="0"/>
          <w:caps w:val="0"/>
          <w:color w:val="0000FF"/>
          <w:spacing w:val="0"/>
          <w:sz w:val="24"/>
          <w:szCs w:val="24"/>
          <w:highlight w:val="none"/>
          <w:lang w:val="en-US" w:eastAsia="zh-CN"/>
        </w:rPr>
        <w:t>10</w:t>
      </w:r>
      <w:r>
        <w:rPr>
          <w:rFonts w:hint="eastAsia" w:ascii="仿宋" w:hAnsi="仿宋" w:eastAsia="仿宋" w:cs="仿宋"/>
          <w:i w:val="0"/>
          <w:iCs w:val="0"/>
          <w:caps w:val="0"/>
          <w:color w:val="0000FF"/>
          <w:spacing w:val="0"/>
          <w:sz w:val="24"/>
          <w:szCs w:val="24"/>
          <w:highlight w:val="none"/>
        </w:rPr>
        <w:t>月</w:t>
      </w:r>
      <w:r>
        <w:rPr>
          <w:rFonts w:hint="eastAsia" w:ascii="仿宋" w:hAnsi="仿宋" w:eastAsia="仿宋" w:cs="仿宋"/>
          <w:i w:val="0"/>
          <w:iCs w:val="0"/>
          <w:caps w:val="0"/>
          <w:color w:val="0000FF"/>
          <w:spacing w:val="0"/>
          <w:sz w:val="24"/>
          <w:szCs w:val="24"/>
          <w:highlight w:val="none"/>
          <w:lang w:val="en-US" w:eastAsia="zh-CN"/>
        </w:rPr>
        <w:t>13</w:t>
      </w:r>
      <w:r>
        <w:rPr>
          <w:rFonts w:hint="eastAsia" w:ascii="仿宋" w:hAnsi="仿宋" w:eastAsia="仿宋" w:cs="仿宋"/>
          <w:i w:val="0"/>
          <w:iCs w:val="0"/>
          <w:caps w:val="0"/>
          <w:color w:val="0000FF"/>
          <w:spacing w:val="0"/>
          <w:sz w:val="24"/>
          <w:szCs w:val="24"/>
          <w:highlight w:val="none"/>
        </w:rPr>
        <w:t>日</w:t>
      </w:r>
      <w:r>
        <w:rPr>
          <w:rFonts w:hint="eastAsia" w:ascii="仿宋" w:hAnsi="仿宋" w:eastAsia="仿宋" w:cs="仿宋"/>
          <w:i w:val="0"/>
          <w:iCs w:val="0"/>
          <w:caps w:val="0"/>
          <w:color w:val="000000"/>
          <w:spacing w:val="0"/>
          <w:sz w:val="24"/>
          <w:szCs w:val="24"/>
          <w:highlight w:val="none"/>
        </w:rPr>
        <w:t>，每天上午10:00至</w:t>
      </w:r>
      <w:r>
        <w:rPr>
          <w:rFonts w:hint="eastAsia" w:ascii="仿宋" w:hAnsi="仿宋" w:eastAsia="仿宋" w:cs="仿宋"/>
          <w:i w:val="0"/>
          <w:iCs w:val="0"/>
          <w:caps w:val="0"/>
          <w:color w:val="000000"/>
          <w:spacing w:val="0"/>
          <w:sz w:val="24"/>
          <w:szCs w:val="24"/>
          <w:highlight w:val="none"/>
          <w:lang w:val="en-US" w:eastAsia="zh-CN"/>
        </w:rPr>
        <w:t>13</w:t>
      </w:r>
      <w:r>
        <w:rPr>
          <w:rFonts w:hint="eastAsia" w:ascii="仿宋" w:hAnsi="仿宋" w:eastAsia="仿宋" w:cs="仿宋"/>
          <w:i w:val="0"/>
          <w:iCs w:val="0"/>
          <w:caps w:val="0"/>
          <w:color w:val="000000"/>
          <w:spacing w:val="0"/>
          <w:sz w:val="24"/>
          <w:szCs w:val="24"/>
          <w:highlight w:val="none"/>
        </w:rPr>
        <w:t>:</w:t>
      </w:r>
      <w:r>
        <w:rPr>
          <w:rFonts w:hint="eastAsia" w:ascii="仿宋" w:hAnsi="仿宋" w:eastAsia="仿宋" w:cs="仿宋"/>
          <w:i w:val="0"/>
          <w:iCs w:val="0"/>
          <w:caps w:val="0"/>
          <w:color w:val="000000"/>
          <w:spacing w:val="0"/>
          <w:sz w:val="24"/>
          <w:szCs w:val="24"/>
          <w:highlight w:val="none"/>
          <w:lang w:val="en-US" w:eastAsia="zh-CN"/>
        </w:rPr>
        <w:t>3</w:t>
      </w:r>
      <w:r>
        <w:rPr>
          <w:rFonts w:hint="eastAsia" w:ascii="仿宋" w:hAnsi="仿宋" w:eastAsia="仿宋" w:cs="仿宋"/>
          <w:i w:val="0"/>
          <w:iCs w:val="0"/>
          <w:caps w:val="0"/>
          <w:color w:val="000000"/>
          <w:spacing w:val="0"/>
          <w:sz w:val="24"/>
          <w:szCs w:val="24"/>
          <w:highlight w:val="none"/>
        </w:rPr>
        <w:t>0，下午16:</w:t>
      </w:r>
      <w:r>
        <w:rPr>
          <w:rFonts w:hint="eastAsia" w:ascii="仿宋" w:hAnsi="仿宋" w:eastAsia="仿宋" w:cs="仿宋"/>
          <w:i w:val="0"/>
          <w:iCs w:val="0"/>
          <w:caps w:val="0"/>
          <w:color w:val="000000"/>
          <w:spacing w:val="0"/>
          <w:sz w:val="24"/>
          <w:szCs w:val="24"/>
          <w:highlight w:val="none"/>
          <w:lang w:val="en-US" w:eastAsia="zh-CN"/>
        </w:rPr>
        <w:t>3</w:t>
      </w:r>
      <w:r>
        <w:rPr>
          <w:rFonts w:hint="eastAsia" w:ascii="仿宋" w:hAnsi="仿宋" w:eastAsia="仿宋" w:cs="仿宋"/>
          <w:i w:val="0"/>
          <w:iCs w:val="0"/>
          <w:caps w:val="0"/>
          <w:color w:val="000000"/>
          <w:spacing w:val="0"/>
          <w:sz w:val="24"/>
          <w:szCs w:val="24"/>
          <w:highlight w:val="none"/>
        </w:rPr>
        <w:t>0至</w:t>
      </w:r>
      <w:r>
        <w:rPr>
          <w:rFonts w:hint="eastAsia" w:ascii="仿宋" w:hAnsi="仿宋" w:eastAsia="仿宋" w:cs="仿宋"/>
          <w:i w:val="0"/>
          <w:iCs w:val="0"/>
          <w:caps w:val="0"/>
          <w:color w:val="000000"/>
          <w:spacing w:val="0"/>
          <w:sz w:val="24"/>
          <w:szCs w:val="24"/>
          <w:highlight w:val="none"/>
          <w:lang w:val="en-US" w:eastAsia="zh-CN"/>
        </w:rPr>
        <w:t>20：0</w:t>
      </w:r>
      <w:r>
        <w:rPr>
          <w:rFonts w:hint="eastAsia" w:ascii="仿宋" w:hAnsi="仿宋" w:eastAsia="仿宋" w:cs="仿宋"/>
          <w:i w:val="0"/>
          <w:iCs w:val="0"/>
          <w:caps w:val="0"/>
          <w:color w:val="000000"/>
          <w:spacing w:val="0"/>
          <w:sz w:val="24"/>
          <w:szCs w:val="24"/>
          <w:highlight w:val="none"/>
        </w:rPr>
        <w:t>0（北京时间，法定节假日除外）</w:t>
      </w:r>
    </w:p>
    <w:p>
      <w:pPr>
        <w:pStyle w:val="4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rPr>
          <w:sz w:val="24"/>
          <w:szCs w:val="24"/>
          <w:highlight w:val="none"/>
        </w:rPr>
      </w:pPr>
      <w:r>
        <w:rPr>
          <w:rFonts w:hint="eastAsia" w:ascii="仿宋" w:hAnsi="仿宋" w:eastAsia="仿宋" w:cs="仿宋"/>
          <w:i w:val="0"/>
          <w:iCs w:val="0"/>
          <w:caps w:val="0"/>
          <w:color w:val="000000"/>
          <w:spacing w:val="0"/>
          <w:sz w:val="24"/>
          <w:szCs w:val="24"/>
          <w:highlight w:val="none"/>
        </w:rPr>
        <w:t>地点：新疆政采云平台（www.zcygov.cn）线上获取</w:t>
      </w:r>
    </w:p>
    <w:p>
      <w:pPr>
        <w:pStyle w:val="4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rPr>
          <w:sz w:val="24"/>
          <w:szCs w:val="24"/>
          <w:highlight w:val="none"/>
        </w:rPr>
      </w:pPr>
      <w:r>
        <w:rPr>
          <w:rFonts w:hint="eastAsia" w:ascii="仿宋" w:hAnsi="仿宋" w:eastAsia="仿宋" w:cs="仿宋"/>
          <w:i w:val="0"/>
          <w:iCs w:val="0"/>
          <w:caps w:val="0"/>
          <w:color w:val="000000"/>
          <w:spacing w:val="0"/>
          <w:sz w:val="24"/>
          <w:szCs w:val="24"/>
          <w:highlight w:val="none"/>
        </w:rPr>
        <w:t>方式：（1）线上获取（登录政府采购云平台 → 项目采购 → 获取招标文件→ 申请，审核通过后可下载招标文件）。本次招标不提供纸质版招标文件。</w:t>
      </w:r>
      <w:r>
        <w:rPr>
          <w:rFonts w:hint="eastAsia" w:ascii="仿宋" w:hAnsi="仿宋" w:eastAsia="仿宋" w:cs="仿宋"/>
          <w:i w:val="0"/>
          <w:iCs w:val="0"/>
          <w:caps w:val="0"/>
          <w:color w:val="000000"/>
          <w:spacing w:val="0"/>
          <w:sz w:val="24"/>
          <w:szCs w:val="24"/>
          <w:highlight w:val="none"/>
        </w:rPr>
        <w:br w:type="textWrapping"/>
      </w:r>
      <w:r>
        <w:rPr>
          <w:rFonts w:hint="eastAsia" w:ascii="仿宋" w:hAnsi="仿宋" w:eastAsia="仿宋" w:cs="仿宋"/>
          <w:i w:val="0"/>
          <w:iCs w:val="0"/>
          <w:caps w:val="0"/>
          <w:color w:val="000000"/>
          <w:spacing w:val="0"/>
          <w:sz w:val="24"/>
          <w:szCs w:val="24"/>
          <w:highlight w:val="none"/>
        </w:rPr>
        <w:t>（2）供应商获取招标文件前应注册成为政府采购云平台正式供应商。</w:t>
      </w:r>
    </w:p>
    <w:p>
      <w:pPr>
        <w:pStyle w:val="4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rPr>
          <w:sz w:val="24"/>
          <w:szCs w:val="24"/>
          <w:highlight w:val="none"/>
        </w:rPr>
      </w:pPr>
      <w:r>
        <w:rPr>
          <w:rFonts w:hint="eastAsia" w:ascii="仿宋" w:hAnsi="仿宋" w:eastAsia="仿宋" w:cs="仿宋"/>
          <w:i w:val="0"/>
          <w:iCs w:val="0"/>
          <w:caps w:val="0"/>
          <w:color w:val="000000"/>
          <w:spacing w:val="0"/>
          <w:sz w:val="24"/>
          <w:szCs w:val="24"/>
          <w:highlight w:val="none"/>
        </w:rPr>
        <w:t>售价（元）：0</w:t>
      </w:r>
    </w:p>
    <w:p>
      <w:pPr>
        <w:pStyle w:val="42"/>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20" w:lineRule="exact"/>
        <w:ind w:left="0" w:right="0"/>
        <w:jc w:val="both"/>
        <w:textAlignment w:val="auto"/>
        <w:rPr>
          <w:rFonts w:ascii="黑体" w:hAnsi="宋体" w:eastAsia="黑体" w:cs="黑体"/>
          <w:sz w:val="27"/>
          <w:szCs w:val="27"/>
          <w:highlight w:val="none"/>
        </w:rPr>
      </w:pPr>
      <w:r>
        <w:rPr>
          <w:rStyle w:val="50"/>
          <w:rFonts w:ascii="黑体" w:hAnsi="宋体" w:eastAsia="黑体" w:cs="黑体"/>
          <w:i w:val="0"/>
          <w:iCs w:val="0"/>
          <w:caps w:val="0"/>
          <w:color w:val="000000"/>
          <w:spacing w:val="0"/>
          <w:sz w:val="27"/>
          <w:szCs w:val="27"/>
          <w:highlight w:val="none"/>
        </w:rPr>
        <w:t>四、提交投标文件截止时间、开标时间和地点</w:t>
      </w:r>
    </w:p>
    <w:p>
      <w:pPr>
        <w:pStyle w:val="4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rPr>
          <w:sz w:val="24"/>
          <w:szCs w:val="24"/>
          <w:highlight w:val="none"/>
        </w:rPr>
      </w:pPr>
      <w:r>
        <w:rPr>
          <w:rFonts w:hint="eastAsia" w:ascii="仿宋" w:hAnsi="仿宋" w:eastAsia="仿宋" w:cs="仿宋"/>
          <w:i w:val="0"/>
          <w:iCs w:val="0"/>
          <w:caps w:val="0"/>
          <w:color w:val="000000"/>
          <w:spacing w:val="0"/>
          <w:sz w:val="24"/>
          <w:szCs w:val="24"/>
          <w:highlight w:val="none"/>
        </w:rPr>
        <w:t>提交投标文件截止时间：</w:t>
      </w:r>
      <w:r>
        <w:rPr>
          <w:rFonts w:hint="eastAsia" w:ascii="仿宋" w:hAnsi="仿宋" w:eastAsia="仿宋" w:cs="仿宋"/>
          <w:i w:val="0"/>
          <w:iCs w:val="0"/>
          <w:caps w:val="0"/>
          <w:color w:val="0000FF"/>
          <w:spacing w:val="0"/>
          <w:sz w:val="24"/>
          <w:szCs w:val="24"/>
          <w:highlight w:val="none"/>
          <w:lang w:eastAsia="zh-CN"/>
        </w:rPr>
        <w:t>2023</w:t>
      </w:r>
      <w:r>
        <w:rPr>
          <w:rFonts w:hint="eastAsia" w:ascii="仿宋" w:hAnsi="仿宋" w:eastAsia="仿宋" w:cs="仿宋"/>
          <w:i w:val="0"/>
          <w:iCs w:val="0"/>
          <w:caps w:val="0"/>
          <w:color w:val="0000FF"/>
          <w:spacing w:val="0"/>
          <w:sz w:val="24"/>
          <w:szCs w:val="24"/>
          <w:highlight w:val="none"/>
        </w:rPr>
        <w:t>年</w:t>
      </w:r>
      <w:r>
        <w:rPr>
          <w:rFonts w:hint="eastAsia" w:ascii="仿宋" w:hAnsi="仿宋" w:eastAsia="仿宋" w:cs="仿宋"/>
          <w:i w:val="0"/>
          <w:iCs w:val="0"/>
          <w:caps w:val="0"/>
          <w:color w:val="0000FF"/>
          <w:spacing w:val="0"/>
          <w:sz w:val="24"/>
          <w:szCs w:val="24"/>
          <w:highlight w:val="none"/>
          <w:lang w:val="en-US" w:eastAsia="zh-CN"/>
        </w:rPr>
        <w:t>10月18</w:t>
      </w:r>
      <w:r>
        <w:rPr>
          <w:rFonts w:hint="eastAsia" w:ascii="仿宋" w:hAnsi="仿宋" w:eastAsia="仿宋" w:cs="仿宋"/>
          <w:i w:val="0"/>
          <w:iCs w:val="0"/>
          <w:caps w:val="0"/>
          <w:color w:val="0000FF"/>
          <w:spacing w:val="0"/>
          <w:sz w:val="24"/>
          <w:szCs w:val="24"/>
          <w:highlight w:val="none"/>
        </w:rPr>
        <w:t xml:space="preserve">日 </w:t>
      </w:r>
      <w:r>
        <w:rPr>
          <w:rFonts w:hint="eastAsia" w:ascii="仿宋" w:hAnsi="仿宋" w:eastAsia="仿宋" w:cs="仿宋"/>
          <w:i w:val="0"/>
          <w:iCs w:val="0"/>
          <w:caps w:val="0"/>
          <w:color w:val="000000"/>
          <w:spacing w:val="0"/>
          <w:sz w:val="24"/>
          <w:szCs w:val="24"/>
          <w:highlight w:val="none"/>
          <w:lang w:eastAsia="zh-CN"/>
        </w:rPr>
        <w:t>10：30</w:t>
      </w:r>
      <w:r>
        <w:rPr>
          <w:rFonts w:hint="eastAsia" w:ascii="仿宋" w:hAnsi="仿宋" w:eastAsia="仿宋" w:cs="仿宋"/>
          <w:i w:val="0"/>
          <w:iCs w:val="0"/>
          <w:caps w:val="0"/>
          <w:color w:val="000000"/>
          <w:spacing w:val="0"/>
          <w:sz w:val="24"/>
          <w:szCs w:val="24"/>
          <w:highlight w:val="none"/>
        </w:rPr>
        <w:t>（北京时间）</w:t>
      </w:r>
    </w:p>
    <w:p>
      <w:pPr>
        <w:pStyle w:val="4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rPr>
          <w:sz w:val="24"/>
          <w:szCs w:val="24"/>
          <w:highlight w:val="none"/>
        </w:rPr>
      </w:pPr>
      <w:r>
        <w:rPr>
          <w:rFonts w:hint="eastAsia" w:ascii="仿宋" w:hAnsi="仿宋" w:eastAsia="仿宋" w:cs="仿宋"/>
          <w:i w:val="0"/>
          <w:iCs w:val="0"/>
          <w:caps w:val="0"/>
          <w:color w:val="000000"/>
          <w:spacing w:val="0"/>
          <w:sz w:val="24"/>
          <w:szCs w:val="24"/>
          <w:highlight w:val="none"/>
        </w:rPr>
        <w:t>投标地点：政府采购云平台（www.zcygov.cn）</w:t>
      </w:r>
    </w:p>
    <w:p>
      <w:pPr>
        <w:pStyle w:val="4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rPr>
          <w:rFonts w:hint="eastAsia" w:ascii="仿宋" w:hAnsi="仿宋" w:eastAsia="仿宋" w:cs="仿宋"/>
          <w:i w:val="0"/>
          <w:iCs w:val="0"/>
          <w:caps w:val="0"/>
          <w:color w:val="000000"/>
          <w:spacing w:val="0"/>
          <w:sz w:val="24"/>
          <w:szCs w:val="24"/>
          <w:highlight w:val="none"/>
        </w:rPr>
      </w:pPr>
      <w:r>
        <w:rPr>
          <w:rFonts w:hint="eastAsia" w:ascii="仿宋" w:hAnsi="仿宋" w:eastAsia="仿宋" w:cs="仿宋"/>
          <w:i w:val="0"/>
          <w:iCs w:val="0"/>
          <w:caps w:val="0"/>
          <w:color w:val="000000"/>
          <w:spacing w:val="0"/>
          <w:sz w:val="24"/>
          <w:szCs w:val="24"/>
          <w:highlight w:val="none"/>
        </w:rPr>
        <w:t>开标时间：</w:t>
      </w:r>
      <w:r>
        <w:rPr>
          <w:rFonts w:hint="eastAsia" w:ascii="仿宋" w:hAnsi="仿宋" w:eastAsia="仿宋" w:cs="仿宋"/>
          <w:i w:val="0"/>
          <w:iCs w:val="0"/>
          <w:caps w:val="0"/>
          <w:color w:val="0000FF"/>
          <w:spacing w:val="0"/>
          <w:sz w:val="24"/>
          <w:szCs w:val="24"/>
          <w:highlight w:val="none"/>
          <w:lang w:eastAsia="zh-CN"/>
        </w:rPr>
        <w:t>2023</w:t>
      </w:r>
      <w:r>
        <w:rPr>
          <w:rFonts w:hint="eastAsia" w:ascii="仿宋" w:hAnsi="仿宋" w:eastAsia="仿宋" w:cs="仿宋"/>
          <w:i w:val="0"/>
          <w:iCs w:val="0"/>
          <w:caps w:val="0"/>
          <w:color w:val="0000FF"/>
          <w:spacing w:val="0"/>
          <w:sz w:val="24"/>
          <w:szCs w:val="24"/>
          <w:highlight w:val="none"/>
        </w:rPr>
        <w:t>年</w:t>
      </w:r>
      <w:r>
        <w:rPr>
          <w:rFonts w:hint="eastAsia" w:ascii="仿宋" w:hAnsi="仿宋" w:eastAsia="仿宋" w:cs="仿宋"/>
          <w:i w:val="0"/>
          <w:iCs w:val="0"/>
          <w:caps w:val="0"/>
          <w:color w:val="0000FF"/>
          <w:spacing w:val="0"/>
          <w:sz w:val="24"/>
          <w:szCs w:val="24"/>
          <w:highlight w:val="none"/>
          <w:lang w:val="en-US" w:eastAsia="zh-CN"/>
        </w:rPr>
        <w:t>10</w:t>
      </w:r>
      <w:r>
        <w:rPr>
          <w:rFonts w:hint="eastAsia" w:ascii="仿宋" w:hAnsi="仿宋" w:eastAsia="仿宋" w:cs="仿宋"/>
          <w:i w:val="0"/>
          <w:iCs w:val="0"/>
          <w:caps w:val="0"/>
          <w:color w:val="0000FF"/>
          <w:spacing w:val="0"/>
          <w:sz w:val="24"/>
          <w:szCs w:val="24"/>
          <w:highlight w:val="none"/>
        </w:rPr>
        <w:t>月</w:t>
      </w:r>
      <w:r>
        <w:rPr>
          <w:rFonts w:hint="eastAsia" w:ascii="仿宋" w:hAnsi="仿宋" w:eastAsia="仿宋" w:cs="仿宋"/>
          <w:i w:val="0"/>
          <w:iCs w:val="0"/>
          <w:caps w:val="0"/>
          <w:color w:val="0000FF"/>
          <w:spacing w:val="0"/>
          <w:sz w:val="24"/>
          <w:szCs w:val="24"/>
          <w:highlight w:val="none"/>
          <w:lang w:val="en-US" w:eastAsia="zh-CN"/>
        </w:rPr>
        <w:t>18</w:t>
      </w:r>
      <w:r>
        <w:rPr>
          <w:rFonts w:hint="eastAsia" w:ascii="仿宋" w:hAnsi="仿宋" w:eastAsia="仿宋" w:cs="仿宋"/>
          <w:i w:val="0"/>
          <w:iCs w:val="0"/>
          <w:caps w:val="0"/>
          <w:color w:val="0000FF"/>
          <w:spacing w:val="0"/>
          <w:sz w:val="24"/>
          <w:szCs w:val="24"/>
          <w:highlight w:val="none"/>
        </w:rPr>
        <w:t xml:space="preserve">日 </w:t>
      </w:r>
      <w:r>
        <w:rPr>
          <w:rFonts w:hint="eastAsia" w:ascii="仿宋" w:hAnsi="仿宋" w:eastAsia="仿宋" w:cs="仿宋"/>
          <w:i w:val="0"/>
          <w:iCs w:val="0"/>
          <w:caps w:val="0"/>
          <w:color w:val="0000FF"/>
          <w:spacing w:val="0"/>
          <w:sz w:val="24"/>
          <w:szCs w:val="24"/>
          <w:highlight w:val="none"/>
          <w:lang w:eastAsia="zh-CN"/>
        </w:rPr>
        <w:t>10：30</w:t>
      </w:r>
      <w:r>
        <w:rPr>
          <w:rFonts w:hint="eastAsia" w:ascii="仿宋" w:hAnsi="仿宋" w:eastAsia="仿宋" w:cs="仿宋"/>
          <w:i w:val="0"/>
          <w:iCs w:val="0"/>
          <w:caps w:val="0"/>
          <w:color w:val="000000"/>
          <w:spacing w:val="0"/>
          <w:sz w:val="24"/>
          <w:szCs w:val="24"/>
          <w:highlight w:val="none"/>
        </w:rPr>
        <w:t>（北京时间）</w:t>
      </w:r>
    </w:p>
    <w:p>
      <w:pPr>
        <w:pStyle w:val="4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rPr>
          <w:highlight w:val="none"/>
        </w:rPr>
      </w:pPr>
      <w:r>
        <w:rPr>
          <w:rFonts w:hint="eastAsia" w:ascii="仿宋" w:hAnsi="仿宋" w:eastAsia="仿宋" w:cs="仿宋"/>
          <w:i w:val="0"/>
          <w:iCs w:val="0"/>
          <w:caps w:val="0"/>
          <w:color w:val="000000"/>
          <w:spacing w:val="0"/>
          <w:sz w:val="24"/>
          <w:szCs w:val="24"/>
          <w:highlight w:val="none"/>
        </w:rPr>
        <w:t>开标地点：在政府采购云平台（www.zcygov.cn）上开启投标文件</w:t>
      </w:r>
    </w:p>
    <w:p>
      <w:pPr>
        <w:pStyle w:val="42"/>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20" w:lineRule="exact"/>
        <w:ind w:left="0" w:right="0"/>
        <w:jc w:val="both"/>
        <w:textAlignment w:val="auto"/>
        <w:rPr>
          <w:rFonts w:ascii="黑体" w:hAnsi="宋体" w:eastAsia="黑体" w:cs="黑体"/>
          <w:sz w:val="31"/>
          <w:szCs w:val="31"/>
          <w:highlight w:val="none"/>
        </w:rPr>
      </w:pPr>
      <w:r>
        <w:rPr>
          <w:rStyle w:val="50"/>
          <w:rFonts w:ascii="黑体" w:hAnsi="宋体" w:eastAsia="黑体" w:cs="黑体"/>
          <w:i w:val="0"/>
          <w:iCs w:val="0"/>
          <w:caps w:val="0"/>
          <w:color w:val="000000"/>
          <w:spacing w:val="0"/>
          <w:sz w:val="27"/>
          <w:szCs w:val="27"/>
          <w:highlight w:val="none"/>
        </w:rPr>
        <w:t>五、公告期限</w:t>
      </w:r>
    </w:p>
    <w:p>
      <w:pPr>
        <w:pStyle w:val="4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rPr>
          <w:rFonts w:hint="eastAsia" w:ascii="仿宋" w:hAnsi="仿宋" w:eastAsia="仿宋" w:cs="仿宋"/>
          <w:i w:val="0"/>
          <w:iCs w:val="0"/>
          <w:caps w:val="0"/>
          <w:color w:val="000000"/>
          <w:spacing w:val="0"/>
          <w:sz w:val="24"/>
          <w:szCs w:val="24"/>
          <w:highlight w:val="none"/>
        </w:rPr>
      </w:pPr>
      <w:r>
        <w:rPr>
          <w:rFonts w:hint="eastAsia" w:ascii="仿宋" w:hAnsi="仿宋" w:eastAsia="仿宋" w:cs="仿宋"/>
          <w:i w:val="0"/>
          <w:iCs w:val="0"/>
          <w:caps w:val="0"/>
          <w:color w:val="000000"/>
          <w:spacing w:val="0"/>
          <w:sz w:val="24"/>
          <w:szCs w:val="24"/>
          <w:highlight w:val="none"/>
        </w:rPr>
        <w:t>自本公告发布之日起5个工作日。</w:t>
      </w:r>
    </w:p>
    <w:p>
      <w:pPr>
        <w:pStyle w:val="42"/>
        <w:keepNext w:val="0"/>
        <w:keepLines w:val="0"/>
        <w:pageBreakBefore w:val="0"/>
        <w:widowControl/>
        <w:numPr>
          <w:ilvl w:val="0"/>
          <w:numId w:val="3"/>
        </w:numPr>
        <w:suppressLineNumbers w:val="0"/>
        <w:kinsoku/>
        <w:wordWrap/>
        <w:overflowPunct/>
        <w:topLinePunct w:val="0"/>
        <w:autoSpaceDE/>
        <w:autoSpaceDN/>
        <w:bidi w:val="0"/>
        <w:adjustRightInd/>
        <w:snapToGrid/>
        <w:spacing w:before="255" w:beforeAutospacing="0" w:after="255" w:afterAutospacing="0" w:line="320" w:lineRule="exact"/>
        <w:ind w:left="0" w:right="0"/>
        <w:jc w:val="both"/>
        <w:textAlignment w:val="auto"/>
        <w:rPr>
          <w:rStyle w:val="50"/>
          <w:rFonts w:ascii="黑体" w:hAnsi="宋体" w:eastAsia="黑体" w:cs="黑体"/>
          <w:i w:val="0"/>
          <w:iCs w:val="0"/>
          <w:caps w:val="0"/>
          <w:color w:val="000000"/>
          <w:spacing w:val="0"/>
          <w:sz w:val="27"/>
          <w:szCs w:val="27"/>
          <w:highlight w:val="none"/>
        </w:rPr>
      </w:pPr>
      <w:r>
        <w:rPr>
          <w:rStyle w:val="50"/>
          <w:rFonts w:ascii="黑体" w:hAnsi="宋体" w:eastAsia="黑体" w:cs="黑体"/>
          <w:i w:val="0"/>
          <w:iCs w:val="0"/>
          <w:caps w:val="0"/>
          <w:color w:val="000000"/>
          <w:spacing w:val="0"/>
          <w:sz w:val="27"/>
          <w:szCs w:val="27"/>
          <w:highlight w:val="none"/>
        </w:rPr>
        <w:t>其他补充事宜</w:t>
      </w:r>
    </w:p>
    <w:p>
      <w:pPr>
        <w:pStyle w:val="42"/>
        <w:keepNext w:val="0"/>
        <w:keepLines w:val="0"/>
        <w:pageBreakBefore w:val="0"/>
        <w:widowControl/>
        <w:numPr>
          <w:ilvl w:val="0"/>
          <w:numId w:val="0"/>
        </w:numPr>
        <w:suppressLineNumbers w:val="0"/>
        <w:kinsoku/>
        <w:wordWrap/>
        <w:overflowPunct/>
        <w:topLinePunct w:val="0"/>
        <w:autoSpaceDE/>
        <w:autoSpaceDN/>
        <w:bidi w:val="0"/>
        <w:adjustRightInd/>
        <w:snapToGrid/>
        <w:spacing w:before="255" w:beforeAutospacing="0" w:after="255" w:afterAutospacing="0" w:line="320" w:lineRule="exact"/>
        <w:ind w:right="0" w:rightChars="0" w:firstLine="540" w:firstLineChars="200"/>
        <w:jc w:val="both"/>
        <w:textAlignment w:val="auto"/>
        <w:rPr>
          <w:rStyle w:val="50"/>
          <w:rFonts w:hint="eastAsia" w:ascii="黑体" w:hAnsi="宋体" w:eastAsia="黑体" w:cs="黑体"/>
          <w:i w:val="0"/>
          <w:iCs w:val="0"/>
          <w:caps w:val="0"/>
          <w:color w:val="000000"/>
          <w:spacing w:val="0"/>
          <w:sz w:val="27"/>
          <w:szCs w:val="27"/>
          <w:highlight w:val="none"/>
          <w:lang w:val="en-US" w:eastAsia="zh-CN"/>
        </w:rPr>
      </w:pPr>
      <w:r>
        <w:rPr>
          <w:rStyle w:val="50"/>
          <w:rFonts w:hint="eastAsia" w:ascii="黑体" w:hAnsi="宋体" w:eastAsia="黑体" w:cs="黑体"/>
          <w:i w:val="0"/>
          <w:iCs w:val="0"/>
          <w:caps w:val="0"/>
          <w:color w:val="000000"/>
          <w:spacing w:val="0"/>
          <w:sz w:val="27"/>
          <w:szCs w:val="27"/>
          <w:highlight w:val="none"/>
          <w:lang w:val="en-US" w:eastAsia="zh-CN"/>
        </w:rPr>
        <w:t>/</w:t>
      </w:r>
    </w:p>
    <w:p>
      <w:pPr>
        <w:pStyle w:val="4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rPr>
          <w:rFonts w:hint="eastAsia" w:ascii="仿宋" w:hAnsi="仿宋" w:eastAsia="仿宋" w:cs="仿宋"/>
          <w:i w:val="0"/>
          <w:iCs w:val="0"/>
          <w:caps w:val="0"/>
          <w:color w:val="000000"/>
          <w:spacing w:val="0"/>
          <w:sz w:val="27"/>
          <w:szCs w:val="27"/>
          <w:highlight w:val="none"/>
        </w:rPr>
      </w:pPr>
      <w:r>
        <w:rPr>
          <w:rFonts w:hint="eastAsia" w:ascii="仿宋" w:hAnsi="仿宋" w:eastAsia="仿宋" w:cs="仿宋"/>
          <w:b/>
          <w:bCs/>
          <w:i w:val="0"/>
          <w:iCs w:val="0"/>
          <w:caps w:val="0"/>
          <w:color w:val="000000"/>
          <w:spacing w:val="0"/>
          <w:sz w:val="27"/>
          <w:szCs w:val="27"/>
          <w:highlight w:val="none"/>
        </w:rPr>
        <w:t>特别提示：</w:t>
      </w:r>
    </w:p>
    <w:p>
      <w:pPr>
        <w:pStyle w:val="4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rPr>
          <w:rFonts w:hint="eastAsia" w:ascii="仿宋" w:hAnsi="仿宋" w:eastAsia="仿宋" w:cs="仿宋"/>
          <w:i w:val="0"/>
          <w:iCs w:val="0"/>
          <w:caps w:val="0"/>
          <w:color w:val="000000"/>
          <w:spacing w:val="0"/>
          <w:sz w:val="24"/>
          <w:szCs w:val="24"/>
          <w:highlight w:val="none"/>
        </w:rPr>
      </w:pPr>
      <w:r>
        <w:rPr>
          <w:rFonts w:hint="eastAsia" w:ascii="仿宋" w:hAnsi="仿宋" w:eastAsia="仿宋" w:cs="仿宋"/>
          <w:i w:val="0"/>
          <w:iCs w:val="0"/>
          <w:caps w:val="0"/>
          <w:color w:val="000000"/>
          <w:spacing w:val="0"/>
          <w:sz w:val="24"/>
          <w:szCs w:val="24"/>
          <w:highlight w:val="none"/>
        </w:rPr>
        <w:t>1、超过200万元的货物和服务采购项目、超过400万元的工程采购项目中适宜由中小企业提供的，预留该部分采购项目预算总额的40%以上专门面向中小企业采购，其中预留给小微企业的比例不低于60%。</w:t>
      </w:r>
    </w:p>
    <w:p>
      <w:pPr>
        <w:pStyle w:val="4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rPr>
          <w:rFonts w:hint="eastAsia" w:ascii="仿宋" w:hAnsi="仿宋" w:eastAsia="仿宋" w:cs="仿宋"/>
          <w:i w:val="0"/>
          <w:iCs w:val="0"/>
          <w:caps w:val="0"/>
          <w:color w:val="000000"/>
          <w:spacing w:val="0"/>
          <w:sz w:val="24"/>
          <w:szCs w:val="24"/>
          <w:highlight w:val="none"/>
        </w:rPr>
      </w:pPr>
      <w:r>
        <w:rPr>
          <w:rFonts w:hint="eastAsia" w:ascii="仿宋" w:hAnsi="仿宋" w:eastAsia="仿宋" w:cs="仿宋"/>
          <w:i w:val="0"/>
          <w:iCs w:val="0"/>
          <w:caps w:val="0"/>
          <w:color w:val="000000"/>
          <w:spacing w:val="0"/>
          <w:sz w:val="24"/>
          <w:szCs w:val="24"/>
          <w:highlight w:val="none"/>
        </w:rPr>
        <w:t>2、对于未预留份额专门面向中小企业的采购项目，以及预留份额项目中的非预留部分采购包，采购人、采购代理机构应当对符合规定的小微企业报价给予10%</w:t>
      </w:r>
      <w:r>
        <w:rPr>
          <w:rFonts w:hint="eastAsia" w:ascii="仿宋" w:hAnsi="仿宋" w:eastAsia="仿宋" w:cs="仿宋"/>
          <w:i w:val="0"/>
          <w:iCs w:val="0"/>
          <w:caps w:val="0"/>
          <w:color w:val="000000"/>
          <w:spacing w:val="0"/>
          <w:sz w:val="24"/>
          <w:szCs w:val="24"/>
          <w:highlight w:val="none"/>
          <w:lang w:eastAsia="zh-CN"/>
        </w:rPr>
        <w:t>～</w:t>
      </w:r>
      <w:r>
        <w:rPr>
          <w:rFonts w:hint="eastAsia" w:ascii="仿宋" w:hAnsi="仿宋" w:eastAsia="仿宋" w:cs="仿宋"/>
          <w:i w:val="0"/>
          <w:iCs w:val="0"/>
          <w:caps w:val="0"/>
          <w:color w:val="000000"/>
          <w:spacing w:val="0"/>
          <w:sz w:val="24"/>
          <w:szCs w:val="24"/>
          <w:highlight w:val="none"/>
        </w:rPr>
        <w:t>20%（工程项目为6%</w:t>
      </w:r>
      <w:r>
        <w:rPr>
          <w:rFonts w:hint="eastAsia" w:ascii="仿宋" w:hAnsi="仿宋" w:eastAsia="仿宋" w:cs="仿宋"/>
          <w:i w:val="0"/>
          <w:iCs w:val="0"/>
          <w:caps w:val="0"/>
          <w:color w:val="000000"/>
          <w:spacing w:val="0"/>
          <w:sz w:val="24"/>
          <w:szCs w:val="24"/>
          <w:highlight w:val="none"/>
          <w:lang w:eastAsia="zh-CN"/>
        </w:rPr>
        <w:t>～</w:t>
      </w:r>
      <w:r>
        <w:rPr>
          <w:rFonts w:hint="eastAsia" w:ascii="仿宋" w:hAnsi="仿宋" w:eastAsia="仿宋" w:cs="仿宋"/>
          <w:i w:val="0"/>
          <w:iCs w:val="0"/>
          <w:caps w:val="0"/>
          <w:color w:val="000000"/>
          <w:spacing w:val="0"/>
          <w:sz w:val="24"/>
          <w:szCs w:val="24"/>
          <w:highlight w:val="none"/>
        </w:rPr>
        <w:t>10%）的扣除，用扣除后的价格参加评审。适用招标投标法的政府采购工程建设项目，采用综合评估法但未采用低价优先法计算价格分的，评标时应当在采用原报价进行评分的基础上增加其价格得分的6%</w:t>
      </w:r>
      <w:r>
        <w:rPr>
          <w:rFonts w:hint="eastAsia" w:ascii="仿宋" w:hAnsi="仿宋" w:eastAsia="仿宋" w:cs="仿宋"/>
          <w:i w:val="0"/>
          <w:iCs w:val="0"/>
          <w:caps w:val="0"/>
          <w:color w:val="000000"/>
          <w:spacing w:val="0"/>
          <w:sz w:val="24"/>
          <w:szCs w:val="24"/>
          <w:highlight w:val="none"/>
          <w:lang w:eastAsia="zh-CN"/>
        </w:rPr>
        <w:t>～</w:t>
      </w:r>
      <w:r>
        <w:rPr>
          <w:rFonts w:hint="eastAsia" w:ascii="仿宋" w:hAnsi="仿宋" w:eastAsia="仿宋" w:cs="仿宋"/>
          <w:i w:val="0"/>
          <w:iCs w:val="0"/>
          <w:caps w:val="0"/>
          <w:color w:val="000000"/>
          <w:spacing w:val="0"/>
          <w:sz w:val="24"/>
          <w:szCs w:val="24"/>
          <w:highlight w:val="none"/>
        </w:rPr>
        <w:t>10%作为其价格分。</w:t>
      </w:r>
    </w:p>
    <w:p>
      <w:pPr>
        <w:pStyle w:val="4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rPr>
          <w:rFonts w:hint="eastAsia" w:ascii="仿宋" w:hAnsi="仿宋" w:eastAsia="仿宋" w:cs="仿宋"/>
          <w:i w:val="0"/>
          <w:iCs w:val="0"/>
          <w:caps w:val="0"/>
          <w:color w:val="000000"/>
          <w:spacing w:val="0"/>
          <w:sz w:val="24"/>
          <w:szCs w:val="24"/>
          <w:highlight w:val="none"/>
        </w:rPr>
      </w:pPr>
      <w:r>
        <w:rPr>
          <w:rFonts w:hint="eastAsia" w:ascii="仿宋" w:hAnsi="仿宋" w:eastAsia="仿宋" w:cs="仿宋"/>
          <w:i w:val="0"/>
          <w:iCs w:val="0"/>
          <w:caps w:val="0"/>
          <w:color w:val="000000"/>
          <w:spacing w:val="0"/>
          <w:sz w:val="24"/>
          <w:szCs w:val="24"/>
          <w:highlight w:val="none"/>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w:t>
      </w:r>
      <w:r>
        <w:rPr>
          <w:rFonts w:hint="eastAsia" w:ascii="仿宋" w:hAnsi="仿宋" w:eastAsia="仿宋" w:cs="仿宋"/>
          <w:i w:val="0"/>
          <w:iCs w:val="0"/>
          <w:caps w:val="0"/>
          <w:color w:val="000000"/>
          <w:spacing w:val="0"/>
          <w:sz w:val="24"/>
          <w:szCs w:val="24"/>
          <w:highlight w:val="none"/>
          <w:lang w:eastAsia="zh-CN"/>
        </w:rPr>
        <w:t>～</w:t>
      </w:r>
      <w:r>
        <w:rPr>
          <w:rFonts w:hint="eastAsia" w:ascii="仿宋" w:hAnsi="仿宋" w:eastAsia="仿宋" w:cs="仿宋"/>
          <w:i w:val="0"/>
          <w:iCs w:val="0"/>
          <w:caps w:val="0"/>
          <w:color w:val="000000"/>
          <w:spacing w:val="0"/>
          <w:sz w:val="24"/>
          <w:szCs w:val="24"/>
          <w:highlight w:val="none"/>
        </w:rPr>
        <w:t>6%（工程项目为2%</w:t>
      </w:r>
      <w:r>
        <w:rPr>
          <w:rFonts w:hint="eastAsia" w:ascii="仿宋" w:hAnsi="仿宋" w:eastAsia="仿宋" w:cs="仿宋"/>
          <w:i w:val="0"/>
          <w:iCs w:val="0"/>
          <w:caps w:val="0"/>
          <w:color w:val="000000"/>
          <w:spacing w:val="0"/>
          <w:sz w:val="24"/>
          <w:szCs w:val="24"/>
          <w:highlight w:val="none"/>
          <w:lang w:eastAsia="zh-CN"/>
        </w:rPr>
        <w:t>～</w:t>
      </w:r>
      <w:r>
        <w:rPr>
          <w:rFonts w:hint="eastAsia" w:ascii="仿宋" w:hAnsi="仿宋" w:eastAsia="仿宋" w:cs="仿宋"/>
          <w:i w:val="0"/>
          <w:iCs w:val="0"/>
          <w:caps w:val="0"/>
          <w:color w:val="000000"/>
          <w:spacing w:val="0"/>
          <w:sz w:val="24"/>
          <w:szCs w:val="24"/>
          <w:highlight w:val="none"/>
        </w:rPr>
        <w:t>4%）的扣除，用扣除后的价格参加评审。适用招标投标法的政府采购工程建设项目，采用综合评估法但未采用低价优先法计算价格分的，评标时应当在采用原报价进行评分的基础上增加其价格得分的2%</w:t>
      </w:r>
      <w:r>
        <w:rPr>
          <w:rFonts w:hint="eastAsia" w:ascii="仿宋" w:hAnsi="仿宋" w:eastAsia="仿宋" w:cs="仿宋"/>
          <w:i w:val="0"/>
          <w:iCs w:val="0"/>
          <w:caps w:val="0"/>
          <w:color w:val="000000"/>
          <w:spacing w:val="0"/>
          <w:sz w:val="24"/>
          <w:szCs w:val="24"/>
          <w:highlight w:val="none"/>
          <w:lang w:eastAsia="zh-CN"/>
        </w:rPr>
        <w:t>～</w:t>
      </w:r>
      <w:r>
        <w:rPr>
          <w:rFonts w:hint="eastAsia" w:ascii="仿宋" w:hAnsi="仿宋" w:eastAsia="仿宋" w:cs="仿宋"/>
          <w:i w:val="0"/>
          <w:iCs w:val="0"/>
          <w:caps w:val="0"/>
          <w:color w:val="000000"/>
          <w:spacing w:val="0"/>
          <w:sz w:val="24"/>
          <w:szCs w:val="24"/>
          <w:highlight w:val="none"/>
        </w:rPr>
        <w:t>4%作为其价格分。</w:t>
      </w:r>
    </w:p>
    <w:p>
      <w:pPr>
        <w:pStyle w:val="42"/>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20" w:lineRule="exact"/>
        <w:ind w:left="0" w:right="0"/>
        <w:jc w:val="both"/>
        <w:textAlignment w:val="auto"/>
        <w:rPr>
          <w:rFonts w:ascii="黑体" w:hAnsi="宋体" w:eastAsia="黑体" w:cs="黑体"/>
          <w:sz w:val="31"/>
          <w:szCs w:val="31"/>
          <w:highlight w:val="none"/>
        </w:rPr>
      </w:pPr>
      <w:r>
        <w:rPr>
          <w:rStyle w:val="50"/>
          <w:rFonts w:ascii="黑体" w:hAnsi="宋体" w:eastAsia="黑体" w:cs="黑体"/>
          <w:i w:val="0"/>
          <w:iCs w:val="0"/>
          <w:caps w:val="0"/>
          <w:color w:val="000000"/>
          <w:spacing w:val="0"/>
          <w:sz w:val="27"/>
          <w:szCs w:val="27"/>
          <w:highlight w:val="none"/>
        </w:rPr>
        <w:t>七、对本次采购提出询问，请按以下方式联系</w:t>
      </w:r>
    </w:p>
    <w:p>
      <w:pPr>
        <w:pStyle w:val="4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rPr>
          <w:rFonts w:hint="eastAsia" w:ascii="仿宋" w:hAnsi="仿宋" w:eastAsia="仿宋" w:cs="仿宋"/>
          <w:i w:val="0"/>
          <w:iCs w:val="0"/>
          <w:caps w:val="0"/>
          <w:color w:val="000000"/>
          <w:spacing w:val="0"/>
          <w:sz w:val="24"/>
          <w:szCs w:val="24"/>
          <w:highlight w:val="none"/>
        </w:rPr>
      </w:pPr>
      <w:r>
        <w:rPr>
          <w:rFonts w:hint="eastAsia" w:ascii="仿宋" w:hAnsi="仿宋" w:eastAsia="仿宋" w:cs="仿宋"/>
          <w:i w:val="0"/>
          <w:iCs w:val="0"/>
          <w:caps w:val="0"/>
          <w:color w:val="000000"/>
          <w:spacing w:val="0"/>
          <w:sz w:val="24"/>
          <w:szCs w:val="24"/>
          <w:highlight w:val="none"/>
        </w:rPr>
        <w:t>1.采购人信息</w:t>
      </w:r>
    </w:p>
    <w:p>
      <w:pPr>
        <w:pStyle w:val="4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rPr>
        <w:t>名 称：</w:t>
      </w:r>
      <w:r>
        <w:rPr>
          <w:rFonts w:hint="eastAsia" w:ascii="仿宋" w:hAnsi="仿宋" w:eastAsia="仿宋" w:cs="仿宋"/>
          <w:i w:val="0"/>
          <w:iCs w:val="0"/>
          <w:caps w:val="0"/>
          <w:color w:val="000000"/>
          <w:spacing w:val="0"/>
          <w:sz w:val="24"/>
          <w:szCs w:val="24"/>
          <w:highlight w:val="none"/>
          <w:lang w:val="en-US" w:eastAsia="zh-CN"/>
        </w:rPr>
        <w:t>克孜勒苏柯尔克孜自治州中心血站</w:t>
      </w:r>
    </w:p>
    <w:p>
      <w:pPr>
        <w:pStyle w:val="4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rPr>
        <w:t>地 址：克州</w:t>
      </w:r>
      <w:r>
        <w:rPr>
          <w:rFonts w:hint="eastAsia" w:ascii="仿宋" w:hAnsi="仿宋" w:eastAsia="仿宋" w:cs="仿宋"/>
          <w:i w:val="0"/>
          <w:iCs w:val="0"/>
          <w:caps w:val="0"/>
          <w:color w:val="000000"/>
          <w:spacing w:val="0"/>
          <w:sz w:val="24"/>
          <w:szCs w:val="24"/>
          <w:highlight w:val="none"/>
          <w:lang w:val="en-US" w:eastAsia="zh-CN"/>
        </w:rPr>
        <w:t>阿图什市</w:t>
      </w:r>
    </w:p>
    <w:p>
      <w:pPr>
        <w:pStyle w:val="4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rPr>
          <w:rFonts w:hint="default"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rPr>
        <w:t>联系方式：</w:t>
      </w:r>
      <w:r>
        <w:rPr>
          <w:rFonts w:hint="eastAsia" w:ascii="仿宋" w:hAnsi="仿宋" w:eastAsia="仿宋" w:cs="仿宋"/>
          <w:i w:val="0"/>
          <w:iCs w:val="0"/>
          <w:caps w:val="0"/>
          <w:color w:val="000000"/>
          <w:spacing w:val="0"/>
          <w:sz w:val="24"/>
          <w:szCs w:val="24"/>
          <w:highlight w:val="none"/>
          <w:lang w:val="en-US" w:eastAsia="zh-CN"/>
        </w:rPr>
        <w:t>18742677989</w:t>
      </w:r>
    </w:p>
    <w:p>
      <w:pPr>
        <w:pStyle w:val="4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rPr>
          <w:rFonts w:hint="eastAsia" w:ascii="仿宋" w:hAnsi="仿宋" w:eastAsia="仿宋" w:cs="仿宋"/>
          <w:i w:val="0"/>
          <w:iCs w:val="0"/>
          <w:caps w:val="0"/>
          <w:color w:val="000000"/>
          <w:spacing w:val="0"/>
          <w:sz w:val="24"/>
          <w:szCs w:val="24"/>
          <w:highlight w:val="none"/>
        </w:rPr>
      </w:pPr>
      <w:r>
        <w:rPr>
          <w:rFonts w:hint="eastAsia" w:ascii="仿宋" w:hAnsi="仿宋" w:eastAsia="仿宋" w:cs="仿宋"/>
          <w:i w:val="0"/>
          <w:iCs w:val="0"/>
          <w:caps w:val="0"/>
          <w:color w:val="000000"/>
          <w:spacing w:val="0"/>
          <w:sz w:val="24"/>
          <w:szCs w:val="24"/>
          <w:highlight w:val="none"/>
        </w:rPr>
        <w:t>2.采购代理机构信息</w:t>
      </w:r>
    </w:p>
    <w:p>
      <w:pPr>
        <w:pStyle w:val="4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rPr>
          <w:rFonts w:hint="eastAsia" w:ascii="仿宋" w:hAnsi="仿宋" w:eastAsia="仿宋" w:cs="仿宋"/>
          <w:i w:val="0"/>
          <w:iCs w:val="0"/>
          <w:caps w:val="0"/>
          <w:color w:val="000000"/>
          <w:spacing w:val="0"/>
          <w:sz w:val="24"/>
          <w:szCs w:val="24"/>
          <w:highlight w:val="none"/>
          <w:lang w:eastAsia="zh-CN"/>
        </w:rPr>
      </w:pPr>
      <w:r>
        <w:rPr>
          <w:rFonts w:hint="eastAsia" w:ascii="仿宋" w:hAnsi="仿宋" w:eastAsia="仿宋" w:cs="仿宋"/>
          <w:i w:val="0"/>
          <w:iCs w:val="0"/>
          <w:caps w:val="0"/>
          <w:color w:val="000000"/>
          <w:spacing w:val="0"/>
          <w:sz w:val="24"/>
          <w:szCs w:val="24"/>
          <w:highlight w:val="none"/>
        </w:rPr>
        <w:t>名 称：</w:t>
      </w:r>
      <w:r>
        <w:rPr>
          <w:rFonts w:hint="eastAsia" w:ascii="仿宋" w:hAnsi="仿宋" w:eastAsia="仿宋" w:cs="仿宋"/>
          <w:i w:val="0"/>
          <w:iCs w:val="0"/>
          <w:caps w:val="0"/>
          <w:color w:val="000000"/>
          <w:spacing w:val="0"/>
          <w:sz w:val="24"/>
          <w:szCs w:val="24"/>
          <w:highlight w:val="none"/>
          <w:lang w:eastAsia="zh-CN"/>
        </w:rPr>
        <w:t>中科高盛咨询集团有限公司 </w:t>
      </w:r>
    </w:p>
    <w:p>
      <w:pPr>
        <w:pStyle w:val="4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rPr>
          <w:rFonts w:hint="default"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rPr>
        <w:t>地 址：</w:t>
      </w:r>
      <w:r>
        <w:rPr>
          <w:rFonts w:hint="eastAsia" w:ascii="仿宋" w:hAnsi="仿宋" w:eastAsia="仿宋" w:cs="仿宋"/>
          <w:i w:val="0"/>
          <w:iCs w:val="0"/>
          <w:caps w:val="0"/>
          <w:color w:val="000000"/>
          <w:spacing w:val="0"/>
          <w:sz w:val="24"/>
          <w:szCs w:val="24"/>
          <w:highlight w:val="none"/>
          <w:lang w:eastAsia="zh-CN"/>
        </w:rPr>
        <w:t>克州阿图什市幸福街道松他克路5院D区301号</w:t>
      </w:r>
    </w:p>
    <w:p>
      <w:pPr>
        <w:pStyle w:val="4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rPr>
          <w:rFonts w:hint="default"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rPr>
        <w:t>联系方式：</w:t>
      </w:r>
      <w:r>
        <w:rPr>
          <w:rFonts w:hint="eastAsia" w:ascii="仿宋" w:hAnsi="仿宋" w:eastAsia="仿宋" w:cs="仿宋"/>
          <w:i w:val="0"/>
          <w:iCs w:val="0"/>
          <w:caps w:val="0"/>
          <w:color w:val="000000"/>
          <w:spacing w:val="0"/>
          <w:sz w:val="24"/>
          <w:szCs w:val="24"/>
          <w:highlight w:val="none"/>
          <w:lang w:val="en-US" w:eastAsia="zh-CN"/>
        </w:rPr>
        <w:t>17881605898</w:t>
      </w:r>
    </w:p>
    <w:p>
      <w:pPr>
        <w:pStyle w:val="4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rPr>
          <w:rFonts w:hint="eastAsia" w:ascii="仿宋" w:hAnsi="仿宋" w:eastAsia="仿宋" w:cs="仿宋"/>
          <w:i w:val="0"/>
          <w:iCs w:val="0"/>
          <w:caps w:val="0"/>
          <w:color w:val="000000"/>
          <w:spacing w:val="0"/>
          <w:sz w:val="24"/>
          <w:szCs w:val="24"/>
          <w:highlight w:val="none"/>
        </w:rPr>
      </w:pPr>
      <w:r>
        <w:rPr>
          <w:rFonts w:hint="eastAsia" w:ascii="仿宋" w:hAnsi="仿宋" w:eastAsia="仿宋" w:cs="仿宋"/>
          <w:i w:val="0"/>
          <w:iCs w:val="0"/>
          <w:caps w:val="0"/>
          <w:color w:val="000000"/>
          <w:spacing w:val="0"/>
          <w:sz w:val="24"/>
          <w:szCs w:val="24"/>
          <w:highlight w:val="none"/>
        </w:rPr>
        <w:t>3.项目联系方式</w:t>
      </w:r>
    </w:p>
    <w:p>
      <w:pPr>
        <w:pStyle w:val="4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rPr>
          <w:rFonts w:hint="default"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rPr>
        <w:t>项目联系人：</w:t>
      </w:r>
      <w:r>
        <w:rPr>
          <w:rFonts w:hint="eastAsia" w:ascii="仿宋" w:hAnsi="仿宋" w:eastAsia="仿宋" w:cs="仿宋"/>
          <w:i w:val="0"/>
          <w:iCs w:val="0"/>
          <w:caps w:val="0"/>
          <w:color w:val="000000"/>
          <w:spacing w:val="0"/>
          <w:sz w:val="24"/>
          <w:szCs w:val="24"/>
          <w:highlight w:val="none"/>
          <w:lang w:val="en-US" w:eastAsia="zh-CN"/>
        </w:rPr>
        <w:t>夏先生</w:t>
      </w:r>
    </w:p>
    <w:p>
      <w:pPr>
        <w:pStyle w:val="4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rPr>
          <w:rFonts w:hint="default"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rPr>
        <w:t>电 话：</w:t>
      </w:r>
      <w:r>
        <w:rPr>
          <w:rFonts w:hint="eastAsia" w:ascii="仿宋" w:hAnsi="仿宋" w:eastAsia="仿宋" w:cs="仿宋"/>
          <w:i w:val="0"/>
          <w:iCs w:val="0"/>
          <w:caps w:val="0"/>
          <w:color w:val="000000"/>
          <w:spacing w:val="0"/>
          <w:sz w:val="24"/>
          <w:szCs w:val="24"/>
          <w:highlight w:val="none"/>
          <w:lang w:val="en-US" w:eastAsia="zh-CN"/>
        </w:rPr>
        <w:t>17881605898</w:t>
      </w:r>
    </w:p>
    <w:p>
      <w:pPr>
        <w:pStyle w:val="4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rPr>
          <w:rStyle w:val="62"/>
          <w:rFonts w:hint="default" w:ascii="仿宋" w:hAnsi="仿宋" w:eastAsia="仿宋" w:cs="仿宋"/>
          <w:i w:val="0"/>
          <w:iCs w:val="0"/>
          <w:caps w:val="0"/>
          <w:color w:val="000000"/>
          <w:spacing w:val="0"/>
          <w:sz w:val="27"/>
          <w:szCs w:val="27"/>
          <w:highlight w:val="none"/>
          <w:lang w:val="en-US" w:eastAsia="zh-CN"/>
        </w:rPr>
      </w:pPr>
    </w:p>
    <w:p>
      <w:pPr>
        <w:spacing w:line="360" w:lineRule="auto"/>
        <w:ind w:firstLine="630" w:firstLineChars="300"/>
        <w:rPr>
          <w:rFonts w:hint="default" w:eastAsia="仿宋"/>
          <w:highlight w:val="none"/>
          <w:lang w:val="en-US" w:eastAsia="zh-CN"/>
        </w:rPr>
      </w:pPr>
    </w:p>
    <w:p>
      <w:pPr>
        <w:rPr>
          <w:rFonts w:hint="eastAsia"/>
          <w:highlight w:val="none"/>
          <w:lang w:val="en-US" w:eastAsia="zh-CN"/>
        </w:rPr>
      </w:pPr>
      <w:r>
        <w:rPr>
          <w:rStyle w:val="62"/>
          <w:rFonts w:hint="eastAsia" w:ascii="仿宋" w:hAnsi="仿宋" w:eastAsia="仿宋" w:cs="仿宋"/>
          <w:i w:val="0"/>
          <w:iCs w:val="0"/>
          <w:caps w:val="0"/>
          <w:color w:val="000000"/>
          <w:spacing w:val="0"/>
          <w:sz w:val="27"/>
          <w:szCs w:val="27"/>
          <w:highlight w:val="none"/>
          <w:lang w:val="en-US" w:eastAsia="zh-CN"/>
        </w:rPr>
        <w:br w:type="page"/>
      </w:r>
    </w:p>
    <w:p>
      <w:pPr>
        <w:widowControl/>
        <w:spacing w:line="800" w:lineRule="atLeast"/>
        <w:jc w:val="center"/>
        <w:outlineLvl w:val="0"/>
        <w:rPr>
          <w:rFonts w:hint="eastAsia" w:ascii="宋体"/>
          <w:b/>
          <w:color w:val="auto"/>
          <w:sz w:val="32"/>
          <w:szCs w:val="32"/>
          <w:highlight w:val="none"/>
        </w:rPr>
      </w:pPr>
      <w:bookmarkStart w:id="13" w:name="_Toc6725"/>
      <w:r>
        <w:rPr>
          <w:rFonts w:hint="eastAsia" w:ascii="宋体" w:hAnsi="宋体" w:eastAsia="宋体" w:cs="宋体"/>
          <w:b/>
          <w:kern w:val="0"/>
          <w:sz w:val="36"/>
          <w:highlight w:val="none"/>
        </w:rPr>
        <w:t>第二部分  投标人须知</w:t>
      </w:r>
      <w:bookmarkEnd w:id="13"/>
    </w:p>
    <w:p>
      <w:pPr>
        <w:shd w:val="clear" w:color="auto" w:fill="auto"/>
        <w:snapToGrid w:val="0"/>
        <w:spacing w:line="500" w:lineRule="exact"/>
        <w:jc w:val="center"/>
        <w:outlineLvl w:val="1"/>
        <w:rPr>
          <w:rFonts w:hint="eastAsia" w:ascii="宋体"/>
          <w:b/>
          <w:color w:val="auto"/>
          <w:sz w:val="28"/>
          <w:szCs w:val="28"/>
          <w:highlight w:val="none"/>
        </w:rPr>
      </w:pPr>
      <w:bookmarkStart w:id="14" w:name="_Toc469495722"/>
      <w:r>
        <w:rPr>
          <w:rFonts w:hint="eastAsia" w:ascii="宋体"/>
          <w:b/>
          <w:color w:val="auto"/>
          <w:sz w:val="32"/>
          <w:szCs w:val="32"/>
          <w:highlight w:val="none"/>
        </w:rPr>
        <w:t>一、</w:t>
      </w:r>
      <w:r>
        <w:rPr>
          <w:rFonts w:hint="eastAsia" w:ascii="宋体"/>
          <w:b/>
          <w:color w:val="auto"/>
          <w:sz w:val="28"/>
          <w:szCs w:val="28"/>
          <w:highlight w:val="none"/>
        </w:rPr>
        <w:t>投标人须知前附表</w:t>
      </w:r>
      <w:bookmarkEnd w:id="14"/>
    </w:p>
    <w:tbl>
      <w:tblPr>
        <w:tblStyle w:val="47"/>
        <w:tblpPr w:leftFromText="180" w:rightFromText="180" w:vertAnchor="text" w:horzAnchor="page" w:tblpX="1391" w:tblpY="509"/>
        <w:tblOverlap w:val="never"/>
        <w:tblW w:w="9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278"/>
        <w:gridCol w:w="7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732" w:type="dxa"/>
            <w:vAlign w:val="center"/>
          </w:tcPr>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94" w:leftChars="-45" w:right="-81" w:rightChars="-39"/>
              <w:jc w:val="center"/>
              <w:textAlignment w:val="auto"/>
              <w:outlineLvl w:val="9"/>
              <w:rPr>
                <w:rFonts w:hint="eastAsia" w:ascii="仿宋" w:hAnsi="仿宋" w:eastAsia="仿宋" w:cs="仿宋"/>
                <w:b/>
                <w:color w:val="auto"/>
                <w:sz w:val="21"/>
                <w:szCs w:val="21"/>
                <w:highlight w:val="none"/>
                <w:lang w:val="en-US" w:eastAsia="zh-CN"/>
              </w:rPr>
            </w:pPr>
            <w:r>
              <w:rPr>
                <w:rFonts w:hint="eastAsia" w:ascii="仿宋" w:hAnsi="仿宋" w:eastAsia="仿宋" w:cs="仿宋"/>
                <w:b/>
                <w:color w:val="auto"/>
                <w:sz w:val="21"/>
                <w:szCs w:val="21"/>
                <w:highlight w:val="none"/>
                <w:lang w:val="en-US" w:eastAsia="zh-CN"/>
              </w:rPr>
              <w:t>条款号</w:t>
            </w:r>
          </w:p>
        </w:tc>
        <w:tc>
          <w:tcPr>
            <w:tcW w:w="1278" w:type="dxa"/>
            <w:vAlign w:val="center"/>
          </w:tcPr>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0" w:right="0"/>
              <w:jc w:val="center"/>
              <w:textAlignment w:val="auto"/>
              <w:outlineLvl w:val="9"/>
              <w:rPr>
                <w:rFonts w:hint="eastAsia" w:ascii="仿宋" w:hAnsi="仿宋" w:eastAsia="仿宋" w:cs="仿宋"/>
                <w:b/>
                <w:color w:val="auto"/>
                <w:sz w:val="21"/>
                <w:szCs w:val="21"/>
                <w:highlight w:val="none"/>
                <w:lang w:val="en-US" w:eastAsia="zh-CN"/>
              </w:rPr>
            </w:pPr>
            <w:r>
              <w:rPr>
                <w:rFonts w:hint="eastAsia" w:ascii="仿宋" w:hAnsi="仿宋" w:eastAsia="仿宋" w:cs="仿宋"/>
                <w:b/>
                <w:color w:val="auto"/>
                <w:sz w:val="21"/>
                <w:szCs w:val="21"/>
                <w:highlight w:val="none"/>
                <w:lang w:val="en-US" w:eastAsia="zh-CN"/>
              </w:rPr>
              <w:t>内容</w:t>
            </w:r>
          </w:p>
        </w:tc>
        <w:tc>
          <w:tcPr>
            <w:tcW w:w="7306" w:type="dxa"/>
            <w:vAlign w:val="center"/>
          </w:tcPr>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0" w:right="0"/>
              <w:jc w:val="center"/>
              <w:textAlignment w:val="auto"/>
              <w:outlineLvl w:val="9"/>
              <w:rPr>
                <w:rFonts w:hint="eastAsia" w:ascii="仿宋" w:hAnsi="仿宋" w:eastAsia="仿宋" w:cs="仿宋"/>
                <w:b/>
                <w:color w:val="auto"/>
                <w:sz w:val="21"/>
                <w:szCs w:val="21"/>
                <w:highlight w:val="none"/>
                <w:lang w:val="en-US" w:eastAsia="zh-CN"/>
              </w:rPr>
            </w:pPr>
            <w:r>
              <w:rPr>
                <w:rFonts w:hint="eastAsia" w:ascii="仿宋" w:hAnsi="仿宋" w:eastAsia="仿宋" w:cs="仿宋"/>
                <w:b/>
                <w:color w:val="auto"/>
                <w:sz w:val="21"/>
                <w:szCs w:val="21"/>
                <w:highlight w:val="none"/>
                <w:lang w:val="en-US" w:eastAsia="zh-CN"/>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732" w:type="dxa"/>
            <w:vAlign w:val="center"/>
          </w:tcPr>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0" w:right="0"/>
              <w:jc w:val="center"/>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1278" w:type="dxa"/>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项目名称</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项目编号</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采购内容</w:t>
            </w:r>
          </w:p>
        </w:tc>
        <w:tc>
          <w:tcPr>
            <w:tcW w:w="7306" w:type="dxa"/>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项目名称：</w:t>
            </w:r>
            <w:r>
              <w:rPr>
                <w:rFonts w:hint="eastAsia" w:ascii="仿宋" w:hAnsi="仿宋" w:eastAsia="仿宋" w:cs="仿宋"/>
                <w:color w:val="auto"/>
                <w:sz w:val="21"/>
                <w:szCs w:val="21"/>
                <w:highlight w:val="none"/>
                <w:lang w:eastAsia="zh-CN"/>
              </w:rPr>
              <w:t>克州中心血站医疗设备采购项目</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项目编号：</w:t>
            </w:r>
            <w:r>
              <w:rPr>
                <w:rFonts w:hint="eastAsia" w:ascii="仿宋" w:hAnsi="仿宋" w:eastAsia="仿宋" w:cs="仿宋"/>
                <w:color w:val="auto"/>
                <w:sz w:val="21"/>
                <w:szCs w:val="21"/>
                <w:highlight w:val="none"/>
                <w:lang w:eastAsia="zh-CN"/>
              </w:rPr>
              <w:t>KZZB-202</w:t>
            </w:r>
            <w:r>
              <w:rPr>
                <w:rFonts w:hint="eastAsia" w:ascii="仿宋" w:hAnsi="仿宋" w:eastAsia="仿宋" w:cs="仿宋"/>
                <w:color w:val="auto"/>
                <w:sz w:val="21"/>
                <w:szCs w:val="21"/>
                <w:highlight w:val="none"/>
                <w:lang w:val="en-US" w:eastAsia="zh-CN"/>
              </w:rPr>
              <w:t>3177</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eastAsia="zh-CN"/>
              </w:rPr>
              <w:t>采购</w:t>
            </w:r>
            <w:r>
              <w:rPr>
                <w:rFonts w:hint="eastAsia" w:ascii="仿宋" w:hAnsi="仿宋" w:eastAsia="仿宋" w:cs="仿宋"/>
                <w:color w:val="auto"/>
                <w:sz w:val="21"/>
                <w:szCs w:val="21"/>
                <w:highlight w:val="none"/>
              </w:rPr>
              <w:t>内容：全自动生化分析仪1台，全自动酶免仪1台，落地式低温自动脱帽离心机1台，纯水机1台，医用低温保存箱1台，医用冷藏箱1台，真空采血管自动脱盖机1台 实现血液生化项目检测和酶免检测，确保血液质量安全。 全自动生化和酶免设备能够实现检测数据的自动化传输、数据互传，自动判定血液是否合格。能够与业务软件实现联网。具体详见参数附件或招标文件。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732" w:type="dxa"/>
            <w:vAlign w:val="center"/>
          </w:tcPr>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0" w:right="0"/>
              <w:jc w:val="center"/>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127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采购人息</w:t>
            </w:r>
          </w:p>
        </w:tc>
        <w:tc>
          <w:tcPr>
            <w:tcW w:w="7306"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rPr>
              <w:t>采购单位：</w:t>
            </w:r>
            <w:r>
              <w:rPr>
                <w:rFonts w:hint="eastAsia" w:ascii="仿宋" w:hAnsi="仿宋" w:eastAsia="仿宋" w:cs="仿宋"/>
                <w:szCs w:val="21"/>
                <w:highlight w:val="none"/>
                <w:lang w:eastAsia="zh-CN"/>
              </w:rPr>
              <w:t>克孜勒苏柯尔克孜自治州中心血站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 w:hAnsi="仿宋" w:eastAsia="仿宋" w:cs="仿宋"/>
                <w:color w:val="0000FF"/>
                <w:szCs w:val="21"/>
                <w:highlight w:val="none"/>
                <w:shd w:val="clear" w:color="auto" w:fill="FFFFFF"/>
                <w:lang w:val="en-US" w:eastAsia="zh-CN"/>
              </w:rPr>
            </w:pPr>
            <w:r>
              <w:rPr>
                <w:rFonts w:hint="eastAsia" w:ascii="仿宋" w:hAnsi="仿宋" w:eastAsia="仿宋" w:cs="仿宋"/>
                <w:color w:val="0000FF"/>
                <w:szCs w:val="21"/>
                <w:highlight w:val="none"/>
                <w:shd w:val="clear" w:color="auto" w:fill="FFFFFF"/>
              </w:rPr>
              <w:t>联系人：</w:t>
            </w:r>
            <w:r>
              <w:rPr>
                <w:rFonts w:hint="eastAsia" w:ascii="仿宋" w:hAnsi="仿宋" w:eastAsia="仿宋" w:cs="仿宋"/>
                <w:color w:val="0000FF"/>
                <w:szCs w:val="21"/>
                <w:highlight w:val="none"/>
                <w:shd w:val="clear" w:color="auto" w:fill="FFFFFF"/>
                <w:lang w:val="en-US" w:eastAsia="zh-CN"/>
              </w:rPr>
              <w:t xml:space="preserve">马女士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0000FF"/>
                <w:szCs w:val="21"/>
                <w:highlight w:val="none"/>
                <w:shd w:val="clear" w:color="auto" w:fill="FFFFFF"/>
              </w:rPr>
              <w:t>联系电话：</w:t>
            </w:r>
            <w:r>
              <w:rPr>
                <w:rFonts w:hint="eastAsia" w:ascii="仿宋" w:hAnsi="仿宋" w:eastAsia="仿宋" w:cs="仿宋"/>
                <w:color w:val="0000FF"/>
                <w:szCs w:val="21"/>
                <w:highlight w:val="none"/>
                <w:shd w:val="clear" w:color="auto" w:fill="FFFFFF"/>
                <w:lang w:val="en-US" w:eastAsia="zh-CN"/>
              </w:rPr>
              <w:t xml:space="preserve">18742677989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732" w:type="dxa"/>
            <w:vAlign w:val="center"/>
          </w:tcPr>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0" w:right="0"/>
              <w:jc w:val="center"/>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c>
          <w:tcPr>
            <w:tcW w:w="127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采购代理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Cs w:val="21"/>
                <w:highlight w:val="none"/>
              </w:rPr>
              <w:t>机构</w:t>
            </w:r>
          </w:p>
        </w:tc>
        <w:tc>
          <w:tcPr>
            <w:tcW w:w="7306"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名  称：</w:t>
            </w:r>
            <w:r>
              <w:rPr>
                <w:rFonts w:hint="eastAsia" w:ascii="仿宋" w:hAnsi="仿宋" w:eastAsia="仿宋" w:cs="仿宋"/>
                <w:color w:val="auto"/>
                <w:kern w:val="0"/>
                <w:szCs w:val="21"/>
                <w:highlight w:val="none"/>
                <w:lang w:eastAsia="zh-CN"/>
              </w:rPr>
              <w:t>中科高盛咨询集团有限公司</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rPr>
              <w:t>地  址：</w:t>
            </w:r>
            <w:r>
              <w:rPr>
                <w:rFonts w:hint="eastAsia" w:ascii="仿宋" w:hAnsi="仿宋" w:eastAsia="仿宋" w:cs="仿宋"/>
                <w:color w:val="auto"/>
                <w:kern w:val="0"/>
                <w:szCs w:val="21"/>
                <w:highlight w:val="none"/>
                <w:lang w:eastAsia="zh-CN"/>
              </w:rPr>
              <w:t>克州阿图什市幸福街道松他克路5院D区301号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联系人：</w:t>
            </w:r>
            <w:r>
              <w:rPr>
                <w:rFonts w:hint="eastAsia" w:ascii="仿宋" w:hAnsi="仿宋" w:eastAsia="仿宋" w:cs="仿宋"/>
                <w:color w:val="auto"/>
                <w:kern w:val="0"/>
                <w:szCs w:val="21"/>
                <w:highlight w:val="none"/>
                <w:lang w:val="en-US" w:eastAsia="zh-CN"/>
              </w:rPr>
              <w:t xml:space="preserve">夏先生      </w:t>
            </w:r>
            <w:r>
              <w:rPr>
                <w:rFonts w:hint="eastAsia" w:ascii="仿宋" w:hAnsi="仿宋" w:eastAsia="仿宋" w:cs="仿宋"/>
                <w:color w:val="auto"/>
                <w:kern w:val="0"/>
                <w:szCs w:val="21"/>
                <w:highlight w:val="none"/>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 w:hAnsi="仿宋" w:eastAsia="仿宋" w:cs="仿宋"/>
                <w:color w:val="auto"/>
                <w:sz w:val="21"/>
                <w:szCs w:val="21"/>
                <w:highlight w:val="none"/>
                <w:lang w:val="en-US"/>
              </w:rPr>
            </w:pPr>
            <w:r>
              <w:rPr>
                <w:rFonts w:hint="eastAsia" w:ascii="仿宋" w:hAnsi="仿宋" w:eastAsia="仿宋" w:cs="仿宋"/>
                <w:color w:val="000000"/>
                <w:szCs w:val="21"/>
                <w:highlight w:val="none"/>
                <w:shd w:val="clear" w:color="auto" w:fill="FFFFFF"/>
              </w:rPr>
              <w:t>联系</w:t>
            </w:r>
            <w:r>
              <w:rPr>
                <w:rFonts w:hint="eastAsia" w:ascii="仿宋" w:hAnsi="仿宋" w:eastAsia="仿宋" w:cs="仿宋"/>
                <w:color w:val="auto"/>
                <w:kern w:val="0"/>
                <w:szCs w:val="21"/>
                <w:highlight w:val="none"/>
              </w:rPr>
              <w:t>电话：</w:t>
            </w:r>
            <w:r>
              <w:rPr>
                <w:rFonts w:hint="eastAsia" w:ascii="仿宋" w:hAnsi="仿宋" w:eastAsia="仿宋" w:cs="仿宋"/>
                <w:color w:val="auto"/>
                <w:kern w:val="0"/>
                <w:szCs w:val="21"/>
                <w:highlight w:val="none"/>
                <w:lang w:val="en-US" w:eastAsia="zh-CN"/>
              </w:rPr>
              <w:t>17881605898</w:t>
            </w:r>
            <w:r>
              <w:rPr>
                <w:rFonts w:hint="eastAsia" w:ascii="仿宋" w:hAnsi="仿宋" w:eastAsia="仿宋" w:cs="仿宋"/>
                <w:kern w:val="2"/>
                <w:sz w:val="21"/>
                <w:szCs w:val="21"/>
                <w:highlight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732" w:type="dxa"/>
            <w:vAlign w:val="center"/>
          </w:tcPr>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0" w:right="0"/>
              <w:jc w:val="center"/>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p>
        </w:tc>
        <w:tc>
          <w:tcPr>
            <w:tcW w:w="127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最终交货</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Cs w:val="21"/>
                <w:highlight w:val="none"/>
                <w:lang w:eastAsia="zh-CN"/>
              </w:rPr>
              <w:t>地点</w:t>
            </w:r>
          </w:p>
        </w:tc>
        <w:tc>
          <w:tcPr>
            <w:tcW w:w="730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 w:hAnsi="仿宋" w:eastAsia="仿宋" w:cs="仿宋"/>
                <w:color w:val="auto"/>
                <w:sz w:val="21"/>
                <w:szCs w:val="21"/>
                <w:highlight w:val="none"/>
                <w:lang w:eastAsia="zh-CN"/>
              </w:rPr>
            </w:pPr>
            <w:r>
              <w:rPr>
                <w:rFonts w:hint="eastAsia" w:ascii="仿宋" w:hAnsi="仿宋" w:eastAsia="仿宋" w:cs="仿宋"/>
                <w:kern w:val="0"/>
                <w:szCs w:val="21"/>
                <w:highlight w:val="none"/>
              </w:rPr>
              <w:t>合同中明确约定的乙方提交的货物和服务最终到达地点</w:t>
            </w:r>
            <w:r>
              <w:rPr>
                <w:rFonts w:hint="eastAsia" w:ascii="仿宋" w:hAnsi="仿宋" w:eastAsia="仿宋" w:cs="仿宋"/>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32" w:type="dxa"/>
            <w:vAlign w:val="center"/>
          </w:tcPr>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0" w:right="0"/>
              <w:jc w:val="center"/>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w:t>
            </w:r>
          </w:p>
        </w:tc>
        <w:tc>
          <w:tcPr>
            <w:tcW w:w="1278" w:type="dxa"/>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Cs w:val="21"/>
                <w:highlight w:val="none"/>
              </w:rPr>
              <w:t>付款方式</w:t>
            </w:r>
          </w:p>
        </w:tc>
        <w:tc>
          <w:tcPr>
            <w:tcW w:w="730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kern w:val="0"/>
                <w:szCs w:val="21"/>
                <w:highlight w:val="none"/>
                <w:lang w:val="en-US" w:eastAsia="zh-CN"/>
              </w:rPr>
              <w:t>按甲方收到乙方提供的设备并由乙方安装调试完成、进行了相关验收和人员培训合格后且正常使用，甲方向乙方支付合同款总额的80%，半年后性能验收通过后支付合同款总额的20%。（以实际签订合同为准）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32" w:type="dxa"/>
            <w:vAlign w:val="center"/>
          </w:tcPr>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0" w:right="0"/>
              <w:jc w:val="center"/>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w:t>
            </w:r>
          </w:p>
        </w:tc>
        <w:tc>
          <w:tcPr>
            <w:tcW w:w="1278" w:type="dxa"/>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firstLine="210" w:firstLineChars="100"/>
              <w:jc w:val="both"/>
              <w:textAlignment w:val="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质保期</w:t>
            </w:r>
          </w:p>
        </w:tc>
        <w:tc>
          <w:tcPr>
            <w:tcW w:w="730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FF0000"/>
                <w:kern w:val="0"/>
                <w:szCs w:val="21"/>
                <w:highlight w:val="none"/>
                <w:u w:val="single"/>
                <w:lang w:val="en-US" w:eastAsia="zh-CN"/>
              </w:rPr>
              <w:t xml:space="preserve">  3  </w:t>
            </w:r>
            <w:r>
              <w:rPr>
                <w:rFonts w:hint="eastAsia" w:ascii="仿宋" w:hAnsi="仿宋" w:eastAsia="仿宋" w:cs="仿宋"/>
                <w:color w:val="FF0000"/>
                <w:kern w:val="0"/>
                <w:szCs w:val="21"/>
                <w:highlight w:val="none"/>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2" w:type="dxa"/>
            <w:vAlign w:val="center"/>
          </w:tcPr>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0" w:right="0"/>
              <w:jc w:val="center"/>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w:t>
            </w:r>
          </w:p>
        </w:tc>
        <w:tc>
          <w:tcPr>
            <w:tcW w:w="1278" w:type="dxa"/>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交货期</w:t>
            </w:r>
            <w:r>
              <w:rPr>
                <w:rFonts w:hint="eastAsia" w:ascii="仿宋" w:hAnsi="仿宋" w:eastAsia="仿宋" w:cs="仿宋"/>
                <w:color w:val="auto"/>
                <w:szCs w:val="21"/>
                <w:highlight w:val="none"/>
                <w:lang w:val="en-US" w:eastAsia="zh-CN"/>
              </w:rPr>
              <w:br w:type="textWrapping"/>
            </w:r>
            <w:r>
              <w:rPr>
                <w:rFonts w:hint="eastAsia" w:ascii="仿宋" w:hAnsi="仿宋" w:eastAsia="仿宋" w:cs="仿宋"/>
                <w:color w:val="auto"/>
                <w:szCs w:val="21"/>
                <w:highlight w:val="none"/>
                <w:lang w:eastAsia="zh-CN"/>
              </w:rPr>
              <w:t>日期</w:t>
            </w:r>
          </w:p>
        </w:tc>
        <w:tc>
          <w:tcPr>
            <w:tcW w:w="730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 w:hAnsi="仿宋" w:eastAsia="仿宋" w:cs="仿宋"/>
                <w:color w:val="auto"/>
                <w:sz w:val="21"/>
                <w:szCs w:val="21"/>
                <w:highlight w:val="none"/>
                <w:lang w:val="en-US" w:eastAsia="zh-CN"/>
              </w:rPr>
            </w:pPr>
            <w:r>
              <w:rPr>
                <w:rFonts w:hint="eastAsia" w:ascii="宋体" w:hAnsi="宋体" w:cs="宋体"/>
                <w:b/>
                <w:bCs/>
                <w:szCs w:val="21"/>
                <w:highlight w:val="none"/>
              </w:rPr>
              <w:t>签订合同后</w:t>
            </w:r>
            <w:r>
              <w:rPr>
                <w:rFonts w:hint="eastAsia" w:ascii="宋体" w:hAnsi="宋体" w:cs="宋体"/>
                <w:b/>
                <w:bCs/>
                <w:szCs w:val="21"/>
                <w:highlight w:val="none"/>
                <w:lang w:val="en-US" w:eastAsia="zh-CN"/>
              </w:rPr>
              <w:t>15天</w:t>
            </w:r>
            <w:r>
              <w:rPr>
                <w:rFonts w:hint="eastAsia" w:ascii="宋体" w:hAnsi="宋体" w:cs="宋体"/>
                <w:b/>
                <w:bCs/>
                <w:szCs w:val="21"/>
                <w:highlight w:val="none"/>
              </w:rPr>
              <w:t>内供货、安装、调试、培训完毕。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32" w:type="dxa"/>
            <w:vAlign w:val="center"/>
          </w:tcPr>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0" w:right="0"/>
              <w:jc w:val="center"/>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w:t>
            </w:r>
          </w:p>
        </w:tc>
        <w:tc>
          <w:tcPr>
            <w:tcW w:w="1278" w:type="dxa"/>
            <w:vAlign w:val="center"/>
          </w:tcPr>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0" w:right="0"/>
              <w:jc w:val="left"/>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资金来源                                                                                                                                                                 </w:t>
            </w:r>
          </w:p>
        </w:tc>
        <w:tc>
          <w:tcPr>
            <w:tcW w:w="7306" w:type="dxa"/>
            <w:vAlign w:val="center"/>
          </w:tcPr>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0" w:right="0"/>
              <w:textAlignment w:val="auto"/>
              <w:outlineLvl w:val="9"/>
              <w:rPr>
                <w:rFonts w:hint="default" w:ascii="仿宋" w:hAnsi="仿宋" w:eastAsia="仿宋" w:cs="仿宋"/>
                <w:color w:val="auto"/>
                <w:sz w:val="21"/>
                <w:szCs w:val="21"/>
                <w:highlight w:val="none"/>
                <w:lang w:val="en-US" w:eastAsia="zh-CN"/>
              </w:rPr>
            </w:pPr>
            <w:r>
              <w:rPr>
                <w:rFonts w:hint="eastAsia" w:ascii="仿宋" w:hAnsi="仿宋" w:eastAsia="仿宋" w:cs="仿宋"/>
                <w:color w:val="FF0000"/>
                <w:sz w:val="21"/>
                <w:szCs w:val="21"/>
                <w:highlight w:val="none"/>
                <w:lang w:val="en-US" w:eastAsia="zh-CN"/>
              </w:rPr>
              <w:t>中央资金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32" w:type="dxa"/>
            <w:vAlign w:val="center"/>
          </w:tcPr>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0" w:right="0"/>
              <w:jc w:val="center"/>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w:t>
            </w:r>
          </w:p>
        </w:tc>
        <w:tc>
          <w:tcPr>
            <w:tcW w:w="1278" w:type="dxa"/>
            <w:vAlign w:val="center"/>
          </w:tcPr>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0" w:right="0"/>
              <w:jc w:val="left"/>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招标方式</w:t>
            </w:r>
          </w:p>
        </w:tc>
        <w:tc>
          <w:tcPr>
            <w:tcW w:w="7306" w:type="dxa"/>
            <w:vAlign w:val="center"/>
          </w:tcPr>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0" w:right="0"/>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公开招标</w:t>
            </w:r>
            <w:r>
              <w:rPr>
                <w:rFonts w:hint="eastAsia" w:ascii="仿宋" w:hAnsi="仿宋" w:eastAsia="仿宋" w:cs="仿宋"/>
                <w:b/>
                <w:color w:val="auto"/>
                <w:sz w:val="21"/>
                <w:szCs w:val="21"/>
                <w:highlight w:val="none"/>
                <w:lang w:val="en-US" w:eastAsia="zh-CN"/>
              </w:rPr>
              <w:t>(本项目采用网上电子招投标)</w:t>
            </w:r>
            <w:r>
              <w:rPr>
                <w:rFonts w:hint="eastAsia" w:ascii="仿宋" w:hAnsi="仿宋" w:eastAsia="仿宋" w:cs="仿宋"/>
                <w:color w:val="auto"/>
                <w:sz w:val="21"/>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32" w:type="dxa"/>
            <w:vAlign w:val="center"/>
          </w:tcPr>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0" w:right="0"/>
              <w:jc w:val="center"/>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w:t>
            </w:r>
          </w:p>
        </w:tc>
        <w:tc>
          <w:tcPr>
            <w:tcW w:w="1278" w:type="dxa"/>
            <w:vAlign w:val="center"/>
          </w:tcPr>
          <w:p>
            <w:pPr>
              <w:keepNext w:val="0"/>
              <w:keepLines w:val="0"/>
              <w:pageBreakBefore w:val="0"/>
              <w:numPr>
                <w:ilvl w:val="0"/>
                <w:numId w:val="0"/>
              </w:numPr>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0" w:leftChars="0" w:right="0" w:rightChars="0"/>
              <w:jc w:val="center"/>
              <w:textAlignment w:val="auto"/>
              <w:outlineLvl w:val="9"/>
              <w:rPr>
                <w:rFonts w:hint="eastAsia" w:ascii="仿宋" w:hAnsi="仿宋" w:eastAsia="仿宋" w:cs="仿宋"/>
                <w:highlight w:val="none"/>
                <w:lang w:val="en-US" w:eastAsia="zh-CN"/>
              </w:rPr>
            </w:pPr>
            <w:r>
              <w:rPr>
                <w:rFonts w:hint="eastAsia" w:ascii="仿宋" w:hAnsi="仿宋" w:eastAsia="仿宋" w:cs="仿宋"/>
                <w:highlight w:val="none"/>
                <w:lang w:val="en-US" w:eastAsia="zh-CN"/>
              </w:rPr>
              <w:t>投标人资格条件及其他要求</w:t>
            </w:r>
          </w:p>
        </w:tc>
        <w:tc>
          <w:tcPr>
            <w:tcW w:w="7306" w:type="dxa"/>
            <w:vAlign w:val="center"/>
          </w:tcPr>
          <w:p>
            <w:pPr>
              <w:keepNext w:val="0"/>
              <w:keepLines w:val="0"/>
              <w:pageBreakBefore w:val="0"/>
              <w:numPr>
                <w:ilvl w:val="0"/>
                <w:numId w:val="0"/>
              </w:numPr>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0" w:leftChars="0" w:right="0" w:rightChars="0"/>
              <w:textAlignment w:val="auto"/>
              <w:outlineLvl w:val="9"/>
              <w:rPr>
                <w:rFonts w:hint="eastAsia" w:ascii="仿宋" w:hAnsi="仿宋" w:eastAsia="仿宋" w:cs="仿宋"/>
                <w:highlight w:val="none"/>
                <w:lang w:val="en-US" w:eastAsia="zh-CN"/>
              </w:rPr>
            </w:pPr>
            <w:r>
              <w:rPr>
                <w:rFonts w:hint="eastAsia" w:ascii="仿宋" w:hAnsi="仿宋" w:eastAsia="仿宋" w:cs="仿宋"/>
                <w:highlight w:val="none"/>
                <w:lang w:val="en-US" w:eastAsia="zh-CN"/>
              </w:rPr>
              <w:t>1.满足《中华人民共和国政府采购法》第二十二条规定；</w:t>
            </w:r>
          </w:p>
          <w:p>
            <w:pPr>
              <w:keepNext w:val="0"/>
              <w:keepLines w:val="0"/>
              <w:pageBreakBefore w:val="0"/>
              <w:numPr>
                <w:ilvl w:val="0"/>
                <w:numId w:val="0"/>
              </w:numPr>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0" w:leftChars="0" w:right="0" w:rightChars="0"/>
              <w:textAlignment w:val="auto"/>
              <w:outlineLvl w:val="9"/>
              <w:rPr>
                <w:rFonts w:hint="eastAsia" w:ascii="仿宋" w:hAnsi="仿宋" w:eastAsia="仿宋" w:cs="仿宋"/>
                <w:highlight w:val="none"/>
                <w:lang w:val="en-US" w:eastAsia="zh-CN"/>
              </w:rPr>
            </w:pPr>
            <w:r>
              <w:rPr>
                <w:rFonts w:hint="eastAsia" w:ascii="仿宋" w:hAnsi="仿宋" w:eastAsia="仿宋" w:cs="仿宋"/>
                <w:highlight w:val="none"/>
                <w:lang w:val="en-US" w:eastAsia="zh-CN"/>
              </w:rPr>
              <w:t>2.落实政府采购政策需满足的资格要求：标项1：本项目为非专门面向中小企业，根据《政府采购促进中小企业发展管理办法》（财库【2020】46号）及（财库[2022]19号）的规定，评标时将给予此类企业进行价格扣除10%的优惠，用优惠后的价格参与评审。</w:t>
            </w:r>
          </w:p>
          <w:p>
            <w:pPr>
              <w:keepNext w:val="0"/>
              <w:keepLines w:val="0"/>
              <w:pageBreakBefore w:val="0"/>
              <w:numPr>
                <w:ilvl w:val="0"/>
                <w:numId w:val="0"/>
              </w:numPr>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0" w:leftChars="0" w:right="0" w:rightChars="0"/>
              <w:textAlignment w:val="auto"/>
              <w:outlineLvl w:val="9"/>
              <w:rPr>
                <w:rFonts w:hint="eastAsia" w:ascii="仿宋" w:hAnsi="仿宋" w:eastAsia="仿宋" w:cs="仿宋"/>
                <w:highlight w:val="none"/>
                <w:lang w:val="en-US" w:eastAsia="zh-CN"/>
              </w:rPr>
            </w:pPr>
            <w:r>
              <w:rPr>
                <w:rFonts w:hint="eastAsia" w:ascii="仿宋" w:hAnsi="仿宋" w:eastAsia="仿宋" w:cs="仿宋"/>
                <w:highlight w:val="none"/>
                <w:lang w:val="en-US" w:eastAsia="zh-CN"/>
              </w:rPr>
              <w:t>3.本项目的特定资格要求：标项1：</w:t>
            </w:r>
          </w:p>
          <w:p>
            <w:pPr>
              <w:keepNext w:val="0"/>
              <w:keepLines w:val="0"/>
              <w:pageBreakBefore w:val="0"/>
              <w:numPr>
                <w:ilvl w:val="0"/>
                <w:numId w:val="0"/>
              </w:numPr>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0" w:leftChars="0" w:right="0" w:rightChars="0"/>
              <w:textAlignment w:val="auto"/>
              <w:outlineLvl w:val="9"/>
              <w:rPr>
                <w:rFonts w:hint="eastAsia" w:ascii="仿宋" w:hAnsi="仿宋" w:eastAsia="仿宋" w:cs="仿宋"/>
                <w:highlight w:val="none"/>
                <w:lang w:val="en-US" w:eastAsia="zh-CN"/>
              </w:rPr>
            </w:pPr>
            <w:r>
              <w:rPr>
                <w:rFonts w:hint="eastAsia" w:ascii="仿宋" w:hAnsi="仿宋" w:eastAsia="仿宋" w:cs="仿宋"/>
                <w:highlight w:val="none"/>
                <w:lang w:val="en-US" w:eastAsia="zh-CN"/>
              </w:rPr>
              <w:t>（1）有效的三证合一营业执照副本；</w:t>
            </w:r>
          </w:p>
          <w:p>
            <w:pPr>
              <w:keepNext w:val="0"/>
              <w:keepLines w:val="0"/>
              <w:pageBreakBefore w:val="0"/>
              <w:numPr>
                <w:ilvl w:val="0"/>
                <w:numId w:val="0"/>
              </w:numPr>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0" w:leftChars="0" w:right="0" w:rightChars="0"/>
              <w:textAlignment w:val="auto"/>
              <w:outlineLvl w:val="9"/>
              <w:rPr>
                <w:rFonts w:hint="eastAsia" w:ascii="仿宋" w:hAnsi="仿宋" w:eastAsia="仿宋" w:cs="仿宋"/>
                <w:highlight w:val="none"/>
                <w:lang w:val="en-US" w:eastAsia="zh-CN"/>
              </w:rPr>
            </w:pPr>
            <w:r>
              <w:rPr>
                <w:rFonts w:hint="eastAsia" w:ascii="仿宋" w:hAnsi="仿宋" w:eastAsia="仿宋" w:cs="仿宋"/>
                <w:highlight w:val="none"/>
                <w:lang w:val="en-US" w:eastAsia="zh-CN"/>
              </w:rPr>
              <w:t>（2）法定代表人投标需提供法定代表人资格证明书，委托代理人投标需提供法定代表人授权委托书；</w:t>
            </w:r>
          </w:p>
          <w:p>
            <w:pPr>
              <w:keepNext w:val="0"/>
              <w:keepLines w:val="0"/>
              <w:pageBreakBefore w:val="0"/>
              <w:numPr>
                <w:ilvl w:val="0"/>
                <w:numId w:val="0"/>
              </w:numPr>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0" w:leftChars="0" w:right="0" w:rightChars="0"/>
              <w:textAlignment w:val="auto"/>
              <w:outlineLvl w:val="9"/>
              <w:rPr>
                <w:rFonts w:hint="eastAsia" w:ascii="仿宋" w:hAnsi="仿宋" w:eastAsia="仿宋" w:cs="仿宋"/>
                <w:highlight w:val="none"/>
                <w:lang w:val="en-US" w:eastAsia="zh-CN"/>
              </w:rPr>
            </w:pPr>
            <w:r>
              <w:rPr>
                <w:rFonts w:hint="eastAsia" w:ascii="仿宋" w:hAnsi="仿宋" w:eastAsia="仿宋" w:cs="仿宋"/>
                <w:highlight w:val="none"/>
                <w:lang w:val="en-US" w:eastAsia="zh-CN"/>
              </w:rPr>
              <w:t>（3）投标企业须提供投标人（被授权在职人员）近6个月的社保证明；</w:t>
            </w:r>
          </w:p>
          <w:p>
            <w:pPr>
              <w:keepNext w:val="0"/>
              <w:keepLines w:val="0"/>
              <w:pageBreakBefore w:val="0"/>
              <w:numPr>
                <w:ilvl w:val="0"/>
                <w:numId w:val="0"/>
              </w:numPr>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0" w:leftChars="0" w:right="0" w:rightChars="0"/>
              <w:textAlignment w:val="auto"/>
              <w:outlineLvl w:val="9"/>
              <w:rPr>
                <w:rFonts w:hint="eastAsia" w:ascii="仿宋" w:hAnsi="仿宋" w:eastAsia="仿宋" w:cs="仿宋"/>
                <w:highlight w:val="none"/>
                <w:lang w:val="en-US" w:eastAsia="zh-CN"/>
              </w:rPr>
            </w:pPr>
            <w:r>
              <w:rPr>
                <w:rFonts w:hint="eastAsia" w:ascii="仿宋" w:hAnsi="仿宋" w:eastAsia="仿宋" w:cs="仿宋"/>
                <w:highlight w:val="none"/>
                <w:lang w:val="en-US" w:eastAsia="zh-CN"/>
              </w:rPr>
              <w:t>（4）近三年内未被“信用中国”（www.creditchina.gov.cn）、中国政府采购网（www.ccgp.gov.cn）列入失信被执行人、重大税收违法案件当事人名单、政府采购严重违法失信行为记录名单。</w:t>
            </w:r>
          </w:p>
          <w:p>
            <w:pPr>
              <w:keepNext w:val="0"/>
              <w:keepLines w:val="0"/>
              <w:pageBreakBefore w:val="0"/>
              <w:numPr>
                <w:ilvl w:val="0"/>
                <w:numId w:val="0"/>
              </w:numPr>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0" w:leftChars="0" w:right="0" w:rightChars="0"/>
              <w:textAlignment w:val="auto"/>
              <w:outlineLvl w:val="9"/>
              <w:rPr>
                <w:rFonts w:hint="eastAsia" w:ascii="仿宋" w:hAnsi="仿宋" w:eastAsia="仿宋" w:cs="仿宋"/>
                <w:highlight w:val="none"/>
                <w:lang w:val="en-US" w:eastAsia="zh-CN"/>
              </w:rPr>
            </w:pPr>
            <w:r>
              <w:rPr>
                <w:rFonts w:hint="eastAsia" w:ascii="仿宋" w:hAnsi="仿宋" w:eastAsia="仿宋" w:cs="仿宋"/>
                <w:highlight w:val="none"/>
                <w:lang w:val="en-US" w:eastAsia="zh-CN"/>
              </w:rPr>
              <w:t>（5）所投产品属于第二类医疗器械的，还需提供有效的行政主管部门颁发的医疗器械经营备案凭证（或医疗器械生产许可证或医疗器械经营许可证）；所投产品属于第三类医疗器械的，还需提供有效的行政主管部门颁发的医疗器械生产许可证（或医疗器械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32" w:type="dxa"/>
            <w:vAlign w:val="center"/>
          </w:tcPr>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0" w:right="0"/>
              <w:jc w:val="center"/>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11</w:t>
            </w:r>
          </w:p>
        </w:tc>
        <w:tc>
          <w:tcPr>
            <w:tcW w:w="1278" w:type="dxa"/>
            <w:vAlign w:val="center"/>
          </w:tcPr>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0" w:right="0"/>
              <w:jc w:val="center"/>
              <w:textAlignment w:val="auto"/>
              <w:outlineLvl w:val="9"/>
              <w:rPr>
                <w:rFonts w:hint="eastAsia" w:ascii="仿宋" w:hAnsi="仿宋" w:eastAsia="仿宋" w:cs="仿宋"/>
                <w:color w:val="auto"/>
                <w:kern w:val="2"/>
                <w:sz w:val="21"/>
                <w:szCs w:val="21"/>
                <w:highlight w:val="none"/>
                <w:u w:val="none"/>
                <w:lang w:val="en-US" w:eastAsia="zh-CN" w:bidi="ar-SA"/>
              </w:rPr>
            </w:pPr>
            <w:r>
              <w:rPr>
                <w:rFonts w:hint="eastAsia" w:ascii="仿宋" w:hAnsi="仿宋" w:eastAsia="仿宋" w:cs="仿宋"/>
                <w:color w:val="auto"/>
                <w:kern w:val="2"/>
                <w:sz w:val="21"/>
                <w:szCs w:val="21"/>
                <w:highlight w:val="none"/>
                <w:u w:val="none"/>
                <w:lang w:val="en-US" w:eastAsia="zh-CN" w:bidi="ar-SA"/>
              </w:rPr>
              <w:t>采购范围</w:t>
            </w:r>
          </w:p>
        </w:tc>
        <w:tc>
          <w:tcPr>
            <w:tcW w:w="7306" w:type="dxa"/>
            <w:vAlign w:val="center"/>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0" w:right="0"/>
              <w:textAlignment w:val="auto"/>
              <w:outlineLvl w:val="9"/>
              <w:rPr>
                <w:rFonts w:hint="default" w:ascii="仿宋" w:hAnsi="仿宋" w:eastAsia="仿宋" w:cs="仿宋"/>
                <w:color w:val="auto"/>
                <w:kern w:val="2"/>
                <w:sz w:val="21"/>
                <w:szCs w:val="21"/>
                <w:highlight w:val="none"/>
                <w:u w:val="none"/>
                <w:lang w:val="en-US" w:eastAsia="zh-CN" w:bidi="ar-SA"/>
              </w:rPr>
            </w:pPr>
            <w:r>
              <w:rPr>
                <w:rFonts w:hint="eastAsia" w:ascii="仿宋" w:hAnsi="仿宋" w:eastAsia="仿宋" w:cs="仿宋"/>
                <w:highlight w:val="none"/>
                <w:lang w:val="en-US" w:eastAsia="zh-CN"/>
              </w:rPr>
              <w:t>全自动生化分析仪1台，全自动酶免仪1台，落地式低温自动脱帽离心机1台，纯水机1台，医用低温保存箱1台，医用冷藏箱1台，真空采血管自动脱盖机1台 实现血液生化项目检测和酶免检测，确保血液质量安全。 全自动生化和酶免设备能够实现检测数据的自动化传输、数据互传，自动判定血液是否合格。能够与业务软件实现联网。（包含采购清单及招标文件范围内的所有内容）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32" w:type="dxa"/>
            <w:vAlign w:val="center"/>
          </w:tcPr>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0" w:right="0"/>
              <w:jc w:val="center"/>
              <w:textAlignment w:val="auto"/>
              <w:outlineLvl w:val="9"/>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12</w:t>
            </w:r>
          </w:p>
        </w:tc>
        <w:tc>
          <w:tcPr>
            <w:tcW w:w="1278" w:type="dxa"/>
            <w:vAlign w:val="center"/>
          </w:tcPr>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0" w:right="0"/>
              <w:jc w:val="center"/>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供应商信用查询</w:t>
            </w:r>
          </w:p>
        </w:tc>
        <w:tc>
          <w:tcPr>
            <w:tcW w:w="7306" w:type="dxa"/>
            <w:vAlign w:val="center"/>
          </w:tcPr>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0" w:right="0"/>
              <w:jc w:val="left"/>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1、查询渠道：信用中国（网址：http://www.creditchina.gov.cn）、中国政府采购网(网址：http://www.ccgp.gov.cn）。</w:t>
            </w:r>
          </w:p>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0" w:right="0"/>
              <w:jc w:val="left"/>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2、截止时点：开标后评标前。</w:t>
            </w:r>
          </w:p>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0" w:right="0"/>
              <w:jc w:val="left"/>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3、信用信息查询记录和证据留存的具体方式：由采购组织机构在规定查询时间内打印信用信息查询记录并归入项目档案。</w:t>
            </w:r>
          </w:p>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0" w:right="0"/>
              <w:jc w:val="left"/>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32" w:type="dxa"/>
            <w:vAlign w:val="center"/>
          </w:tcPr>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0" w:right="0"/>
              <w:jc w:val="center"/>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13</w:t>
            </w:r>
          </w:p>
        </w:tc>
        <w:tc>
          <w:tcPr>
            <w:tcW w:w="1278" w:type="dxa"/>
            <w:vAlign w:val="center"/>
          </w:tcPr>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0" w:right="0"/>
              <w:jc w:val="left"/>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踏勘现场</w:t>
            </w:r>
          </w:p>
        </w:tc>
        <w:tc>
          <w:tcPr>
            <w:tcW w:w="7306" w:type="dxa"/>
            <w:vAlign w:val="center"/>
          </w:tcPr>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0" w:right="0"/>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不组织,投标人自行组织踏勘现场。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32" w:type="dxa"/>
            <w:vAlign w:val="center"/>
          </w:tcPr>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0" w:right="0"/>
              <w:jc w:val="center"/>
              <w:textAlignment w:val="auto"/>
              <w:outlineLvl w:val="9"/>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14</w:t>
            </w:r>
          </w:p>
        </w:tc>
        <w:tc>
          <w:tcPr>
            <w:tcW w:w="1278" w:type="dxa"/>
            <w:vAlign w:val="center"/>
          </w:tcPr>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0" w:right="0"/>
              <w:jc w:val="left"/>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投标预备会</w:t>
            </w:r>
          </w:p>
        </w:tc>
        <w:tc>
          <w:tcPr>
            <w:tcW w:w="7306" w:type="dxa"/>
            <w:vAlign w:val="center"/>
          </w:tcPr>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0" w:right="0"/>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732" w:type="dxa"/>
            <w:vAlign w:val="center"/>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0" w:right="0"/>
              <w:jc w:val="center"/>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15</w:t>
            </w:r>
          </w:p>
        </w:tc>
        <w:tc>
          <w:tcPr>
            <w:tcW w:w="1278" w:type="dxa"/>
            <w:vAlign w:val="center"/>
          </w:tcPr>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0" w:right="0"/>
              <w:jc w:val="left"/>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联合体投标</w:t>
            </w:r>
          </w:p>
        </w:tc>
        <w:tc>
          <w:tcPr>
            <w:tcW w:w="7306" w:type="dxa"/>
            <w:vAlign w:val="center"/>
          </w:tcPr>
          <w:p>
            <w:pPr>
              <w:keepNext w:val="0"/>
              <w:keepLines w:val="0"/>
              <w:pageBreakBefore w:val="0"/>
              <w:suppressLineNumbers w:val="0"/>
              <w:shd w:val="clear" w:color="auto" w:fill="auto"/>
              <w:kinsoku/>
              <w:wordWrap/>
              <w:overflowPunct/>
              <w:topLinePunct w:val="0"/>
              <w:autoSpaceDE/>
              <w:autoSpaceDN/>
              <w:bidi w:val="0"/>
              <w:adjustRightInd/>
              <w:spacing w:before="0" w:beforeAutospacing="0" w:after="0" w:afterAutospacing="0" w:line="400" w:lineRule="exact"/>
              <w:ind w:left="0" w:right="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不接受</w:t>
            </w:r>
          </w:p>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0" w:right="0"/>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接受，联合体投标的须在投标文件中提供联合体协议书，联合体所有成员不得超过2家，联合体的任何一方均不得再与其他投标单位联合。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6" w:hRule="atLeast"/>
        </w:trPr>
        <w:tc>
          <w:tcPr>
            <w:tcW w:w="732" w:type="dxa"/>
            <w:vAlign w:val="center"/>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0" w:right="0"/>
              <w:jc w:val="center"/>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16</w:t>
            </w:r>
          </w:p>
        </w:tc>
        <w:tc>
          <w:tcPr>
            <w:tcW w:w="1278" w:type="dxa"/>
            <w:vAlign w:val="center"/>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0" w:right="0"/>
              <w:jc w:val="left"/>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招标代理费</w:t>
            </w:r>
          </w:p>
        </w:tc>
        <w:tc>
          <w:tcPr>
            <w:tcW w:w="7306" w:type="dxa"/>
            <w:vAlign w:val="center"/>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0" w:right="0"/>
              <w:textAlignment w:val="auto"/>
              <w:outlineLvl w:val="9"/>
              <w:rPr>
                <w:rFonts w:hint="eastAsia" w:ascii="仿宋" w:hAnsi="仿宋" w:eastAsia="仿宋" w:cs="仿宋"/>
                <w:b/>
                <w:bCs/>
                <w:snapToGrid w:val="0"/>
                <w:color w:val="auto"/>
                <w:sz w:val="21"/>
                <w:szCs w:val="21"/>
                <w:highlight w:val="none"/>
              </w:rPr>
            </w:pPr>
            <w:r>
              <w:rPr>
                <w:rFonts w:hint="eastAsia" w:ascii="仿宋" w:hAnsi="仿宋" w:eastAsia="仿宋" w:cs="仿宋"/>
                <w:b/>
                <w:bCs/>
                <w:snapToGrid w:val="0"/>
                <w:color w:val="auto"/>
                <w:sz w:val="21"/>
                <w:szCs w:val="21"/>
                <w:highlight w:val="none"/>
                <w:lang w:eastAsia="zh-CN"/>
              </w:rPr>
              <w:t>中标</w:t>
            </w:r>
            <w:r>
              <w:rPr>
                <w:rFonts w:hint="eastAsia" w:ascii="仿宋" w:hAnsi="仿宋" w:eastAsia="仿宋" w:cs="仿宋"/>
                <w:b/>
                <w:bCs/>
                <w:snapToGrid w:val="0"/>
                <w:color w:val="auto"/>
                <w:sz w:val="21"/>
                <w:szCs w:val="21"/>
                <w:highlight w:val="none"/>
              </w:rPr>
              <w:t>单位在领取本项目</w:t>
            </w:r>
            <w:r>
              <w:rPr>
                <w:rFonts w:hint="eastAsia" w:ascii="仿宋" w:hAnsi="仿宋" w:eastAsia="仿宋" w:cs="仿宋"/>
                <w:b/>
                <w:bCs/>
                <w:snapToGrid w:val="0"/>
                <w:color w:val="auto"/>
                <w:sz w:val="21"/>
                <w:szCs w:val="21"/>
                <w:highlight w:val="none"/>
                <w:lang w:eastAsia="zh-CN"/>
              </w:rPr>
              <w:t>中标</w:t>
            </w:r>
            <w:r>
              <w:rPr>
                <w:rFonts w:hint="eastAsia" w:ascii="仿宋" w:hAnsi="仿宋" w:eastAsia="仿宋" w:cs="仿宋"/>
                <w:b/>
                <w:bCs/>
                <w:snapToGrid w:val="0"/>
                <w:color w:val="auto"/>
                <w:sz w:val="21"/>
                <w:szCs w:val="21"/>
                <w:highlight w:val="none"/>
              </w:rPr>
              <w:t>通知书时，按照《国家计委关于印发招标代理服务收费管理暂行办法的通知（计价格[2002]1980号）及《招标代理服务收费有关问题》（发改办价格〔2003〕857号文）中规定由</w:t>
            </w:r>
            <w:r>
              <w:rPr>
                <w:rFonts w:hint="eastAsia" w:ascii="仿宋" w:hAnsi="仿宋" w:eastAsia="仿宋" w:cs="仿宋"/>
                <w:b/>
                <w:bCs/>
                <w:snapToGrid w:val="0"/>
                <w:color w:val="auto"/>
                <w:sz w:val="21"/>
                <w:szCs w:val="21"/>
                <w:highlight w:val="none"/>
                <w:lang w:eastAsia="zh-CN"/>
              </w:rPr>
              <w:t>中标</w:t>
            </w:r>
            <w:r>
              <w:rPr>
                <w:rFonts w:hint="eastAsia" w:ascii="仿宋" w:hAnsi="仿宋" w:eastAsia="仿宋" w:cs="仿宋"/>
                <w:b/>
                <w:bCs/>
                <w:snapToGrid w:val="0"/>
                <w:color w:val="auto"/>
                <w:sz w:val="21"/>
                <w:szCs w:val="21"/>
                <w:highlight w:val="none"/>
              </w:rPr>
              <w:t>单位向招标代理机构支付本项目代理费。收费标准如下：</w:t>
            </w:r>
          </w:p>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0" w:right="0"/>
              <w:textAlignment w:val="auto"/>
              <w:outlineLvl w:val="9"/>
              <w:rPr>
                <w:rFonts w:hint="eastAsia" w:ascii="仿宋" w:hAnsi="仿宋" w:eastAsia="仿宋" w:cs="仿宋"/>
                <w:snapToGrid w:val="0"/>
                <w:color w:val="auto"/>
                <w:sz w:val="21"/>
                <w:szCs w:val="21"/>
                <w:highlight w:val="none"/>
              </w:rPr>
            </w:pPr>
            <w:r>
              <w:rPr>
                <w:rFonts w:hint="eastAsia" w:ascii="仿宋" w:hAnsi="仿宋" w:eastAsia="仿宋" w:cs="仿宋"/>
                <w:snapToGrid w:val="0"/>
                <w:color w:val="auto"/>
                <w:sz w:val="21"/>
                <w:szCs w:val="21"/>
                <w:highlight w:val="none"/>
              </w:rPr>
              <w:t>招标代理服务收费标准</w:t>
            </w:r>
          </w:p>
          <w:tbl>
            <w:tblPr>
              <w:tblStyle w:val="47"/>
              <w:tblW w:w="6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3"/>
              <w:gridCol w:w="1546"/>
              <w:gridCol w:w="1907"/>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953" w:type="dxa"/>
                  <w:vAlign w:val="top"/>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0" w:right="0"/>
                    <w:textAlignment w:val="auto"/>
                    <w:outlineLvl w:val="9"/>
                    <w:rPr>
                      <w:rFonts w:hint="eastAsia" w:ascii="仿宋" w:hAnsi="仿宋" w:eastAsia="仿宋" w:cs="仿宋"/>
                      <w:snapToGrid w:val="0"/>
                      <w:color w:val="auto"/>
                      <w:sz w:val="21"/>
                      <w:szCs w:val="21"/>
                      <w:highlight w:val="none"/>
                    </w:rPr>
                  </w:pPr>
                  <w:r>
                    <w:rPr>
                      <w:rFonts w:hint="eastAsia" w:ascii="仿宋" w:hAnsi="仿宋" w:eastAsia="仿宋" w:cs="仿宋"/>
                      <w:snapToGrid w:val="0"/>
                      <w:color w:val="auto"/>
                      <w:sz w:val="21"/>
                      <w:szCs w:val="21"/>
                      <w:highlight w:val="none"/>
                      <w:lang w:eastAsia="zh-CN"/>
                    </w:rPr>
                    <w:t>中标</w:t>
                  </w:r>
                  <w:r>
                    <w:rPr>
                      <w:rFonts w:hint="eastAsia" w:ascii="仿宋" w:hAnsi="仿宋" w:eastAsia="仿宋" w:cs="仿宋"/>
                      <w:snapToGrid w:val="0"/>
                      <w:color w:val="auto"/>
                      <w:sz w:val="21"/>
                      <w:szCs w:val="21"/>
                      <w:highlight w:val="none"/>
                    </w:rPr>
                    <w:t>金额（万元）</w:t>
                  </w:r>
                </w:p>
              </w:tc>
              <w:tc>
                <w:tcPr>
                  <w:tcW w:w="1546" w:type="dxa"/>
                  <w:vAlign w:val="top"/>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0" w:right="0"/>
                    <w:textAlignment w:val="auto"/>
                    <w:outlineLvl w:val="9"/>
                    <w:rPr>
                      <w:rFonts w:hint="eastAsia" w:ascii="仿宋" w:hAnsi="仿宋" w:eastAsia="仿宋" w:cs="仿宋"/>
                      <w:snapToGrid w:val="0"/>
                      <w:color w:val="auto"/>
                      <w:sz w:val="21"/>
                      <w:szCs w:val="21"/>
                      <w:highlight w:val="none"/>
                    </w:rPr>
                  </w:pPr>
                  <w:r>
                    <w:rPr>
                      <w:rFonts w:hint="eastAsia" w:ascii="仿宋" w:hAnsi="仿宋" w:eastAsia="仿宋" w:cs="仿宋"/>
                      <w:snapToGrid w:val="0"/>
                      <w:color w:val="auto"/>
                      <w:sz w:val="21"/>
                      <w:szCs w:val="21"/>
                      <w:highlight w:val="none"/>
                    </w:rPr>
                    <w:t>货物招标</w:t>
                  </w:r>
                </w:p>
              </w:tc>
              <w:tc>
                <w:tcPr>
                  <w:tcW w:w="1907" w:type="dxa"/>
                  <w:vAlign w:val="top"/>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0" w:right="0"/>
                    <w:textAlignment w:val="auto"/>
                    <w:outlineLvl w:val="9"/>
                    <w:rPr>
                      <w:rFonts w:hint="eastAsia" w:ascii="仿宋" w:hAnsi="仿宋" w:eastAsia="仿宋" w:cs="仿宋"/>
                      <w:snapToGrid w:val="0"/>
                      <w:color w:val="auto"/>
                      <w:sz w:val="21"/>
                      <w:szCs w:val="21"/>
                      <w:highlight w:val="none"/>
                    </w:rPr>
                  </w:pPr>
                  <w:r>
                    <w:rPr>
                      <w:rFonts w:hint="eastAsia" w:ascii="仿宋" w:hAnsi="仿宋" w:eastAsia="仿宋" w:cs="仿宋"/>
                      <w:snapToGrid w:val="0"/>
                      <w:color w:val="auto"/>
                      <w:sz w:val="21"/>
                      <w:szCs w:val="21"/>
                      <w:highlight w:val="none"/>
                      <w:lang w:eastAsia="zh-CN"/>
                    </w:rPr>
                    <w:t>服务招标</w:t>
                  </w:r>
                </w:p>
              </w:tc>
              <w:tc>
                <w:tcPr>
                  <w:tcW w:w="1292" w:type="dxa"/>
                  <w:vAlign w:val="top"/>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0" w:right="0"/>
                    <w:textAlignment w:val="auto"/>
                    <w:outlineLvl w:val="9"/>
                    <w:rPr>
                      <w:rFonts w:hint="eastAsia" w:ascii="仿宋" w:hAnsi="仿宋" w:eastAsia="仿宋" w:cs="仿宋"/>
                      <w:snapToGrid w:val="0"/>
                      <w:color w:val="auto"/>
                      <w:sz w:val="21"/>
                      <w:szCs w:val="21"/>
                      <w:highlight w:val="none"/>
                    </w:rPr>
                  </w:pPr>
                  <w:r>
                    <w:rPr>
                      <w:rFonts w:hint="eastAsia" w:ascii="仿宋" w:hAnsi="仿宋" w:eastAsia="仿宋" w:cs="仿宋"/>
                      <w:snapToGrid w:val="0"/>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953" w:type="dxa"/>
                  <w:vAlign w:val="center"/>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0" w:right="0"/>
                    <w:textAlignment w:val="auto"/>
                    <w:outlineLvl w:val="9"/>
                    <w:rPr>
                      <w:rFonts w:hint="eastAsia" w:ascii="仿宋" w:hAnsi="仿宋" w:eastAsia="仿宋" w:cs="仿宋"/>
                      <w:snapToGrid w:val="0"/>
                      <w:color w:val="auto"/>
                      <w:sz w:val="21"/>
                      <w:szCs w:val="21"/>
                      <w:highlight w:val="none"/>
                    </w:rPr>
                  </w:pPr>
                  <w:r>
                    <w:rPr>
                      <w:rFonts w:hint="eastAsia" w:ascii="仿宋" w:hAnsi="仿宋" w:eastAsia="仿宋" w:cs="仿宋"/>
                      <w:snapToGrid w:val="0"/>
                      <w:color w:val="auto"/>
                      <w:sz w:val="21"/>
                      <w:szCs w:val="21"/>
                      <w:highlight w:val="none"/>
                    </w:rPr>
                    <w:t>100以下</w:t>
                  </w:r>
                </w:p>
              </w:tc>
              <w:tc>
                <w:tcPr>
                  <w:tcW w:w="1546" w:type="dxa"/>
                  <w:vAlign w:val="center"/>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0" w:right="0"/>
                    <w:textAlignment w:val="auto"/>
                    <w:outlineLvl w:val="9"/>
                    <w:rPr>
                      <w:rFonts w:hint="eastAsia" w:ascii="仿宋" w:hAnsi="仿宋" w:eastAsia="仿宋" w:cs="仿宋"/>
                      <w:snapToGrid w:val="0"/>
                      <w:color w:val="auto"/>
                      <w:sz w:val="21"/>
                      <w:szCs w:val="21"/>
                      <w:highlight w:val="none"/>
                    </w:rPr>
                  </w:pPr>
                  <w:r>
                    <w:rPr>
                      <w:rFonts w:hint="eastAsia" w:ascii="仿宋" w:hAnsi="仿宋" w:eastAsia="仿宋" w:cs="仿宋"/>
                      <w:snapToGrid w:val="0"/>
                      <w:color w:val="auto"/>
                      <w:sz w:val="21"/>
                      <w:szCs w:val="21"/>
                      <w:highlight w:val="none"/>
                    </w:rPr>
                    <w:t>1.50%</w:t>
                  </w:r>
                </w:p>
              </w:tc>
              <w:tc>
                <w:tcPr>
                  <w:tcW w:w="1907" w:type="dxa"/>
                  <w:vAlign w:val="center"/>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0" w:right="0"/>
                    <w:textAlignment w:val="auto"/>
                    <w:outlineLvl w:val="9"/>
                    <w:rPr>
                      <w:rFonts w:hint="eastAsia" w:ascii="仿宋" w:hAnsi="仿宋" w:eastAsia="仿宋" w:cs="仿宋"/>
                      <w:snapToGrid w:val="0"/>
                      <w:color w:val="auto"/>
                      <w:sz w:val="21"/>
                      <w:szCs w:val="21"/>
                      <w:highlight w:val="none"/>
                    </w:rPr>
                  </w:pPr>
                  <w:r>
                    <w:rPr>
                      <w:rFonts w:hint="eastAsia" w:ascii="仿宋" w:hAnsi="仿宋" w:eastAsia="仿宋" w:cs="仿宋"/>
                      <w:snapToGrid w:val="0"/>
                      <w:color w:val="auto"/>
                      <w:sz w:val="21"/>
                      <w:szCs w:val="21"/>
                      <w:highlight w:val="none"/>
                    </w:rPr>
                    <w:t>1.50%</w:t>
                  </w:r>
                </w:p>
              </w:tc>
              <w:tc>
                <w:tcPr>
                  <w:tcW w:w="1292" w:type="dxa"/>
                  <w:vAlign w:val="top"/>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0" w:right="0"/>
                    <w:textAlignment w:val="auto"/>
                    <w:outlineLvl w:val="9"/>
                    <w:rPr>
                      <w:rFonts w:hint="eastAsia" w:ascii="仿宋" w:hAnsi="仿宋" w:eastAsia="仿宋" w:cs="仿宋"/>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953" w:type="dxa"/>
                  <w:vAlign w:val="center"/>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0" w:right="0"/>
                    <w:textAlignment w:val="auto"/>
                    <w:outlineLvl w:val="9"/>
                    <w:rPr>
                      <w:rFonts w:hint="eastAsia" w:ascii="仿宋" w:hAnsi="仿宋" w:eastAsia="仿宋" w:cs="仿宋"/>
                      <w:snapToGrid w:val="0"/>
                      <w:color w:val="auto"/>
                      <w:sz w:val="21"/>
                      <w:szCs w:val="21"/>
                      <w:highlight w:val="none"/>
                    </w:rPr>
                  </w:pPr>
                  <w:r>
                    <w:rPr>
                      <w:rFonts w:hint="eastAsia" w:ascii="仿宋" w:hAnsi="仿宋" w:eastAsia="仿宋" w:cs="仿宋"/>
                      <w:snapToGrid w:val="0"/>
                      <w:color w:val="auto"/>
                      <w:sz w:val="21"/>
                      <w:szCs w:val="21"/>
                      <w:highlight w:val="none"/>
                    </w:rPr>
                    <w:t>100-500</w:t>
                  </w:r>
                </w:p>
              </w:tc>
              <w:tc>
                <w:tcPr>
                  <w:tcW w:w="1546" w:type="dxa"/>
                  <w:vAlign w:val="center"/>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0" w:right="0"/>
                    <w:textAlignment w:val="auto"/>
                    <w:outlineLvl w:val="9"/>
                    <w:rPr>
                      <w:rFonts w:hint="eastAsia" w:ascii="仿宋" w:hAnsi="仿宋" w:eastAsia="仿宋" w:cs="仿宋"/>
                      <w:snapToGrid w:val="0"/>
                      <w:color w:val="auto"/>
                      <w:sz w:val="21"/>
                      <w:szCs w:val="21"/>
                      <w:highlight w:val="none"/>
                    </w:rPr>
                  </w:pPr>
                  <w:r>
                    <w:rPr>
                      <w:rFonts w:hint="eastAsia" w:ascii="仿宋" w:hAnsi="仿宋" w:eastAsia="仿宋" w:cs="仿宋"/>
                      <w:snapToGrid w:val="0"/>
                      <w:color w:val="auto"/>
                      <w:sz w:val="21"/>
                      <w:szCs w:val="21"/>
                      <w:highlight w:val="none"/>
                    </w:rPr>
                    <w:t>1.10%</w:t>
                  </w:r>
                </w:p>
              </w:tc>
              <w:tc>
                <w:tcPr>
                  <w:tcW w:w="1907" w:type="dxa"/>
                  <w:vAlign w:val="center"/>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0" w:right="0"/>
                    <w:textAlignment w:val="auto"/>
                    <w:outlineLvl w:val="9"/>
                    <w:rPr>
                      <w:rFonts w:hint="eastAsia" w:ascii="仿宋" w:hAnsi="仿宋" w:eastAsia="仿宋" w:cs="仿宋"/>
                      <w:snapToGrid w:val="0"/>
                      <w:color w:val="auto"/>
                      <w:sz w:val="21"/>
                      <w:szCs w:val="21"/>
                      <w:highlight w:val="none"/>
                    </w:rPr>
                  </w:pPr>
                  <w:r>
                    <w:rPr>
                      <w:rFonts w:hint="eastAsia" w:ascii="仿宋" w:hAnsi="仿宋" w:eastAsia="仿宋" w:cs="仿宋"/>
                      <w:snapToGrid w:val="0"/>
                      <w:color w:val="auto"/>
                      <w:sz w:val="21"/>
                      <w:szCs w:val="21"/>
                      <w:highlight w:val="none"/>
                      <w:lang w:val="en-US" w:eastAsia="zh-CN"/>
                    </w:rPr>
                    <w:t>0.80</w:t>
                  </w:r>
                  <w:r>
                    <w:rPr>
                      <w:rFonts w:hint="eastAsia" w:ascii="仿宋" w:hAnsi="仿宋" w:eastAsia="仿宋" w:cs="仿宋"/>
                      <w:snapToGrid w:val="0"/>
                      <w:color w:val="auto"/>
                      <w:sz w:val="21"/>
                      <w:szCs w:val="21"/>
                      <w:highlight w:val="none"/>
                    </w:rPr>
                    <w:t>%</w:t>
                  </w:r>
                </w:p>
              </w:tc>
              <w:tc>
                <w:tcPr>
                  <w:tcW w:w="1292" w:type="dxa"/>
                  <w:vAlign w:val="top"/>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0" w:right="0"/>
                    <w:textAlignment w:val="auto"/>
                    <w:outlineLvl w:val="9"/>
                    <w:rPr>
                      <w:rFonts w:hint="eastAsia" w:ascii="仿宋" w:hAnsi="仿宋" w:eastAsia="仿宋" w:cs="仿宋"/>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953" w:type="dxa"/>
                  <w:vAlign w:val="center"/>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0" w:right="0"/>
                    <w:textAlignment w:val="auto"/>
                    <w:outlineLvl w:val="9"/>
                    <w:rPr>
                      <w:rFonts w:hint="eastAsia" w:ascii="仿宋" w:hAnsi="仿宋" w:eastAsia="仿宋" w:cs="仿宋"/>
                      <w:snapToGrid w:val="0"/>
                      <w:color w:val="auto"/>
                      <w:sz w:val="21"/>
                      <w:szCs w:val="21"/>
                      <w:highlight w:val="none"/>
                    </w:rPr>
                  </w:pPr>
                  <w:r>
                    <w:rPr>
                      <w:rFonts w:hint="eastAsia" w:ascii="仿宋" w:hAnsi="仿宋" w:eastAsia="仿宋" w:cs="仿宋"/>
                      <w:snapToGrid w:val="0"/>
                      <w:color w:val="auto"/>
                      <w:sz w:val="21"/>
                      <w:szCs w:val="21"/>
                      <w:highlight w:val="none"/>
                    </w:rPr>
                    <w:t>500-1000</w:t>
                  </w:r>
                </w:p>
              </w:tc>
              <w:tc>
                <w:tcPr>
                  <w:tcW w:w="1546" w:type="dxa"/>
                  <w:vAlign w:val="center"/>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0" w:right="0"/>
                    <w:textAlignment w:val="auto"/>
                    <w:outlineLvl w:val="9"/>
                    <w:rPr>
                      <w:rFonts w:hint="eastAsia" w:ascii="仿宋" w:hAnsi="仿宋" w:eastAsia="仿宋" w:cs="仿宋"/>
                      <w:snapToGrid w:val="0"/>
                      <w:color w:val="auto"/>
                      <w:sz w:val="21"/>
                      <w:szCs w:val="21"/>
                      <w:highlight w:val="none"/>
                    </w:rPr>
                  </w:pPr>
                  <w:r>
                    <w:rPr>
                      <w:rFonts w:hint="eastAsia" w:ascii="仿宋" w:hAnsi="仿宋" w:eastAsia="仿宋" w:cs="仿宋"/>
                      <w:snapToGrid w:val="0"/>
                      <w:color w:val="auto"/>
                      <w:sz w:val="21"/>
                      <w:szCs w:val="21"/>
                      <w:highlight w:val="none"/>
                    </w:rPr>
                    <w:t>0.80%</w:t>
                  </w:r>
                </w:p>
              </w:tc>
              <w:tc>
                <w:tcPr>
                  <w:tcW w:w="1907" w:type="dxa"/>
                  <w:vAlign w:val="center"/>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0" w:right="0"/>
                    <w:textAlignment w:val="auto"/>
                    <w:outlineLvl w:val="9"/>
                    <w:rPr>
                      <w:rFonts w:hint="eastAsia" w:ascii="仿宋" w:hAnsi="仿宋" w:eastAsia="仿宋" w:cs="仿宋"/>
                      <w:snapToGrid w:val="0"/>
                      <w:color w:val="auto"/>
                      <w:sz w:val="21"/>
                      <w:szCs w:val="21"/>
                      <w:highlight w:val="none"/>
                    </w:rPr>
                  </w:pPr>
                  <w:r>
                    <w:rPr>
                      <w:rFonts w:hint="eastAsia" w:ascii="仿宋" w:hAnsi="仿宋" w:eastAsia="仿宋" w:cs="仿宋"/>
                      <w:snapToGrid w:val="0"/>
                      <w:color w:val="auto"/>
                      <w:sz w:val="21"/>
                      <w:szCs w:val="21"/>
                      <w:highlight w:val="none"/>
                    </w:rPr>
                    <w:t>0.</w:t>
                  </w:r>
                  <w:r>
                    <w:rPr>
                      <w:rFonts w:hint="eastAsia" w:ascii="仿宋" w:hAnsi="仿宋" w:eastAsia="仿宋" w:cs="仿宋"/>
                      <w:snapToGrid w:val="0"/>
                      <w:color w:val="auto"/>
                      <w:sz w:val="21"/>
                      <w:szCs w:val="21"/>
                      <w:highlight w:val="none"/>
                      <w:lang w:val="en-US" w:eastAsia="zh-CN"/>
                    </w:rPr>
                    <w:t>45</w:t>
                  </w:r>
                  <w:r>
                    <w:rPr>
                      <w:rFonts w:hint="eastAsia" w:ascii="仿宋" w:hAnsi="仿宋" w:eastAsia="仿宋" w:cs="仿宋"/>
                      <w:snapToGrid w:val="0"/>
                      <w:color w:val="auto"/>
                      <w:sz w:val="21"/>
                      <w:szCs w:val="21"/>
                      <w:highlight w:val="none"/>
                    </w:rPr>
                    <w:t>%</w:t>
                  </w:r>
                </w:p>
              </w:tc>
              <w:tc>
                <w:tcPr>
                  <w:tcW w:w="1292" w:type="dxa"/>
                  <w:vAlign w:val="top"/>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0" w:right="0"/>
                    <w:textAlignment w:val="auto"/>
                    <w:outlineLvl w:val="9"/>
                    <w:rPr>
                      <w:rFonts w:hint="eastAsia" w:ascii="仿宋" w:hAnsi="仿宋" w:eastAsia="仿宋" w:cs="仿宋"/>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953" w:type="dxa"/>
                  <w:vAlign w:val="center"/>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0" w:right="0"/>
                    <w:textAlignment w:val="auto"/>
                    <w:outlineLvl w:val="9"/>
                    <w:rPr>
                      <w:rFonts w:hint="eastAsia" w:ascii="仿宋" w:hAnsi="仿宋" w:eastAsia="仿宋" w:cs="仿宋"/>
                      <w:snapToGrid w:val="0"/>
                      <w:color w:val="auto"/>
                      <w:sz w:val="21"/>
                      <w:szCs w:val="21"/>
                      <w:highlight w:val="none"/>
                    </w:rPr>
                  </w:pPr>
                  <w:r>
                    <w:rPr>
                      <w:rFonts w:hint="eastAsia" w:ascii="仿宋" w:hAnsi="仿宋" w:eastAsia="仿宋" w:cs="仿宋"/>
                      <w:snapToGrid w:val="0"/>
                      <w:color w:val="auto"/>
                      <w:sz w:val="21"/>
                      <w:szCs w:val="21"/>
                      <w:highlight w:val="none"/>
                    </w:rPr>
                    <w:t>1000-5000</w:t>
                  </w:r>
                </w:p>
              </w:tc>
              <w:tc>
                <w:tcPr>
                  <w:tcW w:w="1546" w:type="dxa"/>
                  <w:vAlign w:val="center"/>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0" w:right="0"/>
                    <w:textAlignment w:val="auto"/>
                    <w:outlineLvl w:val="9"/>
                    <w:rPr>
                      <w:rFonts w:hint="eastAsia" w:ascii="仿宋" w:hAnsi="仿宋" w:eastAsia="仿宋" w:cs="仿宋"/>
                      <w:snapToGrid w:val="0"/>
                      <w:color w:val="auto"/>
                      <w:sz w:val="21"/>
                      <w:szCs w:val="21"/>
                      <w:highlight w:val="none"/>
                    </w:rPr>
                  </w:pPr>
                  <w:r>
                    <w:rPr>
                      <w:rFonts w:hint="eastAsia" w:ascii="仿宋" w:hAnsi="仿宋" w:eastAsia="仿宋" w:cs="仿宋"/>
                      <w:snapToGrid w:val="0"/>
                      <w:color w:val="auto"/>
                      <w:sz w:val="21"/>
                      <w:szCs w:val="21"/>
                      <w:highlight w:val="none"/>
                    </w:rPr>
                    <w:t>0.50%</w:t>
                  </w:r>
                </w:p>
              </w:tc>
              <w:tc>
                <w:tcPr>
                  <w:tcW w:w="1907" w:type="dxa"/>
                  <w:vAlign w:val="center"/>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0" w:right="0"/>
                    <w:textAlignment w:val="auto"/>
                    <w:outlineLvl w:val="9"/>
                    <w:rPr>
                      <w:rFonts w:hint="eastAsia" w:ascii="仿宋" w:hAnsi="仿宋" w:eastAsia="仿宋" w:cs="仿宋"/>
                      <w:snapToGrid w:val="0"/>
                      <w:color w:val="auto"/>
                      <w:sz w:val="21"/>
                      <w:szCs w:val="21"/>
                      <w:highlight w:val="none"/>
                    </w:rPr>
                  </w:pPr>
                  <w:r>
                    <w:rPr>
                      <w:rFonts w:hint="eastAsia" w:ascii="仿宋" w:hAnsi="仿宋" w:eastAsia="仿宋" w:cs="仿宋"/>
                      <w:snapToGrid w:val="0"/>
                      <w:color w:val="auto"/>
                      <w:sz w:val="21"/>
                      <w:szCs w:val="21"/>
                      <w:highlight w:val="none"/>
                    </w:rPr>
                    <w:t>0.</w:t>
                  </w:r>
                  <w:r>
                    <w:rPr>
                      <w:rFonts w:hint="eastAsia" w:ascii="仿宋" w:hAnsi="仿宋" w:eastAsia="仿宋" w:cs="仿宋"/>
                      <w:snapToGrid w:val="0"/>
                      <w:color w:val="auto"/>
                      <w:sz w:val="21"/>
                      <w:szCs w:val="21"/>
                      <w:highlight w:val="none"/>
                      <w:lang w:val="en-US" w:eastAsia="zh-CN"/>
                    </w:rPr>
                    <w:t>25</w:t>
                  </w:r>
                  <w:r>
                    <w:rPr>
                      <w:rFonts w:hint="eastAsia" w:ascii="仿宋" w:hAnsi="仿宋" w:eastAsia="仿宋" w:cs="仿宋"/>
                      <w:snapToGrid w:val="0"/>
                      <w:color w:val="auto"/>
                      <w:sz w:val="21"/>
                      <w:szCs w:val="21"/>
                      <w:highlight w:val="none"/>
                    </w:rPr>
                    <w:t>%</w:t>
                  </w:r>
                </w:p>
              </w:tc>
              <w:tc>
                <w:tcPr>
                  <w:tcW w:w="1292" w:type="dxa"/>
                  <w:vAlign w:val="top"/>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0" w:right="0"/>
                    <w:textAlignment w:val="auto"/>
                    <w:outlineLvl w:val="9"/>
                    <w:rPr>
                      <w:rFonts w:hint="eastAsia" w:ascii="仿宋" w:hAnsi="仿宋" w:eastAsia="仿宋" w:cs="仿宋"/>
                      <w:snapToGrid w:val="0"/>
                      <w:color w:val="auto"/>
                      <w:sz w:val="21"/>
                      <w:szCs w:val="21"/>
                      <w:highlight w:val="none"/>
                    </w:rPr>
                  </w:pPr>
                </w:p>
              </w:tc>
            </w:tr>
          </w:tbl>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0" w:right="0"/>
              <w:textAlignment w:val="auto"/>
              <w:outlineLvl w:val="9"/>
              <w:rPr>
                <w:rFonts w:hint="eastAsia" w:ascii="仿宋" w:hAnsi="仿宋" w:eastAsia="仿宋" w:cs="仿宋"/>
                <w:snapToGrid w:val="0"/>
                <w:color w:val="auto"/>
                <w:sz w:val="21"/>
                <w:szCs w:val="21"/>
                <w:highlight w:val="none"/>
              </w:rPr>
            </w:pPr>
            <w:r>
              <w:rPr>
                <w:rFonts w:hint="eastAsia" w:ascii="仿宋" w:hAnsi="仿宋" w:eastAsia="仿宋" w:cs="仿宋"/>
                <w:snapToGrid w:val="0"/>
                <w:color w:val="auto"/>
                <w:sz w:val="21"/>
                <w:szCs w:val="21"/>
                <w:highlight w:val="none"/>
              </w:rPr>
              <w:t>招标代理服务收费按差额定率累进法计算。例如：某项目招标代理业务</w:t>
            </w:r>
            <w:r>
              <w:rPr>
                <w:rFonts w:hint="eastAsia" w:ascii="仿宋" w:hAnsi="仿宋" w:eastAsia="仿宋" w:cs="仿宋"/>
                <w:snapToGrid w:val="0"/>
                <w:color w:val="auto"/>
                <w:sz w:val="21"/>
                <w:szCs w:val="21"/>
                <w:highlight w:val="none"/>
                <w:lang w:eastAsia="zh-CN"/>
              </w:rPr>
              <w:t>中标</w:t>
            </w:r>
            <w:r>
              <w:rPr>
                <w:rFonts w:hint="eastAsia" w:ascii="仿宋" w:hAnsi="仿宋" w:eastAsia="仿宋" w:cs="仿宋"/>
                <w:snapToGrid w:val="0"/>
                <w:color w:val="auto"/>
                <w:sz w:val="21"/>
                <w:szCs w:val="21"/>
                <w:highlight w:val="none"/>
              </w:rPr>
              <w:t>金额为2000万元，计算招标代理服务收费额如下：</w:t>
            </w:r>
          </w:p>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0" w:right="0"/>
              <w:textAlignment w:val="auto"/>
              <w:outlineLvl w:val="9"/>
              <w:rPr>
                <w:rFonts w:hint="eastAsia" w:ascii="仿宋" w:hAnsi="仿宋" w:eastAsia="仿宋" w:cs="仿宋"/>
                <w:snapToGrid w:val="0"/>
                <w:color w:val="auto"/>
                <w:sz w:val="21"/>
                <w:szCs w:val="21"/>
                <w:highlight w:val="none"/>
              </w:rPr>
            </w:pPr>
            <w:r>
              <w:rPr>
                <w:rFonts w:hint="eastAsia" w:ascii="仿宋" w:hAnsi="仿宋" w:eastAsia="仿宋" w:cs="仿宋"/>
                <w:snapToGrid w:val="0"/>
                <w:color w:val="auto"/>
                <w:sz w:val="21"/>
                <w:szCs w:val="21"/>
                <w:highlight w:val="none"/>
              </w:rPr>
              <w:t xml:space="preserve"> 100万元×1.50%=1.5（万元）；</w:t>
            </w:r>
          </w:p>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0" w:right="0"/>
              <w:textAlignment w:val="auto"/>
              <w:outlineLvl w:val="9"/>
              <w:rPr>
                <w:rFonts w:hint="eastAsia" w:ascii="仿宋" w:hAnsi="仿宋" w:eastAsia="仿宋" w:cs="仿宋"/>
                <w:snapToGrid w:val="0"/>
                <w:color w:val="auto"/>
                <w:sz w:val="21"/>
                <w:szCs w:val="21"/>
                <w:highlight w:val="none"/>
              </w:rPr>
            </w:pPr>
            <w:r>
              <w:rPr>
                <w:rFonts w:hint="eastAsia" w:ascii="仿宋" w:hAnsi="仿宋" w:eastAsia="仿宋" w:cs="仿宋"/>
                <w:snapToGrid w:val="0"/>
                <w:color w:val="auto"/>
                <w:sz w:val="21"/>
                <w:szCs w:val="21"/>
                <w:highlight w:val="none"/>
              </w:rPr>
              <w:t>（500-100）万元×1.10%=4.4（万元）</w:t>
            </w:r>
          </w:p>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0" w:right="0"/>
              <w:textAlignment w:val="auto"/>
              <w:outlineLvl w:val="9"/>
              <w:rPr>
                <w:rFonts w:hint="eastAsia" w:ascii="仿宋" w:hAnsi="仿宋" w:eastAsia="仿宋" w:cs="仿宋"/>
                <w:snapToGrid w:val="0"/>
                <w:color w:val="auto"/>
                <w:sz w:val="21"/>
                <w:szCs w:val="21"/>
                <w:highlight w:val="none"/>
              </w:rPr>
            </w:pPr>
            <w:r>
              <w:rPr>
                <w:rFonts w:hint="eastAsia" w:ascii="仿宋" w:hAnsi="仿宋" w:eastAsia="仿宋" w:cs="仿宋"/>
                <w:snapToGrid w:val="0"/>
                <w:color w:val="auto"/>
                <w:sz w:val="21"/>
                <w:szCs w:val="21"/>
                <w:highlight w:val="none"/>
              </w:rPr>
              <w:t>（1000-500）万元×0.80%=4.0（万元）</w:t>
            </w:r>
          </w:p>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0" w:right="0"/>
              <w:textAlignment w:val="auto"/>
              <w:outlineLvl w:val="9"/>
              <w:rPr>
                <w:rFonts w:hint="eastAsia" w:ascii="仿宋" w:hAnsi="仿宋" w:eastAsia="仿宋" w:cs="仿宋"/>
                <w:snapToGrid w:val="0"/>
                <w:color w:val="auto"/>
                <w:sz w:val="21"/>
                <w:szCs w:val="21"/>
                <w:highlight w:val="none"/>
              </w:rPr>
            </w:pPr>
            <w:r>
              <w:rPr>
                <w:rFonts w:hint="eastAsia" w:ascii="仿宋" w:hAnsi="仿宋" w:eastAsia="仿宋" w:cs="仿宋"/>
                <w:snapToGrid w:val="0"/>
                <w:color w:val="auto"/>
                <w:sz w:val="21"/>
                <w:szCs w:val="21"/>
                <w:highlight w:val="none"/>
              </w:rPr>
              <w:t>（2000-1000）万元×0.50%=5.0（万元）</w:t>
            </w:r>
          </w:p>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0" w:right="0"/>
              <w:textAlignment w:val="auto"/>
              <w:outlineLvl w:val="9"/>
              <w:rPr>
                <w:rFonts w:hint="eastAsia" w:ascii="仿宋" w:hAnsi="仿宋" w:eastAsia="仿宋" w:cs="仿宋"/>
                <w:color w:val="auto"/>
                <w:sz w:val="21"/>
                <w:szCs w:val="21"/>
                <w:highlight w:val="none"/>
              </w:rPr>
            </w:pPr>
            <w:r>
              <w:rPr>
                <w:rFonts w:hint="eastAsia" w:ascii="仿宋" w:hAnsi="仿宋" w:eastAsia="仿宋" w:cs="仿宋"/>
                <w:snapToGrid w:val="0"/>
                <w:color w:val="auto"/>
                <w:sz w:val="21"/>
                <w:szCs w:val="21"/>
                <w:highlight w:val="none"/>
              </w:rPr>
              <w:t>合计收费=1.5+4.4+4.0+5.0=14.9(万元)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32" w:type="dxa"/>
            <w:vAlign w:val="center"/>
          </w:tcPr>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0" w:right="0"/>
              <w:jc w:val="center"/>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17</w:t>
            </w:r>
          </w:p>
        </w:tc>
        <w:tc>
          <w:tcPr>
            <w:tcW w:w="1278" w:type="dxa"/>
            <w:vAlign w:val="center"/>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0" w:right="0"/>
              <w:jc w:val="left"/>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最高投标限价</w:t>
            </w:r>
          </w:p>
        </w:tc>
        <w:tc>
          <w:tcPr>
            <w:tcW w:w="7306" w:type="dxa"/>
            <w:vAlign w:val="center"/>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0" w:right="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招标人设置投标报价最高上限：</w:t>
            </w:r>
            <w:r>
              <w:rPr>
                <w:rFonts w:hint="eastAsia" w:ascii="仿宋" w:hAnsi="仿宋" w:eastAsia="仿宋" w:cs="仿宋"/>
                <w:b/>
                <w:bCs/>
                <w:color w:val="auto"/>
                <w:sz w:val="21"/>
                <w:szCs w:val="21"/>
                <w:highlight w:val="none"/>
                <w:lang w:val="en-US" w:eastAsia="zh-CN"/>
              </w:rPr>
              <w:t>2097952.06</w:t>
            </w:r>
            <w:r>
              <w:rPr>
                <w:rFonts w:hint="eastAsia" w:ascii="仿宋" w:hAnsi="仿宋" w:eastAsia="仿宋" w:cs="仿宋"/>
                <w:b/>
                <w:bCs/>
                <w:color w:val="auto"/>
                <w:sz w:val="21"/>
                <w:szCs w:val="21"/>
                <w:highlight w:val="none"/>
              </w:rPr>
              <w:t>元，高于最高限价的</w:t>
            </w:r>
            <w:r>
              <w:rPr>
                <w:rFonts w:hint="eastAsia" w:ascii="仿宋" w:hAnsi="仿宋" w:eastAsia="仿宋" w:cs="仿宋"/>
                <w:color w:val="auto"/>
                <w:sz w:val="21"/>
                <w:szCs w:val="21"/>
                <w:highlight w:val="none"/>
              </w:rPr>
              <w:t>，其投标文件按无效投标处理。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732" w:type="dxa"/>
            <w:vAlign w:val="center"/>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0" w:right="0"/>
              <w:jc w:val="center"/>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18</w:t>
            </w:r>
          </w:p>
        </w:tc>
        <w:tc>
          <w:tcPr>
            <w:tcW w:w="1278" w:type="dxa"/>
            <w:vAlign w:val="center"/>
          </w:tcPr>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0" w:right="0"/>
              <w:jc w:val="left"/>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投标有效期</w:t>
            </w:r>
          </w:p>
        </w:tc>
        <w:tc>
          <w:tcPr>
            <w:tcW w:w="7306" w:type="dxa"/>
            <w:vAlign w:val="center"/>
          </w:tcPr>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0" w:right="0"/>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投标有效期为</w:t>
            </w:r>
            <w:r>
              <w:rPr>
                <w:rFonts w:hint="eastAsia" w:ascii="仿宋" w:hAnsi="仿宋" w:eastAsia="仿宋" w:cs="仿宋"/>
                <w:color w:val="auto"/>
                <w:sz w:val="21"/>
                <w:szCs w:val="21"/>
                <w:highlight w:val="none"/>
                <w:u w:val="single"/>
                <w:lang w:val="en-US" w:eastAsia="zh-CN"/>
              </w:rPr>
              <w:t xml:space="preserve"> 60 </w:t>
            </w:r>
            <w:r>
              <w:rPr>
                <w:rFonts w:hint="eastAsia" w:ascii="仿宋" w:hAnsi="仿宋" w:eastAsia="仿宋" w:cs="仿宋"/>
                <w:color w:val="auto"/>
                <w:sz w:val="21"/>
                <w:szCs w:val="21"/>
                <w:highlight w:val="none"/>
                <w:lang w:val="en-US" w:eastAsia="zh-CN"/>
              </w:rPr>
              <w:t>日历天（从投标截止之日算起）。在此期限内，凡符合本采购文件要求的投标文件均保持有效。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732" w:type="dxa"/>
            <w:vMerge w:val="restart"/>
            <w:vAlign w:val="center"/>
          </w:tcPr>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0" w:right="0"/>
              <w:jc w:val="center"/>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19</w:t>
            </w:r>
          </w:p>
        </w:tc>
        <w:tc>
          <w:tcPr>
            <w:tcW w:w="8584" w:type="dxa"/>
            <w:gridSpan w:val="2"/>
            <w:vAlign w:val="center"/>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0" w:right="0"/>
              <w:jc w:val="both"/>
              <w:textAlignment w:val="auto"/>
              <w:outlineLvl w:val="9"/>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2" w:type="dxa"/>
            <w:vMerge w:val="continue"/>
            <w:vAlign w:val="center"/>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0" w:right="0"/>
              <w:jc w:val="center"/>
              <w:textAlignment w:val="auto"/>
              <w:outlineLvl w:val="9"/>
              <w:rPr>
                <w:rFonts w:hint="eastAsia" w:ascii="仿宋" w:hAnsi="仿宋" w:eastAsia="仿宋" w:cs="仿宋"/>
                <w:color w:val="auto"/>
                <w:sz w:val="21"/>
                <w:szCs w:val="21"/>
                <w:highlight w:val="none"/>
              </w:rPr>
            </w:pPr>
          </w:p>
        </w:tc>
        <w:tc>
          <w:tcPr>
            <w:tcW w:w="8584" w:type="dxa"/>
            <w:gridSpan w:val="2"/>
            <w:vAlign w:val="center"/>
          </w:tcPr>
          <w:p>
            <w:pPr>
              <w:keepNext w:val="0"/>
              <w:keepLines w:val="0"/>
              <w:pageBreakBefore w:val="0"/>
              <w:suppressLineNumbers w:val="0"/>
              <w:shd w:val="clear" w:color="auto" w:fill="auto"/>
              <w:kinsoku/>
              <w:wordWrap/>
              <w:overflowPunct/>
              <w:topLinePunct w:val="0"/>
              <w:autoSpaceDE/>
              <w:autoSpaceDN/>
              <w:bidi w:val="0"/>
              <w:adjustRightInd/>
              <w:spacing w:before="0" w:beforeAutospacing="0" w:after="0" w:afterAutospacing="0" w:line="400" w:lineRule="exact"/>
              <w:ind w:left="0" w:right="0"/>
              <w:jc w:val="left"/>
              <w:textAlignment w:val="auto"/>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政府采购投标保证金要求：</w:t>
            </w:r>
          </w:p>
          <w:p>
            <w:pPr>
              <w:keepNext w:val="0"/>
              <w:keepLines w:val="0"/>
              <w:pageBreakBefore w:val="0"/>
              <w:suppressLineNumbers w:val="0"/>
              <w:shd w:val="clear" w:color="auto" w:fill="auto"/>
              <w:kinsoku/>
              <w:wordWrap/>
              <w:overflowPunct/>
              <w:topLinePunct w:val="0"/>
              <w:autoSpaceDE/>
              <w:autoSpaceDN/>
              <w:bidi w:val="0"/>
              <w:adjustRightInd/>
              <w:spacing w:before="0" w:beforeAutospacing="0" w:after="0" w:afterAutospacing="0" w:line="400" w:lineRule="exact"/>
              <w:ind w:left="0" w:right="0"/>
              <w:jc w:val="left"/>
              <w:textAlignment w:val="auto"/>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一、投标保证金交纳方式：投标保证金应当以支票、汇票、本票、网上银行支付或者金融机构、担保机构出具的保函等非现金形式交纳。</w:t>
            </w:r>
          </w:p>
          <w:p>
            <w:pPr>
              <w:keepNext w:val="0"/>
              <w:keepLines w:val="0"/>
              <w:pageBreakBefore w:val="0"/>
              <w:suppressLineNumbers w:val="0"/>
              <w:shd w:val="clear" w:color="auto" w:fill="auto"/>
              <w:kinsoku/>
              <w:wordWrap/>
              <w:overflowPunct/>
              <w:topLinePunct w:val="0"/>
              <w:autoSpaceDE/>
              <w:autoSpaceDN/>
              <w:bidi w:val="0"/>
              <w:adjustRightInd/>
              <w:spacing w:before="0" w:beforeAutospacing="0" w:after="0" w:afterAutospacing="0" w:line="400" w:lineRule="exact"/>
              <w:ind w:left="0" w:right="0"/>
              <w:jc w:val="left"/>
              <w:textAlignment w:val="auto"/>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投标保证金的金额：40000.00（肆万圆整）</w:t>
            </w:r>
          </w:p>
          <w:p>
            <w:pPr>
              <w:keepNext w:val="0"/>
              <w:keepLines w:val="0"/>
              <w:pageBreakBefore w:val="0"/>
              <w:suppressLineNumbers w:val="0"/>
              <w:shd w:val="clear" w:color="auto" w:fill="auto"/>
              <w:kinsoku/>
              <w:wordWrap/>
              <w:overflowPunct/>
              <w:topLinePunct w:val="0"/>
              <w:autoSpaceDE/>
              <w:autoSpaceDN/>
              <w:bidi w:val="0"/>
              <w:adjustRightInd/>
              <w:spacing w:before="0" w:beforeAutospacing="0" w:after="0" w:afterAutospacing="0" w:line="400" w:lineRule="exact"/>
              <w:ind w:left="0" w:right="0"/>
              <w:jc w:val="left"/>
              <w:textAlignment w:val="auto"/>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投标保证金交纳要求：</w:t>
            </w:r>
          </w:p>
          <w:p>
            <w:pPr>
              <w:keepNext w:val="0"/>
              <w:keepLines w:val="0"/>
              <w:pageBreakBefore w:val="0"/>
              <w:suppressLineNumbers w:val="0"/>
              <w:shd w:val="clear" w:color="auto" w:fill="auto"/>
              <w:kinsoku/>
              <w:wordWrap/>
              <w:overflowPunct/>
              <w:topLinePunct w:val="0"/>
              <w:autoSpaceDE/>
              <w:autoSpaceDN/>
              <w:bidi w:val="0"/>
              <w:adjustRightInd/>
              <w:spacing w:before="0" w:beforeAutospacing="0" w:after="0" w:afterAutospacing="0" w:line="400" w:lineRule="exact"/>
              <w:ind w:left="0" w:right="0"/>
              <w:jc w:val="left"/>
              <w:textAlignment w:val="auto"/>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1、投标保证金以电汇、网银等转账形式提交的，应在投标截止时间</w:t>
            </w:r>
            <w:r>
              <w:rPr>
                <w:rFonts w:hint="eastAsia" w:ascii="仿宋" w:hAnsi="仿宋" w:eastAsia="仿宋" w:cs="仿宋"/>
                <w:b w:val="0"/>
                <w:bCs w:val="0"/>
                <w:color w:val="FF0000"/>
                <w:sz w:val="21"/>
                <w:szCs w:val="21"/>
                <w:highlight w:val="none"/>
                <w:lang w:val="en-US" w:eastAsia="zh-CN"/>
              </w:rPr>
              <w:t>2023年10月18日上午10时30分（</w:t>
            </w: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北京时间）前以总公司的基本账户一次性汇入指定账户（以到账时间为准），不接受现金及任何个人汇款。汇款凭证作为该项目投标保证金的缴纳依据。</w:t>
            </w:r>
          </w:p>
          <w:p>
            <w:pPr>
              <w:keepNext w:val="0"/>
              <w:keepLines w:val="0"/>
              <w:pageBreakBefore w:val="0"/>
              <w:suppressLineNumbers w:val="0"/>
              <w:shd w:val="clear" w:color="auto" w:fill="auto"/>
              <w:kinsoku/>
              <w:wordWrap/>
              <w:overflowPunct/>
              <w:topLinePunct w:val="0"/>
              <w:autoSpaceDE/>
              <w:autoSpaceDN/>
              <w:bidi w:val="0"/>
              <w:adjustRightInd/>
              <w:spacing w:before="0" w:beforeAutospacing="0" w:after="0" w:afterAutospacing="0" w:line="400" w:lineRule="exact"/>
              <w:ind w:left="0" w:right="0"/>
              <w:jc w:val="left"/>
              <w:textAlignment w:val="auto"/>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2、投标保证金以保函等票据形式提交的，在开标现场持金融机构、担保机构出具的票据原件，标书内附此票据复印件。</w:t>
            </w:r>
          </w:p>
          <w:p>
            <w:pPr>
              <w:keepNext w:val="0"/>
              <w:keepLines w:val="0"/>
              <w:pageBreakBefore w:val="0"/>
              <w:suppressLineNumbers w:val="0"/>
              <w:shd w:val="clear" w:color="auto" w:fill="auto"/>
              <w:kinsoku/>
              <w:wordWrap/>
              <w:overflowPunct/>
              <w:topLinePunct w:val="0"/>
              <w:autoSpaceDE/>
              <w:autoSpaceDN/>
              <w:bidi w:val="0"/>
              <w:adjustRightInd/>
              <w:spacing w:before="0" w:beforeAutospacing="0" w:after="0" w:afterAutospacing="0" w:line="400" w:lineRule="exact"/>
              <w:ind w:left="0" w:right="0"/>
              <w:jc w:val="left"/>
              <w:textAlignment w:val="auto"/>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pP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3、有效投标保证金成功交纳后，截止开标时间，供应商无正当理由不参加该项目投标且不递交弃标函，投标保证金不予退还。</w:t>
            </w:r>
          </w:p>
          <w:p>
            <w:pPr>
              <w:keepNext w:val="0"/>
              <w:keepLines w:val="0"/>
              <w:pageBreakBefore w:val="0"/>
              <w:suppressLineNumbers w:val="0"/>
              <w:shd w:val="clear" w:color="auto" w:fill="auto"/>
              <w:kinsoku/>
              <w:wordWrap/>
              <w:overflowPunct/>
              <w:topLinePunct w:val="0"/>
              <w:autoSpaceDE/>
              <w:autoSpaceDN/>
              <w:bidi w:val="0"/>
              <w:adjustRightInd/>
              <w:spacing w:before="0" w:beforeAutospacing="0" w:after="0" w:afterAutospacing="0" w:line="400" w:lineRule="exact"/>
              <w:ind w:left="0" w:right="0"/>
              <w:jc w:val="left"/>
              <w:textAlignment w:val="auto"/>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户名：克孜勒苏柯尔克孜自治州政务服务和公共资源交易中心</w:t>
            </w:r>
          </w:p>
          <w:p>
            <w:pPr>
              <w:keepNext w:val="0"/>
              <w:keepLines w:val="0"/>
              <w:pageBreakBefore w:val="0"/>
              <w:suppressLineNumbers w:val="0"/>
              <w:shd w:val="clear" w:color="auto" w:fill="auto"/>
              <w:kinsoku/>
              <w:wordWrap/>
              <w:overflowPunct/>
              <w:topLinePunct w:val="0"/>
              <w:autoSpaceDE/>
              <w:autoSpaceDN/>
              <w:bidi w:val="0"/>
              <w:adjustRightInd/>
              <w:spacing w:before="0" w:beforeAutospacing="0" w:after="0" w:afterAutospacing="0" w:line="400" w:lineRule="exact"/>
              <w:ind w:left="0" w:right="0"/>
              <w:jc w:val="left"/>
              <w:textAlignment w:val="auto"/>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账号：30456301040005069</w:t>
            </w:r>
          </w:p>
          <w:p>
            <w:pPr>
              <w:keepNext w:val="0"/>
              <w:keepLines w:val="0"/>
              <w:pageBreakBefore w:val="0"/>
              <w:suppressLineNumbers w:val="0"/>
              <w:shd w:val="clear" w:color="auto" w:fill="auto"/>
              <w:kinsoku/>
              <w:wordWrap/>
              <w:overflowPunct/>
              <w:topLinePunct w:val="0"/>
              <w:autoSpaceDE/>
              <w:autoSpaceDN/>
              <w:bidi w:val="0"/>
              <w:adjustRightInd/>
              <w:spacing w:before="0" w:beforeAutospacing="0" w:after="0" w:afterAutospacing="0" w:line="400" w:lineRule="exact"/>
              <w:ind w:left="0" w:right="0"/>
              <w:jc w:val="left"/>
              <w:textAlignment w:val="auto"/>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行名：农行阿图什市天山分理处</w:t>
            </w:r>
          </w:p>
          <w:p>
            <w:pPr>
              <w:keepNext w:val="0"/>
              <w:keepLines w:val="0"/>
              <w:pageBreakBefore w:val="0"/>
              <w:suppressLineNumbers w:val="0"/>
              <w:shd w:val="clear" w:color="auto" w:fill="auto"/>
              <w:kinsoku/>
              <w:wordWrap/>
              <w:overflowPunct/>
              <w:topLinePunct w:val="0"/>
              <w:autoSpaceDE/>
              <w:autoSpaceDN/>
              <w:bidi w:val="0"/>
              <w:adjustRightInd/>
              <w:spacing w:before="0" w:beforeAutospacing="0" w:after="0" w:afterAutospacing="0" w:line="400" w:lineRule="exact"/>
              <w:ind w:left="0" w:right="0"/>
              <w:jc w:val="left"/>
              <w:textAlignment w:val="auto"/>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行号：103893045636</w:t>
            </w:r>
          </w:p>
          <w:p>
            <w:pPr>
              <w:keepNext w:val="0"/>
              <w:keepLines w:val="0"/>
              <w:pageBreakBefore w:val="0"/>
              <w:suppressLineNumbers w:val="0"/>
              <w:shd w:val="clear" w:color="auto" w:fill="auto"/>
              <w:kinsoku/>
              <w:wordWrap/>
              <w:overflowPunct/>
              <w:topLinePunct w:val="0"/>
              <w:autoSpaceDE/>
              <w:autoSpaceDN/>
              <w:bidi w:val="0"/>
              <w:adjustRightInd/>
              <w:spacing w:before="0" w:beforeAutospacing="0" w:after="0" w:afterAutospacing="0" w:line="400" w:lineRule="exact"/>
              <w:ind w:left="0" w:right="0"/>
              <w:jc w:val="left"/>
              <w:textAlignment w:val="auto"/>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联系人：张女士</w:t>
            </w:r>
          </w:p>
          <w:p>
            <w:pPr>
              <w:keepNext w:val="0"/>
              <w:keepLines w:val="0"/>
              <w:pageBreakBefore w:val="0"/>
              <w:suppressLineNumbers w:val="0"/>
              <w:shd w:val="clear" w:color="auto" w:fill="auto"/>
              <w:kinsoku/>
              <w:wordWrap/>
              <w:overflowPunct/>
              <w:topLinePunct w:val="0"/>
              <w:autoSpaceDE/>
              <w:autoSpaceDN/>
              <w:bidi w:val="0"/>
              <w:adjustRightInd/>
              <w:spacing w:before="0" w:beforeAutospacing="0" w:after="0" w:afterAutospacing="0" w:line="400" w:lineRule="exact"/>
              <w:ind w:left="0" w:right="0"/>
              <w:jc w:val="left"/>
              <w:textAlignment w:val="auto"/>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电话： 0908-4220265   18199721001</w:t>
            </w:r>
          </w:p>
          <w:p>
            <w:pPr>
              <w:keepNext w:val="0"/>
              <w:keepLines w:val="0"/>
              <w:pageBreakBefore w:val="0"/>
              <w:suppressLineNumbers w:val="0"/>
              <w:shd w:val="clear" w:color="auto" w:fill="auto"/>
              <w:kinsoku/>
              <w:wordWrap/>
              <w:overflowPunct/>
              <w:topLinePunct w:val="0"/>
              <w:autoSpaceDE/>
              <w:autoSpaceDN/>
              <w:bidi w:val="0"/>
              <w:adjustRightInd/>
              <w:spacing w:before="0" w:beforeAutospacing="0" w:after="0" w:afterAutospacing="0" w:line="400" w:lineRule="exact"/>
              <w:ind w:left="0" w:right="0"/>
              <w:jc w:val="left"/>
              <w:textAlignment w:val="auto"/>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（备注：必须写清楚某某公司某某项目保证金）</w:t>
            </w:r>
          </w:p>
          <w:p>
            <w:pPr>
              <w:keepNext w:val="0"/>
              <w:keepLines w:val="0"/>
              <w:pageBreakBefore w:val="0"/>
              <w:suppressLineNumbers w:val="0"/>
              <w:shd w:val="clear" w:color="auto" w:fill="auto"/>
              <w:kinsoku/>
              <w:wordWrap/>
              <w:overflowPunct/>
              <w:topLinePunct w:val="0"/>
              <w:autoSpaceDE/>
              <w:autoSpaceDN/>
              <w:bidi w:val="0"/>
              <w:adjustRightInd/>
              <w:spacing w:before="0" w:beforeAutospacing="0" w:after="0" w:afterAutospacing="0" w:line="400" w:lineRule="exact"/>
              <w:ind w:left="0" w:right="0"/>
              <w:jc w:val="left"/>
              <w:textAlignment w:val="auto"/>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二、投标保证金退还：1、投标企业：待开标完成后，未中标企业3个工作日内政资中心将收取的项目投标保证金按投标企业基本户退回。2、中标企业：需提供已签订合同复印件一份，复印件每页需加盖企业鲜章（并携带合同原件，由中心工作人员核对后退还）。</w:t>
            </w:r>
          </w:p>
          <w:p>
            <w:pPr>
              <w:keepNext w:val="0"/>
              <w:keepLines w:val="0"/>
              <w:pageBreakBefore w:val="0"/>
              <w:suppressLineNumbers w:val="0"/>
              <w:shd w:val="clear" w:color="auto" w:fill="auto"/>
              <w:kinsoku/>
              <w:wordWrap/>
              <w:overflowPunct/>
              <w:topLinePunct w:val="0"/>
              <w:autoSpaceDE/>
              <w:autoSpaceDN/>
              <w:bidi w:val="0"/>
              <w:adjustRightInd/>
              <w:spacing w:before="0" w:beforeAutospacing="0" w:after="0" w:afterAutospacing="0" w:line="400" w:lineRule="exact"/>
              <w:ind w:left="0" w:right="0"/>
              <w:jc w:val="left"/>
              <w:textAlignment w:val="auto"/>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三、其他特殊情况处理：</w:t>
            </w:r>
          </w:p>
          <w:p>
            <w:pPr>
              <w:keepNext w:val="0"/>
              <w:keepLines w:val="0"/>
              <w:pageBreakBefore w:val="0"/>
              <w:suppressLineNumbers w:val="0"/>
              <w:shd w:val="clear" w:color="auto" w:fill="auto"/>
              <w:kinsoku/>
              <w:wordWrap/>
              <w:overflowPunct/>
              <w:topLinePunct w:val="0"/>
              <w:autoSpaceDE/>
              <w:autoSpaceDN/>
              <w:bidi w:val="0"/>
              <w:adjustRightInd/>
              <w:spacing w:before="0" w:beforeAutospacing="0" w:after="0" w:afterAutospacing="0" w:line="400" w:lineRule="exact"/>
              <w:ind w:left="0" w:right="0"/>
              <w:jc w:val="left"/>
              <w:textAlignment w:val="auto"/>
              <w:rPr>
                <w:rFonts w:hint="eastAsia"/>
                <w:highlight w:val="none"/>
              </w:rPr>
            </w:pP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按照招标文件要求规定：投标企业无正当理由不参加该项目投标且在规定开标时间前不递交弃标函，投标保证金不予退还。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2" w:type="dxa"/>
            <w:vAlign w:val="center"/>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0" w:right="0"/>
              <w:jc w:val="center"/>
              <w:textAlignment w:val="auto"/>
              <w:outlineLvl w:val="9"/>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20</w:t>
            </w:r>
          </w:p>
        </w:tc>
        <w:tc>
          <w:tcPr>
            <w:tcW w:w="1278" w:type="dxa"/>
            <w:vAlign w:val="center"/>
          </w:tcPr>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0" w:right="0"/>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是否允许递交备选投标方案</w:t>
            </w:r>
          </w:p>
        </w:tc>
        <w:tc>
          <w:tcPr>
            <w:tcW w:w="7306" w:type="dxa"/>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■不允许</w:t>
            </w:r>
          </w:p>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0" w:right="0"/>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□允  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2" w:type="dxa"/>
            <w:vAlign w:val="center"/>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0" w:right="0"/>
              <w:jc w:val="center"/>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21</w:t>
            </w:r>
          </w:p>
        </w:tc>
        <w:tc>
          <w:tcPr>
            <w:tcW w:w="127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rPr>
              <w:t>签字和盖章要求</w:t>
            </w:r>
          </w:p>
        </w:tc>
        <w:tc>
          <w:tcPr>
            <w:tcW w:w="7306"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rPr>
              <w:t>企业公章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rPr>
              <w:t>法定代表人签字</w:t>
            </w:r>
            <w:r>
              <w:rPr>
                <w:rFonts w:hint="eastAsia" w:ascii="仿宋" w:hAnsi="仿宋" w:eastAsia="仿宋" w:cs="仿宋"/>
                <w:szCs w:val="21"/>
                <w:highlight w:val="none"/>
                <w:lang w:eastAsia="zh-CN"/>
              </w:rPr>
              <w:t>或</w:t>
            </w:r>
            <w:r>
              <w:rPr>
                <w:rFonts w:hint="eastAsia" w:ascii="仿宋" w:hAnsi="仿宋" w:eastAsia="仿宋" w:cs="仿宋"/>
                <w:szCs w:val="21"/>
                <w:highlight w:val="none"/>
              </w:rPr>
              <w:t>盖章，委托代理人签字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2" w:type="dxa"/>
            <w:vAlign w:val="center"/>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0" w:right="0"/>
              <w:jc w:val="center"/>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22</w:t>
            </w:r>
          </w:p>
        </w:tc>
        <w:tc>
          <w:tcPr>
            <w:tcW w:w="1278" w:type="dxa"/>
            <w:vAlign w:val="center"/>
          </w:tcPr>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0" w:right="0"/>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投标文件形式</w:t>
            </w:r>
          </w:p>
        </w:tc>
        <w:tc>
          <w:tcPr>
            <w:tcW w:w="7306" w:type="dxa"/>
            <w:vAlign w:val="center"/>
          </w:tcPr>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0" w:right="0"/>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电子投标文件包括“电子加密投标文件”和“备份投标文件”，在投标文件编制完成后同时生成。</w:t>
            </w:r>
          </w:p>
          <w:p>
            <w:pPr>
              <w:pStyle w:val="25"/>
              <w:keepNext w:val="0"/>
              <w:keepLines w:val="0"/>
              <w:pageBreakBefore w:val="0"/>
              <w:numPr>
                <w:ilvl w:val="0"/>
                <w:numId w:val="4"/>
              </w:numPr>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0" w:right="0"/>
              <w:textAlignment w:val="auto"/>
              <w:outlineLvl w:val="9"/>
              <w:rPr>
                <w:rFonts w:hint="eastAsia" w:ascii="仿宋" w:hAnsi="仿宋" w:eastAsia="仿宋" w:cs="仿宋"/>
                <w:highlight w:val="none"/>
                <w:lang w:val="en-US" w:eastAsia="zh-CN"/>
              </w:rPr>
            </w:pPr>
            <w:r>
              <w:rPr>
                <w:rFonts w:hint="eastAsia" w:ascii="仿宋" w:hAnsi="仿宋" w:eastAsia="仿宋" w:cs="仿宋"/>
                <w:color w:val="auto"/>
                <w:sz w:val="21"/>
                <w:szCs w:val="21"/>
                <w:highlight w:val="none"/>
                <w:lang w:val="en-US" w:eastAsia="zh-CN"/>
              </w:rPr>
              <w:t>“电子加密投标文件”是指通过“政采云电子交易客户端”完成投标文件编制后生成并加密的数据电文形式的投标文件。</w:t>
            </w:r>
          </w:p>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0" w:right="0"/>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2、“备份投标文件”是指与“电子加密投标文件”同时生成的数据电文形式的电子文件（备份标书，用于供应商标书解密异常时应急使用），其他方式编制的备份投标文件视为无效备份投标文件。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trPr>
        <w:tc>
          <w:tcPr>
            <w:tcW w:w="732" w:type="dxa"/>
            <w:vAlign w:val="center"/>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77" w:leftChars="-37" w:right="-94" w:rightChars="-45"/>
              <w:jc w:val="center"/>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23</w:t>
            </w:r>
          </w:p>
        </w:tc>
        <w:tc>
          <w:tcPr>
            <w:tcW w:w="1278" w:type="dxa"/>
            <w:vAlign w:val="center"/>
          </w:tcPr>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0" w:right="0"/>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投标文件份数及要求</w:t>
            </w:r>
          </w:p>
        </w:tc>
        <w:tc>
          <w:tcPr>
            <w:tcW w:w="7306" w:type="dxa"/>
            <w:vAlign w:val="center"/>
          </w:tcPr>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0" w:right="0"/>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1、一份电子加密标书（“.jmbs”格式），一份备份标书文件（“.bfbs”格式）。</w:t>
            </w:r>
          </w:p>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0" w:right="0"/>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2、每份电子投标文件应包括资格证明文件和商务及技术文件两部分。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732" w:type="dxa"/>
            <w:vMerge w:val="restart"/>
            <w:vAlign w:val="center"/>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77" w:leftChars="-37" w:right="-94" w:rightChars="-45"/>
              <w:jc w:val="center"/>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24</w:t>
            </w:r>
          </w:p>
        </w:tc>
        <w:tc>
          <w:tcPr>
            <w:tcW w:w="1278" w:type="dxa"/>
            <w:vMerge w:val="restart"/>
            <w:vAlign w:val="center"/>
          </w:tcPr>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0" w:right="0"/>
              <w:textAlignment w:val="auto"/>
              <w:outlineLvl w:val="9"/>
              <w:rPr>
                <w:rFonts w:hint="eastAsia" w:ascii="仿宋" w:hAnsi="仿宋" w:eastAsia="仿宋" w:cs="仿宋"/>
                <w:bCs/>
                <w:color w:val="auto"/>
                <w:sz w:val="21"/>
                <w:szCs w:val="21"/>
                <w:highlight w:val="none"/>
              </w:rPr>
            </w:pPr>
            <w:r>
              <w:rPr>
                <w:rFonts w:hint="eastAsia" w:ascii="仿宋" w:hAnsi="仿宋" w:eastAsia="仿宋" w:cs="仿宋"/>
                <w:b/>
                <w:bCs/>
                <w:color w:val="auto"/>
                <w:sz w:val="21"/>
                <w:szCs w:val="21"/>
                <w:highlight w:val="none"/>
                <w:lang w:bidi="zh-CN"/>
              </w:rPr>
              <w:t>投标文件的上传和递交</w:t>
            </w:r>
          </w:p>
        </w:tc>
        <w:tc>
          <w:tcPr>
            <w:tcW w:w="7306" w:type="dxa"/>
            <w:vAlign w:val="center"/>
          </w:tcPr>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0" w:right="0"/>
              <w:textAlignment w:val="auto"/>
              <w:outlineLvl w:val="9"/>
              <w:rPr>
                <w:rFonts w:hint="eastAsia" w:ascii="仿宋" w:hAnsi="仿宋" w:eastAsia="仿宋" w:cs="仿宋"/>
                <w:color w:val="auto"/>
                <w:sz w:val="21"/>
                <w:szCs w:val="21"/>
                <w:highlight w:val="none"/>
                <w:u w:val="single" w:color="auto"/>
                <w:lang w:val="en-US" w:eastAsia="zh-CN"/>
              </w:rPr>
            </w:pPr>
            <w:r>
              <w:rPr>
                <w:rFonts w:hint="eastAsia" w:ascii="仿宋" w:hAnsi="仿宋" w:eastAsia="仿宋" w:cs="仿宋"/>
                <w:color w:val="auto"/>
                <w:sz w:val="21"/>
                <w:szCs w:val="21"/>
                <w:highlight w:val="none"/>
                <w:lang w:val="en-US" w:eastAsia="zh-CN"/>
              </w:rPr>
              <w:t>1.电子加密投标文件：投标文件制作完成并生成加密标书，在投标截止时间前，供应商需将加密的投标文件上传至政采云平台，</w:t>
            </w:r>
            <w:r>
              <w:rPr>
                <w:rFonts w:hint="eastAsia" w:ascii="仿宋" w:hAnsi="仿宋" w:eastAsia="仿宋" w:cs="仿宋"/>
                <w:b/>
                <w:bCs/>
                <w:color w:val="auto"/>
                <w:sz w:val="21"/>
                <w:szCs w:val="21"/>
                <w:highlight w:val="none"/>
                <w:u w:val="single" w:color="auto"/>
                <w:lang w:val="en-US" w:eastAsia="zh-CN"/>
              </w:rPr>
              <w:t>在开标时间开始后，待采购组织机构发出解密通知后30分钟内解密投标文件。</w:t>
            </w:r>
          </w:p>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0" w:right="0"/>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a.供应商未能在投标截止时间前成功上传电子加密投标文件的投标无效。</w:t>
            </w:r>
          </w:p>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0" w:right="0"/>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b.供应商成功上传电子加密投标文件后，可自行打印投标文件接收回执。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732" w:type="dxa"/>
            <w:vMerge w:val="continue"/>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0" w:right="0" w:firstLine="88" w:firstLineChars="42"/>
              <w:jc w:val="left"/>
              <w:textAlignment w:val="auto"/>
              <w:outlineLvl w:val="9"/>
              <w:rPr>
                <w:rFonts w:hint="eastAsia" w:ascii="仿宋" w:hAnsi="仿宋" w:eastAsia="仿宋" w:cs="仿宋"/>
                <w:color w:val="auto"/>
                <w:sz w:val="21"/>
                <w:szCs w:val="21"/>
                <w:highlight w:val="none"/>
              </w:rPr>
            </w:pPr>
          </w:p>
        </w:tc>
        <w:tc>
          <w:tcPr>
            <w:tcW w:w="1278" w:type="dxa"/>
            <w:vMerge w:val="continue"/>
            <w:vAlign w:val="center"/>
          </w:tcPr>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0" w:right="0"/>
              <w:textAlignment w:val="auto"/>
              <w:outlineLvl w:val="9"/>
              <w:rPr>
                <w:rFonts w:hint="eastAsia" w:ascii="仿宋" w:hAnsi="仿宋" w:eastAsia="仿宋" w:cs="仿宋"/>
                <w:color w:val="auto"/>
                <w:sz w:val="21"/>
                <w:szCs w:val="21"/>
                <w:highlight w:val="none"/>
              </w:rPr>
            </w:pPr>
          </w:p>
        </w:tc>
        <w:tc>
          <w:tcPr>
            <w:tcW w:w="7306" w:type="dxa"/>
            <w:vAlign w:val="center"/>
          </w:tcPr>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0" w:right="0"/>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备份投标文件：供应商在投标截止时间前将加密的投标文件上传至政府采购云平台，还可以在投标截止时间前以电子邮件方式提供备份投标文件1份（接收人邮箱：562251287@qq.com，接收人：夏先生，电话：17881605898），“备份投标文件”由供应商自愿提供，采购文件不作强制性要求；如不提供或未按要求提供的，当电子投标文件无法解密时，将导致无备份投标文件而失去投标资格。</w:t>
            </w:r>
          </w:p>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0" w:right="0"/>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a.备份投标文件提供要求：供应商可以将备份投标文件打包压缩并加密，压缩包命名为“XX单位备份投标文件”，加密密码由供应商自行保管；送达时间以采购代理机构实际接收时间为准。“备份投标文件”逾期或未按要求提供的视为未提供，建议供应商提前1日办理邮件提供事宜。</w:t>
            </w:r>
          </w:p>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0" w:right="0"/>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b.通过“政府采购云平台”成功上传递交的“电子加密投标文件”已按时解密的，“备份投标文件”自动失效。投标截止时间前，投标供应商仅提供了“备份投标文件”而未将“电子加密投标文件”成功上传至“政府采购云平台”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32" w:type="dxa"/>
            <w:vAlign w:val="center"/>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77" w:leftChars="-37" w:right="-94" w:rightChars="-45"/>
              <w:jc w:val="center"/>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25</w:t>
            </w:r>
          </w:p>
        </w:tc>
        <w:tc>
          <w:tcPr>
            <w:tcW w:w="1278" w:type="dxa"/>
            <w:vAlign w:val="center"/>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0" w:right="0"/>
              <w:jc w:val="left"/>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投标截止</w:t>
            </w:r>
            <w:r>
              <w:rPr>
                <w:rFonts w:hint="eastAsia" w:ascii="仿宋" w:hAnsi="仿宋" w:eastAsia="仿宋" w:cs="仿宋"/>
                <w:color w:val="auto"/>
                <w:sz w:val="21"/>
                <w:szCs w:val="21"/>
                <w:highlight w:val="none"/>
              </w:rPr>
              <w:t>时间及地点</w:t>
            </w:r>
          </w:p>
        </w:tc>
        <w:tc>
          <w:tcPr>
            <w:tcW w:w="7306" w:type="dxa"/>
            <w:vAlign w:val="center"/>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0" w:right="0" w:firstLine="18" w:firstLineChars="9"/>
              <w:textAlignment w:val="auto"/>
              <w:outlineLvl w:val="9"/>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eastAsia="zh-CN"/>
              </w:rPr>
              <w:t>投标截止</w:t>
            </w:r>
            <w:r>
              <w:rPr>
                <w:rFonts w:hint="eastAsia" w:ascii="仿宋" w:hAnsi="仿宋" w:eastAsia="仿宋" w:cs="仿宋"/>
                <w:b/>
                <w:bCs/>
                <w:color w:val="auto"/>
                <w:sz w:val="21"/>
                <w:szCs w:val="21"/>
                <w:highlight w:val="none"/>
              </w:rPr>
              <w:t>时间：</w:t>
            </w:r>
            <w:r>
              <w:rPr>
                <w:rFonts w:hint="eastAsia" w:ascii="仿宋" w:hAnsi="仿宋" w:eastAsia="仿宋" w:cs="仿宋"/>
                <w:b/>
                <w:bCs/>
                <w:color w:val="0000FF"/>
                <w:sz w:val="21"/>
                <w:szCs w:val="21"/>
                <w:highlight w:val="none"/>
                <w:lang w:val="en-US" w:eastAsia="zh-CN"/>
              </w:rPr>
              <w:t>2023年10月18日10时30分</w:t>
            </w:r>
            <w:r>
              <w:rPr>
                <w:rFonts w:hint="eastAsia" w:ascii="仿宋" w:hAnsi="仿宋" w:eastAsia="仿宋" w:cs="仿宋"/>
                <w:b/>
                <w:bCs/>
                <w:color w:val="auto"/>
                <w:sz w:val="21"/>
                <w:szCs w:val="21"/>
                <w:highlight w:val="none"/>
              </w:rPr>
              <w:t>（北京时间）</w:t>
            </w:r>
          </w:p>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0" w:right="0" w:firstLine="18" w:firstLineChars="9"/>
              <w:textAlignment w:val="auto"/>
              <w:outlineLvl w:val="9"/>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lang w:eastAsia="zh-CN"/>
              </w:rPr>
              <w:t>投标</w:t>
            </w:r>
            <w:r>
              <w:rPr>
                <w:rFonts w:hint="eastAsia" w:ascii="仿宋" w:hAnsi="仿宋" w:eastAsia="仿宋" w:cs="仿宋"/>
                <w:b/>
                <w:bCs/>
                <w:color w:val="auto"/>
                <w:sz w:val="21"/>
                <w:szCs w:val="21"/>
                <w:highlight w:val="none"/>
              </w:rPr>
              <w:t>地点：</w:t>
            </w:r>
            <w:r>
              <w:rPr>
                <w:rFonts w:hint="eastAsia" w:ascii="仿宋" w:hAnsi="仿宋" w:eastAsia="仿宋" w:cs="仿宋"/>
                <w:b/>
                <w:bCs/>
                <w:color w:val="auto"/>
                <w:sz w:val="21"/>
                <w:szCs w:val="21"/>
                <w:highlight w:val="none"/>
                <w:lang w:eastAsia="zh-CN"/>
              </w:rPr>
              <w:t>新疆</w:t>
            </w:r>
            <w:r>
              <w:rPr>
                <w:rFonts w:hint="eastAsia" w:ascii="仿宋" w:hAnsi="仿宋" w:eastAsia="仿宋" w:cs="仿宋"/>
                <w:b/>
                <w:bCs/>
                <w:color w:val="auto"/>
                <w:sz w:val="21"/>
                <w:szCs w:val="21"/>
                <w:highlight w:val="none"/>
              </w:rPr>
              <w:t>政府采购云平台（www.zcygov.cn）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trPr>
        <w:tc>
          <w:tcPr>
            <w:tcW w:w="732" w:type="dxa"/>
            <w:vAlign w:val="center"/>
          </w:tcPr>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77" w:leftChars="-37" w:right="-94" w:rightChars="-45"/>
              <w:jc w:val="center"/>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26</w:t>
            </w:r>
          </w:p>
        </w:tc>
        <w:tc>
          <w:tcPr>
            <w:tcW w:w="1278" w:type="dxa"/>
            <w:vAlign w:val="center"/>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0" w:right="0"/>
              <w:jc w:val="left"/>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开标时间及地点</w:t>
            </w:r>
          </w:p>
        </w:tc>
        <w:tc>
          <w:tcPr>
            <w:tcW w:w="7306" w:type="dxa"/>
            <w:vAlign w:val="center"/>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0" w:right="0" w:firstLine="18" w:firstLineChars="9"/>
              <w:textAlignment w:val="auto"/>
              <w:outlineLvl w:val="9"/>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开标时间：同投标截止时间</w:t>
            </w:r>
          </w:p>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0" w:right="0" w:firstLine="18" w:firstLineChars="9"/>
              <w:textAlignment w:val="auto"/>
              <w:outlineLvl w:val="9"/>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开标地点：在</w:t>
            </w:r>
            <w:r>
              <w:rPr>
                <w:rFonts w:hint="eastAsia" w:ascii="仿宋" w:hAnsi="仿宋" w:eastAsia="仿宋" w:cs="仿宋"/>
                <w:b/>
                <w:bCs/>
                <w:color w:val="auto"/>
                <w:sz w:val="21"/>
                <w:szCs w:val="21"/>
                <w:highlight w:val="none"/>
                <w:lang w:eastAsia="zh-CN"/>
              </w:rPr>
              <w:t>新疆</w:t>
            </w:r>
            <w:r>
              <w:rPr>
                <w:rFonts w:hint="eastAsia" w:ascii="仿宋" w:hAnsi="仿宋" w:eastAsia="仿宋" w:cs="仿宋"/>
                <w:b/>
                <w:bCs/>
                <w:color w:val="auto"/>
                <w:sz w:val="21"/>
                <w:szCs w:val="21"/>
                <w:highlight w:val="none"/>
              </w:rPr>
              <w:t>政府采购云平台（www.zcygov.cn）上开启投标文件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32" w:type="dxa"/>
            <w:vAlign w:val="center"/>
          </w:tcPr>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77" w:leftChars="-37" w:right="-94" w:rightChars="-45"/>
              <w:jc w:val="center"/>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27</w:t>
            </w:r>
          </w:p>
        </w:tc>
        <w:tc>
          <w:tcPr>
            <w:tcW w:w="1278" w:type="dxa"/>
            <w:vAlign w:val="center"/>
          </w:tcPr>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0" w:right="0"/>
              <w:jc w:val="left"/>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评标委员会的组建</w:t>
            </w:r>
          </w:p>
        </w:tc>
        <w:tc>
          <w:tcPr>
            <w:tcW w:w="7306" w:type="dxa"/>
            <w:vAlign w:val="top"/>
          </w:tcPr>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0" w:right="0"/>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评标委员会由招标人依法组建；</w:t>
            </w:r>
          </w:p>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0" w:right="0"/>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评标专家确定方式：专家评委由招标人在开标前从政采云专家库中随机抽取。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32" w:type="dxa"/>
            <w:vAlign w:val="center"/>
          </w:tcPr>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77" w:leftChars="-37" w:right="-94" w:rightChars="-45"/>
              <w:jc w:val="center"/>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28</w:t>
            </w:r>
          </w:p>
        </w:tc>
        <w:tc>
          <w:tcPr>
            <w:tcW w:w="1278" w:type="dxa"/>
            <w:vAlign w:val="center"/>
          </w:tcPr>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0" w:right="0"/>
              <w:jc w:val="left"/>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是否授权评标委员会确定中标候选人</w:t>
            </w:r>
          </w:p>
        </w:tc>
        <w:tc>
          <w:tcPr>
            <w:tcW w:w="7306" w:type="dxa"/>
            <w:vAlign w:val="center"/>
          </w:tcPr>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0" w:right="0"/>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32" w:type="dxa"/>
            <w:vAlign w:val="center"/>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77" w:leftChars="-37" w:right="-94" w:rightChars="-45"/>
              <w:jc w:val="center"/>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29</w:t>
            </w:r>
          </w:p>
        </w:tc>
        <w:tc>
          <w:tcPr>
            <w:tcW w:w="1278" w:type="dxa"/>
            <w:vAlign w:val="center"/>
          </w:tcPr>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0" w:right="0"/>
              <w:jc w:val="left"/>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中标候选人公示媒介</w:t>
            </w:r>
          </w:p>
        </w:tc>
        <w:tc>
          <w:tcPr>
            <w:tcW w:w="7306" w:type="dxa"/>
            <w:vAlign w:val="center"/>
          </w:tcPr>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0" w:right="0"/>
              <w:jc w:val="both"/>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2"/>
                <w:sz w:val="21"/>
                <w:szCs w:val="21"/>
                <w:highlight w:val="none"/>
                <w:u w:val="none"/>
                <w:lang w:val="en-US" w:eastAsia="zh-CN" w:bidi="ar-SA"/>
              </w:rPr>
              <w:t>克州公共资源交易网、新疆政府采购网，公示期为一个工作日。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732" w:type="dxa"/>
            <w:vAlign w:val="center"/>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0" w:right="0"/>
              <w:jc w:val="center"/>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30</w:t>
            </w:r>
          </w:p>
        </w:tc>
        <w:tc>
          <w:tcPr>
            <w:tcW w:w="1278" w:type="dxa"/>
            <w:vAlign w:val="center"/>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0" w:right="0"/>
              <w:textAlignment w:val="auto"/>
              <w:outlineLvl w:val="9"/>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招标</w:t>
            </w:r>
            <w:r>
              <w:rPr>
                <w:rFonts w:hint="eastAsia" w:ascii="仿宋" w:hAnsi="仿宋" w:eastAsia="仿宋" w:cs="仿宋"/>
                <w:color w:val="auto"/>
                <w:sz w:val="21"/>
                <w:szCs w:val="21"/>
                <w:highlight w:val="none"/>
              </w:rPr>
              <w:t>文件领取</w:t>
            </w:r>
          </w:p>
        </w:tc>
        <w:tc>
          <w:tcPr>
            <w:tcW w:w="7306" w:type="dxa"/>
            <w:vAlign w:val="top"/>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0" w:right="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时间</w:t>
            </w:r>
            <w:r>
              <w:rPr>
                <w:rFonts w:hint="eastAsia" w:ascii="仿宋" w:hAnsi="仿宋" w:eastAsia="仿宋" w:cs="仿宋"/>
                <w:color w:val="0000FF"/>
                <w:sz w:val="21"/>
                <w:szCs w:val="21"/>
                <w:highlight w:val="none"/>
              </w:rPr>
              <w:t>：202</w:t>
            </w:r>
            <w:r>
              <w:rPr>
                <w:rFonts w:hint="eastAsia" w:ascii="仿宋" w:hAnsi="仿宋" w:eastAsia="仿宋" w:cs="仿宋"/>
                <w:color w:val="0000FF"/>
                <w:sz w:val="21"/>
                <w:szCs w:val="21"/>
                <w:highlight w:val="none"/>
                <w:lang w:val="en-US" w:eastAsia="zh-CN"/>
              </w:rPr>
              <w:t>3</w:t>
            </w:r>
            <w:r>
              <w:rPr>
                <w:rFonts w:hint="eastAsia" w:ascii="仿宋" w:hAnsi="仿宋" w:eastAsia="仿宋" w:cs="仿宋"/>
                <w:color w:val="0000FF"/>
                <w:sz w:val="21"/>
                <w:szCs w:val="21"/>
                <w:highlight w:val="none"/>
              </w:rPr>
              <w:t>年</w:t>
            </w:r>
            <w:r>
              <w:rPr>
                <w:rFonts w:hint="eastAsia" w:ascii="仿宋" w:hAnsi="仿宋" w:eastAsia="仿宋" w:cs="仿宋"/>
                <w:color w:val="0000FF"/>
                <w:sz w:val="21"/>
                <w:szCs w:val="21"/>
                <w:highlight w:val="none"/>
                <w:lang w:val="en-US" w:eastAsia="zh-CN"/>
              </w:rPr>
              <w:t>9</w:t>
            </w:r>
            <w:r>
              <w:rPr>
                <w:rFonts w:hint="eastAsia" w:ascii="仿宋" w:hAnsi="仿宋" w:eastAsia="仿宋" w:cs="仿宋"/>
                <w:color w:val="0000FF"/>
                <w:sz w:val="21"/>
                <w:szCs w:val="21"/>
                <w:highlight w:val="none"/>
              </w:rPr>
              <w:t>月</w:t>
            </w:r>
            <w:r>
              <w:rPr>
                <w:rFonts w:hint="eastAsia" w:ascii="仿宋" w:hAnsi="仿宋" w:eastAsia="仿宋" w:cs="仿宋"/>
                <w:color w:val="0000FF"/>
                <w:sz w:val="21"/>
                <w:szCs w:val="21"/>
                <w:highlight w:val="none"/>
                <w:lang w:val="en-US" w:eastAsia="zh-CN"/>
              </w:rPr>
              <w:t>28</w:t>
            </w:r>
            <w:r>
              <w:rPr>
                <w:rFonts w:hint="eastAsia" w:ascii="仿宋" w:hAnsi="仿宋" w:eastAsia="仿宋" w:cs="仿宋"/>
                <w:color w:val="0000FF"/>
                <w:sz w:val="21"/>
                <w:szCs w:val="21"/>
                <w:highlight w:val="none"/>
              </w:rPr>
              <w:t>日至202</w:t>
            </w:r>
            <w:r>
              <w:rPr>
                <w:rFonts w:hint="eastAsia" w:ascii="仿宋" w:hAnsi="仿宋" w:eastAsia="仿宋" w:cs="仿宋"/>
                <w:color w:val="0000FF"/>
                <w:sz w:val="21"/>
                <w:szCs w:val="21"/>
                <w:highlight w:val="none"/>
                <w:lang w:val="en-US" w:eastAsia="zh-CN"/>
              </w:rPr>
              <w:t>3</w:t>
            </w:r>
            <w:r>
              <w:rPr>
                <w:rFonts w:hint="eastAsia" w:ascii="仿宋" w:hAnsi="仿宋" w:eastAsia="仿宋" w:cs="仿宋"/>
                <w:color w:val="0000FF"/>
                <w:sz w:val="21"/>
                <w:szCs w:val="21"/>
                <w:highlight w:val="none"/>
              </w:rPr>
              <w:t>年</w:t>
            </w:r>
            <w:r>
              <w:rPr>
                <w:rFonts w:hint="eastAsia" w:ascii="仿宋" w:hAnsi="仿宋" w:eastAsia="仿宋" w:cs="仿宋"/>
                <w:color w:val="0000FF"/>
                <w:sz w:val="21"/>
                <w:szCs w:val="21"/>
                <w:highlight w:val="none"/>
                <w:lang w:val="en-US" w:eastAsia="zh-CN"/>
              </w:rPr>
              <w:t>10</w:t>
            </w:r>
            <w:r>
              <w:rPr>
                <w:rFonts w:hint="eastAsia" w:ascii="仿宋" w:hAnsi="仿宋" w:eastAsia="仿宋" w:cs="仿宋"/>
                <w:color w:val="0000FF"/>
                <w:sz w:val="21"/>
                <w:szCs w:val="21"/>
                <w:highlight w:val="none"/>
              </w:rPr>
              <w:t>月</w:t>
            </w:r>
            <w:r>
              <w:rPr>
                <w:rFonts w:hint="eastAsia" w:ascii="仿宋" w:hAnsi="仿宋" w:eastAsia="仿宋" w:cs="仿宋"/>
                <w:color w:val="0000FF"/>
                <w:sz w:val="21"/>
                <w:szCs w:val="21"/>
                <w:highlight w:val="none"/>
                <w:lang w:val="en-US" w:eastAsia="zh-CN"/>
              </w:rPr>
              <w:t>13</w:t>
            </w:r>
            <w:r>
              <w:rPr>
                <w:rFonts w:hint="eastAsia" w:ascii="仿宋" w:hAnsi="仿宋" w:eastAsia="仿宋" w:cs="仿宋"/>
                <w:color w:val="0000FF"/>
                <w:sz w:val="21"/>
                <w:szCs w:val="21"/>
                <w:highlight w:val="none"/>
              </w:rPr>
              <w:t>日</w:t>
            </w:r>
            <w:r>
              <w:rPr>
                <w:rFonts w:hint="eastAsia" w:ascii="仿宋" w:hAnsi="仿宋" w:eastAsia="仿宋" w:cs="仿宋"/>
                <w:color w:val="auto"/>
                <w:sz w:val="21"/>
                <w:szCs w:val="21"/>
                <w:highlight w:val="none"/>
              </w:rPr>
              <w:t>，每天上午10:00至1</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0，下午16:</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0至</w:t>
            </w:r>
            <w:r>
              <w:rPr>
                <w:rFonts w:hint="eastAsia" w:ascii="仿宋" w:hAnsi="仿宋" w:eastAsia="仿宋" w:cs="仿宋"/>
                <w:color w:val="auto"/>
                <w:sz w:val="21"/>
                <w:szCs w:val="21"/>
                <w:highlight w:val="none"/>
                <w:lang w:val="en-US" w:eastAsia="zh-CN"/>
              </w:rPr>
              <w:t>20</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0</w:t>
            </w:r>
            <w:r>
              <w:rPr>
                <w:rFonts w:hint="eastAsia" w:ascii="仿宋" w:hAnsi="仿宋" w:eastAsia="仿宋" w:cs="仿宋"/>
                <w:color w:val="auto"/>
                <w:sz w:val="21"/>
                <w:szCs w:val="21"/>
                <w:highlight w:val="none"/>
              </w:rPr>
              <w:t>0（北京时间）</w:t>
            </w:r>
          </w:p>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0" w:right="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地点：供应商登陆政采云平台http://www.zcygov.cn/，在线申请获取招标文件（登录政府采购云平台 → 项目采购 → 获取招标文件→申请，审核通过后可下载招标文件，如有操作性问题，可与政采云在线客服进行咨询，咨询电话：</w:t>
            </w:r>
            <w:r>
              <w:rPr>
                <w:rFonts w:hint="eastAsia" w:ascii="仿宋" w:hAnsi="仿宋" w:eastAsia="仿宋" w:cs="仿宋"/>
                <w:color w:val="auto"/>
                <w:sz w:val="21"/>
                <w:szCs w:val="21"/>
                <w:highlight w:val="none"/>
                <w:lang w:eastAsia="zh-CN"/>
              </w:rPr>
              <w:t xml:space="preserve"> 95763</w:t>
            </w:r>
            <w:r>
              <w:rPr>
                <w:rFonts w:hint="eastAsia" w:ascii="仿宋" w:hAnsi="仿宋" w:eastAsia="仿宋" w:cs="仿宋"/>
                <w:color w:val="auto"/>
                <w:sz w:val="21"/>
                <w:szCs w:val="21"/>
                <w:highlight w:val="none"/>
              </w:rPr>
              <w:t>）。</w:t>
            </w:r>
          </w:p>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0" w:right="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方式：（1）线上获取（登录政府采购云平台 → 项目采购 → 获取招标文件→ 申请，审核通过后可下载招标文件）。本次招标不提供纸质版招标文件。</w:t>
            </w:r>
          </w:p>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0" w:right="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（2）供应商获取招标文件前应注册成为政府采购云平台正式供应商。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2" w:type="dxa"/>
            <w:vMerge w:val="restart"/>
            <w:vAlign w:val="center"/>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0" w:right="0"/>
              <w:jc w:val="center"/>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31</w:t>
            </w:r>
          </w:p>
        </w:tc>
        <w:tc>
          <w:tcPr>
            <w:tcW w:w="1278" w:type="dxa"/>
            <w:vMerge w:val="restart"/>
            <w:vAlign w:val="center"/>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0" w:right="0"/>
              <w:jc w:val="center"/>
              <w:textAlignment w:val="auto"/>
              <w:outlineLvl w:val="9"/>
              <w:rPr>
                <w:rFonts w:hint="eastAsia" w:ascii="仿宋" w:hAnsi="仿宋" w:eastAsia="仿宋" w:cs="仿宋"/>
                <w:b/>
                <w:color w:val="auto"/>
                <w:sz w:val="21"/>
                <w:szCs w:val="21"/>
                <w:highlight w:val="none"/>
                <w:lang w:eastAsia="zh-CN"/>
              </w:rPr>
            </w:pPr>
            <w:r>
              <w:rPr>
                <w:rFonts w:hint="eastAsia" w:ascii="仿宋" w:hAnsi="仿宋" w:eastAsia="仿宋" w:cs="仿宋"/>
                <w:b/>
                <w:color w:val="auto"/>
                <w:sz w:val="21"/>
                <w:szCs w:val="21"/>
                <w:highlight w:val="none"/>
                <w:lang w:eastAsia="zh-CN"/>
              </w:rPr>
              <w:t>重要说明</w:t>
            </w:r>
          </w:p>
        </w:tc>
        <w:tc>
          <w:tcPr>
            <w:tcW w:w="7306" w:type="dxa"/>
            <w:vAlign w:val="top"/>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0" w:right="0"/>
              <w:jc w:val="left"/>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1.本项目采用全流程不见面电子开评标，投标供应商需要使用CA加密设备，供应商可通过新疆数字证书认证中心官网（https://www.xjca.com.cn/）或下载“新疆政务通”APP自行进行申领。</w:t>
            </w:r>
          </w:p>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0" w:right="0"/>
              <w:jc w:val="left"/>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2.本项目实行网上投标，采用加密电子投标文件(供应商须使用CA加密设备通过政采云电子投标客户端制作投标文件)。若供应商参与投标，自行承担投标一切费用。</w:t>
            </w:r>
          </w:p>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0" w:right="0"/>
              <w:jc w:val="left"/>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3.各供应商在开标前应确保成为新疆维吾尔自治区政府采购网正式注册入库供应商</w:t>
            </w:r>
            <w:r>
              <w:rPr>
                <w:rFonts w:hint="eastAsia" w:ascii="仿宋" w:hAnsi="仿宋" w:eastAsia="仿宋" w:cs="仿宋"/>
                <w:color w:val="auto"/>
                <w:sz w:val="21"/>
                <w:szCs w:val="21"/>
                <w:highlight w:val="none"/>
                <w:lang w:eastAsia="zh-CN"/>
              </w:rPr>
              <w:t>（已在政采云平台其他省份入驻的供应商无须重复注册）</w:t>
            </w:r>
            <w:r>
              <w:rPr>
                <w:rFonts w:hint="eastAsia" w:ascii="仿宋" w:hAnsi="仿宋" w:eastAsia="仿宋" w:cs="仿宋"/>
                <w:color w:val="auto"/>
                <w:sz w:val="21"/>
                <w:szCs w:val="21"/>
                <w:highlight w:val="none"/>
              </w:rPr>
              <w:t>，并完成CA数字证书申领。因未注册入库、未办理CA数字证书等原因造成无法投标或投标失败等后果由供应商自行承担。</w:t>
            </w:r>
          </w:p>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0" w:right="0"/>
              <w:jc w:val="left"/>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w:t>
            </w:r>
            <w:r>
              <w:rPr>
                <w:rFonts w:hint="eastAsia" w:ascii="仿宋" w:hAnsi="仿宋" w:eastAsia="仿宋" w:cs="仿宋"/>
                <w:color w:val="auto"/>
                <w:sz w:val="21"/>
                <w:szCs w:val="21"/>
                <w:highlight w:val="none"/>
                <w:lang w:eastAsia="zh-CN"/>
              </w:rPr>
              <w:t xml:space="preserve"> 95763</w:t>
            </w:r>
            <w:r>
              <w:rPr>
                <w:rFonts w:hint="eastAsia" w:ascii="仿宋" w:hAnsi="仿宋" w:eastAsia="仿宋" w:cs="仿宋"/>
                <w:color w:val="auto"/>
                <w:sz w:val="21"/>
                <w:szCs w:val="21"/>
                <w:highlight w:val="none"/>
              </w:rPr>
              <w:t>进行咨询。</w:t>
            </w:r>
          </w:p>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0" w:right="0"/>
              <w:jc w:val="left"/>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5.供应商在开标时须使用制作加密电子投标文件所使用的CA锁及电脑，电脑须提前配置好浏览器（建议使用谷歌浏览器），以便开标时解锁。</w:t>
            </w:r>
          </w:p>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0" w:right="0"/>
              <w:jc w:val="left"/>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w:t>
            </w:r>
          </w:p>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0" w:right="0"/>
              <w:jc w:val="left"/>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7.为了保证开评标顺利进行，政采云线上开标功能完全实现，供应商开标所使用的电脑设备须具有视频及语音功能。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2" w:type="dxa"/>
            <w:vMerge w:val="continue"/>
            <w:vAlign w:val="center"/>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0" w:right="0"/>
              <w:textAlignment w:val="auto"/>
              <w:outlineLvl w:val="9"/>
              <w:rPr>
                <w:rFonts w:hint="eastAsia" w:ascii="仿宋" w:hAnsi="仿宋" w:eastAsia="仿宋" w:cs="仿宋"/>
                <w:b/>
                <w:color w:val="auto"/>
                <w:sz w:val="21"/>
                <w:szCs w:val="21"/>
                <w:highlight w:val="none"/>
                <w:lang w:eastAsia="zh-CN"/>
              </w:rPr>
            </w:pPr>
          </w:p>
        </w:tc>
        <w:tc>
          <w:tcPr>
            <w:tcW w:w="1278" w:type="dxa"/>
            <w:vMerge w:val="continue"/>
            <w:vAlign w:val="center"/>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0" w:right="0"/>
              <w:textAlignment w:val="auto"/>
              <w:outlineLvl w:val="9"/>
              <w:rPr>
                <w:rFonts w:hint="eastAsia" w:ascii="仿宋" w:hAnsi="仿宋" w:eastAsia="仿宋" w:cs="仿宋"/>
                <w:b/>
                <w:color w:val="auto"/>
                <w:sz w:val="21"/>
                <w:szCs w:val="21"/>
                <w:highlight w:val="none"/>
                <w:lang w:eastAsia="zh-CN"/>
              </w:rPr>
            </w:pPr>
          </w:p>
        </w:tc>
        <w:tc>
          <w:tcPr>
            <w:tcW w:w="7306" w:type="dxa"/>
            <w:vAlign w:val="top"/>
          </w:tcPr>
          <w:p>
            <w:pPr>
              <w:keepNext w:val="0"/>
              <w:keepLines w:val="0"/>
              <w:pageBreakBefore w:val="0"/>
              <w:widowControl w:val="0"/>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0" w:right="0" w:firstLine="420" w:firstLineChars="200"/>
              <w:textAlignment w:val="auto"/>
              <w:outlineLvl w:val="9"/>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1、电子招投标情况说明：</w:t>
            </w:r>
          </w:p>
          <w:p>
            <w:pPr>
              <w:keepNext w:val="0"/>
              <w:keepLines w:val="0"/>
              <w:pageBreakBefore w:val="0"/>
              <w:widowControl w:val="0"/>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0" w:right="0"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b/>
                <w:color w:val="auto"/>
                <w:sz w:val="21"/>
                <w:szCs w:val="21"/>
                <w:highlight w:val="none"/>
              </w:rPr>
              <w:t>电子招投标</w:t>
            </w:r>
            <w:r>
              <w:rPr>
                <w:rFonts w:hint="eastAsia" w:ascii="仿宋" w:hAnsi="仿宋" w:eastAsia="仿宋" w:cs="仿宋"/>
                <w:color w:val="auto"/>
                <w:sz w:val="21"/>
                <w:szCs w:val="21"/>
                <w:highlight w:val="none"/>
              </w:rPr>
              <w:t>：本项目以数据电文形式，依托“政府采购云平台（www.zcygov.cn）”进行招投标活动</w:t>
            </w:r>
            <w:r>
              <w:rPr>
                <w:rFonts w:hint="eastAsia" w:ascii="仿宋" w:hAnsi="仿宋" w:eastAsia="仿宋" w:cs="仿宋"/>
                <w:b/>
                <w:bCs/>
                <w:color w:val="auto"/>
                <w:sz w:val="21"/>
                <w:szCs w:val="21"/>
                <w:highlight w:val="none"/>
              </w:rPr>
              <w:t>。</w:t>
            </w:r>
          </w:p>
          <w:p>
            <w:pPr>
              <w:keepNext w:val="0"/>
              <w:keepLines w:val="0"/>
              <w:pageBreakBefore w:val="0"/>
              <w:widowControl w:val="0"/>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0" w:right="0"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r>
              <w:rPr>
                <w:rFonts w:hint="eastAsia" w:ascii="仿宋" w:hAnsi="仿宋" w:eastAsia="仿宋" w:cs="仿宋"/>
                <w:b/>
                <w:color w:val="auto"/>
                <w:sz w:val="21"/>
                <w:szCs w:val="21"/>
                <w:highlight w:val="none"/>
              </w:rPr>
              <w:t>投标准备</w:t>
            </w:r>
            <w:r>
              <w:rPr>
                <w:rFonts w:hint="eastAsia" w:ascii="仿宋" w:hAnsi="仿宋" w:eastAsia="仿宋" w:cs="仿宋"/>
                <w:color w:val="auto"/>
                <w:sz w:val="21"/>
                <w:szCs w:val="21"/>
                <w:highlight w:val="none"/>
              </w:rPr>
              <w:t>：注册账号--点击“商家入驻”，进行政府采购供应商资料填写；申领CA数字证书---申领流程详见“</w:t>
            </w:r>
            <w:r>
              <w:rPr>
                <w:rFonts w:hint="eastAsia" w:ascii="仿宋" w:hAnsi="仿宋" w:eastAsia="仿宋" w:cs="仿宋"/>
                <w:color w:val="auto"/>
                <w:sz w:val="21"/>
                <w:szCs w:val="21"/>
                <w:highlight w:val="none"/>
                <w:lang w:eastAsia="zh-CN"/>
              </w:rPr>
              <w:t>新疆</w:t>
            </w:r>
            <w:r>
              <w:rPr>
                <w:rFonts w:hint="eastAsia" w:ascii="仿宋" w:hAnsi="仿宋" w:eastAsia="仿宋" w:cs="仿宋"/>
                <w:color w:val="auto"/>
                <w:sz w:val="21"/>
                <w:szCs w:val="21"/>
                <w:highlight w:val="none"/>
              </w:rPr>
              <w:t>政府采购网-下载专区-电子交易客户端-CA驱动和申领流程”；安装“政采云电子交易客户端”----前往“</w:t>
            </w:r>
            <w:r>
              <w:rPr>
                <w:rFonts w:hint="eastAsia" w:ascii="仿宋" w:hAnsi="仿宋" w:eastAsia="仿宋" w:cs="仿宋"/>
                <w:color w:val="auto"/>
                <w:sz w:val="21"/>
                <w:szCs w:val="21"/>
                <w:highlight w:val="none"/>
                <w:lang w:eastAsia="zh-CN"/>
              </w:rPr>
              <w:t>新疆</w:t>
            </w:r>
            <w:r>
              <w:rPr>
                <w:rFonts w:hint="eastAsia" w:ascii="仿宋" w:hAnsi="仿宋" w:eastAsia="仿宋" w:cs="仿宋"/>
                <w:color w:val="auto"/>
                <w:sz w:val="21"/>
                <w:szCs w:val="21"/>
                <w:highlight w:val="none"/>
              </w:rPr>
              <w:t>政府采购网-下载专区-电子交易客户端”进行下载并安装。</w:t>
            </w:r>
          </w:p>
          <w:p>
            <w:pPr>
              <w:keepNext w:val="0"/>
              <w:keepLines w:val="0"/>
              <w:pageBreakBefore w:val="0"/>
              <w:widowControl w:val="0"/>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0" w:right="0"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r>
              <w:rPr>
                <w:rFonts w:hint="eastAsia" w:ascii="仿宋" w:hAnsi="仿宋" w:eastAsia="仿宋" w:cs="仿宋"/>
                <w:b/>
                <w:color w:val="auto"/>
                <w:sz w:val="21"/>
                <w:szCs w:val="21"/>
                <w:highlight w:val="none"/>
              </w:rPr>
              <w:t>采购文件的获取</w:t>
            </w:r>
            <w:r>
              <w:rPr>
                <w:rFonts w:hint="eastAsia" w:ascii="仿宋" w:hAnsi="仿宋" w:eastAsia="仿宋" w:cs="仿宋"/>
                <w:color w:val="auto"/>
                <w:sz w:val="21"/>
                <w:szCs w:val="21"/>
                <w:highlight w:val="none"/>
              </w:rPr>
              <w:t>：使用账号登录或者</w:t>
            </w:r>
            <w:r>
              <w:rPr>
                <w:rFonts w:hint="eastAsia" w:ascii="仿宋" w:hAnsi="仿宋" w:eastAsia="仿宋" w:cs="仿宋"/>
                <w:color w:val="auto"/>
                <w:sz w:val="21"/>
                <w:szCs w:val="21"/>
                <w:highlight w:val="none"/>
                <w:lang w:bidi="zh-CN"/>
              </w:rPr>
              <w:t>短信验证码</w:t>
            </w:r>
            <w:r>
              <w:rPr>
                <w:rFonts w:hint="eastAsia" w:ascii="仿宋" w:hAnsi="仿宋" w:eastAsia="仿宋" w:cs="仿宋"/>
                <w:color w:val="auto"/>
                <w:sz w:val="21"/>
                <w:szCs w:val="21"/>
                <w:highlight w:val="none"/>
              </w:rPr>
              <w:t>或者使用CA登录政采云平台；进入“项目采购”应用，在获取采购文件菜单中选择项目，获取采购文件。申请获取采购文件前须上传的资格证明文件扫描件有：营业执照副本原件</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法定代表人投标需提供法定代表人资格证明书原件，委托代理人投标需提供法定代表人授权委托书原件</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近三年内</w:t>
            </w:r>
            <w:r>
              <w:rPr>
                <w:rFonts w:hint="eastAsia" w:ascii="仿宋" w:hAnsi="仿宋" w:eastAsia="仿宋" w:cs="仿宋"/>
                <w:color w:val="auto"/>
                <w:sz w:val="21"/>
                <w:szCs w:val="21"/>
                <w:highlight w:val="none"/>
                <w:lang w:eastAsia="zh-CN"/>
              </w:rPr>
              <w:t>未被“信用中国”（www.creditchina.gov.cn）、中国政府采购网（www.ccgp.gov.cn）列入失信被执行人、重大税收违法案件当事人名单、政府采购严重违法失信行为记录名单</w:t>
            </w:r>
            <w:r>
              <w:rPr>
                <w:rFonts w:hint="eastAsia" w:ascii="仿宋" w:hAnsi="仿宋" w:eastAsia="仿宋" w:cs="仿宋"/>
                <w:color w:val="auto"/>
                <w:sz w:val="21"/>
                <w:szCs w:val="21"/>
                <w:highlight w:val="none"/>
              </w:rPr>
              <w:t>。</w:t>
            </w:r>
          </w:p>
          <w:p>
            <w:pPr>
              <w:keepNext w:val="0"/>
              <w:keepLines w:val="0"/>
              <w:pageBreakBefore w:val="0"/>
              <w:widowControl w:val="0"/>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0" w:right="0"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r>
              <w:rPr>
                <w:rFonts w:hint="eastAsia" w:ascii="仿宋" w:hAnsi="仿宋" w:eastAsia="仿宋" w:cs="仿宋"/>
                <w:b/>
                <w:color w:val="auto"/>
                <w:sz w:val="21"/>
                <w:szCs w:val="21"/>
                <w:highlight w:val="none"/>
              </w:rPr>
              <w:t>投标文件的制作</w:t>
            </w:r>
            <w:r>
              <w:rPr>
                <w:rFonts w:hint="eastAsia" w:ascii="仿宋" w:hAnsi="仿宋" w:eastAsia="仿宋" w:cs="仿宋"/>
                <w:color w:val="auto"/>
                <w:sz w:val="21"/>
                <w:szCs w:val="21"/>
                <w:highlight w:val="none"/>
              </w:rPr>
              <w:t>：在“政采云电子交易客户端”中完成“填写基本信息”、“导入投标文件”、“标书关联”、“标书检查”、“电子签名”、“生成电子标书”等操作。</w:t>
            </w:r>
          </w:p>
          <w:p>
            <w:pPr>
              <w:keepNext w:val="0"/>
              <w:keepLines w:val="0"/>
              <w:pageBreakBefore w:val="0"/>
              <w:widowControl w:val="0"/>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0" w:right="0"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w:t>
            </w:r>
            <w:r>
              <w:rPr>
                <w:rFonts w:hint="eastAsia" w:ascii="仿宋" w:hAnsi="仿宋" w:eastAsia="仿宋" w:cs="仿宋"/>
                <w:b/>
                <w:color w:val="auto"/>
                <w:sz w:val="21"/>
                <w:szCs w:val="21"/>
                <w:highlight w:val="none"/>
              </w:rPr>
              <w:t>投标文件的传输递交</w:t>
            </w:r>
            <w:r>
              <w:rPr>
                <w:rFonts w:hint="eastAsia" w:ascii="仿宋" w:hAnsi="仿宋" w:eastAsia="仿宋" w:cs="仿宋"/>
                <w:color w:val="auto"/>
                <w:sz w:val="21"/>
                <w:szCs w:val="21"/>
                <w:highlight w:val="none"/>
              </w:rPr>
              <w:t>：供应商在投标截止时间前将加密的投标文件上传至政府采购云平台，还可以在投标截止时间前以电子邮件方式提供备份投标文件1份（接收人邮箱：</w:t>
            </w:r>
            <w:r>
              <w:rPr>
                <w:rFonts w:hint="eastAsia" w:ascii="仿宋" w:hAnsi="仿宋" w:eastAsia="仿宋" w:cs="仿宋"/>
                <w:color w:val="auto"/>
                <w:sz w:val="21"/>
                <w:szCs w:val="21"/>
                <w:highlight w:val="none"/>
                <w:lang w:val="en-US" w:eastAsia="zh-CN"/>
              </w:rPr>
              <w:t>562251287@qq.com</w:t>
            </w:r>
            <w:r>
              <w:rPr>
                <w:rFonts w:hint="eastAsia" w:ascii="仿宋" w:hAnsi="仿宋" w:eastAsia="仿宋" w:cs="仿宋"/>
                <w:color w:val="auto"/>
                <w:sz w:val="21"/>
                <w:szCs w:val="21"/>
                <w:highlight w:val="none"/>
              </w:rPr>
              <w:t>，接收人：</w:t>
            </w:r>
            <w:r>
              <w:rPr>
                <w:rFonts w:hint="eastAsia" w:ascii="仿宋" w:hAnsi="仿宋" w:eastAsia="仿宋" w:cs="仿宋"/>
                <w:color w:val="auto"/>
                <w:sz w:val="21"/>
                <w:szCs w:val="21"/>
                <w:highlight w:val="none"/>
                <w:lang w:eastAsia="zh-CN"/>
              </w:rPr>
              <w:t>夏先生</w:t>
            </w:r>
            <w:r>
              <w:rPr>
                <w:rFonts w:hint="eastAsia" w:ascii="仿宋" w:hAnsi="仿宋" w:eastAsia="仿宋" w:cs="仿宋"/>
                <w:color w:val="auto"/>
                <w:sz w:val="21"/>
                <w:szCs w:val="21"/>
                <w:highlight w:val="none"/>
              </w:rPr>
              <w:t>，电话：</w:t>
            </w:r>
            <w:r>
              <w:rPr>
                <w:rFonts w:hint="eastAsia" w:ascii="仿宋" w:hAnsi="仿宋" w:eastAsia="仿宋" w:cs="仿宋"/>
                <w:color w:val="auto"/>
                <w:sz w:val="21"/>
                <w:szCs w:val="21"/>
                <w:highlight w:val="none"/>
                <w:lang w:val="en-US" w:eastAsia="zh-CN"/>
              </w:rPr>
              <w:t>17881605898</w:t>
            </w:r>
            <w:r>
              <w:rPr>
                <w:rFonts w:hint="eastAsia" w:ascii="仿宋" w:hAnsi="仿宋" w:eastAsia="仿宋" w:cs="仿宋"/>
                <w:color w:val="auto"/>
                <w:sz w:val="21"/>
                <w:szCs w:val="21"/>
                <w:highlight w:val="none"/>
              </w:rPr>
              <w:t>），</w:t>
            </w:r>
            <w:r>
              <w:rPr>
                <w:rFonts w:hint="eastAsia" w:ascii="仿宋" w:hAnsi="仿宋" w:eastAsia="仿宋" w:cs="仿宋"/>
                <w:b/>
                <w:bCs/>
                <w:color w:val="auto"/>
                <w:sz w:val="21"/>
                <w:szCs w:val="21"/>
                <w:highlight w:val="none"/>
                <w:lang w:bidi="zh-CN"/>
              </w:rPr>
              <w:t>备份投标文件可以打包压缩并加密，压缩包命名为“XX单位备份投标文件”，加密密码由供应商自行保管（“备份投标文件”由供应商自愿提供，采购文件不作强制性要求；如不提供或未按要求提供的，当电子投标文件无法解密时，将导致无备份投标文件而失去投标资格）</w:t>
            </w:r>
            <w:r>
              <w:rPr>
                <w:rFonts w:hint="eastAsia" w:ascii="仿宋" w:hAnsi="仿宋" w:eastAsia="仿宋" w:cs="仿宋"/>
                <w:color w:val="auto"/>
                <w:sz w:val="21"/>
                <w:szCs w:val="21"/>
                <w:highlight w:val="none"/>
              </w:rPr>
              <w:t>。</w:t>
            </w:r>
          </w:p>
          <w:p>
            <w:pPr>
              <w:keepNext w:val="0"/>
              <w:keepLines w:val="0"/>
              <w:pageBreakBefore w:val="0"/>
              <w:widowControl w:val="0"/>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0" w:right="0"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w:t>
            </w:r>
            <w:r>
              <w:rPr>
                <w:rFonts w:hint="eastAsia" w:ascii="仿宋" w:hAnsi="仿宋" w:eastAsia="仿宋" w:cs="仿宋"/>
                <w:b/>
                <w:color w:val="auto"/>
                <w:sz w:val="21"/>
                <w:szCs w:val="21"/>
                <w:highlight w:val="none"/>
              </w:rPr>
              <w:t>投标文件的解密</w:t>
            </w:r>
            <w:r>
              <w:rPr>
                <w:rFonts w:hint="eastAsia" w:ascii="仿宋" w:hAnsi="仿宋" w:eastAsia="仿宋" w:cs="仿宋"/>
                <w:color w:val="auto"/>
                <w:sz w:val="21"/>
                <w:szCs w:val="21"/>
                <w:highlight w:val="none"/>
              </w:rPr>
              <w:t>：供应商按照平台提示和采购文件的规定在半小时内完成在线解密。通过“政府采购云平台”上传递交的投标文件无法按时解密，投标供应商提供了备份投标文件的，以备份投标文件为依据，否则视为投标文件撤回。通过“政府采购云平台”上传递交的投标文件已按时解密的，备份投标文件自动失效。供应商仅提供备份投标文件，没有在电子交易平台传输递交投标文件的，投标无效。</w:t>
            </w:r>
          </w:p>
          <w:p>
            <w:pPr>
              <w:keepNext w:val="0"/>
              <w:keepLines w:val="0"/>
              <w:pageBreakBefore w:val="0"/>
              <w:widowControl w:val="0"/>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0" w:right="0"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w:t>
            </w:r>
            <w:r>
              <w:rPr>
                <w:rFonts w:hint="eastAsia" w:ascii="仿宋" w:hAnsi="仿宋" w:eastAsia="仿宋" w:cs="仿宋"/>
                <w:b/>
                <w:color w:val="auto"/>
                <w:sz w:val="21"/>
                <w:szCs w:val="21"/>
                <w:highlight w:val="none"/>
              </w:rPr>
              <w:t>具体操作指南</w:t>
            </w:r>
            <w:r>
              <w:rPr>
                <w:rFonts w:hint="eastAsia" w:ascii="仿宋" w:hAnsi="仿宋" w:eastAsia="仿宋" w:cs="仿宋"/>
                <w:color w:val="auto"/>
                <w:sz w:val="21"/>
                <w:szCs w:val="21"/>
                <w:highlight w:val="none"/>
              </w:rPr>
              <w:t>：详见政采云平台“服务中心-帮助文档-项目采购-操作流程-电子招投标-政府采购项目电子交易管理操作指南-供应商”。</w:t>
            </w:r>
          </w:p>
          <w:p>
            <w:pPr>
              <w:keepNext w:val="0"/>
              <w:keepLines w:val="0"/>
              <w:pageBreakBefore w:val="0"/>
              <w:widowControl w:val="0"/>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0" w:right="0"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（8）供应商在进行上述操作时，如遇技术问题可登录政采云（https://</w:t>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HYPERLINK "http://www.zcygov.cn/" \h</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www.zcygov.cn/</w:t>
            </w:r>
            <w:r>
              <w:rPr>
                <w:rFonts w:hint="eastAsia" w:ascii="仿宋" w:hAnsi="仿宋" w:eastAsia="仿宋" w:cs="仿宋"/>
                <w:color w:val="auto"/>
                <w:sz w:val="21"/>
                <w:szCs w:val="21"/>
                <w:highlight w:val="none"/>
              </w:rPr>
              <w:fldChar w:fldCharType="end"/>
            </w:r>
            <w:r>
              <w:rPr>
                <w:rFonts w:hint="eastAsia" w:ascii="仿宋" w:hAnsi="仿宋" w:eastAsia="仿宋" w:cs="仿宋"/>
                <w:color w:val="auto"/>
                <w:sz w:val="21"/>
                <w:szCs w:val="21"/>
                <w:highlight w:val="none"/>
              </w:rPr>
              <w:t>），点击右侧咨询小采，获取采小蜜智能服务管家帮助，或拨打政采云服务热线</w:t>
            </w:r>
            <w:r>
              <w:rPr>
                <w:rFonts w:hint="eastAsia" w:ascii="仿宋" w:hAnsi="仿宋" w:eastAsia="仿宋" w:cs="仿宋"/>
                <w:color w:val="auto"/>
                <w:sz w:val="21"/>
                <w:szCs w:val="21"/>
                <w:highlight w:val="none"/>
                <w:lang w:eastAsia="zh-CN"/>
              </w:rPr>
              <w:t xml:space="preserve"> 95763</w:t>
            </w:r>
            <w:r>
              <w:rPr>
                <w:rFonts w:hint="eastAsia" w:ascii="仿宋" w:hAnsi="仿宋" w:eastAsia="仿宋" w:cs="仿宋"/>
                <w:color w:val="auto"/>
                <w:sz w:val="21"/>
                <w:szCs w:val="21"/>
                <w:highlight w:val="none"/>
              </w:rPr>
              <w:t xml:space="preserve"> 获取热线服务帮助。</w:t>
            </w:r>
          </w:p>
          <w:p>
            <w:pPr>
              <w:pStyle w:val="14"/>
              <w:keepNext w:val="0"/>
              <w:keepLines w:val="0"/>
              <w:pageBreakBefore w:val="0"/>
              <w:widowControl w:val="0"/>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0" w:right="0" w:firstLine="420" w:firstLineChars="200"/>
              <w:textAlignment w:val="auto"/>
              <w:outlineLvl w:val="9"/>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温馨提醒：</w:t>
            </w:r>
            <w:r>
              <w:rPr>
                <w:rFonts w:hint="eastAsia" w:ascii="仿宋" w:hAnsi="仿宋" w:eastAsia="仿宋" w:cs="仿宋"/>
                <w:b w:val="0"/>
                <w:bCs/>
                <w:color w:val="auto"/>
                <w:sz w:val="21"/>
                <w:szCs w:val="21"/>
                <w:highlight w:val="none"/>
                <w:lang w:val="en-US" w:eastAsia="zh-CN"/>
              </w:rPr>
              <w:t>1、</w:t>
            </w:r>
            <w:r>
              <w:rPr>
                <w:rFonts w:hint="eastAsia" w:ascii="仿宋" w:hAnsi="仿宋" w:eastAsia="仿宋" w:cs="仿宋"/>
                <w:b w:val="0"/>
                <w:bCs/>
                <w:color w:val="auto"/>
                <w:sz w:val="21"/>
                <w:szCs w:val="21"/>
                <w:highlight w:val="none"/>
              </w:rPr>
              <w:t>供应商应提前上传，以便在上传时遇到技术问题，有充足的时间请教平台的技术人员。</w:t>
            </w:r>
          </w:p>
          <w:p>
            <w:pPr>
              <w:keepNext w:val="0"/>
              <w:keepLines w:val="0"/>
              <w:pageBreakBefore w:val="0"/>
              <w:widowControl w:val="0"/>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0" w:right="0" w:firstLine="403" w:firstLineChars="192"/>
              <w:textAlignment w:val="auto"/>
              <w:outlineLvl w:val="9"/>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rPr>
              <w:t>2、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w:t>
            </w:r>
            <w:r>
              <w:rPr>
                <w:rFonts w:hint="eastAsia" w:ascii="仿宋" w:hAnsi="仿宋" w:eastAsia="仿宋" w:cs="仿宋"/>
                <w:color w:val="auto"/>
                <w:sz w:val="21"/>
                <w:szCs w:val="21"/>
                <w:highlight w:val="none"/>
              </w:rPr>
              <w:t>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w:t>
            </w:r>
            <w:r>
              <w:rPr>
                <w:rFonts w:hint="eastAsia" w:ascii="仿宋" w:hAnsi="仿宋" w:eastAsia="仿宋" w:cs="仿宋"/>
                <w:color w:val="auto"/>
                <w:sz w:val="21"/>
                <w:szCs w:val="21"/>
                <w:highlight w:val="none"/>
                <w:lang w:eastAsia="zh-CN"/>
              </w:rPr>
              <w:t>中国</w:t>
            </w:r>
            <w:r>
              <w:rPr>
                <w:rFonts w:hint="eastAsia" w:ascii="仿宋" w:hAnsi="仿宋" w:eastAsia="仿宋" w:cs="仿宋"/>
                <w:color w:val="auto"/>
                <w:sz w:val="21"/>
                <w:szCs w:val="21"/>
                <w:highlight w:val="none"/>
              </w:rPr>
              <w:t>政府采购网下载专区下载。</w:t>
            </w:r>
            <w:r>
              <w:rPr>
                <w:rFonts w:hint="eastAsia" w:ascii="仿宋" w:hAnsi="仿宋" w:eastAsia="仿宋" w:cs="仿宋"/>
                <w:bCs/>
                <w:color w:val="auto"/>
                <w:sz w:val="21"/>
                <w:szCs w:val="21"/>
                <w:highlight w:val="none"/>
              </w:rPr>
              <w:t>未按规定获取采购文件或逾期提出的不予受理、答复。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7" w:hRule="atLeast"/>
        </w:trPr>
        <w:tc>
          <w:tcPr>
            <w:tcW w:w="732" w:type="dxa"/>
            <w:vMerge w:val="restart"/>
            <w:vAlign w:val="center"/>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0" w:right="0"/>
              <w:textAlignment w:val="auto"/>
              <w:outlineLvl w:val="9"/>
              <w:rPr>
                <w:rFonts w:hint="default" w:ascii="仿宋" w:hAnsi="仿宋" w:eastAsia="仿宋" w:cs="仿宋"/>
                <w:b/>
                <w:bCs w:val="0"/>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32</w:t>
            </w:r>
          </w:p>
        </w:tc>
        <w:tc>
          <w:tcPr>
            <w:tcW w:w="1278" w:type="dxa"/>
            <w:vMerge w:val="restart"/>
            <w:vAlign w:val="center"/>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0" w:right="0"/>
              <w:textAlignment w:val="auto"/>
              <w:outlineLvl w:val="9"/>
              <w:rPr>
                <w:rFonts w:hint="eastAsia" w:ascii="仿宋" w:hAnsi="仿宋" w:eastAsia="仿宋" w:cs="仿宋"/>
                <w:b/>
                <w:bCs w:val="0"/>
                <w:color w:val="auto"/>
                <w:sz w:val="21"/>
                <w:szCs w:val="21"/>
                <w:highlight w:val="none"/>
              </w:rPr>
            </w:pPr>
            <w:r>
              <w:rPr>
                <w:rFonts w:hint="eastAsia" w:ascii="仿宋" w:hAnsi="仿宋" w:eastAsia="仿宋" w:cs="仿宋"/>
                <w:b w:val="0"/>
                <w:bCs w:val="0"/>
                <w:color w:val="000000" w:themeColor="text1"/>
                <w:sz w:val="21"/>
                <w:szCs w:val="21"/>
                <w:highlight w:val="none"/>
                <w14:textFill>
                  <w14:solidFill>
                    <w14:schemeClr w14:val="tx1"/>
                  </w14:solidFill>
                </w14:textFill>
              </w:rPr>
              <w:t>中小微企业政策文件</w:t>
            </w:r>
          </w:p>
        </w:tc>
        <w:tc>
          <w:tcPr>
            <w:tcW w:w="7306" w:type="dxa"/>
            <w:vAlign w:val="center"/>
          </w:tcPr>
          <w:p>
            <w:pPr>
              <w:keepNext w:val="0"/>
              <w:keepLines w:val="0"/>
              <w:pageBreakBefore w:val="0"/>
              <w:suppressLineNumbers w:val="0"/>
              <w:shd w:val="clear" w:color="auto" w:fill="auto"/>
              <w:kinsoku/>
              <w:wordWrap/>
              <w:overflowPunct/>
              <w:topLinePunct w:val="0"/>
              <w:autoSpaceDE/>
              <w:autoSpaceDN/>
              <w:bidi w:val="0"/>
              <w:adjustRightInd/>
              <w:spacing w:before="0" w:beforeAutospacing="0" w:after="0" w:afterAutospacing="0" w:line="400" w:lineRule="exact"/>
              <w:ind w:left="0" w:right="0"/>
              <w:jc w:val="left"/>
              <w:textAlignment w:val="auto"/>
              <w:rPr>
                <w:rFonts w:hint="eastAsia" w:ascii="仿宋" w:hAnsi="仿宋" w:eastAsia="仿宋" w:cs="仿宋"/>
                <w:b/>
                <w:bCs w:val="0"/>
                <w:color w:val="auto"/>
                <w:sz w:val="21"/>
                <w:szCs w:val="21"/>
                <w:highlight w:val="none"/>
              </w:rPr>
            </w:pPr>
            <w:r>
              <w:rPr>
                <w:rFonts w:hint="eastAsia" w:ascii="仿宋" w:hAnsi="仿宋" w:eastAsia="仿宋" w:cs="仿宋"/>
                <w:b w:val="0"/>
                <w:bCs w:val="0"/>
                <w:color w:val="000000" w:themeColor="text1"/>
                <w:sz w:val="21"/>
                <w:szCs w:val="21"/>
                <w:highlight w:val="none"/>
                <w14:textFill>
                  <w14:solidFill>
                    <w14:schemeClr w14:val="tx1"/>
                  </w14:solidFill>
                </w14:textFill>
              </w:rPr>
              <w:t>（1）根据财政部、工业和信息化部关于印发《政府采购促进中小企业发展</w:t>
            </w:r>
            <w:r>
              <w:rPr>
                <w:rFonts w:hint="eastAsia" w:ascii="仿宋" w:hAnsi="仿宋" w:eastAsia="仿宋" w:cs="仿宋"/>
                <w:b w:val="0"/>
                <w:bCs w:val="0"/>
                <w:color w:val="000000" w:themeColor="text1"/>
                <w:sz w:val="21"/>
                <w:szCs w:val="21"/>
                <w:highlight w:val="none"/>
                <w:lang w:eastAsia="zh-CN"/>
                <w14:textFill>
                  <w14:solidFill>
                    <w14:schemeClr w14:val="tx1"/>
                  </w14:solidFill>
                </w14:textFill>
              </w:rPr>
              <w:t>管理</w:t>
            </w:r>
            <w:r>
              <w:rPr>
                <w:rFonts w:hint="eastAsia" w:ascii="仿宋" w:hAnsi="仿宋" w:eastAsia="仿宋" w:cs="仿宋"/>
                <w:b w:val="0"/>
                <w:bCs w:val="0"/>
                <w:color w:val="000000" w:themeColor="text1"/>
                <w:sz w:val="21"/>
                <w:szCs w:val="21"/>
                <w:highlight w:val="none"/>
                <w14:textFill>
                  <w14:solidFill>
                    <w14:schemeClr w14:val="tx1"/>
                  </w14:solidFill>
                </w14:textFill>
              </w:rPr>
              <w:t>办法》的通知（财库[20</w:t>
            </w: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20</w:t>
            </w:r>
            <w:r>
              <w:rPr>
                <w:rFonts w:hint="eastAsia" w:ascii="仿宋" w:hAnsi="仿宋" w:eastAsia="仿宋" w:cs="仿宋"/>
                <w:b w:val="0"/>
                <w:bCs w:val="0"/>
                <w:color w:val="000000" w:themeColor="text1"/>
                <w:sz w:val="21"/>
                <w:szCs w:val="21"/>
                <w:highlight w:val="none"/>
                <w14:textFill>
                  <w14:solidFill>
                    <w14:schemeClr w14:val="tx1"/>
                  </w14:solidFill>
                </w14:textFill>
              </w:rPr>
              <w:t>]</w:t>
            </w: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46</w:t>
            </w:r>
            <w:r>
              <w:rPr>
                <w:rFonts w:hint="eastAsia" w:ascii="仿宋" w:hAnsi="仿宋" w:eastAsia="仿宋" w:cs="仿宋"/>
                <w:b w:val="0"/>
                <w:bCs w:val="0"/>
                <w:color w:val="000000" w:themeColor="text1"/>
                <w:sz w:val="21"/>
                <w:szCs w:val="21"/>
                <w:highlight w:val="none"/>
                <w14:textFill>
                  <w14:solidFill>
                    <w14:schemeClr w14:val="tx1"/>
                  </w14:solidFill>
                </w14:textFill>
              </w:rPr>
              <w:t>号）</w:t>
            </w: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及财库〔2022〕19号</w:t>
            </w:r>
            <w:r>
              <w:rPr>
                <w:rFonts w:hint="eastAsia" w:ascii="仿宋" w:hAnsi="仿宋" w:eastAsia="仿宋" w:cs="仿宋"/>
                <w:b w:val="0"/>
                <w:bCs w:val="0"/>
                <w:color w:val="000000" w:themeColor="text1"/>
                <w:sz w:val="21"/>
                <w:szCs w:val="21"/>
                <w:highlight w:val="none"/>
                <w14:textFill>
                  <w14:solidFill>
                    <w14:schemeClr w14:val="tx1"/>
                  </w14:solidFill>
                </w14:textFill>
              </w:rPr>
              <w:t>，投标人及其所投产品的制造商均属于《工业和信息化部、国家统计局、国家发展和改革委员会、财政部关于印发中小企业划型标准规定的通知》（工信部联企业[2011]300号）中规定的小型、微型企业标准的，按招标文件格式提供《中小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732" w:type="dxa"/>
            <w:vMerge w:val="continue"/>
            <w:vAlign w:val="center"/>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0" w:right="0"/>
              <w:textAlignment w:val="auto"/>
              <w:outlineLvl w:val="9"/>
              <w:rPr>
                <w:rFonts w:hint="eastAsia" w:ascii="仿宋" w:hAnsi="仿宋" w:eastAsia="仿宋" w:cs="仿宋"/>
                <w:b/>
                <w:bCs w:val="0"/>
                <w:color w:val="auto"/>
                <w:sz w:val="21"/>
                <w:szCs w:val="21"/>
                <w:highlight w:val="none"/>
              </w:rPr>
            </w:pPr>
          </w:p>
        </w:tc>
        <w:tc>
          <w:tcPr>
            <w:tcW w:w="1278" w:type="dxa"/>
            <w:vMerge w:val="continue"/>
            <w:vAlign w:val="center"/>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0" w:right="0"/>
              <w:textAlignment w:val="auto"/>
              <w:outlineLvl w:val="9"/>
              <w:rPr>
                <w:rFonts w:hint="eastAsia" w:ascii="仿宋" w:hAnsi="仿宋" w:eastAsia="仿宋" w:cs="仿宋"/>
                <w:b/>
                <w:bCs w:val="0"/>
                <w:color w:val="auto"/>
                <w:sz w:val="21"/>
                <w:szCs w:val="21"/>
                <w:highlight w:val="none"/>
              </w:rPr>
            </w:pPr>
          </w:p>
        </w:tc>
        <w:tc>
          <w:tcPr>
            <w:tcW w:w="7306" w:type="dxa"/>
            <w:vAlign w:val="center"/>
          </w:tcPr>
          <w:p>
            <w:pPr>
              <w:keepNext w:val="0"/>
              <w:keepLines w:val="0"/>
              <w:pageBreakBefore w:val="0"/>
              <w:suppressLineNumbers w:val="0"/>
              <w:shd w:val="clear" w:color="auto" w:fill="auto"/>
              <w:kinsoku/>
              <w:wordWrap/>
              <w:overflowPunct/>
              <w:topLinePunct w:val="0"/>
              <w:autoSpaceDE/>
              <w:autoSpaceDN/>
              <w:bidi w:val="0"/>
              <w:adjustRightInd/>
              <w:spacing w:before="0" w:beforeAutospacing="0" w:after="0" w:afterAutospacing="0" w:line="400" w:lineRule="exact"/>
              <w:ind w:left="0" w:right="0"/>
              <w:jc w:val="left"/>
              <w:textAlignment w:val="auto"/>
              <w:rPr>
                <w:rFonts w:hint="eastAsia" w:ascii="仿宋" w:hAnsi="仿宋" w:eastAsia="仿宋" w:cs="仿宋"/>
                <w:b/>
                <w:bCs w:val="0"/>
                <w:color w:val="auto"/>
                <w:sz w:val="21"/>
                <w:szCs w:val="21"/>
                <w:highlight w:val="none"/>
              </w:rPr>
            </w:pPr>
            <w:r>
              <w:rPr>
                <w:rFonts w:hint="eastAsia" w:ascii="仿宋" w:hAnsi="仿宋" w:eastAsia="仿宋" w:cs="仿宋"/>
                <w:b w:val="0"/>
                <w:bCs w:val="0"/>
                <w:color w:val="000000" w:themeColor="text1"/>
                <w:sz w:val="21"/>
                <w:szCs w:val="21"/>
                <w:highlight w:val="none"/>
                <w14:textFill>
                  <w14:solidFill>
                    <w14:schemeClr w14:val="tx1"/>
                  </w14:solidFill>
                </w14:textFill>
              </w:rPr>
              <w:t>（2）根据财政部、司令部《关于政府采购支持监狱企业发展有关问题》的通知财库[2014]68号，监狱企业参加本项目投标时，应当提供由省级以上监狱管理局、戒毒管理局（新疆生产建设兵团）出具的属于监狱企业的证明文件。监狱企业视同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732" w:type="dxa"/>
            <w:vMerge w:val="continue"/>
            <w:vAlign w:val="center"/>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0" w:right="0"/>
              <w:textAlignment w:val="auto"/>
              <w:outlineLvl w:val="9"/>
              <w:rPr>
                <w:rFonts w:hint="eastAsia" w:ascii="仿宋" w:hAnsi="仿宋" w:eastAsia="仿宋" w:cs="仿宋"/>
                <w:b/>
                <w:bCs w:val="0"/>
                <w:color w:val="auto"/>
                <w:sz w:val="21"/>
                <w:szCs w:val="21"/>
                <w:highlight w:val="none"/>
              </w:rPr>
            </w:pPr>
          </w:p>
        </w:tc>
        <w:tc>
          <w:tcPr>
            <w:tcW w:w="1278" w:type="dxa"/>
            <w:vMerge w:val="continue"/>
            <w:vAlign w:val="center"/>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0" w:right="0"/>
              <w:textAlignment w:val="auto"/>
              <w:outlineLvl w:val="9"/>
              <w:rPr>
                <w:rFonts w:hint="eastAsia" w:ascii="仿宋" w:hAnsi="仿宋" w:eastAsia="仿宋" w:cs="仿宋"/>
                <w:b/>
                <w:bCs w:val="0"/>
                <w:color w:val="auto"/>
                <w:sz w:val="21"/>
                <w:szCs w:val="21"/>
                <w:highlight w:val="none"/>
              </w:rPr>
            </w:pPr>
          </w:p>
        </w:tc>
        <w:tc>
          <w:tcPr>
            <w:tcW w:w="7306" w:type="dxa"/>
            <w:vAlign w:val="center"/>
          </w:tcPr>
          <w:p>
            <w:pPr>
              <w:keepNext w:val="0"/>
              <w:keepLines w:val="0"/>
              <w:pageBreakBefore w:val="0"/>
              <w:suppressLineNumbers w:val="0"/>
              <w:shd w:val="clear" w:color="auto" w:fill="auto"/>
              <w:kinsoku/>
              <w:wordWrap/>
              <w:overflowPunct/>
              <w:topLinePunct w:val="0"/>
              <w:autoSpaceDE/>
              <w:autoSpaceDN/>
              <w:bidi w:val="0"/>
              <w:adjustRightInd/>
              <w:spacing w:before="0" w:beforeAutospacing="0" w:after="0" w:afterAutospacing="0" w:line="400" w:lineRule="exact"/>
              <w:ind w:left="0" w:right="0"/>
              <w:jc w:val="left"/>
              <w:textAlignment w:val="auto"/>
              <w:rPr>
                <w:rFonts w:hint="eastAsia" w:ascii="仿宋" w:hAnsi="仿宋" w:eastAsia="仿宋" w:cs="仿宋"/>
                <w:b/>
                <w:bCs w:val="0"/>
                <w:color w:val="auto"/>
                <w:sz w:val="21"/>
                <w:szCs w:val="21"/>
                <w:highlight w:val="none"/>
              </w:rPr>
            </w:pPr>
            <w:r>
              <w:rPr>
                <w:rFonts w:hint="eastAsia" w:ascii="仿宋" w:hAnsi="仿宋" w:eastAsia="仿宋" w:cs="仿宋"/>
                <w:b w:val="0"/>
                <w:bCs w:val="0"/>
                <w:color w:val="000000" w:themeColor="text1"/>
                <w:sz w:val="21"/>
                <w:szCs w:val="21"/>
                <w:highlight w:val="none"/>
                <w14:textFill>
                  <w14:solidFill>
                    <w14:schemeClr w14:val="tx1"/>
                  </w14:solidFill>
                </w14:textFill>
              </w:rPr>
              <w:t>（3）根据财政部、民政部、中国残疾人联合会《关于促进残疾人就业政府采购政策的通知》（财库[2017]141号），在政府采购活动中，残疾人福利性单位视同小型、微型企业。投标人属于残疾人福利性单位的，按照招标文件格式提供残疾人福利性单位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3" w:hRule="atLeast"/>
        </w:trPr>
        <w:tc>
          <w:tcPr>
            <w:tcW w:w="732" w:type="dxa"/>
            <w:vAlign w:val="center"/>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0" w:right="0"/>
              <w:textAlignment w:val="auto"/>
              <w:outlineLvl w:val="9"/>
              <w:rPr>
                <w:rFonts w:hint="default" w:ascii="仿宋" w:hAnsi="仿宋" w:eastAsia="仿宋" w:cs="仿宋"/>
                <w:b/>
                <w:bCs w:val="0"/>
                <w:color w:val="auto"/>
                <w:sz w:val="21"/>
                <w:szCs w:val="21"/>
                <w:highlight w:val="none"/>
                <w:lang w:val="en-US" w:eastAsia="zh-CN"/>
              </w:rPr>
            </w:pPr>
            <w:r>
              <w:rPr>
                <w:rFonts w:hint="eastAsia" w:ascii="仿宋" w:hAnsi="仿宋" w:eastAsia="仿宋" w:cs="仿宋"/>
                <w:b/>
                <w:bCs w:val="0"/>
                <w:color w:val="auto"/>
                <w:sz w:val="21"/>
                <w:szCs w:val="21"/>
                <w:highlight w:val="none"/>
                <w:lang w:val="en-US" w:eastAsia="zh-CN"/>
              </w:rPr>
              <w:t>33</w:t>
            </w:r>
          </w:p>
        </w:tc>
        <w:tc>
          <w:tcPr>
            <w:tcW w:w="1278" w:type="dxa"/>
            <w:vAlign w:val="center"/>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0" w:right="0"/>
              <w:textAlignment w:val="auto"/>
              <w:outlineLvl w:val="9"/>
              <w:rPr>
                <w:rFonts w:hint="eastAsia" w:ascii="仿宋" w:hAnsi="仿宋" w:eastAsia="仿宋" w:cs="仿宋"/>
                <w:b/>
                <w:bCs w:val="0"/>
                <w:color w:val="auto"/>
                <w:sz w:val="21"/>
                <w:szCs w:val="21"/>
                <w:highlight w:val="none"/>
              </w:rPr>
            </w:pP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中小微企业政策文件说明</w:t>
            </w:r>
          </w:p>
        </w:tc>
        <w:tc>
          <w:tcPr>
            <w:tcW w:w="7306" w:type="dxa"/>
            <w:vAlign w:val="center"/>
          </w:tcPr>
          <w:p>
            <w:pPr>
              <w:keepNext w:val="0"/>
              <w:keepLines w:val="0"/>
              <w:pageBreakBefore w:val="0"/>
              <w:suppressLineNumbers w:val="0"/>
              <w:shd w:val="clear" w:color="auto" w:fill="auto"/>
              <w:kinsoku/>
              <w:wordWrap/>
              <w:overflowPunct/>
              <w:topLinePunct w:val="0"/>
              <w:autoSpaceDE/>
              <w:autoSpaceDN/>
              <w:bidi w:val="0"/>
              <w:adjustRightInd/>
              <w:spacing w:before="0" w:beforeAutospacing="0" w:after="0" w:afterAutospacing="0" w:line="400" w:lineRule="exact"/>
              <w:ind w:left="0" w:right="0"/>
              <w:jc w:val="left"/>
              <w:textAlignment w:val="auto"/>
              <w:rPr>
                <w:rFonts w:hint="eastAsia" w:ascii="仿宋" w:hAnsi="仿宋" w:eastAsia="仿宋" w:cs="仿宋"/>
                <w:b w:val="0"/>
                <w:bCs w:val="0"/>
                <w:color w:val="000000" w:themeColor="text1"/>
                <w:sz w:val="21"/>
                <w:szCs w:val="21"/>
                <w:highlight w:val="none"/>
                <w14:textFill>
                  <w14:solidFill>
                    <w14:schemeClr w14:val="tx1"/>
                  </w14:solidFill>
                </w14:textFill>
              </w:rPr>
            </w:pPr>
            <w:r>
              <w:rPr>
                <w:rFonts w:hint="eastAsia" w:ascii="仿宋" w:hAnsi="仿宋" w:eastAsia="仿宋" w:cs="仿宋"/>
                <w:b w:val="0"/>
                <w:bCs w:val="0"/>
                <w:color w:val="000000" w:themeColor="text1"/>
                <w:sz w:val="21"/>
                <w:szCs w:val="21"/>
                <w:highlight w:val="none"/>
                <w14:textFill>
                  <w14:solidFill>
                    <w14:schemeClr w14:val="tx1"/>
                  </w14:solidFill>
                </w14:textFill>
              </w:rPr>
              <w:t>（1）支持中小企业发展：给予小型和微型企业产品的价格</w:t>
            </w: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10</w:t>
            </w:r>
            <w:r>
              <w:rPr>
                <w:rFonts w:hint="eastAsia" w:ascii="仿宋" w:hAnsi="仿宋" w:eastAsia="仿宋" w:cs="仿宋"/>
                <w:b w:val="0"/>
                <w:bCs w:val="0"/>
                <w:color w:val="000000" w:themeColor="text1"/>
                <w:sz w:val="21"/>
                <w:szCs w:val="21"/>
                <w:highlight w:val="none"/>
                <w14:textFill>
                  <w14:solidFill>
                    <w14:schemeClr w14:val="tx1"/>
                  </w14:solidFill>
                </w14:textFill>
              </w:rPr>
              <w:t>%-</w:t>
            </w: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2</w:t>
            </w:r>
            <w:r>
              <w:rPr>
                <w:rFonts w:hint="eastAsia" w:ascii="仿宋" w:hAnsi="仿宋" w:eastAsia="仿宋" w:cs="仿宋"/>
                <w:b w:val="0"/>
                <w:bCs w:val="0"/>
                <w:color w:val="000000" w:themeColor="text1"/>
                <w:sz w:val="21"/>
                <w:szCs w:val="21"/>
                <w:highlight w:val="none"/>
                <w14:textFill>
                  <w14:solidFill>
                    <w14:schemeClr w14:val="tx1"/>
                  </w14:solidFill>
                </w14:textFill>
              </w:rPr>
              <w:t>0%的扣除，</w:t>
            </w: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本次招标中小企业给予10%价格优惠，</w:t>
            </w:r>
            <w:r>
              <w:rPr>
                <w:rFonts w:hint="eastAsia" w:ascii="仿宋" w:hAnsi="仿宋" w:eastAsia="仿宋" w:cs="仿宋"/>
                <w:b w:val="0"/>
                <w:bCs w:val="0"/>
                <w:color w:val="000000" w:themeColor="text1"/>
                <w:sz w:val="21"/>
                <w:szCs w:val="21"/>
                <w:highlight w:val="none"/>
                <w14:textFill>
                  <w14:solidFill>
                    <w14:schemeClr w14:val="tx1"/>
                  </w14:solidFill>
                </w14:textFill>
              </w:rPr>
              <w:t>用扣除后的价格参与评审，用扣除后的价格参与评审。残疾人福利性单位视同小型、微型企业，享受同等价格扣除，但同时属于残疾人福利性单位和小微企业的，不重复价格扣除。</w:t>
            </w:r>
          </w:p>
          <w:p>
            <w:pPr>
              <w:keepNext w:val="0"/>
              <w:keepLines w:val="0"/>
              <w:pageBreakBefore w:val="0"/>
              <w:suppressLineNumbers w:val="0"/>
              <w:shd w:val="clear" w:color="auto" w:fill="auto"/>
              <w:kinsoku/>
              <w:wordWrap/>
              <w:overflowPunct/>
              <w:topLinePunct w:val="0"/>
              <w:autoSpaceDE/>
              <w:autoSpaceDN/>
              <w:bidi w:val="0"/>
              <w:adjustRightInd/>
              <w:spacing w:before="0" w:beforeAutospacing="0" w:after="0" w:afterAutospacing="0" w:line="400" w:lineRule="exact"/>
              <w:ind w:left="0" w:right="0"/>
              <w:jc w:val="left"/>
              <w:textAlignment w:val="auto"/>
              <w:rPr>
                <w:rFonts w:hint="eastAsia" w:ascii="仿宋" w:hAnsi="仿宋" w:eastAsia="仿宋" w:cs="仿宋"/>
                <w:b w:val="0"/>
                <w:bCs w:val="0"/>
                <w:color w:val="000000" w:themeColor="text1"/>
                <w:sz w:val="21"/>
                <w:szCs w:val="21"/>
                <w:highlight w:val="none"/>
                <w14:textFill>
                  <w14:solidFill>
                    <w14:schemeClr w14:val="tx1"/>
                  </w14:solidFill>
                </w14:textFill>
              </w:rPr>
            </w:pPr>
            <w:r>
              <w:rPr>
                <w:rFonts w:hint="eastAsia" w:ascii="仿宋" w:hAnsi="仿宋" w:eastAsia="仿宋" w:cs="仿宋"/>
                <w:b w:val="0"/>
                <w:bCs w:val="0"/>
                <w:color w:val="000000" w:themeColor="text1"/>
                <w:sz w:val="21"/>
                <w:szCs w:val="21"/>
                <w:highlight w:val="none"/>
                <w:lang w:eastAsia="zh-CN"/>
                <w14:textFill>
                  <w14:solidFill>
                    <w14:schemeClr w14:val="tx1"/>
                  </w14:solidFill>
                </w14:textFill>
              </w:rPr>
              <w:t>（</w:t>
            </w: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2</w:t>
            </w:r>
            <w:r>
              <w:rPr>
                <w:rFonts w:hint="eastAsia" w:ascii="仿宋" w:hAnsi="仿宋" w:eastAsia="仿宋" w:cs="仿宋"/>
                <w:b w:val="0"/>
                <w:bCs w:val="0"/>
                <w:color w:val="000000" w:themeColor="text1"/>
                <w:sz w:val="21"/>
                <w:szCs w:val="21"/>
                <w:highlight w:val="none"/>
                <w:lang w:eastAsia="zh-CN"/>
                <w14:textFill>
                  <w14:solidFill>
                    <w14:schemeClr w14:val="tx1"/>
                  </w14:solidFill>
                </w14:textFill>
              </w:rPr>
              <w:t>）</w:t>
            </w:r>
            <w:r>
              <w:rPr>
                <w:rFonts w:hint="eastAsia" w:ascii="仿宋" w:hAnsi="仿宋" w:eastAsia="仿宋" w:cs="仿宋"/>
                <w:b w:val="0"/>
                <w:bCs w:val="0"/>
                <w:color w:val="000000" w:themeColor="text1"/>
                <w:sz w:val="21"/>
                <w:szCs w:val="21"/>
                <w:highlight w:val="none"/>
                <w14:textFill>
                  <w14:solidFill>
                    <w14:schemeClr w14:val="tx1"/>
                  </w14:solidFill>
                </w14:textFill>
              </w:rPr>
              <w:t>不符合上述适用情形的投标人无需提供上述声明函件。</w:t>
            </w:r>
          </w:p>
          <w:p>
            <w:pPr>
              <w:keepNext w:val="0"/>
              <w:keepLines w:val="0"/>
              <w:pageBreakBefore w:val="0"/>
              <w:suppressLineNumbers w:val="0"/>
              <w:shd w:val="clear" w:color="auto" w:fill="auto"/>
              <w:kinsoku/>
              <w:wordWrap/>
              <w:overflowPunct/>
              <w:topLinePunct w:val="0"/>
              <w:autoSpaceDE/>
              <w:autoSpaceDN/>
              <w:bidi w:val="0"/>
              <w:adjustRightInd/>
              <w:spacing w:before="0" w:beforeAutospacing="0" w:after="0" w:afterAutospacing="0" w:line="400" w:lineRule="exact"/>
              <w:ind w:left="0" w:right="0"/>
              <w:jc w:val="left"/>
              <w:textAlignment w:val="auto"/>
              <w:rPr>
                <w:rFonts w:hint="eastAsia"/>
                <w:highlight w:val="none"/>
                <w:lang w:val="en-US" w:eastAsia="zh-CN"/>
              </w:rPr>
            </w:pPr>
            <w:r>
              <w:rPr>
                <w:rFonts w:hint="eastAsia" w:ascii="仿宋" w:hAnsi="仿宋" w:eastAsia="仿宋" w:cs="仿宋"/>
                <w:b w:val="0"/>
                <w:bCs w:val="0"/>
                <w:color w:val="0000FF"/>
                <w:sz w:val="21"/>
                <w:szCs w:val="21"/>
                <w:highlight w:val="none"/>
                <w:lang w:val="en-US" w:eastAsia="zh-CN"/>
              </w:rPr>
              <w:t>（3）本项目行业属性：工业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2010" w:type="dxa"/>
            <w:gridSpan w:val="2"/>
            <w:vAlign w:val="center"/>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0" w:right="0"/>
              <w:textAlignment w:val="auto"/>
              <w:outlineLvl w:val="9"/>
              <w:rPr>
                <w:rFonts w:hint="eastAsia" w:ascii="仿宋" w:hAnsi="仿宋" w:eastAsia="仿宋" w:cs="仿宋"/>
                <w:b/>
                <w:bCs w:val="0"/>
                <w:color w:val="auto"/>
                <w:sz w:val="21"/>
                <w:szCs w:val="21"/>
                <w:highlight w:val="none"/>
              </w:rPr>
            </w:pPr>
            <w:r>
              <w:rPr>
                <w:rFonts w:hint="eastAsia" w:ascii="仿宋" w:hAnsi="仿宋" w:eastAsia="仿宋" w:cs="仿宋"/>
                <w:b/>
                <w:bCs w:val="0"/>
                <w:color w:val="auto"/>
                <w:sz w:val="21"/>
                <w:szCs w:val="21"/>
                <w:highlight w:val="none"/>
              </w:rPr>
              <w:t>备注</w:t>
            </w:r>
          </w:p>
        </w:tc>
        <w:tc>
          <w:tcPr>
            <w:tcW w:w="7306" w:type="dxa"/>
            <w:vAlign w:val="top"/>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textAlignment w:val="auto"/>
              <w:rPr>
                <w:rFonts w:hint="eastAsia"/>
                <w:highlight w:val="none"/>
              </w:rPr>
            </w:pPr>
            <w:r>
              <w:rPr>
                <w:rFonts w:hint="eastAsia"/>
                <w:highlight w:val="none"/>
                <w:lang w:val="en-US" w:eastAsia="zh-CN"/>
              </w:rPr>
              <w:t>1、</w:t>
            </w:r>
            <w:r>
              <w:rPr>
                <w:rFonts w:hint="eastAsia"/>
                <w:highlight w:val="none"/>
              </w:rPr>
              <w:t>着重提醒各投标人注意，并认真查看招标文件中的每一个条款及要求，因误读招标文件而造成的后果，招标人概不负责。</w:t>
            </w:r>
          </w:p>
          <w:p>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textAlignment w:val="auto"/>
              <w:rPr>
                <w:rFonts w:hint="eastAsia"/>
                <w:highlight w:val="none"/>
                <w:lang w:val="en-US" w:eastAsia="zh-CN"/>
              </w:rPr>
            </w:pPr>
            <w:r>
              <w:rPr>
                <w:rFonts w:hint="eastAsia"/>
                <w:highlight w:val="none"/>
                <w:lang w:val="en-US" w:eastAsia="zh-CN"/>
              </w:rPr>
              <w:t>2、投标人使用相同IP地址的，一经发现，相关部门将进一步核实，查实后按串通投标处理。</w:t>
            </w:r>
          </w:p>
          <w:p>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textAlignment w:val="auto"/>
              <w:rPr>
                <w:rFonts w:hint="eastAsia"/>
                <w:highlight w:val="none"/>
              </w:rPr>
            </w:pPr>
            <w:r>
              <w:rPr>
                <w:rFonts w:hint="eastAsia"/>
                <w:highlight w:val="none"/>
                <w:lang w:val="en-US" w:eastAsia="zh-CN"/>
              </w:rPr>
              <w:t>3、</w:t>
            </w:r>
            <w:r>
              <w:rPr>
                <w:rFonts w:hint="eastAsia"/>
                <w:highlight w:val="none"/>
              </w:rPr>
              <w:t>为保证本项目质量，良好的售后服务，最低报价不作为中标的唯一依据。</w:t>
            </w:r>
          </w:p>
          <w:p>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textAlignment w:val="auto"/>
              <w:rPr>
                <w:rFonts w:hint="eastAsia"/>
                <w:highlight w:val="none"/>
              </w:rPr>
            </w:pPr>
            <w:r>
              <w:rPr>
                <w:rFonts w:hint="eastAsia"/>
                <w:highlight w:val="none"/>
                <w:lang w:val="en-US" w:eastAsia="zh-CN"/>
              </w:rPr>
              <w:t>4、</w:t>
            </w:r>
            <w:r>
              <w:rPr>
                <w:rFonts w:hint="eastAsia"/>
                <w:highlight w:val="none"/>
              </w:rPr>
              <w:t>采购人若发现成交候选供应商在投标过程中提供虚假证明文件，故意隐瞒公司不良信誉和财务状况，以及其他可能对合同圆满履行造成风险的因素等，则按规定取消其成交资格，监管部门依法进行处理。</w:t>
            </w:r>
          </w:p>
          <w:p>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textAlignment w:val="auto"/>
              <w:rPr>
                <w:rFonts w:hint="eastAsia"/>
                <w:highlight w:val="none"/>
              </w:rPr>
            </w:pPr>
            <w:r>
              <w:rPr>
                <w:rFonts w:hint="eastAsia"/>
                <w:highlight w:val="none"/>
                <w:lang w:val="en-US" w:eastAsia="zh-CN"/>
              </w:rPr>
              <w:t>5、</w:t>
            </w:r>
            <w:r>
              <w:rPr>
                <w:rFonts w:hint="eastAsia"/>
                <w:highlight w:val="none"/>
              </w:rPr>
              <w:t>其它：</w:t>
            </w:r>
          </w:p>
          <w:p>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textAlignment w:val="auto"/>
              <w:rPr>
                <w:rFonts w:hint="eastAsia"/>
                <w:highlight w:val="none"/>
              </w:rPr>
            </w:pPr>
            <w:r>
              <w:rPr>
                <w:rFonts w:hint="eastAsia"/>
                <w:highlight w:val="none"/>
              </w:rPr>
              <w:t>（1）投标企业严格遵守国家的法律法规及招标纪律，无违法违纪及商业贿赂行为。</w:t>
            </w:r>
          </w:p>
          <w:p>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textAlignment w:val="auto"/>
              <w:rPr>
                <w:rFonts w:hint="eastAsia"/>
                <w:highlight w:val="none"/>
              </w:rPr>
            </w:pPr>
            <w:r>
              <w:rPr>
                <w:rFonts w:hint="eastAsia"/>
                <w:highlight w:val="none"/>
              </w:rPr>
              <w:t>（2）不管投标结果如何，供应商均应自行承担投标所需一切费用。</w:t>
            </w:r>
          </w:p>
          <w:p>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textAlignment w:val="auto"/>
              <w:rPr>
                <w:rFonts w:hint="eastAsia"/>
                <w:highlight w:val="none"/>
              </w:rPr>
            </w:pPr>
            <w:r>
              <w:rPr>
                <w:rFonts w:hint="eastAsia"/>
                <w:highlight w:val="none"/>
              </w:rPr>
              <w:t>（3）供应商应以书面形式保证中标后由本公司组织实施，不得以任何理由将项目转包给其他机构。</w:t>
            </w:r>
          </w:p>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400" w:lineRule="exact"/>
              <w:ind w:left="0" w:right="0"/>
              <w:jc w:val="left"/>
              <w:textAlignment w:val="auto"/>
              <w:outlineLvl w:val="9"/>
              <w:rPr>
                <w:rFonts w:hint="default" w:eastAsia="仿宋"/>
                <w:highlight w:val="none"/>
                <w:lang w:val="en-US" w:eastAsia="zh-CN"/>
              </w:rPr>
            </w:pPr>
            <w:r>
              <w:rPr>
                <w:rFonts w:hint="eastAsia"/>
                <w:highlight w:val="none"/>
                <w:lang w:eastAsia="zh-CN"/>
              </w:rPr>
              <w:t>（</w:t>
            </w:r>
            <w:r>
              <w:rPr>
                <w:rFonts w:hint="eastAsia"/>
                <w:highlight w:val="none"/>
                <w:lang w:val="en-US" w:eastAsia="zh-CN"/>
              </w:rPr>
              <w:t>4</w:t>
            </w:r>
            <w:r>
              <w:rPr>
                <w:rFonts w:hint="eastAsia"/>
                <w:highlight w:val="none"/>
                <w:lang w:eastAsia="zh-CN"/>
              </w:rPr>
              <w:t>）招标文件</w:t>
            </w:r>
            <w:r>
              <w:rPr>
                <w:rFonts w:hint="eastAsia"/>
                <w:highlight w:val="none"/>
              </w:rPr>
              <w:t>中如出现前后不一致情况，均以前附表内容为准。</w:t>
            </w:r>
          </w:p>
        </w:tc>
      </w:tr>
    </w:tbl>
    <w:p>
      <w:pPr>
        <w:widowControl/>
        <w:spacing w:line="800" w:lineRule="atLeast"/>
        <w:jc w:val="center"/>
        <w:rPr>
          <w:rFonts w:hint="eastAsia" w:ascii="宋体" w:hAnsi="宋体" w:eastAsia="宋体" w:cs="宋体"/>
          <w:b/>
          <w:kern w:val="0"/>
          <w:sz w:val="32"/>
          <w:szCs w:val="32"/>
          <w:highlight w:val="none"/>
        </w:rPr>
      </w:pPr>
    </w:p>
    <w:p>
      <w:pPr>
        <w:pageBreakBefore/>
        <w:shd w:val="clear" w:color="auto" w:fill="auto"/>
        <w:spacing w:before="312" w:beforeLines="100" w:after="312" w:afterLines="100" w:line="440" w:lineRule="exact"/>
        <w:jc w:val="center"/>
        <w:outlineLvl w:val="1"/>
        <w:rPr>
          <w:rFonts w:hint="eastAsia" w:ascii="宋体"/>
          <w:b/>
          <w:color w:val="auto"/>
          <w:sz w:val="28"/>
          <w:szCs w:val="32"/>
          <w:highlight w:val="none"/>
        </w:rPr>
      </w:pPr>
      <w:r>
        <w:rPr>
          <w:rFonts w:hint="eastAsia" w:ascii="宋体"/>
          <w:b/>
          <w:color w:val="auto"/>
          <w:sz w:val="28"/>
          <w:szCs w:val="28"/>
          <w:highlight w:val="none"/>
        </w:rPr>
        <w:t>二、投标人须知</w:t>
      </w:r>
    </w:p>
    <w:p>
      <w:pPr>
        <w:shd w:val="clear" w:color="auto" w:fill="auto"/>
        <w:spacing w:line="440" w:lineRule="exact"/>
        <w:jc w:val="center"/>
        <w:outlineLvl w:val="2"/>
        <w:rPr>
          <w:rFonts w:hint="eastAsia" w:ascii="宋体"/>
          <w:color w:val="auto"/>
          <w:sz w:val="28"/>
          <w:szCs w:val="28"/>
          <w:highlight w:val="none"/>
        </w:rPr>
      </w:pPr>
      <w:bookmarkStart w:id="15" w:name="_Toc469495724"/>
      <w:r>
        <w:rPr>
          <w:rFonts w:hint="eastAsia" w:ascii="宋体"/>
          <w:b/>
          <w:color w:val="auto"/>
          <w:sz w:val="28"/>
          <w:szCs w:val="28"/>
          <w:highlight w:val="none"/>
        </w:rPr>
        <w:t>（一）</w:t>
      </w:r>
      <w:r>
        <w:rPr>
          <w:rFonts w:hint="eastAsia" w:ascii="宋体"/>
          <w:b/>
          <w:color w:val="auto"/>
          <w:sz w:val="28"/>
          <w:szCs w:val="32"/>
          <w:highlight w:val="none"/>
        </w:rPr>
        <w:t>总  则</w:t>
      </w:r>
      <w:bookmarkEnd w:id="15"/>
    </w:p>
    <w:p>
      <w:pPr>
        <w:shd w:val="clear" w:color="auto" w:fill="auto"/>
        <w:snapToGrid w:val="0"/>
        <w:spacing w:line="440" w:lineRule="exact"/>
        <w:ind w:firstLine="420" w:firstLineChars="200"/>
        <w:rPr>
          <w:rFonts w:hint="eastAsia" w:ascii="宋体"/>
          <w:b/>
          <w:color w:val="auto"/>
          <w:szCs w:val="21"/>
          <w:highlight w:val="none"/>
        </w:rPr>
      </w:pPr>
      <w:r>
        <w:rPr>
          <w:rFonts w:hint="eastAsia" w:ascii="宋体"/>
          <w:b/>
          <w:color w:val="auto"/>
          <w:szCs w:val="21"/>
          <w:highlight w:val="none"/>
        </w:rPr>
        <w:t>1.项目概况</w:t>
      </w:r>
    </w:p>
    <w:p>
      <w:pPr>
        <w:shd w:val="clear" w:color="auto" w:fill="auto"/>
        <w:snapToGrid w:val="0"/>
        <w:spacing w:line="440" w:lineRule="exact"/>
        <w:ind w:firstLine="420" w:firstLineChars="200"/>
        <w:rPr>
          <w:rFonts w:hint="eastAsia" w:ascii="宋体"/>
          <w:color w:val="auto"/>
          <w:szCs w:val="21"/>
          <w:highlight w:val="none"/>
          <w:u w:val="single"/>
        </w:rPr>
      </w:pPr>
      <w:r>
        <w:rPr>
          <w:rFonts w:hint="eastAsia" w:ascii="宋体"/>
          <w:color w:val="auto"/>
          <w:szCs w:val="21"/>
          <w:highlight w:val="none"/>
        </w:rPr>
        <w:t>1.1本次招标采购项目名称：见投标人须知前附表。</w:t>
      </w:r>
    </w:p>
    <w:p>
      <w:pPr>
        <w:shd w:val="clear" w:color="auto" w:fill="auto"/>
        <w:snapToGrid w:val="0"/>
        <w:spacing w:line="440" w:lineRule="exact"/>
        <w:ind w:firstLine="420" w:firstLineChars="200"/>
        <w:rPr>
          <w:rFonts w:hint="eastAsia" w:ascii="宋体"/>
          <w:color w:val="auto"/>
          <w:szCs w:val="21"/>
          <w:highlight w:val="none"/>
          <w:u w:val="single"/>
        </w:rPr>
      </w:pPr>
      <w:r>
        <w:rPr>
          <w:rFonts w:hint="eastAsia" w:ascii="宋体"/>
          <w:color w:val="auto"/>
          <w:szCs w:val="21"/>
          <w:highlight w:val="none"/>
        </w:rPr>
        <w:t xml:space="preserve">               项目编号：见投标人须知前附表。</w:t>
      </w:r>
    </w:p>
    <w:p>
      <w:pPr>
        <w:shd w:val="clear" w:color="auto" w:fill="auto"/>
        <w:snapToGrid w:val="0"/>
        <w:spacing w:line="440" w:lineRule="exact"/>
        <w:ind w:firstLine="420" w:firstLineChars="200"/>
        <w:rPr>
          <w:rFonts w:hint="eastAsia" w:ascii="宋体"/>
          <w:color w:val="auto"/>
          <w:szCs w:val="21"/>
          <w:highlight w:val="none"/>
          <w:u w:val="single"/>
        </w:rPr>
      </w:pPr>
      <w:r>
        <w:rPr>
          <w:rFonts w:hint="eastAsia" w:ascii="宋体"/>
          <w:color w:val="auto"/>
          <w:szCs w:val="21"/>
          <w:highlight w:val="none"/>
        </w:rPr>
        <w:t xml:space="preserve">                 招标人：见投标人须知前附表。</w:t>
      </w:r>
    </w:p>
    <w:p>
      <w:pPr>
        <w:shd w:val="clear" w:color="auto" w:fill="auto"/>
        <w:snapToGrid w:val="0"/>
        <w:spacing w:line="440" w:lineRule="exact"/>
        <w:ind w:firstLine="420" w:firstLineChars="200"/>
        <w:rPr>
          <w:rFonts w:hint="eastAsia" w:ascii="宋体"/>
          <w:color w:val="auto"/>
          <w:szCs w:val="21"/>
          <w:highlight w:val="none"/>
          <w:u w:val="single"/>
        </w:rPr>
      </w:pPr>
      <w:r>
        <w:rPr>
          <w:rFonts w:hint="eastAsia" w:ascii="宋体"/>
          <w:color w:val="auto"/>
          <w:szCs w:val="21"/>
          <w:highlight w:val="none"/>
        </w:rPr>
        <w:t xml:space="preserve">      供货期（服务周期）：见投标人须知前附表。</w:t>
      </w:r>
    </w:p>
    <w:p>
      <w:pPr>
        <w:shd w:val="clear" w:color="auto" w:fill="auto"/>
        <w:snapToGrid w:val="0"/>
        <w:spacing w:line="440" w:lineRule="exact"/>
        <w:ind w:firstLine="420" w:firstLineChars="200"/>
        <w:rPr>
          <w:rFonts w:hint="eastAsia" w:ascii="宋体"/>
          <w:color w:val="auto"/>
          <w:szCs w:val="21"/>
          <w:highlight w:val="none"/>
          <w:u w:val="single"/>
        </w:rPr>
      </w:pPr>
      <w:r>
        <w:rPr>
          <w:rFonts w:hint="eastAsia" w:ascii="宋体"/>
          <w:color w:val="auto"/>
          <w:szCs w:val="21"/>
          <w:highlight w:val="none"/>
        </w:rPr>
        <w:t xml:space="preserve">               供货地点：见投标人须知前附表。</w:t>
      </w:r>
    </w:p>
    <w:p>
      <w:pPr>
        <w:shd w:val="clear" w:color="auto" w:fill="auto"/>
        <w:snapToGrid w:val="0"/>
        <w:spacing w:line="440" w:lineRule="exact"/>
        <w:ind w:firstLine="420" w:firstLineChars="200"/>
        <w:rPr>
          <w:rFonts w:hint="eastAsia" w:ascii="宋体"/>
          <w:color w:val="auto"/>
          <w:szCs w:val="21"/>
          <w:highlight w:val="none"/>
          <w:u w:val="single"/>
        </w:rPr>
      </w:pPr>
      <w:r>
        <w:rPr>
          <w:rFonts w:hint="eastAsia" w:ascii="宋体"/>
          <w:color w:val="auto"/>
          <w:szCs w:val="21"/>
          <w:highlight w:val="none"/>
        </w:rPr>
        <w:t>1.2招标人及联系人: 见投标人须知前附表。</w:t>
      </w:r>
    </w:p>
    <w:p>
      <w:pPr>
        <w:shd w:val="clear" w:color="auto" w:fill="auto"/>
        <w:snapToGrid w:val="0"/>
        <w:spacing w:line="440" w:lineRule="exact"/>
        <w:ind w:firstLine="525" w:firstLineChars="250"/>
        <w:rPr>
          <w:rFonts w:hint="eastAsia" w:ascii="宋体"/>
          <w:color w:val="auto"/>
          <w:szCs w:val="21"/>
          <w:highlight w:val="none"/>
          <w:u w:val="single"/>
        </w:rPr>
      </w:pPr>
      <w:r>
        <w:rPr>
          <w:rFonts w:hint="eastAsia" w:ascii="宋体"/>
          <w:color w:val="auto"/>
          <w:szCs w:val="21"/>
          <w:highlight w:val="none"/>
        </w:rPr>
        <w:t xml:space="preserve"> 代理机构及联系人: 见投标人须知前附表。</w:t>
      </w:r>
    </w:p>
    <w:p>
      <w:pPr>
        <w:shd w:val="clear" w:color="auto" w:fill="auto"/>
        <w:snapToGrid w:val="0"/>
        <w:spacing w:line="440" w:lineRule="exact"/>
        <w:ind w:firstLine="420" w:firstLineChars="200"/>
        <w:rPr>
          <w:rFonts w:hint="eastAsia" w:ascii="宋体"/>
          <w:color w:val="auto"/>
          <w:szCs w:val="21"/>
          <w:highlight w:val="none"/>
        </w:rPr>
      </w:pPr>
      <w:r>
        <w:rPr>
          <w:rFonts w:hint="eastAsia" w:ascii="宋体"/>
          <w:color w:val="auto"/>
          <w:szCs w:val="21"/>
          <w:highlight w:val="none"/>
        </w:rPr>
        <w:t>1.3资金来源：见投标人须知前附表。</w:t>
      </w:r>
    </w:p>
    <w:p>
      <w:pPr>
        <w:shd w:val="clear" w:color="auto" w:fill="auto"/>
        <w:snapToGrid w:val="0"/>
        <w:spacing w:line="440" w:lineRule="exact"/>
        <w:ind w:firstLine="420" w:firstLineChars="200"/>
        <w:rPr>
          <w:rFonts w:hint="eastAsia" w:ascii="宋体"/>
          <w:color w:val="auto"/>
          <w:szCs w:val="21"/>
          <w:highlight w:val="none"/>
        </w:rPr>
      </w:pPr>
      <w:r>
        <w:rPr>
          <w:rFonts w:hint="eastAsia" w:ascii="宋体"/>
          <w:color w:val="auto"/>
          <w:szCs w:val="21"/>
          <w:highlight w:val="none"/>
        </w:rPr>
        <w:t>1.4本项目预算：见投标人须知前附表。</w:t>
      </w:r>
    </w:p>
    <w:p>
      <w:pPr>
        <w:shd w:val="clear" w:color="auto" w:fill="auto"/>
        <w:snapToGrid w:val="0"/>
        <w:spacing w:line="440" w:lineRule="exact"/>
        <w:ind w:firstLine="420" w:firstLineChars="200"/>
        <w:rPr>
          <w:rFonts w:hint="eastAsia" w:ascii="宋体"/>
          <w:color w:val="auto"/>
          <w:szCs w:val="21"/>
          <w:highlight w:val="none"/>
        </w:rPr>
      </w:pPr>
      <w:r>
        <w:rPr>
          <w:rFonts w:hint="eastAsia" w:ascii="宋体"/>
          <w:color w:val="auto"/>
          <w:szCs w:val="21"/>
          <w:highlight w:val="none"/>
        </w:rPr>
        <w:t>1.5本项目控制价：见投标人须知前附表。</w:t>
      </w:r>
    </w:p>
    <w:p>
      <w:pPr>
        <w:shd w:val="clear" w:color="auto" w:fill="auto"/>
        <w:snapToGrid w:val="0"/>
        <w:spacing w:line="440" w:lineRule="exact"/>
        <w:ind w:firstLine="420" w:firstLineChars="200"/>
        <w:rPr>
          <w:rFonts w:hint="eastAsia" w:ascii="宋体"/>
          <w:b/>
          <w:color w:val="auto"/>
          <w:szCs w:val="21"/>
          <w:highlight w:val="none"/>
        </w:rPr>
      </w:pPr>
      <w:r>
        <w:rPr>
          <w:rFonts w:hint="eastAsia" w:ascii="宋体"/>
          <w:b/>
          <w:color w:val="auto"/>
          <w:szCs w:val="21"/>
          <w:highlight w:val="none"/>
        </w:rPr>
        <w:t>2.招标范围：</w:t>
      </w:r>
    </w:p>
    <w:p>
      <w:pPr>
        <w:shd w:val="clear" w:color="auto" w:fill="auto"/>
        <w:snapToGrid w:val="0"/>
        <w:spacing w:line="440" w:lineRule="exact"/>
        <w:ind w:firstLine="420" w:firstLineChars="200"/>
        <w:rPr>
          <w:rFonts w:hint="eastAsia" w:ascii="宋体"/>
          <w:color w:val="auto"/>
          <w:szCs w:val="21"/>
          <w:highlight w:val="none"/>
          <w:u w:val="single"/>
        </w:rPr>
      </w:pPr>
      <w:r>
        <w:rPr>
          <w:rFonts w:hint="eastAsia" w:ascii="宋体"/>
          <w:color w:val="auto"/>
          <w:szCs w:val="21"/>
          <w:highlight w:val="none"/>
        </w:rPr>
        <w:t>2.1 采购内容：见投标人须知前附表。</w:t>
      </w:r>
    </w:p>
    <w:p>
      <w:pPr>
        <w:shd w:val="clear" w:color="auto" w:fill="auto"/>
        <w:snapToGrid w:val="0"/>
        <w:spacing w:line="440" w:lineRule="exact"/>
        <w:ind w:firstLine="420" w:firstLineChars="200"/>
        <w:rPr>
          <w:rFonts w:hint="eastAsia" w:ascii="宋体"/>
          <w:color w:val="auto"/>
          <w:szCs w:val="21"/>
          <w:highlight w:val="none"/>
        </w:rPr>
      </w:pPr>
      <w:r>
        <w:rPr>
          <w:rFonts w:hint="eastAsia" w:ascii="宋体"/>
          <w:color w:val="auto"/>
          <w:szCs w:val="21"/>
          <w:highlight w:val="none"/>
        </w:rPr>
        <w:t>2.2 技术要求：详见</w:t>
      </w:r>
      <w:r>
        <w:rPr>
          <w:rFonts w:hint="eastAsia" w:ascii="宋体"/>
          <w:color w:val="auto"/>
          <w:szCs w:val="21"/>
          <w:highlight w:val="none"/>
          <w:lang w:eastAsia="zh-CN"/>
        </w:rPr>
        <w:t>采购文件</w:t>
      </w:r>
      <w:r>
        <w:rPr>
          <w:rFonts w:hint="eastAsia" w:ascii="宋体"/>
          <w:color w:val="auto"/>
          <w:szCs w:val="21"/>
          <w:highlight w:val="none"/>
        </w:rPr>
        <w:t>第四章采购内容及技术要求。</w:t>
      </w:r>
    </w:p>
    <w:p>
      <w:pPr>
        <w:shd w:val="clear" w:color="auto" w:fill="auto"/>
        <w:snapToGrid w:val="0"/>
        <w:spacing w:line="440" w:lineRule="exact"/>
        <w:ind w:firstLine="420" w:firstLineChars="200"/>
        <w:rPr>
          <w:rFonts w:hint="eastAsia" w:ascii="宋体"/>
          <w:b/>
          <w:color w:val="auto"/>
          <w:szCs w:val="21"/>
          <w:highlight w:val="none"/>
        </w:rPr>
      </w:pPr>
      <w:r>
        <w:rPr>
          <w:rFonts w:hint="eastAsia" w:ascii="宋体"/>
          <w:b/>
          <w:color w:val="auto"/>
          <w:szCs w:val="21"/>
          <w:highlight w:val="none"/>
        </w:rPr>
        <w:t>3.标包划分：</w:t>
      </w:r>
    </w:p>
    <w:p>
      <w:pPr>
        <w:shd w:val="clear" w:color="auto" w:fill="auto"/>
        <w:snapToGrid w:val="0"/>
        <w:spacing w:line="440" w:lineRule="exact"/>
        <w:ind w:firstLine="420" w:firstLineChars="200"/>
        <w:jc w:val="left"/>
        <w:rPr>
          <w:rFonts w:hint="eastAsia" w:ascii="宋体"/>
          <w:color w:val="auto"/>
          <w:szCs w:val="21"/>
          <w:highlight w:val="none"/>
        </w:rPr>
      </w:pPr>
      <w:r>
        <w:rPr>
          <w:rFonts w:hint="eastAsia" w:ascii="宋体"/>
          <w:color w:val="auto"/>
          <w:szCs w:val="21"/>
          <w:highlight w:val="none"/>
        </w:rPr>
        <w:t>3.1本项目划分：</w:t>
      </w:r>
      <w:r>
        <w:rPr>
          <w:rFonts w:hint="eastAsia" w:ascii="宋体"/>
          <w:color w:val="auto"/>
          <w:szCs w:val="21"/>
          <w:highlight w:val="none"/>
          <w:u w:val="single"/>
        </w:rPr>
        <w:t xml:space="preserve"> </w:t>
      </w:r>
      <w:r>
        <w:rPr>
          <w:rFonts w:hint="eastAsia" w:ascii="宋体"/>
          <w:color w:val="auto"/>
          <w:szCs w:val="21"/>
          <w:highlight w:val="none"/>
          <w:u w:val="single"/>
          <w:lang w:val="en-US" w:eastAsia="zh-CN"/>
        </w:rPr>
        <w:t>1</w:t>
      </w:r>
      <w:r>
        <w:rPr>
          <w:rFonts w:hint="eastAsia" w:ascii="宋体"/>
          <w:color w:val="auto"/>
          <w:szCs w:val="21"/>
          <w:highlight w:val="none"/>
          <w:u w:val="single"/>
        </w:rPr>
        <w:t xml:space="preserve"> </w:t>
      </w:r>
      <w:r>
        <w:rPr>
          <w:rFonts w:hint="eastAsia" w:ascii="宋体"/>
          <w:color w:val="auto"/>
          <w:szCs w:val="21"/>
          <w:highlight w:val="none"/>
        </w:rPr>
        <w:t xml:space="preserve"> </w:t>
      </w:r>
      <w:r>
        <w:rPr>
          <w:rFonts w:hint="eastAsia"/>
          <w:color w:val="auto"/>
          <w:szCs w:val="21"/>
          <w:highlight w:val="none"/>
        </w:rPr>
        <w:t>个标包</w:t>
      </w:r>
      <w:r>
        <w:rPr>
          <w:rFonts w:hint="eastAsia" w:ascii="宋体" w:hAnsi="宋体" w:cs="宋体"/>
          <w:color w:val="auto"/>
          <w:kern w:val="0"/>
          <w:szCs w:val="21"/>
          <w:highlight w:val="none"/>
        </w:rPr>
        <w:t>。</w:t>
      </w:r>
    </w:p>
    <w:p>
      <w:pPr>
        <w:shd w:val="clear" w:color="auto" w:fill="auto"/>
        <w:snapToGrid w:val="0"/>
        <w:spacing w:line="440" w:lineRule="exact"/>
        <w:ind w:firstLine="420" w:firstLineChars="200"/>
        <w:rPr>
          <w:rFonts w:hint="eastAsia" w:ascii="宋体"/>
          <w:b/>
          <w:color w:val="auto"/>
          <w:szCs w:val="21"/>
          <w:highlight w:val="none"/>
        </w:rPr>
      </w:pPr>
      <w:r>
        <w:rPr>
          <w:rFonts w:hint="eastAsia" w:ascii="宋体"/>
          <w:b/>
          <w:color w:val="auto"/>
          <w:szCs w:val="21"/>
          <w:highlight w:val="none"/>
        </w:rPr>
        <w:t>4.招标方式：</w:t>
      </w:r>
    </w:p>
    <w:p>
      <w:pPr>
        <w:shd w:val="clear" w:color="auto" w:fill="auto"/>
        <w:snapToGrid w:val="0"/>
        <w:spacing w:line="440" w:lineRule="exact"/>
        <w:ind w:firstLine="420" w:firstLineChars="200"/>
        <w:rPr>
          <w:rFonts w:hint="eastAsia" w:ascii="宋体"/>
          <w:color w:val="auto"/>
          <w:szCs w:val="21"/>
          <w:highlight w:val="none"/>
        </w:rPr>
      </w:pPr>
      <w:r>
        <w:rPr>
          <w:rFonts w:hint="eastAsia" w:ascii="宋体"/>
          <w:color w:val="auto"/>
          <w:szCs w:val="21"/>
          <w:highlight w:val="none"/>
        </w:rPr>
        <w:t>4.1本项目招标方式：见投标人须知前附表。</w:t>
      </w:r>
    </w:p>
    <w:p>
      <w:pPr>
        <w:shd w:val="clear" w:color="auto" w:fill="auto"/>
        <w:snapToGrid w:val="0"/>
        <w:spacing w:line="440" w:lineRule="exact"/>
        <w:ind w:firstLine="420" w:firstLineChars="200"/>
        <w:rPr>
          <w:rFonts w:hint="eastAsia" w:ascii="宋体"/>
          <w:b/>
          <w:color w:val="auto"/>
          <w:szCs w:val="21"/>
          <w:highlight w:val="none"/>
        </w:rPr>
      </w:pPr>
      <w:r>
        <w:rPr>
          <w:rFonts w:hint="eastAsia" w:ascii="宋体"/>
          <w:b/>
          <w:color w:val="auto"/>
          <w:szCs w:val="21"/>
          <w:highlight w:val="none"/>
        </w:rPr>
        <w:t>5.计价方式：</w:t>
      </w:r>
    </w:p>
    <w:p>
      <w:pPr>
        <w:shd w:val="clear" w:color="auto" w:fill="auto"/>
        <w:snapToGrid w:val="0"/>
        <w:spacing w:line="440" w:lineRule="exact"/>
        <w:ind w:firstLine="420" w:firstLineChars="200"/>
        <w:rPr>
          <w:rFonts w:hint="eastAsia" w:ascii="宋体"/>
          <w:color w:val="auto"/>
          <w:szCs w:val="21"/>
          <w:highlight w:val="none"/>
        </w:rPr>
      </w:pPr>
      <w:r>
        <w:rPr>
          <w:rFonts w:hint="eastAsia" w:ascii="宋体"/>
          <w:color w:val="auto"/>
          <w:szCs w:val="21"/>
          <w:highlight w:val="none"/>
        </w:rPr>
        <w:t>5.1本次招标项目合同采用</w:t>
      </w:r>
      <w:r>
        <w:rPr>
          <w:rFonts w:hint="eastAsia" w:ascii="宋体"/>
          <w:color w:val="auto"/>
          <w:szCs w:val="21"/>
          <w:highlight w:val="none"/>
          <w:u w:val="single"/>
        </w:rPr>
        <w:t xml:space="preserve">   固定单价 。</w:t>
      </w:r>
    </w:p>
    <w:p>
      <w:pPr>
        <w:shd w:val="clear" w:color="auto" w:fill="auto"/>
        <w:snapToGrid w:val="0"/>
        <w:spacing w:line="440" w:lineRule="exact"/>
        <w:ind w:firstLine="420" w:firstLineChars="200"/>
        <w:rPr>
          <w:rFonts w:hint="eastAsia" w:ascii="宋体"/>
          <w:b/>
          <w:color w:val="auto"/>
          <w:szCs w:val="21"/>
          <w:highlight w:val="none"/>
        </w:rPr>
      </w:pPr>
      <w:r>
        <w:rPr>
          <w:rFonts w:hint="eastAsia" w:ascii="宋体"/>
          <w:b/>
          <w:color w:val="auto"/>
          <w:szCs w:val="21"/>
          <w:highlight w:val="none"/>
        </w:rPr>
        <w:t>6.评标办法：</w:t>
      </w:r>
    </w:p>
    <w:p>
      <w:pPr>
        <w:shd w:val="clear" w:color="auto" w:fill="auto"/>
        <w:snapToGrid w:val="0"/>
        <w:spacing w:line="440" w:lineRule="exact"/>
        <w:ind w:firstLine="420" w:firstLineChars="200"/>
        <w:rPr>
          <w:rFonts w:hint="eastAsia" w:ascii="宋体"/>
          <w:color w:val="auto"/>
          <w:szCs w:val="21"/>
          <w:highlight w:val="none"/>
        </w:rPr>
      </w:pPr>
      <w:r>
        <w:rPr>
          <w:rFonts w:hint="eastAsia" w:ascii="宋体"/>
          <w:color w:val="auto"/>
          <w:szCs w:val="21"/>
          <w:highlight w:val="none"/>
        </w:rPr>
        <w:t>6.1本次招标评标采用</w:t>
      </w:r>
      <w:r>
        <w:rPr>
          <w:rFonts w:hint="eastAsia" w:ascii="宋体"/>
          <w:color w:val="auto"/>
          <w:szCs w:val="21"/>
          <w:highlight w:val="none"/>
          <w:u w:val="single"/>
        </w:rPr>
        <w:t xml:space="preserve">  </w:t>
      </w:r>
      <w:r>
        <w:rPr>
          <w:rFonts w:hint="eastAsia" w:ascii="宋体"/>
          <w:color w:val="auto"/>
          <w:szCs w:val="21"/>
          <w:highlight w:val="none"/>
          <w:u w:val="single"/>
          <w:lang w:eastAsia="zh-CN"/>
        </w:rPr>
        <w:t>综合评分</w:t>
      </w:r>
      <w:r>
        <w:rPr>
          <w:rFonts w:hint="eastAsia" w:ascii="宋体"/>
          <w:color w:val="auto"/>
          <w:szCs w:val="21"/>
          <w:highlight w:val="none"/>
          <w:u w:val="single"/>
        </w:rPr>
        <w:t xml:space="preserve">法 </w:t>
      </w:r>
      <w:r>
        <w:rPr>
          <w:rFonts w:hint="eastAsia" w:ascii="宋体"/>
          <w:color w:val="auto"/>
          <w:szCs w:val="21"/>
          <w:highlight w:val="none"/>
        </w:rPr>
        <w:t>（详见第三章评标办法）</w:t>
      </w:r>
    </w:p>
    <w:p>
      <w:pPr>
        <w:shd w:val="clear" w:color="auto" w:fill="auto"/>
        <w:snapToGrid w:val="0"/>
        <w:spacing w:line="440" w:lineRule="exact"/>
        <w:ind w:firstLine="420" w:firstLineChars="200"/>
        <w:rPr>
          <w:rFonts w:hint="eastAsia" w:ascii="宋体"/>
          <w:b/>
          <w:color w:val="auto"/>
          <w:szCs w:val="21"/>
          <w:highlight w:val="none"/>
        </w:rPr>
      </w:pPr>
      <w:r>
        <w:rPr>
          <w:rFonts w:hint="eastAsia" w:ascii="宋体"/>
          <w:b/>
          <w:color w:val="auto"/>
          <w:szCs w:val="21"/>
          <w:highlight w:val="none"/>
        </w:rPr>
        <w:t>7.投标人资格：</w:t>
      </w:r>
    </w:p>
    <w:p>
      <w:pPr>
        <w:shd w:val="clear" w:color="auto" w:fill="auto"/>
        <w:snapToGrid w:val="0"/>
        <w:spacing w:line="440" w:lineRule="exact"/>
        <w:ind w:firstLine="420" w:firstLineChars="200"/>
        <w:rPr>
          <w:rFonts w:hint="eastAsia" w:ascii="宋体"/>
          <w:color w:val="auto"/>
          <w:szCs w:val="21"/>
          <w:highlight w:val="none"/>
        </w:rPr>
      </w:pPr>
      <w:r>
        <w:rPr>
          <w:rFonts w:hint="eastAsia" w:ascii="宋体"/>
          <w:color w:val="auto"/>
          <w:szCs w:val="21"/>
          <w:highlight w:val="none"/>
        </w:rPr>
        <w:t>7.1参与采购活动的投标人必须是满足《中华人民共和国政府采购法》规定条件的法人、其他组织或者自然人：</w:t>
      </w:r>
    </w:p>
    <w:p>
      <w:pPr>
        <w:shd w:val="clear" w:color="auto" w:fill="auto"/>
        <w:snapToGrid w:val="0"/>
        <w:spacing w:line="440" w:lineRule="exact"/>
        <w:ind w:firstLine="420" w:firstLineChars="200"/>
        <w:rPr>
          <w:rFonts w:hint="eastAsia" w:ascii="宋体"/>
          <w:color w:val="auto"/>
          <w:szCs w:val="21"/>
          <w:highlight w:val="none"/>
        </w:rPr>
      </w:pPr>
      <w:r>
        <w:rPr>
          <w:rFonts w:hint="eastAsia" w:ascii="宋体"/>
          <w:color w:val="auto"/>
          <w:szCs w:val="21"/>
          <w:highlight w:val="none"/>
        </w:rPr>
        <w:t>7.2由于政府采购项目的差异性，投标人在参与具体政府采购项目活动时，应仔细阅读该项目的资质要求,具体见投标人须知前附表。</w:t>
      </w:r>
    </w:p>
    <w:p>
      <w:pPr>
        <w:shd w:val="clear" w:color="auto" w:fill="auto"/>
        <w:snapToGrid w:val="0"/>
        <w:spacing w:line="440" w:lineRule="exact"/>
        <w:ind w:firstLine="420" w:firstLineChars="200"/>
        <w:rPr>
          <w:rFonts w:hint="eastAsia" w:ascii="宋体"/>
          <w:color w:val="auto"/>
          <w:szCs w:val="21"/>
          <w:highlight w:val="none"/>
        </w:rPr>
      </w:pPr>
      <w:r>
        <w:rPr>
          <w:rFonts w:hint="eastAsia" w:ascii="宋体"/>
          <w:color w:val="auto"/>
          <w:szCs w:val="21"/>
          <w:highlight w:val="none"/>
        </w:rPr>
        <w:t>7.3根据电子化政府采购的特点，各供应商在开标前应确保成为新疆维吾尔自治区政府采购网正式注册入库供应商</w:t>
      </w:r>
      <w:r>
        <w:rPr>
          <w:rFonts w:hint="eastAsia" w:ascii="宋体"/>
          <w:color w:val="auto"/>
          <w:szCs w:val="21"/>
          <w:highlight w:val="none"/>
          <w:lang w:eastAsia="zh-CN"/>
        </w:rPr>
        <w:t>（已在政采云平台其他省份入驻的供应商无须重复注册</w:t>
      </w:r>
      <w:r>
        <w:rPr>
          <w:rFonts w:hint="eastAsia" w:ascii="宋体"/>
          <w:color w:val="auto"/>
          <w:szCs w:val="21"/>
          <w:highlight w:val="none"/>
        </w:rPr>
        <w:t>，并完成CA数字证书申领。因未注册入库、未办理CA数字证书等原因造成无法投标或投标失败等后果由供应商自行承担。</w:t>
      </w:r>
    </w:p>
    <w:p>
      <w:pPr>
        <w:shd w:val="clear" w:color="auto" w:fill="auto"/>
        <w:snapToGrid w:val="0"/>
        <w:spacing w:line="440" w:lineRule="exact"/>
        <w:ind w:firstLine="420" w:firstLineChars="200"/>
        <w:rPr>
          <w:rFonts w:hint="eastAsia" w:ascii="宋体"/>
          <w:color w:val="auto"/>
          <w:szCs w:val="21"/>
          <w:highlight w:val="none"/>
        </w:rPr>
      </w:pPr>
      <w:r>
        <w:rPr>
          <w:rFonts w:hint="eastAsia" w:ascii="宋体"/>
          <w:color w:val="auto"/>
          <w:szCs w:val="21"/>
          <w:highlight w:val="none"/>
        </w:rPr>
        <w:t>7.4投标人必须确保自己在信息库中注册的信息真实、准确，并保证投标文件中的有关信息与库中的信息相一致。否则，投标人因此蒙受损失，招标人概不负责。</w:t>
      </w:r>
    </w:p>
    <w:p>
      <w:pPr>
        <w:shd w:val="clear" w:color="auto" w:fill="auto"/>
        <w:spacing w:line="440" w:lineRule="exact"/>
        <w:ind w:firstLine="420" w:firstLineChars="200"/>
        <w:rPr>
          <w:rFonts w:hint="eastAsia"/>
          <w:b/>
          <w:color w:val="auto"/>
          <w:szCs w:val="21"/>
          <w:highlight w:val="none"/>
        </w:rPr>
      </w:pPr>
      <w:r>
        <w:rPr>
          <w:rFonts w:hint="eastAsia"/>
          <w:b/>
          <w:color w:val="auto"/>
          <w:szCs w:val="21"/>
          <w:highlight w:val="none"/>
        </w:rPr>
        <w:t>8. 投标费用</w:t>
      </w:r>
    </w:p>
    <w:p>
      <w:pPr>
        <w:shd w:val="clear" w:color="auto" w:fill="auto"/>
        <w:snapToGrid w:val="0"/>
        <w:spacing w:line="440" w:lineRule="exact"/>
        <w:ind w:firstLine="420" w:firstLineChars="200"/>
        <w:rPr>
          <w:rFonts w:hint="eastAsia" w:ascii="宋体"/>
          <w:color w:val="auto"/>
          <w:szCs w:val="21"/>
          <w:highlight w:val="none"/>
        </w:rPr>
      </w:pPr>
      <w:r>
        <w:rPr>
          <w:rFonts w:hint="eastAsia" w:ascii="宋体"/>
          <w:color w:val="auto"/>
          <w:szCs w:val="21"/>
          <w:highlight w:val="none"/>
        </w:rPr>
        <w:t>8.1投标人准备和参加投标活动发生的费用自理。</w:t>
      </w:r>
    </w:p>
    <w:p>
      <w:pPr>
        <w:shd w:val="clear" w:color="auto" w:fill="auto"/>
        <w:spacing w:line="440" w:lineRule="exact"/>
        <w:ind w:firstLine="420" w:firstLineChars="200"/>
        <w:rPr>
          <w:rFonts w:hint="eastAsia"/>
          <w:b/>
          <w:color w:val="auto"/>
          <w:szCs w:val="21"/>
          <w:highlight w:val="none"/>
        </w:rPr>
      </w:pPr>
      <w:r>
        <w:rPr>
          <w:rFonts w:hint="eastAsia"/>
          <w:b/>
          <w:color w:val="auto"/>
          <w:szCs w:val="21"/>
          <w:highlight w:val="none"/>
        </w:rPr>
        <w:t>9.</w:t>
      </w:r>
      <w:bookmarkStart w:id="16" w:name="_Toc152045539"/>
      <w:bookmarkStart w:id="17" w:name="_Toc247513962"/>
      <w:bookmarkStart w:id="18" w:name="_Toc144974507"/>
      <w:bookmarkStart w:id="19" w:name="_Toc296602429"/>
      <w:bookmarkStart w:id="20" w:name="_Toc247592876"/>
      <w:bookmarkStart w:id="21" w:name="_Toc247527563"/>
      <w:bookmarkStart w:id="22" w:name="_Toc152042315"/>
      <w:r>
        <w:rPr>
          <w:rFonts w:hint="eastAsia"/>
          <w:b/>
          <w:color w:val="auto"/>
          <w:szCs w:val="21"/>
          <w:highlight w:val="none"/>
        </w:rPr>
        <w:t xml:space="preserve"> 踏勘现场</w:t>
      </w:r>
      <w:bookmarkEnd w:id="16"/>
      <w:bookmarkEnd w:id="17"/>
      <w:bookmarkEnd w:id="18"/>
      <w:bookmarkEnd w:id="19"/>
      <w:bookmarkEnd w:id="20"/>
      <w:bookmarkEnd w:id="21"/>
      <w:bookmarkEnd w:id="22"/>
    </w:p>
    <w:p>
      <w:pPr>
        <w:shd w:val="clear" w:color="auto" w:fill="auto"/>
        <w:spacing w:line="440" w:lineRule="exact"/>
        <w:ind w:firstLine="409" w:firstLineChars="195"/>
        <w:rPr>
          <w:rFonts w:hint="eastAsia" w:ascii="宋体"/>
          <w:color w:val="auto"/>
          <w:szCs w:val="21"/>
          <w:highlight w:val="none"/>
        </w:rPr>
      </w:pPr>
      <w:r>
        <w:rPr>
          <w:rFonts w:hint="eastAsia" w:ascii="宋体"/>
          <w:color w:val="auto"/>
          <w:szCs w:val="21"/>
          <w:highlight w:val="none"/>
        </w:rPr>
        <w:t>9.1 投标人须知前附表规定组织踏勘现场的，招标人按投标人须知前附表规定的时间、地点组织投标人踏勘项目现场。</w:t>
      </w:r>
      <w:r>
        <w:rPr>
          <w:rFonts w:hint="eastAsia" w:ascii="宋体"/>
          <w:color w:val="auto"/>
          <w:szCs w:val="21"/>
          <w:highlight w:val="none"/>
          <w:lang w:eastAsia="zh-CN"/>
        </w:rPr>
        <w:t>如需踏勘现场，</w:t>
      </w:r>
      <w:r>
        <w:rPr>
          <w:rFonts w:hint="eastAsia"/>
          <w:color w:val="auto"/>
          <w:highlight w:val="none"/>
          <w:lang w:eastAsia="zh-CN"/>
        </w:rPr>
        <w:t>投标人自行踏勘现场的，可咨询本项目采购人或采购代理机构联系人。</w:t>
      </w:r>
      <w:r>
        <w:rPr>
          <w:rFonts w:hint="eastAsia"/>
          <w:b/>
          <w:bCs/>
          <w:color w:val="auto"/>
          <w:highlight w:val="none"/>
          <w:lang w:eastAsia="zh-CN"/>
        </w:rPr>
        <w:t>投标人自行踏勘现场的，可咨询本项目采购人或采购代理机构联系人。</w:t>
      </w:r>
      <w:r>
        <w:rPr>
          <w:rFonts w:hint="eastAsia" w:ascii="宋体"/>
          <w:b/>
          <w:bCs/>
          <w:color w:val="auto"/>
          <w:szCs w:val="21"/>
          <w:highlight w:val="none"/>
        </w:rPr>
        <w:t xml:space="preserve"> </w:t>
      </w:r>
    </w:p>
    <w:p>
      <w:pPr>
        <w:shd w:val="clear" w:color="auto" w:fill="auto"/>
        <w:spacing w:line="440" w:lineRule="exact"/>
        <w:ind w:firstLine="409" w:firstLineChars="195"/>
        <w:rPr>
          <w:rFonts w:hint="eastAsia" w:ascii="宋体"/>
          <w:color w:val="auto"/>
          <w:szCs w:val="21"/>
          <w:highlight w:val="none"/>
        </w:rPr>
      </w:pPr>
      <w:r>
        <w:rPr>
          <w:rFonts w:hint="eastAsia" w:ascii="宋体"/>
          <w:color w:val="auto"/>
          <w:szCs w:val="21"/>
          <w:highlight w:val="none"/>
        </w:rPr>
        <w:t>9.2 投标人踏勘现场发生的费用自理。</w:t>
      </w:r>
    </w:p>
    <w:p>
      <w:pPr>
        <w:shd w:val="clear" w:color="auto" w:fill="auto"/>
        <w:spacing w:line="440" w:lineRule="exact"/>
        <w:ind w:firstLine="409" w:firstLineChars="195"/>
        <w:rPr>
          <w:rFonts w:hint="eastAsia" w:ascii="宋体"/>
          <w:color w:val="auto"/>
          <w:szCs w:val="21"/>
          <w:highlight w:val="none"/>
        </w:rPr>
      </w:pPr>
      <w:r>
        <w:rPr>
          <w:rFonts w:hint="eastAsia" w:ascii="宋体"/>
          <w:color w:val="auto"/>
          <w:szCs w:val="21"/>
          <w:highlight w:val="none"/>
        </w:rPr>
        <w:t>9.3 除招标人的原因外，投标人自行负责在踏勘现场中所发生的人员伤亡和财产损失。</w:t>
      </w:r>
    </w:p>
    <w:p>
      <w:pPr>
        <w:shd w:val="clear" w:color="auto" w:fill="auto"/>
        <w:spacing w:line="440" w:lineRule="exact"/>
        <w:ind w:firstLine="409" w:firstLineChars="195"/>
        <w:rPr>
          <w:rFonts w:hint="eastAsia" w:ascii="宋体"/>
          <w:color w:val="auto"/>
          <w:szCs w:val="21"/>
          <w:highlight w:val="none"/>
        </w:rPr>
      </w:pPr>
      <w:r>
        <w:rPr>
          <w:rFonts w:hint="eastAsia" w:ascii="宋体"/>
          <w:color w:val="auto"/>
          <w:szCs w:val="21"/>
          <w:highlight w:val="none"/>
        </w:rPr>
        <w:t>9.4 招标人在踏勘现场中介绍的场地和相关的周边环境情况，供投标人在编制投标文件时参考，招标人不对投标人据此作出的判断和决策负责。</w:t>
      </w:r>
      <w:bookmarkStart w:id="23" w:name="_Toc247527564"/>
      <w:bookmarkStart w:id="24" w:name="_Toc247513963"/>
      <w:bookmarkStart w:id="25" w:name="_Toc144974508"/>
      <w:bookmarkStart w:id="26" w:name="_Toc152045540"/>
      <w:bookmarkStart w:id="27" w:name="_Toc296602430"/>
      <w:bookmarkStart w:id="28" w:name="_Toc247592877"/>
      <w:bookmarkStart w:id="29" w:name="_Toc152042316"/>
    </w:p>
    <w:p>
      <w:pPr>
        <w:shd w:val="clear" w:color="auto" w:fill="auto"/>
        <w:spacing w:line="440" w:lineRule="exact"/>
        <w:ind w:firstLine="420" w:firstLineChars="200"/>
        <w:rPr>
          <w:rFonts w:hint="eastAsia"/>
          <w:b/>
          <w:color w:val="auto"/>
          <w:szCs w:val="21"/>
          <w:highlight w:val="none"/>
        </w:rPr>
      </w:pPr>
      <w:r>
        <w:rPr>
          <w:rFonts w:hint="eastAsia"/>
          <w:b/>
          <w:color w:val="auto"/>
          <w:szCs w:val="21"/>
          <w:highlight w:val="none"/>
        </w:rPr>
        <w:t>10. 投标预备会</w:t>
      </w:r>
      <w:bookmarkEnd w:id="23"/>
      <w:bookmarkEnd w:id="24"/>
      <w:bookmarkEnd w:id="25"/>
      <w:bookmarkEnd w:id="26"/>
      <w:bookmarkEnd w:id="27"/>
      <w:bookmarkEnd w:id="28"/>
      <w:bookmarkEnd w:id="29"/>
    </w:p>
    <w:p>
      <w:pPr>
        <w:shd w:val="clear" w:color="auto" w:fill="auto"/>
        <w:spacing w:line="440" w:lineRule="exact"/>
        <w:ind w:firstLine="409" w:firstLineChars="195"/>
        <w:rPr>
          <w:rFonts w:hint="eastAsia" w:ascii="宋体"/>
          <w:color w:val="auto"/>
          <w:szCs w:val="21"/>
          <w:highlight w:val="none"/>
        </w:rPr>
      </w:pPr>
      <w:r>
        <w:rPr>
          <w:rFonts w:hint="eastAsia" w:ascii="宋体"/>
          <w:color w:val="auto"/>
          <w:szCs w:val="21"/>
          <w:highlight w:val="none"/>
        </w:rPr>
        <w:t>10.1投标人须知前附表规定召开投标预备会的，招标人按投标人须知前附表规定的时间和地点召开投标预备会，澄清投标人提出的问题。</w:t>
      </w:r>
    </w:p>
    <w:p>
      <w:pPr>
        <w:shd w:val="clear" w:color="auto" w:fill="auto"/>
        <w:spacing w:line="440" w:lineRule="exact"/>
        <w:ind w:firstLine="409" w:firstLineChars="195"/>
        <w:rPr>
          <w:rFonts w:hint="eastAsia" w:ascii="宋体"/>
          <w:color w:val="auto"/>
          <w:szCs w:val="21"/>
          <w:highlight w:val="none"/>
        </w:rPr>
      </w:pPr>
      <w:r>
        <w:rPr>
          <w:rFonts w:hint="eastAsia" w:ascii="宋体"/>
          <w:color w:val="auto"/>
          <w:szCs w:val="21"/>
          <w:highlight w:val="none"/>
        </w:rPr>
        <w:t>10.2投标人应在投标人须知前附表规定的时间前，将提出的问题送达招标人，以便招标人澄清。</w:t>
      </w:r>
    </w:p>
    <w:p>
      <w:pPr>
        <w:shd w:val="clear" w:color="auto" w:fill="auto"/>
        <w:spacing w:line="440" w:lineRule="exact"/>
        <w:ind w:firstLine="409" w:firstLineChars="195"/>
        <w:rPr>
          <w:rFonts w:hint="eastAsia" w:ascii="宋体"/>
          <w:color w:val="auto"/>
          <w:szCs w:val="21"/>
          <w:highlight w:val="none"/>
        </w:rPr>
      </w:pPr>
      <w:r>
        <w:rPr>
          <w:rFonts w:hint="eastAsia" w:ascii="宋体"/>
          <w:color w:val="auto"/>
          <w:szCs w:val="21"/>
          <w:highlight w:val="none"/>
        </w:rPr>
        <w:t>10.3招标人在投标人须知前附表规定的时间，将对投标人所提的问题进行澄清。该澄清内容为</w:t>
      </w:r>
      <w:r>
        <w:rPr>
          <w:rFonts w:hint="eastAsia" w:ascii="宋体"/>
          <w:color w:val="auto"/>
          <w:szCs w:val="21"/>
          <w:highlight w:val="none"/>
          <w:lang w:eastAsia="zh-CN"/>
        </w:rPr>
        <w:t>采购文件</w:t>
      </w:r>
      <w:r>
        <w:rPr>
          <w:rFonts w:hint="eastAsia" w:ascii="宋体"/>
          <w:color w:val="auto"/>
          <w:szCs w:val="21"/>
          <w:highlight w:val="none"/>
        </w:rPr>
        <w:t>的组成部分。</w:t>
      </w:r>
    </w:p>
    <w:p>
      <w:pPr>
        <w:shd w:val="clear" w:color="auto" w:fill="auto"/>
        <w:spacing w:line="440" w:lineRule="exact"/>
        <w:ind w:firstLine="420" w:firstLineChars="200"/>
        <w:rPr>
          <w:rFonts w:hint="eastAsia"/>
          <w:b/>
          <w:color w:val="auto"/>
          <w:szCs w:val="21"/>
          <w:highlight w:val="none"/>
        </w:rPr>
      </w:pPr>
      <w:r>
        <w:rPr>
          <w:rFonts w:hint="eastAsia"/>
          <w:b/>
          <w:color w:val="auto"/>
          <w:szCs w:val="21"/>
          <w:highlight w:val="none"/>
        </w:rPr>
        <w:t>11. 联合投标</w:t>
      </w:r>
    </w:p>
    <w:p>
      <w:pPr>
        <w:shd w:val="clear" w:color="auto" w:fill="auto"/>
        <w:spacing w:line="440" w:lineRule="exact"/>
        <w:ind w:firstLine="409" w:firstLineChars="195"/>
        <w:rPr>
          <w:rFonts w:hint="eastAsia" w:ascii="宋体"/>
          <w:color w:val="auto"/>
          <w:szCs w:val="21"/>
          <w:highlight w:val="none"/>
        </w:rPr>
      </w:pPr>
      <w:r>
        <w:rPr>
          <w:rFonts w:hint="eastAsia" w:ascii="宋体"/>
          <w:color w:val="auto"/>
          <w:szCs w:val="21"/>
          <w:highlight w:val="none"/>
        </w:rPr>
        <w:t>11.1 两个以上投标人可以组成一个投标联合体，以一个投标人的身份投标。以联合体形式参加投标的，联合体各方均应当符合《政府采购法》第二十二条规定的条件。招标人根据采购项目的特殊要求规定投标人特定条件的，联合体各方中至少应当有一方符合招标人规定的特定条件。</w:t>
      </w:r>
    </w:p>
    <w:p>
      <w:pPr>
        <w:shd w:val="clear" w:color="auto" w:fill="auto"/>
        <w:spacing w:line="400" w:lineRule="exact"/>
        <w:ind w:firstLine="409" w:firstLineChars="195"/>
        <w:rPr>
          <w:rFonts w:hint="eastAsia" w:ascii="宋体"/>
          <w:color w:val="auto"/>
          <w:szCs w:val="21"/>
          <w:highlight w:val="none"/>
        </w:rPr>
      </w:pPr>
      <w:r>
        <w:rPr>
          <w:rFonts w:hint="eastAsia" w:ascii="宋体"/>
          <w:color w:val="auto"/>
          <w:szCs w:val="21"/>
          <w:highlight w:val="none"/>
        </w:rPr>
        <w:t>11.2联合体各方之间应当签订共同投标协议，明确约定联合体各方承担的工作和相应的责任，并将共同投标协议连同投标文件一并提交招标人。联合体各方签订共同投标协议后，不得再以自己名义单独在同一项目中投标，也不得组成新的联合体参加同一项目投标。</w:t>
      </w:r>
    </w:p>
    <w:p>
      <w:pPr>
        <w:shd w:val="clear" w:color="auto" w:fill="auto"/>
        <w:spacing w:line="400" w:lineRule="exact"/>
        <w:ind w:firstLine="411" w:firstLineChars="196"/>
        <w:rPr>
          <w:rFonts w:ascii="宋体"/>
          <w:color w:val="auto"/>
          <w:szCs w:val="21"/>
          <w:highlight w:val="none"/>
        </w:rPr>
      </w:pPr>
      <w:r>
        <w:rPr>
          <w:rFonts w:hint="eastAsia" w:ascii="宋体"/>
          <w:color w:val="auto"/>
          <w:szCs w:val="21"/>
          <w:highlight w:val="none"/>
        </w:rPr>
        <w:t>11</w:t>
      </w:r>
      <w:r>
        <w:rPr>
          <w:rFonts w:ascii="宋体"/>
          <w:color w:val="auto"/>
          <w:szCs w:val="21"/>
          <w:highlight w:val="none"/>
        </w:rPr>
        <w:t>.</w:t>
      </w:r>
      <w:r>
        <w:rPr>
          <w:rFonts w:hint="eastAsia" w:ascii="宋体"/>
          <w:color w:val="auto"/>
          <w:szCs w:val="21"/>
          <w:highlight w:val="none"/>
        </w:rPr>
        <w:t>3 联合体应当确定其中一个单位为投标的全权代表，负责参加投标的一切事务，并承担投标及履约中应承担的全部责任与义务。</w:t>
      </w:r>
    </w:p>
    <w:p>
      <w:pPr>
        <w:shd w:val="clear" w:color="auto" w:fill="auto"/>
        <w:spacing w:line="400" w:lineRule="exact"/>
        <w:ind w:firstLine="411" w:firstLineChars="196"/>
        <w:rPr>
          <w:rFonts w:hint="eastAsia" w:ascii="宋体" w:hAnsi="Calibri" w:eastAsia="宋体" w:cs="Times New Roman"/>
          <w:color w:val="auto"/>
          <w:szCs w:val="21"/>
          <w:highlight w:val="none"/>
        </w:rPr>
      </w:pPr>
      <w:r>
        <w:rPr>
          <w:rFonts w:hint="eastAsia" w:ascii="宋体" w:hAnsi="Calibri" w:eastAsia="宋体" w:cs="Times New Roman"/>
          <w:color w:val="auto"/>
          <w:szCs w:val="21"/>
          <w:highlight w:val="none"/>
        </w:rPr>
        <w:t>11.4 联合体各方应当共同与招标人签订采购合同，就采购合同约定的事项对招标人承担连带责任。</w:t>
      </w:r>
    </w:p>
    <w:p>
      <w:pPr>
        <w:shd w:val="clear" w:color="auto" w:fill="auto"/>
        <w:spacing w:line="440" w:lineRule="exact"/>
        <w:ind w:firstLine="411" w:firstLineChars="196"/>
        <w:jc w:val="left"/>
        <w:rPr>
          <w:rFonts w:hint="eastAsia" w:ascii="宋体"/>
          <w:b/>
          <w:color w:val="auto"/>
          <w:szCs w:val="21"/>
          <w:highlight w:val="none"/>
        </w:rPr>
      </w:pPr>
      <w:r>
        <w:rPr>
          <w:rFonts w:hint="eastAsia" w:ascii="宋体"/>
          <w:b/>
          <w:color w:val="auto"/>
          <w:szCs w:val="21"/>
          <w:highlight w:val="none"/>
        </w:rPr>
        <w:t>12.招标代理费</w:t>
      </w:r>
    </w:p>
    <w:p>
      <w:pPr>
        <w:keepNext w:val="0"/>
        <w:keepLines w:val="0"/>
        <w:pageBreakBefore w:val="0"/>
        <w:shd w:val="clear" w:color="auto" w:fill="auto"/>
        <w:kinsoku/>
        <w:wordWrap/>
        <w:overflowPunct/>
        <w:topLinePunct w:val="0"/>
        <w:bidi w:val="0"/>
        <w:snapToGrid/>
        <w:spacing w:line="360" w:lineRule="auto"/>
        <w:ind w:firstLine="420" w:firstLineChars="200"/>
        <w:textAlignment w:val="auto"/>
        <w:rPr>
          <w:rFonts w:hint="eastAsia" w:ascii="宋体" w:hAnsi="宋体" w:eastAsia="宋体" w:cs="宋体"/>
          <w:b/>
          <w:color w:val="auto"/>
          <w:szCs w:val="21"/>
          <w:highlight w:val="none"/>
        </w:rPr>
      </w:pPr>
      <w:r>
        <w:rPr>
          <w:rFonts w:hint="eastAsia" w:ascii="宋体"/>
          <w:bCs/>
          <w:color w:val="auto"/>
          <w:szCs w:val="21"/>
          <w:highlight w:val="none"/>
        </w:rPr>
        <w:t>12.1</w:t>
      </w:r>
      <w:r>
        <w:rPr>
          <w:rFonts w:hint="eastAsia" w:ascii="宋体" w:hAnsi="Times New Roman" w:eastAsia="宋体" w:cs="Times New Roman"/>
          <w:color w:val="auto"/>
          <w:kern w:val="2"/>
          <w:sz w:val="21"/>
          <w:szCs w:val="21"/>
          <w:highlight w:val="none"/>
          <w:lang w:val="en-US" w:eastAsia="zh-CN" w:bidi="ar-SA"/>
        </w:rPr>
        <w:t>中标单位在领取本项目中标通知书时，按照《国家计委关于印发招标代理服务收费管理暂行办法的通知（计价格[2002]1980号）及《招标代理服务收费有关问题》（发改办价格〔2003〕857号文）中规定由中标单位向招标代理机构支付本项目代理费。收费标准如下：</w:t>
      </w:r>
    </w:p>
    <w:p>
      <w:pPr>
        <w:keepNext w:val="0"/>
        <w:keepLines w:val="0"/>
        <w:pageBreakBefore w:val="0"/>
        <w:shd w:val="clear" w:color="auto" w:fill="auto"/>
        <w:kinsoku/>
        <w:wordWrap/>
        <w:overflowPunct/>
        <w:topLinePunct w:val="0"/>
        <w:bidi w:val="0"/>
        <w:snapToGrid/>
        <w:spacing w:line="360" w:lineRule="auto"/>
        <w:ind w:firstLine="420" w:firstLineChars="200"/>
        <w:jc w:val="center"/>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招标代理服务收费标准</w:t>
      </w:r>
    </w:p>
    <w:tbl>
      <w:tblPr>
        <w:tblStyle w:val="47"/>
        <w:tblW w:w="8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3"/>
        <w:gridCol w:w="2146"/>
        <w:gridCol w:w="2146"/>
        <w:gridCol w:w="1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2393" w:type="dxa"/>
            <w:vAlign w:val="top"/>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lang w:eastAsia="zh-CN"/>
              </w:rPr>
              <w:t>中标</w:t>
            </w:r>
            <w:r>
              <w:rPr>
                <w:rFonts w:hint="eastAsia" w:ascii="宋体" w:hAnsi="宋体" w:cs="宋体"/>
                <w:b w:val="0"/>
                <w:bCs w:val="0"/>
                <w:color w:val="auto"/>
                <w:sz w:val="21"/>
                <w:szCs w:val="21"/>
                <w:highlight w:val="none"/>
              </w:rPr>
              <w:t>金额（万元）</w:t>
            </w:r>
          </w:p>
        </w:tc>
        <w:tc>
          <w:tcPr>
            <w:tcW w:w="2146" w:type="dxa"/>
            <w:vAlign w:val="top"/>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货物招标</w:t>
            </w:r>
          </w:p>
        </w:tc>
        <w:tc>
          <w:tcPr>
            <w:tcW w:w="2146" w:type="dxa"/>
            <w:vAlign w:val="top"/>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lang w:eastAsia="zh-CN"/>
              </w:rPr>
              <w:t>服务招标</w:t>
            </w:r>
          </w:p>
        </w:tc>
        <w:tc>
          <w:tcPr>
            <w:tcW w:w="1841" w:type="dxa"/>
            <w:vAlign w:val="top"/>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393" w:type="dxa"/>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100以下</w:t>
            </w:r>
          </w:p>
        </w:tc>
        <w:tc>
          <w:tcPr>
            <w:tcW w:w="2146" w:type="dxa"/>
            <w:vAlign w:val="top"/>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1.50%</w:t>
            </w:r>
          </w:p>
        </w:tc>
        <w:tc>
          <w:tcPr>
            <w:tcW w:w="2146" w:type="dxa"/>
            <w:vAlign w:val="top"/>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1.50%</w:t>
            </w:r>
          </w:p>
        </w:tc>
        <w:tc>
          <w:tcPr>
            <w:tcW w:w="1841" w:type="dxa"/>
            <w:vAlign w:val="top"/>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2393" w:type="dxa"/>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100-500</w:t>
            </w:r>
          </w:p>
        </w:tc>
        <w:tc>
          <w:tcPr>
            <w:tcW w:w="2146" w:type="dxa"/>
            <w:vAlign w:val="top"/>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1.10%</w:t>
            </w:r>
          </w:p>
        </w:tc>
        <w:tc>
          <w:tcPr>
            <w:tcW w:w="2146" w:type="dxa"/>
            <w:vAlign w:val="top"/>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0.80</w:t>
            </w:r>
            <w:r>
              <w:rPr>
                <w:rFonts w:hint="eastAsia" w:ascii="宋体" w:hAnsi="宋体" w:cs="宋体"/>
                <w:b w:val="0"/>
                <w:bCs w:val="0"/>
                <w:color w:val="auto"/>
                <w:sz w:val="21"/>
                <w:szCs w:val="21"/>
                <w:highlight w:val="none"/>
              </w:rPr>
              <w:t>%</w:t>
            </w:r>
          </w:p>
        </w:tc>
        <w:tc>
          <w:tcPr>
            <w:tcW w:w="1841" w:type="dxa"/>
            <w:vAlign w:val="top"/>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2393" w:type="dxa"/>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500-1000</w:t>
            </w:r>
          </w:p>
        </w:tc>
        <w:tc>
          <w:tcPr>
            <w:tcW w:w="2146" w:type="dxa"/>
            <w:vAlign w:val="top"/>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0.80%</w:t>
            </w:r>
          </w:p>
        </w:tc>
        <w:tc>
          <w:tcPr>
            <w:tcW w:w="2146" w:type="dxa"/>
            <w:vAlign w:val="top"/>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0.</w:t>
            </w:r>
            <w:r>
              <w:rPr>
                <w:rFonts w:hint="eastAsia" w:ascii="宋体" w:hAnsi="宋体" w:cs="宋体"/>
                <w:b w:val="0"/>
                <w:bCs w:val="0"/>
                <w:color w:val="auto"/>
                <w:sz w:val="21"/>
                <w:szCs w:val="21"/>
                <w:highlight w:val="none"/>
                <w:lang w:val="en-US" w:eastAsia="zh-CN"/>
              </w:rPr>
              <w:t>45</w:t>
            </w:r>
            <w:r>
              <w:rPr>
                <w:rFonts w:hint="eastAsia" w:ascii="宋体" w:hAnsi="宋体" w:cs="宋体"/>
                <w:b w:val="0"/>
                <w:bCs w:val="0"/>
                <w:color w:val="auto"/>
                <w:sz w:val="21"/>
                <w:szCs w:val="21"/>
                <w:highlight w:val="none"/>
              </w:rPr>
              <w:t>%</w:t>
            </w:r>
          </w:p>
        </w:tc>
        <w:tc>
          <w:tcPr>
            <w:tcW w:w="1841" w:type="dxa"/>
            <w:vAlign w:val="top"/>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2393" w:type="dxa"/>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1000-5000</w:t>
            </w:r>
          </w:p>
        </w:tc>
        <w:tc>
          <w:tcPr>
            <w:tcW w:w="2146" w:type="dxa"/>
            <w:vAlign w:val="top"/>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0.50%</w:t>
            </w:r>
          </w:p>
        </w:tc>
        <w:tc>
          <w:tcPr>
            <w:tcW w:w="2146" w:type="dxa"/>
            <w:vAlign w:val="top"/>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0.</w:t>
            </w:r>
            <w:r>
              <w:rPr>
                <w:rFonts w:hint="eastAsia" w:ascii="宋体" w:hAnsi="宋体" w:cs="宋体"/>
                <w:b w:val="0"/>
                <w:bCs w:val="0"/>
                <w:color w:val="auto"/>
                <w:sz w:val="21"/>
                <w:szCs w:val="21"/>
                <w:highlight w:val="none"/>
                <w:lang w:val="en-US" w:eastAsia="zh-CN"/>
              </w:rPr>
              <w:t>25</w:t>
            </w:r>
            <w:r>
              <w:rPr>
                <w:rFonts w:hint="eastAsia" w:ascii="宋体" w:hAnsi="宋体" w:cs="宋体"/>
                <w:b w:val="0"/>
                <w:bCs w:val="0"/>
                <w:color w:val="auto"/>
                <w:sz w:val="21"/>
                <w:szCs w:val="21"/>
                <w:highlight w:val="none"/>
              </w:rPr>
              <w:t>%</w:t>
            </w:r>
          </w:p>
        </w:tc>
        <w:tc>
          <w:tcPr>
            <w:tcW w:w="1841" w:type="dxa"/>
            <w:vAlign w:val="top"/>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cs="宋体"/>
                <w:b w:val="0"/>
                <w:bCs w:val="0"/>
                <w:color w:val="auto"/>
                <w:sz w:val="21"/>
                <w:szCs w:val="21"/>
                <w:highlight w:val="none"/>
              </w:rPr>
            </w:pPr>
          </w:p>
        </w:tc>
      </w:tr>
    </w:tbl>
    <w:p>
      <w:pPr>
        <w:keepNext w:val="0"/>
        <w:keepLines w:val="0"/>
        <w:pageBreakBefore w:val="0"/>
        <w:shd w:val="clear" w:color="auto" w:fill="auto"/>
        <w:kinsoku/>
        <w:wordWrap/>
        <w:overflowPunct/>
        <w:topLinePunct w:val="0"/>
        <w:bidi w:val="0"/>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招标代理服务收费按差额定率累进法计算。例如：某项目招标代理业务</w:t>
      </w:r>
      <w:r>
        <w:rPr>
          <w:rFonts w:hint="eastAsia" w:ascii="宋体" w:hAnsi="宋体" w:eastAsia="宋体" w:cs="宋体"/>
          <w:color w:val="auto"/>
          <w:szCs w:val="21"/>
          <w:highlight w:val="none"/>
          <w:lang w:eastAsia="zh-CN"/>
        </w:rPr>
        <w:t>中标</w:t>
      </w:r>
      <w:r>
        <w:rPr>
          <w:rFonts w:hint="eastAsia" w:ascii="宋体" w:hAnsi="宋体" w:eastAsia="宋体" w:cs="宋体"/>
          <w:color w:val="auto"/>
          <w:szCs w:val="21"/>
          <w:highlight w:val="none"/>
        </w:rPr>
        <w:t>金额为2000万元，计算招标代理服务收费额如下：</w:t>
      </w:r>
    </w:p>
    <w:p>
      <w:pPr>
        <w:keepNext w:val="0"/>
        <w:keepLines w:val="0"/>
        <w:pageBreakBefore w:val="0"/>
        <w:shd w:val="clear" w:color="auto" w:fill="auto"/>
        <w:kinsoku/>
        <w:wordWrap/>
        <w:overflowPunct/>
        <w:topLinePunct w:val="0"/>
        <w:bidi w:val="0"/>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100万元×1.50%=1.5（万元）；</w:t>
      </w:r>
    </w:p>
    <w:p>
      <w:pPr>
        <w:keepNext w:val="0"/>
        <w:keepLines w:val="0"/>
        <w:pageBreakBefore w:val="0"/>
        <w:shd w:val="clear" w:color="auto" w:fill="auto"/>
        <w:kinsoku/>
        <w:wordWrap/>
        <w:overflowPunct/>
        <w:topLinePunct w:val="0"/>
        <w:bidi w:val="0"/>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（500-100）万元×1.10%=4.4（万元）</w:t>
      </w:r>
    </w:p>
    <w:p>
      <w:pPr>
        <w:keepNext w:val="0"/>
        <w:keepLines w:val="0"/>
        <w:pageBreakBefore w:val="0"/>
        <w:shd w:val="clear" w:color="auto" w:fill="auto"/>
        <w:kinsoku/>
        <w:wordWrap/>
        <w:overflowPunct/>
        <w:topLinePunct w:val="0"/>
        <w:bidi w:val="0"/>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（1000-500）万元×0.80%=4.0（万元）</w:t>
      </w:r>
    </w:p>
    <w:p>
      <w:pPr>
        <w:keepNext w:val="0"/>
        <w:keepLines w:val="0"/>
        <w:pageBreakBefore w:val="0"/>
        <w:shd w:val="clear" w:color="auto" w:fill="auto"/>
        <w:kinsoku/>
        <w:wordWrap/>
        <w:overflowPunct/>
        <w:topLinePunct w:val="0"/>
        <w:bidi w:val="0"/>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（2000-1000）万元×0.50%=5.0（万元）</w:t>
      </w:r>
    </w:p>
    <w:p>
      <w:pPr>
        <w:shd w:val="clear" w:color="auto" w:fill="auto"/>
        <w:spacing w:line="440" w:lineRule="exact"/>
        <w:ind w:left="210" w:leftChars="100" w:firstLine="315" w:firstLineChars="150"/>
        <w:jc w:val="left"/>
        <w:rPr>
          <w:rFonts w:hint="eastAsia" w:ascii="宋体"/>
          <w:bCs/>
          <w:color w:val="auto"/>
          <w:szCs w:val="21"/>
          <w:highlight w:val="none"/>
        </w:rPr>
      </w:pPr>
      <w:r>
        <w:rPr>
          <w:rFonts w:hint="eastAsia" w:ascii="宋体" w:hAnsi="宋体" w:eastAsia="宋体" w:cs="宋体"/>
          <w:color w:val="auto"/>
          <w:szCs w:val="21"/>
          <w:highlight w:val="none"/>
        </w:rPr>
        <w:t>合计收费=1.5+4.4+4.0+5.0=14.9(万元)</w:t>
      </w:r>
    </w:p>
    <w:p>
      <w:pPr>
        <w:shd w:val="clear" w:color="auto" w:fill="auto"/>
        <w:spacing w:line="440" w:lineRule="exact"/>
        <w:ind w:firstLine="420" w:firstLineChars="200"/>
        <w:rPr>
          <w:rFonts w:hint="eastAsia"/>
          <w:b/>
          <w:color w:val="auto"/>
          <w:szCs w:val="21"/>
          <w:highlight w:val="none"/>
        </w:rPr>
      </w:pPr>
      <w:r>
        <w:rPr>
          <w:rFonts w:hint="eastAsia"/>
          <w:b/>
          <w:color w:val="auto"/>
          <w:szCs w:val="21"/>
          <w:highlight w:val="none"/>
        </w:rPr>
        <w:t>13.投标人应注意的事项</w:t>
      </w:r>
    </w:p>
    <w:p>
      <w:pPr>
        <w:shd w:val="clear" w:color="auto" w:fill="auto"/>
        <w:spacing w:line="440" w:lineRule="exact"/>
        <w:ind w:firstLine="420" w:firstLineChars="200"/>
        <w:rPr>
          <w:rFonts w:hint="eastAsia" w:ascii="宋体"/>
          <w:bCs/>
          <w:color w:val="auto"/>
          <w:szCs w:val="21"/>
          <w:highlight w:val="none"/>
        </w:rPr>
      </w:pPr>
      <w:r>
        <w:rPr>
          <w:rFonts w:hint="eastAsia" w:ascii="宋体" w:hAnsi="宋体"/>
          <w:color w:val="auto"/>
          <w:szCs w:val="21"/>
          <w:highlight w:val="none"/>
        </w:rPr>
        <w:t>13.1投标人一旦按规定缴纳了投标保证金并参加投标，即被认为接受了本</w:t>
      </w:r>
      <w:r>
        <w:rPr>
          <w:rFonts w:hint="eastAsia" w:ascii="宋体" w:hAnsi="宋体"/>
          <w:color w:val="auto"/>
          <w:szCs w:val="21"/>
          <w:highlight w:val="none"/>
          <w:lang w:eastAsia="zh-CN"/>
        </w:rPr>
        <w:t>采购</w:t>
      </w:r>
      <w:r>
        <w:rPr>
          <w:rFonts w:hint="eastAsia" w:ascii="宋体" w:hAnsi="宋体"/>
          <w:color w:val="auto"/>
          <w:szCs w:val="21"/>
          <w:highlight w:val="none"/>
        </w:rPr>
        <w:t>文件中的所有条件和规定。投标人必须严格按</w:t>
      </w:r>
      <w:r>
        <w:rPr>
          <w:rFonts w:hint="eastAsia" w:ascii="宋体" w:hAnsi="宋体"/>
          <w:color w:val="auto"/>
          <w:szCs w:val="21"/>
          <w:highlight w:val="none"/>
          <w:lang w:eastAsia="zh-CN"/>
        </w:rPr>
        <w:t>采购文件</w:t>
      </w:r>
      <w:r>
        <w:rPr>
          <w:rFonts w:hint="eastAsia" w:ascii="宋体" w:hAnsi="宋体"/>
          <w:color w:val="auto"/>
          <w:szCs w:val="21"/>
          <w:highlight w:val="none"/>
        </w:rPr>
        <w:t>的要求编制投标文件，投标文件宜编制页码和目录，以便评委审核。否则，由此产生的一切后果由投标人承担。</w:t>
      </w:r>
    </w:p>
    <w:p>
      <w:pPr>
        <w:shd w:val="clear" w:color="auto" w:fill="auto"/>
        <w:spacing w:line="440" w:lineRule="exact"/>
        <w:ind w:firstLine="420" w:firstLineChars="200"/>
        <w:rPr>
          <w:rFonts w:hint="eastAsia" w:ascii="宋体"/>
          <w:bCs/>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2</w:t>
      </w:r>
      <w:r>
        <w:rPr>
          <w:rFonts w:hint="eastAsia" w:ascii="宋体"/>
          <w:bCs/>
          <w:color w:val="auto"/>
          <w:szCs w:val="21"/>
          <w:highlight w:val="none"/>
        </w:rPr>
        <w:t xml:space="preserve"> 投标人对采购内容中规定的技术</w:t>
      </w:r>
      <w:r>
        <w:rPr>
          <w:rFonts w:hint="eastAsia" w:ascii="宋体"/>
          <w:bCs/>
          <w:color w:val="auto"/>
          <w:szCs w:val="21"/>
          <w:highlight w:val="none"/>
          <w:lang w:val="en-US" w:eastAsia="zh-CN"/>
        </w:rPr>
        <w:t>要求</w:t>
      </w:r>
      <w:r>
        <w:rPr>
          <w:rFonts w:hint="eastAsia" w:ascii="宋体"/>
          <w:bCs/>
          <w:color w:val="auto"/>
          <w:szCs w:val="21"/>
          <w:highlight w:val="none"/>
        </w:rPr>
        <w:t>、</w:t>
      </w:r>
      <w:r>
        <w:rPr>
          <w:rFonts w:hint="eastAsia" w:ascii="宋体"/>
          <w:bCs/>
          <w:color w:val="auto"/>
          <w:szCs w:val="21"/>
          <w:highlight w:val="none"/>
          <w:lang w:val="en-US" w:eastAsia="zh-CN"/>
        </w:rPr>
        <w:t>服务内容</w:t>
      </w:r>
      <w:r>
        <w:rPr>
          <w:rFonts w:hint="eastAsia" w:ascii="宋体"/>
          <w:bCs/>
          <w:color w:val="auto"/>
          <w:szCs w:val="21"/>
          <w:highlight w:val="none"/>
        </w:rPr>
        <w:t>等要求必须完全响应或优于</w:t>
      </w:r>
      <w:r>
        <w:rPr>
          <w:rFonts w:hint="eastAsia" w:ascii="宋体"/>
          <w:bCs/>
          <w:color w:val="auto"/>
          <w:szCs w:val="21"/>
          <w:highlight w:val="none"/>
          <w:lang w:eastAsia="zh-CN"/>
        </w:rPr>
        <w:t>采购文件</w:t>
      </w:r>
      <w:r>
        <w:rPr>
          <w:rFonts w:hint="eastAsia" w:ascii="宋体"/>
          <w:bCs/>
          <w:color w:val="auto"/>
          <w:szCs w:val="21"/>
          <w:highlight w:val="none"/>
        </w:rPr>
        <w:t>中的要求。</w:t>
      </w:r>
    </w:p>
    <w:p>
      <w:pPr>
        <w:shd w:val="clear" w:color="auto" w:fill="auto"/>
        <w:spacing w:line="440" w:lineRule="exact"/>
        <w:ind w:firstLine="411" w:firstLineChars="196"/>
        <w:rPr>
          <w:rFonts w:hint="eastAsia" w:ascii="宋体"/>
          <w:bCs/>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3</w:t>
      </w:r>
      <w:r>
        <w:rPr>
          <w:rFonts w:hint="eastAsia" w:ascii="宋体"/>
          <w:bCs/>
          <w:color w:val="auto"/>
          <w:szCs w:val="21"/>
          <w:highlight w:val="none"/>
        </w:rPr>
        <w:t>所有投标人的投标保证金都应在</w:t>
      </w:r>
      <w:r>
        <w:rPr>
          <w:rFonts w:hint="eastAsia" w:ascii="宋体"/>
          <w:bCs/>
          <w:color w:val="auto"/>
          <w:szCs w:val="21"/>
          <w:highlight w:val="none"/>
          <w:lang w:eastAsia="zh-CN"/>
        </w:rPr>
        <w:t>采购文件</w:t>
      </w:r>
      <w:r>
        <w:rPr>
          <w:rFonts w:hint="eastAsia" w:ascii="宋体"/>
          <w:bCs/>
          <w:color w:val="auto"/>
          <w:szCs w:val="21"/>
          <w:highlight w:val="none"/>
        </w:rPr>
        <w:t>规定的投标保证金缴纳截止日期前缴纳。</w:t>
      </w:r>
    </w:p>
    <w:p>
      <w:pPr>
        <w:shd w:val="clear" w:color="auto" w:fill="auto"/>
        <w:spacing w:line="440" w:lineRule="exact"/>
        <w:ind w:firstLine="411" w:firstLineChars="196"/>
        <w:rPr>
          <w:rFonts w:hint="eastAsia" w:ascii="宋体"/>
          <w:bCs/>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4</w:t>
      </w:r>
      <w:r>
        <w:rPr>
          <w:rFonts w:ascii="宋体"/>
          <w:bCs/>
          <w:color w:val="auto"/>
          <w:szCs w:val="21"/>
          <w:highlight w:val="none"/>
        </w:rPr>
        <w:t>单位负责人为同一人或者存在直接控股、管理关系的不同供应商，不得参加同一合同项下的政府采购活动。</w:t>
      </w:r>
    </w:p>
    <w:p>
      <w:pPr>
        <w:shd w:val="clear" w:color="auto" w:fill="auto"/>
        <w:snapToGrid w:val="0"/>
        <w:spacing w:line="440" w:lineRule="exact"/>
        <w:ind w:firstLine="420" w:firstLineChars="200"/>
        <w:rPr>
          <w:rFonts w:hint="eastAsia" w:ascii="宋体"/>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5各供应商在开标前应确保成为新疆维吾尔自治区政府采购网正式注册入库供应商（已在政采云平台其他省份入驻的供应商无须重复注册</w:t>
      </w:r>
      <w:r>
        <w:rPr>
          <w:rFonts w:hint="eastAsia" w:ascii="宋体"/>
          <w:color w:val="auto"/>
          <w:szCs w:val="21"/>
          <w:highlight w:val="none"/>
        </w:rPr>
        <w:t>。因未注册入库、未办理CA数字证书等原因造成无法投标或投标失败等后果由供应商自行承担。</w:t>
      </w:r>
    </w:p>
    <w:p>
      <w:pPr>
        <w:shd w:val="clear" w:color="auto" w:fill="auto"/>
        <w:wordWrap w:val="0"/>
        <w:spacing w:line="440" w:lineRule="exact"/>
        <w:ind w:firstLine="420" w:firstLineChars="200"/>
        <w:rPr>
          <w:rFonts w:hint="eastAsia" w:ascii="宋体"/>
          <w:bCs/>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6</w:t>
      </w:r>
      <w:r>
        <w:rPr>
          <w:rFonts w:hint="eastAsia" w:ascii="宋体"/>
          <w:bCs/>
          <w:color w:val="auto"/>
          <w:szCs w:val="21"/>
          <w:highlight w:val="none"/>
        </w:rPr>
        <w:t xml:space="preserve">  投标人被视为充分熟悉本招标项目所在地的与履行合同有关的各种情况，包括但不限于：</w:t>
      </w:r>
    </w:p>
    <w:p>
      <w:pPr>
        <w:shd w:val="clear" w:color="auto" w:fill="auto"/>
        <w:spacing w:line="400" w:lineRule="exact"/>
        <w:ind w:firstLine="315" w:firstLineChars="150"/>
        <w:rPr>
          <w:rFonts w:hint="eastAsia" w:ascii="宋体"/>
          <w:bCs/>
          <w:color w:val="auto"/>
          <w:szCs w:val="21"/>
          <w:highlight w:val="none"/>
        </w:rPr>
      </w:pPr>
      <w:r>
        <w:rPr>
          <w:rFonts w:hint="eastAsia" w:ascii="宋体"/>
          <w:bCs/>
          <w:color w:val="auto"/>
          <w:szCs w:val="21"/>
          <w:highlight w:val="none"/>
        </w:rPr>
        <w:t>（1）国家对本次投标服务的</w:t>
      </w:r>
      <w:r>
        <w:rPr>
          <w:rFonts w:hint="eastAsia" w:ascii="宋体"/>
          <w:bCs/>
          <w:color w:val="auto"/>
          <w:szCs w:val="21"/>
          <w:highlight w:val="none"/>
          <w:lang w:val="en-US" w:eastAsia="zh-CN"/>
        </w:rPr>
        <w:t>范围和合同履行</w:t>
      </w:r>
      <w:r>
        <w:rPr>
          <w:rFonts w:hint="eastAsia" w:ascii="宋体"/>
          <w:bCs/>
          <w:color w:val="auto"/>
          <w:szCs w:val="21"/>
          <w:highlight w:val="none"/>
        </w:rPr>
        <w:t>等有关法律、法规及行业管理标准；</w:t>
      </w:r>
    </w:p>
    <w:p>
      <w:pPr>
        <w:shd w:val="clear" w:color="auto" w:fill="auto"/>
        <w:spacing w:line="400" w:lineRule="exact"/>
        <w:ind w:firstLine="315" w:firstLineChars="150"/>
        <w:rPr>
          <w:rFonts w:hint="eastAsia" w:ascii="宋体"/>
          <w:bCs/>
          <w:color w:val="auto"/>
          <w:szCs w:val="21"/>
          <w:highlight w:val="none"/>
        </w:rPr>
      </w:pPr>
      <w:r>
        <w:rPr>
          <w:rFonts w:hint="eastAsia" w:ascii="宋体"/>
          <w:bCs/>
          <w:color w:val="auto"/>
          <w:szCs w:val="21"/>
          <w:highlight w:val="none"/>
        </w:rPr>
        <w:t>（2）</w:t>
      </w:r>
      <w:r>
        <w:rPr>
          <w:rFonts w:hint="eastAsia" w:ascii="宋体"/>
          <w:bCs/>
          <w:color w:val="auto"/>
          <w:szCs w:val="21"/>
          <w:highlight w:val="none"/>
          <w:lang w:eastAsia="zh-CN"/>
        </w:rPr>
        <w:t>本地区</w:t>
      </w:r>
      <w:r>
        <w:rPr>
          <w:rFonts w:hint="eastAsia" w:ascii="宋体"/>
          <w:bCs/>
          <w:color w:val="auto"/>
          <w:szCs w:val="21"/>
          <w:highlight w:val="none"/>
        </w:rPr>
        <w:t>有关管理部门的相关规定；</w:t>
      </w:r>
    </w:p>
    <w:p>
      <w:pPr>
        <w:shd w:val="clear" w:color="auto" w:fill="auto"/>
        <w:spacing w:line="400" w:lineRule="exact"/>
        <w:ind w:firstLine="315" w:firstLineChars="150"/>
        <w:rPr>
          <w:rFonts w:hint="eastAsia" w:ascii="宋体"/>
          <w:bCs/>
          <w:color w:val="auto"/>
          <w:szCs w:val="21"/>
          <w:highlight w:val="none"/>
        </w:rPr>
      </w:pPr>
      <w:r>
        <w:rPr>
          <w:rFonts w:hint="eastAsia" w:ascii="宋体"/>
          <w:bCs/>
          <w:color w:val="auto"/>
          <w:szCs w:val="21"/>
          <w:highlight w:val="none"/>
        </w:rPr>
        <w:t>（3）招标人的</w:t>
      </w:r>
      <w:r>
        <w:rPr>
          <w:rFonts w:hint="eastAsia" w:ascii="宋体"/>
          <w:bCs/>
          <w:color w:val="auto"/>
          <w:szCs w:val="21"/>
          <w:highlight w:val="none"/>
          <w:lang w:val="en-US" w:eastAsia="zh-CN"/>
        </w:rPr>
        <w:t>采购服务要求、服务标准、服务受益对象等情况</w:t>
      </w:r>
      <w:r>
        <w:rPr>
          <w:rFonts w:hint="eastAsia" w:ascii="宋体"/>
          <w:bCs/>
          <w:color w:val="auto"/>
          <w:szCs w:val="21"/>
          <w:highlight w:val="none"/>
        </w:rPr>
        <w:t>。</w:t>
      </w:r>
    </w:p>
    <w:p>
      <w:pPr>
        <w:shd w:val="clear" w:color="auto" w:fill="auto"/>
        <w:spacing w:line="400" w:lineRule="exact"/>
        <w:ind w:firstLine="315" w:firstLineChars="150"/>
        <w:rPr>
          <w:rFonts w:hint="eastAsia" w:ascii="宋体"/>
          <w:bCs/>
          <w:color w:val="auto"/>
          <w:szCs w:val="21"/>
          <w:highlight w:val="none"/>
        </w:rPr>
      </w:pPr>
      <w:r>
        <w:rPr>
          <w:rFonts w:hint="eastAsia" w:ascii="宋体"/>
          <w:bCs/>
          <w:color w:val="auto"/>
          <w:szCs w:val="21"/>
          <w:highlight w:val="none"/>
        </w:rPr>
        <w:t>本</w:t>
      </w:r>
      <w:r>
        <w:rPr>
          <w:rFonts w:hint="eastAsia" w:ascii="宋体"/>
          <w:bCs/>
          <w:color w:val="auto"/>
          <w:szCs w:val="21"/>
          <w:highlight w:val="none"/>
          <w:lang w:eastAsia="zh-CN"/>
        </w:rPr>
        <w:t>采购文件</w:t>
      </w:r>
      <w:r>
        <w:rPr>
          <w:rFonts w:hint="eastAsia" w:ascii="宋体"/>
          <w:bCs/>
          <w:color w:val="auto"/>
          <w:szCs w:val="21"/>
          <w:highlight w:val="none"/>
        </w:rPr>
        <w:t>不再对上述情况进行描述。</w:t>
      </w:r>
    </w:p>
    <w:p>
      <w:pPr>
        <w:shd w:val="clear" w:color="auto" w:fill="auto"/>
        <w:spacing w:before="312" w:beforeLines="100" w:after="312" w:afterLines="100" w:line="440" w:lineRule="exact"/>
        <w:jc w:val="center"/>
        <w:outlineLvl w:val="2"/>
        <w:rPr>
          <w:rFonts w:hint="eastAsia" w:ascii="宋体"/>
          <w:b/>
          <w:color w:val="auto"/>
          <w:sz w:val="28"/>
          <w:szCs w:val="28"/>
          <w:highlight w:val="none"/>
        </w:rPr>
      </w:pPr>
      <w:bookmarkStart w:id="30" w:name="_Toc469495725"/>
    </w:p>
    <w:p>
      <w:pPr>
        <w:shd w:val="clear" w:color="auto" w:fill="auto"/>
        <w:spacing w:before="312" w:beforeLines="100" w:after="312" w:afterLines="100" w:line="440" w:lineRule="exact"/>
        <w:jc w:val="center"/>
        <w:outlineLvl w:val="2"/>
        <w:rPr>
          <w:rFonts w:hint="eastAsia" w:ascii="宋体" w:eastAsia="宋体"/>
          <w:b/>
          <w:color w:val="auto"/>
          <w:sz w:val="28"/>
          <w:szCs w:val="28"/>
          <w:highlight w:val="none"/>
          <w:lang w:eastAsia="zh-CN"/>
        </w:rPr>
      </w:pPr>
      <w:r>
        <w:rPr>
          <w:rFonts w:hint="eastAsia" w:ascii="宋体"/>
          <w:b/>
          <w:color w:val="auto"/>
          <w:sz w:val="28"/>
          <w:szCs w:val="28"/>
          <w:highlight w:val="none"/>
        </w:rPr>
        <w:t>（二）</w:t>
      </w:r>
      <w:bookmarkEnd w:id="30"/>
      <w:r>
        <w:rPr>
          <w:rFonts w:hint="eastAsia" w:ascii="宋体"/>
          <w:b/>
          <w:color w:val="auto"/>
          <w:sz w:val="28"/>
          <w:szCs w:val="28"/>
          <w:highlight w:val="none"/>
          <w:lang w:eastAsia="zh-CN"/>
        </w:rPr>
        <w:t>招标文件</w:t>
      </w:r>
    </w:p>
    <w:p>
      <w:pPr>
        <w:shd w:val="clear" w:color="auto" w:fill="auto"/>
        <w:spacing w:line="440" w:lineRule="exact"/>
        <w:ind w:firstLine="420" w:firstLineChars="200"/>
        <w:rPr>
          <w:rFonts w:hint="eastAsia"/>
          <w:b/>
          <w:color w:val="auto"/>
          <w:szCs w:val="21"/>
          <w:highlight w:val="none"/>
        </w:rPr>
      </w:pPr>
      <w:r>
        <w:rPr>
          <w:rFonts w:hint="eastAsia"/>
          <w:b/>
          <w:color w:val="auto"/>
          <w:szCs w:val="21"/>
          <w:highlight w:val="none"/>
        </w:rPr>
        <w:t xml:space="preserve">15. </w:t>
      </w:r>
      <w:r>
        <w:rPr>
          <w:rFonts w:hint="eastAsia"/>
          <w:b/>
          <w:color w:val="auto"/>
          <w:szCs w:val="21"/>
          <w:highlight w:val="none"/>
          <w:lang w:eastAsia="zh-CN"/>
        </w:rPr>
        <w:t>采购文件</w:t>
      </w:r>
      <w:r>
        <w:rPr>
          <w:rFonts w:hint="eastAsia"/>
          <w:b/>
          <w:color w:val="auto"/>
          <w:szCs w:val="21"/>
          <w:highlight w:val="none"/>
        </w:rPr>
        <w:t>的编制依据</w:t>
      </w:r>
    </w:p>
    <w:p>
      <w:pPr>
        <w:shd w:val="clear" w:color="auto" w:fill="auto"/>
        <w:spacing w:line="440" w:lineRule="exact"/>
        <w:ind w:firstLine="420" w:firstLineChars="200"/>
        <w:rPr>
          <w:rFonts w:hint="eastAsia" w:ascii="宋体"/>
          <w:color w:val="auto"/>
          <w:szCs w:val="21"/>
          <w:highlight w:val="none"/>
        </w:rPr>
      </w:pPr>
      <w:r>
        <w:rPr>
          <w:rFonts w:hint="eastAsia" w:ascii="宋体"/>
          <w:color w:val="auto"/>
          <w:szCs w:val="21"/>
          <w:highlight w:val="none"/>
        </w:rPr>
        <w:t>根据《中华人民共和国政府采购法》、《政府采购货物和服务招标投标管理办法》和《中华人民共和国合同法》</w:t>
      </w:r>
      <w:r>
        <w:rPr>
          <w:rFonts w:hint="eastAsia" w:ascii="宋体"/>
          <w:color w:val="auto"/>
          <w:spacing w:val="-2"/>
          <w:szCs w:val="21"/>
          <w:highlight w:val="none"/>
        </w:rPr>
        <w:t>等相关法律法规和规章及部、省、市级规范性文件的规定，编制本</w:t>
      </w:r>
      <w:r>
        <w:rPr>
          <w:rFonts w:hint="eastAsia" w:ascii="宋体"/>
          <w:color w:val="auto"/>
          <w:spacing w:val="-2"/>
          <w:szCs w:val="21"/>
          <w:highlight w:val="none"/>
          <w:lang w:eastAsia="zh-CN"/>
        </w:rPr>
        <w:t>采购文件</w:t>
      </w:r>
      <w:r>
        <w:rPr>
          <w:rFonts w:hint="eastAsia" w:ascii="宋体"/>
          <w:color w:val="auto"/>
          <w:spacing w:val="-2"/>
          <w:szCs w:val="21"/>
          <w:highlight w:val="none"/>
        </w:rPr>
        <w:t>。</w:t>
      </w:r>
    </w:p>
    <w:p>
      <w:pPr>
        <w:shd w:val="clear" w:color="auto" w:fill="auto"/>
        <w:spacing w:line="440" w:lineRule="exact"/>
        <w:ind w:firstLine="420" w:firstLineChars="200"/>
        <w:rPr>
          <w:rFonts w:hint="eastAsia"/>
          <w:b/>
          <w:color w:val="auto"/>
          <w:szCs w:val="21"/>
          <w:highlight w:val="none"/>
        </w:rPr>
      </w:pPr>
      <w:r>
        <w:rPr>
          <w:rFonts w:hint="eastAsia"/>
          <w:b/>
          <w:color w:val="auto"/>
          <w:szCs w:val="21"/>
          <w:highlight w:val="none"/>
        </w:rPr>
        <w:t xml:space="preserve">16. </w:t>
      </w:r>
      <w:r>
        <w:rPr>
          <w:rFonts w:hint="eastAsia"/>
          <w:b/>
          <w:color w:val="auto"/>
          <w:szCs w:val="21"/>
          <w:highlight w:val="none"/>
          <w:lang w:eastAsia="zh-CN"/>
        </w:rPr>
        <w:t>采购文件</w:t>
      </w:r>
      <w:r>
        <w:rPr>
          <w:rFonts w:hint="eastAsia"/>
          <w:b/>
          <w:color w:val="auto"/>
          <w:szCs w:val="21"/>
          <w:highlight w:val="none"/>
        </w:rPr>
        <w:t>的组成</w:t>
      </w:r>
    </w:p>
    <w:p>
      <w:pPr>
        <w:shd w:val="clear" w:color="auto" w:fill="auto"/>
        <w:spacing w:line="440" w:lineRule="exact"/>
        <w:ind w:firstLine="420" w:firstLineChars="200"/>
        <w:rPr>
          <w:rFonts w:hint="eastAsia" w:ascii="宋体"/>
          <w:color w:val="auto"/>
          <w:szCs w:val="21"/>
          <w:highlight w:val="none"/>
        </w:rPr>
      </w:pPr>
      <w:r>
        <w:rPr>
          <w:rFonts w:hint="eastAsia" w:ascii="宋体"/>
          <w:color w:val="auto"/>
          <w:szCs w:val="21"/>
          <w:highlight w:val="none"/>
        </w:rPr>
        <w:t xml:space="preserve">16.1 </w:t>
      </w:r>
      <w:r>
        <w:rPr>
          <w:rFonts w:hint="eastAsia" w:ascii="宋体"/>
          <w:color w:val="auto"/>
          <w:szCs w:val="21"/>
          <w:highlight w:val="none"/>
          <w:lang w:eastAsia="zh-CN"/>
        </w:rPr>
        <w:t>采购文件</w:t>
      </w:r>
      <w:r>
        <w:rPr>
          <w:rFonts w:hint="eastAsia" w:ascii="宋体"/>
          <w:color w:val="auto"/>
          <w:szCs w:val="21"/>
          <w:highlight w:val="none"/>
        </w:rPr>
        <w:t>包括内容：</w:t>
      </w:r>
    </w:p>
    <w:p>
      <w:pPr>
        <w:shd w:val="clear" w:color="auto" w:fill="auto"/>
        <w:spacing w:line="440" w:lineRule="exact"/>
        <w:ind w:firstLine="1470" w:firstLineChars="700"/>
        <w:rPr>
          <w:rFonts w:hint="eastAsia" w:ascii="宋体"/>
          <w:color w:val="auto"/>
          <w:szCs w:val="21"/>
          <w:highlight w:val="none"/>
        </w:rPr>
      </w:pPr>
      <w:r>
        <w:rPr>
          <w:rFonts w:hint="eastAsia" w:ascii="宋体"/>
          <w:color w:val="auto"/>
          <w:szCs w:val="21"/>
          <w:highlight w:val="none"/>
        </w:rPr>
        <w:t xml:space="preserve">第一章  </w:t>
      </w:r>
      <w:r>
        <w:rPr>
          <w:rFonts w:hint="eastAsia" w:ascii="宋体"/>
          <w:color w:val="auto"/>
          <w:szCs w:val="21"/>
          <w:highlight w:val="none"/>
          <w:lang w:eastAsia="zh-CN"/>
        </w:rPr>
        <w:t>招</w:t>
      </w:r>
      <w:r>
        <w:rPr>
          <w:rFonts w:hint="eastAsia" w:ascii="宋体"/>
          <w:color w:val="auto"/>
          <w:szCs w:val="21"/>
          <w:highlight w:val="none"/>
        </w:rPr>
        <w:t>标公告</w:t>
      </w:r>
    </w:p>
    <w:p>
      <w:pPr>
        <w:shd w:val="clear" w:color="auto" w:fill="auto"/>
        <w:spacing w:line="440" w:lineRule="exact"/>
        <w:ind w:firstLine="1470" w:firstLineChars="700"/>
        <w:rPr>
          <w:rFonts w:hint="eastAsia" w:ascii="宋体"/>
          <w:color w:val="auto"/>
          <w:szCs w:val="21"/>
          <w:highlight w:val="none"/>
        </w:rPr>
      </w:pPr>
      <w:r>
        <w:rPr>
          <w:rFonts w:hint="eastAsia" w:ascii="宋体"/>
          <w:color w:val="auto"/>
          <w:szCs w:val="21"/>
          <w:highlight w:val="none"/>
        </w:rPr>
        <w:t>第二章  投标须知</w:t>
      </w:r>
    </w:p>
    <w:p>
      <w:pPr>
        <w:shd w:val="clear" w:color="auto" w:fill="auto"/>
        <w:spacing w:line="440" w:lineRule="exact"/>
        <w:ind w:firstLine="1470" w:firstLineChars="700"/>
        <w:rPr>
          <w:rFonts w:hint="eastAsia" w:ascii="宋体"/>
          <w:color w:val="auto"/>
          <w:szCs w:val="21"/>
          <w:highlight w:val="none"/>
        </w:rPr>
      </w:pPr>
      <w:r>
        <w:rPr>
          <w:rFonts w:hint="eastAsia" w:ascii="宋体"/>
          <w:color w:val="auto"/>
          <w:szCs w:val="21"/>
          <w:highlight w:val="none"/>
        </w:rPr>
        <w:t>第三章  评标办法</w:t>
      </w:r>
    </w:p>
    <w:p>
      <w:pPr>
        <w:shd w:val="clear" w:color="auto" w:fill="auto"/>
        <w:spacing w:line="440" w:lineRule="exact"/>
        <w:ind w:firstLine="1470" w:firstLineChars="700"/>
        <w:rPr>
          <w:rFonts w:hint="eastAsia" w:ascii="宋体"/>
          <w:color w:val="auto"/>
          <w:szCs w:val="21"/>
          <w:highlight w:val="none"/>
        </w:rPr>
      </w:pPr>
      <w:r>
        <w:rPr>
          <w:rFonts w:hint="eastAsia" w:ascii="宋体"/>
          <w:color w:val="auto"/>
          <w:szCs w:val="21"/>
          <w:highlight w:val="none"/>
        </w:rPr>
        <w:t>第四章  采购内容及技术要求</w:t>
      </w:r>
    </w:p>
    <w:p>
      <w:pPr>
        <w:shd w:val="clear" w:color="auto" w:fill="auto"/>
        <w:spacing w:line="440" w:lineRule="exact"/>
        <w:ind w:firstLine="1470" w:firstLineChars="700"/>
        <w:rPr>
          <w:rFonts w:hint="eastAsia" w:ascii="宋体"/>
          <w:color w:val="auto"/>
          <w:szCs w:val="21"/>
          <w:highlight w:val="none"/>
        </w:rPr>
      </w:pPr>
      <w:r>
        <w:rPr>
          <w:rFonts w:hint="eastAsia" w:ascii="宋体"/>
          <w:color w:val="auto"/>
          <w:szCs w:val="21"/>
          <w:highlight w:val="none"/>
        </w:rPr>
        <w:t>第五章  合同条款及格式</w:t>
      </w:r>
    </w:p>
    <w:p>
      <w:pPr>
        <w:shd w:val="clear" w:color="auto" w:fill="auto"/>
        <w:spacing w:line="440" w:lineRule="exact"/>
        <w:ind w:firstLine="1470" w:firstLineChars="700"/>
        <w:rPr>
          <w:rFonts w:hint="eastAsia" w:ascii="宋体"/>
          <w:color w:val="auto"/>
          <w:szCs w:val="21"/>
          <w:highlight w:val="none"/>
        </w:rPr>
      </w:pPr>
      <w:r>
        <w:rPr>
          <w:rFonts w:hint="eastAsia" w:ascii="宋体"/>
          <w:color w:val="auto"/>
          <w:szCs w:val="21"/>
          <w:highlight w:val="none"/>
        </w:rPr>
        <w:t>第六章  投标文件格式文本</w:t>
      </w:r>
    </w:p>
    <w:p>
      <w:pPr>
        <w:shd w:val="clear" w:color="auto" w:fill="auto"/>
        <w:spacing w:line="440" w:lineRule="exact"/>
        <w:ind w:firstLine="1470" w:firstLineChars="700"/>
        <w:rPr>
          <w:rFonts w:hint="eastAsia" w:ascii="宋体"/>
          <w:color w:val="auto"/>
          <w:szCs w:val="21"/>
          <w:highlight w:val="none"/>
        </w:rPr>
      </w:pPr>
      <w:r>
        <w:rPr>
          <w:rFonts w:hint="eastAsia" w:ascii="宋体"/>
          <w:color w:val="auto"/>
          <w:szCs w:val="21"/>
          <w:highlight w:val="none"/>
        </w:rPr>
        <w:t>第七章  招标单位、招标代理机构对本文件的确认</w:t>
      </w:r>
    </w:p>
    <w:p>
      <w:pPr>
        <w:shd w:val="clear" w:color="auto" w:fill="auto"/>
        <w:spacing w:line="440" w:lineRule="exact"/>
        <w:rPr>
          <w:rFonts w:hint="eastAsia" w:ascii="宋体"/>
          <w:color w:val="auto"/>
          <w:szCs w:val="21"/>
          <w:highlight w:val="none"/>
        </w:rPr>
      </w:pPr>
      <w:r>
        <w:rPr>
          <w:rFonts w:hint="eastAsia" w:ascii="宋体"/>
          <w:color w:val="auto"/>
          <w:szCs w:val="21"/>
          <w:highlight w:val="none"/>
        </w:rPr>
        <w:t xml:space="preserve">   16.2 除16.1内容外，招标答疑亦为</w:t>
      </w:r>
      <w:r>
        <w:rPr>
          <w:rFonts w:hint="eastAsia" w:ascii="宋体"/>
          <w:color w:val="auto"/>
          <w:szCs w:val="21"/>
          <w:highlight w:val="none"/>
          <w:lang w:eastAsia="zh-CN"/>
        </w:rPr>
        <w:t>采购文件</w:t>
      </w:r>
      <w:r>
        <w:rPr>
          <w:rFonts w:hint="eastAsia" w:ascii="宋体"/>
          <w:color w:val="auto"/>
          <w:szCs w:val="21"/>
          <w:highlight w:val="none"/>
        </w:rPr>
        <w:t>的组成部分，对招标人和投标人起约束作用。</w:t>
      </w:r>
    </w:p>
    <w:p>
      <w:pPr>
        <w:pStyle w:val="25"/>
        <w:shd w:val="clear" w:color="auto" w:fill="auto"/>
        <w:wordWrap w:val="0"/>
        <w:spacing w:line="400" w:lineRule="exact"/>
        <w:rPr>
          <w:rFonts w:hint="eastAsia"/>
          <w:color w:val="auto"/>
          <w:szCs w:val="21"/>
          <w:highlight w:val="none"/>
          <w:lang w:val="en-US"/>
        </w:rPr>
      </w:pPr>
      <w:r>
        <w:rPr>
          <w:rFonts w:hint="eastAsia"/>
          <w:color w:val="auto"/>
          <w:szCs w:val="21"/>
          <w:highlight w:val="none"/>
        </w:rPr>
        <w:t xml:space="preserve">   16.3</w:t>
      </w:r>
      <w:r>
        <w:rPr>
          <w:rFonts w:hint="eastAsia"/>
          <w:color w:val="auto"/>
          <w:szCs w:val="21"/>
          <w:highlight w:val="none"/>
          <w:u w:val="none" w:color="auto"/>
        </w:rPr>
        <w:t>投标人应仔细阅读和检查</w:t>
      </w:r>
      <w:r>
        <w:rPr>
          <w:rFonts w:hint="eastAsia"/>
          <w:color w:val="auto"/>
          <w:szCs w:val="21"/>
          <w:highlight w:val="none"/>
          <w:u w:val="none" w:color="auto"/>
          <w:lang w:eastAsia="zh-CN"/>
        </w:rPr>
        <w:t>采购文件</w:t>
      </w:r>
      <w:r>
        <w:rPr>
          <w:rFonts w:hint="eastAsia"/>
          <w:color w:val="auto"/>
          <w:szCs w:val="21"/>
          <w:highlight w:val="none"/>
          <w:u w:val="none" w:color="auto"/>
        </w:rPr>
        <w:t>的全部内容。如发现缺页或附件不全，应及时向招标人提出，以便补齐。如有疑问，投标人应在</w:t>
      </w:r>
      <w:r>
        <w:rPr>
          <w:rFonts w:hint="eastAsia" w:ascii="宋体"/>
          <w:color w:val="auto"/>
          <w:szCs w:val="21"/>
          <w:highlight w:val="none"/>
        </w:rPr>
        <w:t>以书面形式一次性向采购人和采购代理机构提出同一环节的质疑</w:t>
      </w:r>
      <w:r>
        <w:rPr>
          <w:rFonts w:hint="eastAsia"/>
          <w:color w:val="auto"/>
          <w:szCs w:val="21"/>
          <w:highlight w:val="none"/>
          <w:u w:val="none" w:color="auto"/>
        </w:rPr>
        <w:t>。</w:t>
      </w:r>
    </w:p>
    <w:p>
      <w:pPr>
        <w:shd w:val="clear" w:color="auto" w:fill="auto"/>
        <w:wordWrap w:val="0"/>
        <w:spacing w:line="440" w:lineRule="exact"/>
        <w:rPr>
          <w:rFonts w:hint="eastAsia" w:ascii="宋体"/>
          <w:color w:val="auto"/>
          <w:szCs w:val="21"/>
          <w:highlight w:val="none"/>
        </w:rPr>
      </w:pPr>
      <w:r>
        <w:rPr>
          <w:rFonts w:hint="eastAsia" w:ascii="宋体"/>
          <w:color w:val="auto"/>
          <w:szCs w:val="21"/>
          <w:highlight w:val="none"/>
        </w:rPr>
        <w:t xml:space="preserve">   16.4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宋体"/>
          <w:color w:val="auto"/>
          <w:szCs w:val="21"/>
          <w:highlight w:val="none"/>
          <w:lang w:eastAsia="zh-CN"/>
        </w:rPr>
        <w:t>采购文件</w:t>
      </w:r>
      <w:r>
        <w:rPr>
          <w:rFonts w:hint="eastAsia" w:ascii="宋体"/>
          <w:color w:val="auto"/>
          <w:szCs w:val="21"/>
          <w:highlight w:val="none"/>
        </w:rPr>
        <w:t>的澄清将在</w:t>
      </w:r>
      <w:r>
        <w:rPr>
          <w:rFonts w:hint="eastAsia" w:ascii="宋体"/>
          <w:color w:val="auto"/>
          <w:szCs w:val="21"/>
          <w:highlight w:val="none"/>
          <w:lang w:eastAsia="zh-CN"/>
        </w:rPr>
        <w:t>政采云平台“更正公告”栏目予以公告</w:t>
      </w:r>
      <w:r>
        <w:rPr>
          <w:rFonts w:hint="eastAsia" w:ascii="宋体"/>
          <w:color w:val="auto"/>
          <w:szCs w:val="21"/>
          <w:highlight w:val="none"/>
        </w:rPr>
        <w:t>，但不指明澄清问题的来源。如果澄清内容影响投标文件编制的，将相应延长投标截止时间。</w:t>
      </w:r>
    </w:p>
    <w:p>
      <w:pPr>
        <w:shd w:val="clear" w:color="auto" w:fill="auto"/>
        <w:spacing w:line="440" w:lineRule="exact"/>
        <w:ind w:firstLine="420" w:firstLineChars="200"/>
        <w:rPr>
          <w:rFonts w:hint="eastAsia" w:ascii="宋体"/>
          <w:b/>
          <w:bCs/>
          <w:color w:val="auto"/>
          <w:szCs w:val="21"/>
          <w:highlight w:val="none"/>
        </w:rPr>
      </w:pPr>
      <w:r>
        <w:rPr>
          <w:rFonts w:hint="eastAsia" w:ascii="宋体"/>
          <w:b/>
          <w:bCs/>
          <w:color w:val="auto"/>
          <w:szCs w:val="21"/>
          <w:highlight w:val="none"/>
        </w:rPr>
        <w:t xml:space="preserve">17. </w:t>
      </w:r>
      <w:r>
        <w:rPr>
          <w:rFonts w:hint="eastAsia" w:ascii="宋体"/>
          <w:b/>
          <w:bCs/>
          <w:color w:val="auto"/>
          <w:szCs w:val="21"/>
          <w:highlight w:val="none"/>
          <w:lang w:eastAsia="zh-CN"/>
        </w:rPr>
        <w:t>采购文件</w:t>
      </w:r>
      <w:r>
        <w:rPr>
          <w:rFonts w:hint="eastAsia" w:ascii="宋体"/>
          <w:b/>
          <w:bCs/>
          <w:color w:val="auto"/>
          <w:szCs w:val="21"/>
          <w:highlight w:val="none"/>
        </w:rPr>
        <w:t>的修改、补充、解释</w:t>
      </w:r>
    </w:p>
    <w:p>
      <w:pPr>
        <w:shd w:val="clear" w:color="auto" w:fill="auto"/>
        <w:wordWrap w:val="0"/>
        <w:spacing w:line="400" w:lineRule="exact"/>
        <w:ind w:firstLine="315" w:firstLineChars="150"/>
        <w:rPr>
          <w:rFonts w:hint="eastAsia" w:ascii="宋体" w:hAnsi="宋体"/>
          <w:color w:val="auto"/>
          <w:szCs w:val="21"/>
          <w:highlight w:val="none"/>
        </w:rPr>
      </w:pPr>
      <w:r>
        <w:rPr>
          <w:rFonts w:hint="eastAsia" w:ascii="宋体" w:hAnsi="宋体"/>
          <w:color w:val="auto"/>
          <w:szCs w:val="21"/>
          <w:highlight w:val="none"/>
        </w:rPr>
        <w:t>17.1</w:t>
      </w:r>
      <w:r>
        <w:rPr>
          <w:rFonts w:hint="eastAsia" w:ascii="宋体" w:hAnsi="宋体"/>
          <w:color w:val="auto"/>
          <w:szCs w:val="21"/>
          <w:highlight w:val="none"/>
          <w:lang w:eastAsia="zh-CN"/>
        </w:rPr>
        <w:t>采购文件</w:t>
      </w:r>
      <w:r>
        <w:rPr>
          <w:rFonts w:hint="eastAsia" w:ascii="宋体" w:hAnsi="宋体"/>
          <w:color w:val="auto"/>
          <w:szCs w:val="21"/>
          <w:highlight w:val="none"/>
        </w:rPr>
        <w:t>发出后，招标人在规定的投标截止时间前可对</w:t>
      </w:r>
      <w:r>
        <w:rPr>
          <w:rFonts w:hint="eastAsia" w:ascii="宋体" w:hAnsi="宋体"/>
          <w:color w:val="auto"/>
          <w:szCs w:val="21"/>
          <w:highlight w:val="none"/>
          <w:lang w:eastAsia="zh-CN"/>
        </w:rPr>
        <w:t>采购文件</w:t>
      </w:r>
      <w:r>
        <w:rPr>
          <w:rFonts w:hint="eastAsia" w:ascii="宋体" w:hAnsi="宋体"/>
          <w:color w:val="auto"/>
          <w:szCs w:val="21"/>
          <w:highlight w:val="none"/>
        </w:rPr>
        <w:t>进行必要的修改和补充，并以</w:t>
      </w:r>
      <w:r>
        <w:rPr>
          <w:rFonts w:hint="eastAsia" w:ascii="宋体" w:hAnsi="宋体"/>
          <w:color w:val="auto"/>
          <w:szCs w:val="21"/>
          <w:highlight w:val="none"/>
          <w:lang w:eastAsia="zh-CN"/>
        </w:rPr>
        <w:t>更正</w:t>
      </w:r>
      <w:r>
        <w:rPr>
          <w:rFonts w:hint="eastAsia" w:ascii="宋体" w:hAnsi="宋体"/>
          <w:color w:val="auto"/>
          <w:szCs w:val="21"/>
          <w:highlight w:val="none"/>
        </w:rPr>
        <w:t>公告形式在</w:t>
      </w:r>
      <w:r>
        <w:rPr>
          <w:rFonts w:hint="eastAsia" w:ascii="宋体" w:hAnsi="宋体"/>
          <w:color w:val="auto"/>
          <w:szCs w:val="21"/>
          <w:highlight w:val="none"/>
          <w:lang w:eastAsia="zh-CN"/>
        </w:rPr>
        <w:t>政采云平台</w:t>
      </w:r>
      <w:r>
        <w:rPr>
          <w:rFonts w:hint="eastAsia" w:ascii="宋体" w:hAnsi="宋体"/>
          <w:color w:val="auto"/>
          <w:szCs w:val="21"/>
          <w:highlight w:val="none"/>
        </w:rPr>
        <w:t xml:space="preserve"> “</w:t>
      </w:r>
      <w:r>
        <w:rPr>
          <w:rFonts w:hint="eastAsia" w:ascii="宋体" w:hAnsi="宋体"/>
          <w:color w:val="auto"/>
          <w:szCs w:val="21"/>
          <w:highlight w:val="none"/>
          <w:lang w:eastAsia="zh-CN"/>
        </w:rPr>
        <w:t>更正公告</w:t>
      </w:r>
      <w:r>
        <w:rPr>
          <w:rFonts w:hint="eastAsia" w:ascii="宋体" w:hAnsi="宋体"/>
          <w:color w:val="auto"/>
          <w:szCs w:val="21"/>
          <w:highlight w:val="none"/>
        </w:rPr>
        <w:t>”栏目予以公告，请各位投标人注意查看有关澄清内容，如不及时查看造成后果由投标人自负。</w:t>
      </w:r>
      <w:r>
        <w:rPr>
          <w:rFonts w:hint="eastAsia" w:ascii="宋体" w:hAnsi="宋体"/>
          <w:color w:val="auto"/>
          <w:szCs w:val="21"/>
          <w:highlight w:val="none"/>
          <w:lang w:eastAsia="zh-CN"/>
        </w:rPr>
        <w:t>采购文件</w:t>
      </w:r>
      <w:r>
        <w:rPr>
          <w:rFonts w:hint="eastAsia" w:ascii="宋体" w:hAnsi="宋体"/>
          <w:color w:val="auto"/>
          <w:szCs w:val="21"/>
          <w:highlight w:val="none"/>
        </w:rPr>
        <w:t>的修改、补充等内容作为</w:t>
      </w:r>
      <w:r>
        <w:rPr>
          <w:rFonts w:hint="eastAsia" w:ascii="宋体" w:hAnsi="宋体"/>
          <w:color w:val="auto"/>
          <w:szCs w:val="21"/>
          <w:highlight w:val="none"/>
          <w:lang w:eastAsia="zh-CN"/>
        </w:rPr>
        <w:t>采购文件</w:t>
      </w:r>
      <w:r>
        <w:rPr>
          <w:rFonts w:hint="eastAsia" w:ascii="宋体" w:hAnsi="宋体"/>
          <w:color w:val="auto"/>
          <w:szCs w:val="21"/>
          <w:highlight w:val="none"/>
        </w:rPr>
        <w:t>的组成部分，具有约束作用。</w:t>
      </w:r>
    </w:p>
    <w:p>
      <w:pPr>
        <w:shd w:val="clear" w:color="auto" w:fill="auto"/>
        <w:wordWrap w:val="0"/>
        <w:spacing w:line="400" w:lineRule="exact"/>
        <w:ind w:firstLine="315" w:firstLineChars="150"/>
        <w:rPr>
          <w:rFonts w:ascii="宋体" w:hAnsi="宋体"/>
          <w:color w:val="auto"/>
          <w:szCs w:val="21"/>
          <w:highlight w:val="none"/>
        </w:rPr>
      </w:pPr>
      <w:r>
        <w:rPr>
          <w:rFonts w:hint="eastAsia" w:ascii="宋体" w:hAnsi="宋体"/>
          <w:color w:val="auto"/>
          <w:szCs w:val="21"/>
          <w:highlight w:val="none"/>
        </w:rPr>
        <w:t>17.2 采购代理机构可视采购具体情况对已发出的采购文件进行必要的澄清、修改或者补充。澄清、修改或者补充的内容可能影响投标文件编制的，应当在投标截止时间至少15日前，在原公告发布媒体上发布澄清公告，澄清或者修改的内容为采购文件的组成部分；不足15日的，应当顺延提交投标文件的截止时间。</w:t>
      </w:r>
      <w:r>
        <w:rPr>
          <w:rFonts w:hint="eastAsia" w:ascii="宋体" w:hAnsi="宋体"/>
          <w:color w:val="auto"/>
          <w:szCs w:val="21"/>
          <w:highlight w:val="none"/>
          <w:lang w:val="en-US" w:eastAsia="zh-CN"/>
        </w:rPr>
        <w:t xml:space="preserve">    </w:t>
      </w:r>
      <w:r>
        <w:rPr>
          <w:rFonts w:hint="eastAsia" w:ascii="宋体" w:hAnsi="宋体"/>
          <w:bCs/>
          <w:color w:val="auto"/>
          <w:szCs w:val="21"/>
          <w:highlight w:val="none"/>
        </w:rPr>
        <w:t>17.</w:t>
      </w:r>
      <w:r>
        <w:rPr>
          <w:rFonts w:hint="eastAsia" w:ascii="宋体" w:hAnsi="宋体"/>
          <w:bCs/>
          <w:color w:val="auto"/>
          <w:szCs w:val="21"/>
          <w:highlight w:val="none"/>
          <w:lang w:val="en-US" w:eastAsia="zh-CN"/>
        </w:rPr>
        <w:t>3</w:t>
      </w:r>
      <w:r>
        <w:rPr>
          <w:rFonts w:hint="eastAsia" w:ascii="宋体" w:hAnsi="宋体"/>
          <w:bCs/>
          <w:color w:val="auto"/>
          <w:szCs w:val="21"/>
          <w:highlight w:val="none"/>
        </w:rPr>
        <w:t xml:space="preserve"> </w:t>
      </w:r>
      <w:r>
        <w:rPr>
          <w:rFonts w:hint="eastAsia" w:ascii="宋体" w:hAnsi="宋体"/>
          <w:color w:val="auto"/>
          <w:szCs w:val="21"/>
          <w:highlight w:val="none"/>
        </w:rPr>
        <w:t>供应商在规定的时间内未对采购文件提出疑问、质疑或要求澄清的，将视其为无异议。</w:t>
      </w:r>
    </w:p>
    <w:p>
      <w:pPr>
        <w:shd w:val="clear" w:color="auto" w:fill="auto"/>
        <w:spacing w:line="40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17.</w:t>
      </w:r>
      <w:r>
        <w:rPr>
          <w:rFonts w:hint="eastAsia" w:ascii="宋体" w:hAnsi="宋体"/>
          <w:bCs/>
          <w:color w:val="auto"/>
          <w:szCs w:val="21"/>
          <w:highlight w:val="none"/>
          <w:lang w:val="en-US" w:eastAsia="zh-CN"/>
        </w:rPr>
        <w:t>4</w:t>
      </w:r>
      <w:r>
        <w:rPr>
          <w:rFonts w:hint="eastAsia" w:ascii="宋体" w:hAnsi="宋体"/>
          <w:bCs/>
          <w:color w:val="auto"/>
          <w:szCs w:val="21"/>
          <w:highlight w:val="none"/>
        </w:rPr>
        <w:t xml:space="preserve"> </w:t>
      </w:r>
      <w:r>
        <w:rPr>
          <w:rFonts w:hint="eastAsia" w:ascii="宋体" w:hAnsi="宋体"/>
          <w:bCs/>
          <w:color w:val="auto"/>
          <w:szCs w:val="21"/>
          <w:highlight w:val="none"/>
          <w:lang w:eastAsia="zh-CN"/>
        </w:rPr>
        <w:t>采购文件</w:t>
      </w:r>
      <w:r>
        <w:rPr>
          <w:rFonts w:hint="eastAsia" w:ascii="宋体" w:hAnsi="宋体"/>
          <w:bCs/>
          <w:color w:val="auto"/>
          <w:szCs w:val="21"/>
          <w:highlight w:val="none"/>
        </w:rPr>
        <w:t>的解释</w:t>
      </w:r>
    </w:p>
    <w:p>
      <w:pPr>
        <w:shd w:val="clear" w:color="auto" w:fill="auto"/>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本</w:t>
      </w:r>
      <w:r>
        <w:rPr>
          <w:rFonts w:hint="eastAsia" w:ascii="宋体" w:hAnsi="宋体"/>
          <w:color w:val="auto"/>
          <w:szCs w:val="21"/>
          <w:highlight w:val="none"/>
          <w:lang w:eastAsia="zh-CN"/>
        </w:rPr>
        <w:t>采购文件</w:t>
      </w:r>
      <w:r>
        <w:rPr>
          <w:rFonts w:hint="eastAsia" w:ascii="宋体" w:hAnsi="宋体"/>
          <w:color w:val="auto"/>
          <w:szCs w:val="21"/>
          <w:highlight w:val="none"/>
        </w:rPr>
        <w:t>由招标人（或其委托的招标代理机构）负责解释。</w:t>
      </w:r>
    </w:p>
    <w:p>
      <w:pPr>
        <w:shd w:val="clear" w:color="auto" w:fill="auto"/>
        <w:spacing w:line="400" w:lineRule="exact"/>
        <w:rPr>
          <w:rFonts w:ascii="宋体" w:hAnsi="宋体"/>
          <w:b/>
          <w:color w:val="auto"/>
          <w:szCs w:val="21"/>
          <w:highlight w:val="none"/>
        </w:rPr>
      </w:pPr>
      <w:r>
        <w:rPr>
          <w:rFonts w:hint="eastAsia" w:ascii="宋体" w:hAnsi="宋体" w:cs="宋体"/>
          <w:b/>
          <w:color w:val="auto"/>
          <w:szCs w:val="21"/>
          <w:highlight w:val="none"/>
        </w:rPr>
        <w:t xml:space="preserve">   </w:t>
      </w:r>
      <w:r>
        <w:rPr>
          <w:rFonts w:hint="eastAsia" w:ascii="宋体" w:hAnsi="宋体" w:cs="宋体"/>
          <w:b/>
          <w:color w:val="auto"/>
          <w:szCs w:val="21"/>
          <w:highlight w:val="none"/>
          <w:lang w:val="en-US" w:eastAsia="zh-CN"/>
        </w:rPr>
        <w:t xml:space="preserve"> </w:t>
      </w:r>
      <w:r>
        <w:rPr>
          <w:rFonts w:hint="eastAsia"/>
          <w:b/>
          <w:color w:val="auto"/>
          <w:szCs w:val="21"/>
          <w:highlight w:val="none"/>
        </w:rPr>
        <w:t xml:space="preserve">18. </w:t>
      </w:r>
      <w:r>
        <w:rPr>
          <w:rFonts w:hint="eastAsia" w:ascii="宋体" w:hAnsi="宋体"/>
          <w:b/>
          <w:color w:val="auto"/>
          <w:szCs w:val="21"/>
          <w:highlight w:val="none"/>
          <w:lang w:eastAsia="zh-CN"/>
        </w:rPr>
        <w:t>采购文件</w:t>
      </w:r>
      <w:r>
        <w:rPr>
          <w:rFonts w:hint="eastAsia" w:ascii="宋体" w:hAnsi="宋体"/>
          <w:b/>
          <w:color w:val="auto"/>
          <w:szCs w:val="21"/>
          <w:highlight w:val="none"/>
        </w:rPr>
        <w:t>的发出</w:t>
      </w:r>
    </w:p>
    <w:p>
      <w:pPr>
        <w:shd w:val="clear" w:color="auto" w:fill="auto"/>
        <w:spacing w:line="400" w:lineRule="exact"/>
        <w:ind w:firstLine="315" w:firstLineChars="150"/>
        <w:rPr>
          <w:rFonts w:ascii="宋体" w:hAnsi="宋体"/>
          <w:color w:val="auto"/>
          <w:szCs w:val="21"/>
          <w:highlight w:val="none"/>
        </w:rPr>
      </w:pPr>
      <w:r>
        <w:rPr>
          <w:rFonts w:hint="eastAsia" w:ascii="宋体" w:hAnsi="宋体"/>
          <w:color w:val="auto"/>
          <w:szCs w:val="21"/>
          <w:highlight w:val="none"/>
        </w:rPr>
        <w:t xml:space="preserve">18.1  </w:t>
      </w:r>
      <w:r>
        <w:rPr>
          <w:rFonts w:hint="eastAsia" w:ascii="宋体" w:hAnsi="宋体"/>
          <w:color w:val="auto"/>
          <w:szCs w:val="21"/>
          <w:highlight w:val="none"/>
          <w:lang w:eastAsia="zh-CN"/>
        </w:rPr>
        <w:t>采购文件</w:t>
      </w:r>
      <w:r>
        <w:rPr>
          <w:rFonts w:hint="eastAsia" w:ascii="宋体" w:hAnsi="宋体"/>
          <w:color w:val="auto"/>
          <w:szCs w:val="21"/>
          <w:highlight w:val="none"/>
        </w:rPr>
        <w:t>、</w:t>
      </w:r>
      <w:r>
        <w:rPr>
          <w:rFonts w:hint="eastAsia" w:ascii="宋体" w:hAnsi="宋体"/>
          <w:color w:val="auto"/>
          <w:szCs w:val="21"/>
          <w:highlight w:val="none"/>
          <w:lang w:eastAsia="zh-CN"/>
        </w:rPr>
        <w:t>采购文件</w:t>
      </w:r>
      <w:r>
        <w:rPr>
          <w:rFonts w:hint="eastAsia" w:ascii="宋体" w:hAnsi="宋体"/>
          <w:color w:val="auto"/>
          <w:szCs w:val="21"/>
          <w:highlight w:val="none"/>
        </w:rPr>
        <w:t>的澄清、修改、补充及招标答疑等均应报</w:t>
      </w:r>
      <w:r>
        <w:rPr>
          <w:rFonts w:hint="eastAsia" w:ascii="宋体" w:hAnsi="宋体"/>
          <w:color w:val="auto"/>
          <w:szCs w:val="21"/>
          <w:highlight w:val="none"/>
          <w:lang w:eastAsia="zh-CN"/>
        </w:rPr>
        <w:t>相关部门</w:t>
      </w:r>
      <w:r>
        <w:rPr>
          <w:rFonts w:hint="eastAsia" w:ascii="宋体" w:hAnsi="宋体"/>
          <w:color w:val="auto"/>
          <w:szCs w:val="21"/>
          <w:highlight w:val="none"/>
        </w:rPr>
        <w:t>备案后，方可发出。</w:t>
      </w:r>
    </w:p>
    <w:p>
      <w:pPr>
        <w:shd w:val="clear" w:color="auto" w:fill="auto"/>
        <w:spacing w:line="400" w:lineRule="exact"/>
        <w:ind w:firstLine="420" w:firstLineChars="200"/>
        <w:rPr>
          <w:rFonts w:hint="eastAsia" w:ascii="宋体"/>
          <w:color w:val="auto"/>
          <w:szCs w:val="21"/>
          <w:highlight w:val="none"/>
        </w:rPr>
      </w:pPr>
      <w:bookmarkStart w:id="31" w:name="_Toc469495726"/>
      <w:r>
        <w:rPr>
          <w:rFonts w:hint="eastAsia"/>
          <w:b/>
          <w:color w:val="auto"/>
          <w:szCs w:val="21"/>
          <w:highlight w:val="none"/>
        </w:rPr>
        <w:t xml:space="preserve">19. </w:t>
      </w:r>
      <w:r>
        <w:rPr>
          <w:rFonts w:hint="eastAsia" w:ascii="宋体" w:hAnsi="宋体" w:cs="宋体"/>
          <w:kern w:val="0"/>
          <w:szCs w:val="21"/>
          <w:highlight w:val="none"/>
        </w:rPr>
        <w:t>招标采购单位发出的所有补充、修改和变更文件均作为招标文件的组成部分，与招标文件具有同等法律效力。</w:t>
      </w:r>
    </w:p>
    <w:p>
      <w:pPr>
        <w:shd w:val="clear" w:color="auto" w:fill="auto"/>
        <w:spacing w:before="312" w:beforeLines="100" w:after="312" w:afterLines="100" w:line="440" w:lineRule="exact"/>
        <w:jc w:val="center"/>
        <w:outlineLvl w:val="2"/>
        <w:rPr>
          <w:rFonts w:hint="eastAsia" w:ascii="宋体"/>
          <w:b/>
          <w:color w:val="auto"/>
          <w:sz w:val="28"/>
          <w:szCs w:val="28"/>
          <w:highlight w:val="none"/>
        </w:rPr>
      </w:pPr>
      <w:r>
        <w:rPr>
          <w:rFonts w:hint="eastAsia" w:ascii="宋体"/>
          <w:b/>
          <w:color w:val="auto"/>
          <w:sz w:val="28"/>
          <w:szCs w:val="28"/>
          <w:highlight w:val="none"/>
        </w:rPr>
        <w:t>（三）投标文件的编制</w:t>
      </w:r>
      <w:bookmarkEnd w:id="31"/>
    </w:p>
    <w:p>
      <w:pPr>
        <w:shd w:val="clear" w:color="auto" w:fill="auto"/>
        <w:spacing w:line="440" w:lineRule="exact"/>
        <w:ind w:firstLine="304" w:firstLineChars="145"/>
        <w:rPr>
          <w:rFonts w:hint="eastAsia" w:ascii="宋体" w:cs="宋体"/>
          <w:b/>
          <w:color w:val="auto"/>
          <w:szCs w:val="21"/>
          <w:highlight w:val="none"/>
        </w:rPr>
      </w:pPr>
      <w:r>
        <w:rPr>
          <w:rFonts w:hint="eastAsia"/>
          <w:b/>
          <w:color w:val="auto"/>
          <w:szCs w:val="21"/>
          <w:highlight w:val="none"/>
        </w:rPr>
        <w:t xml:space="preserve">20. </w:t>
      </w:r>
      <w:r>
        <w:rPr>
          <w:rFonts w:hint="eastAsia" w:ascii="宋体" w:cs="宋体"/>
          <w:b/>
          <w:color w:val="auto"/>
          <w:szCs w:val="21"/>
          <w:highlight w:val="none"/>
        </w:rPr>
        <w:t>投标的语言及度量衡单位</w:t>
      </w:r>
    </w:p>
    <w:p>
      <w:pPr>
        <w:shd w:val="clear" w:color="auto" w:fill="auto"/>
        <w:spacing w:line="440" w:lineRule="exact"/>
        <w:ind w:firstLine="283" w:firstLineChars="135"/>
        <w:rPr>
          <w:rFonts w:hint="eastAsia" w:ascii="宋体"/>
          <w:color w:val="auto"/>
          <w:szCs w:val="21"/>
          <w:highlight w:val="none"/>
        </w:rPr>
      </w:pPr>
      <w:r>
        <w:rPr>
          <w:rFonts w:hint="eastAsia" w:ascii="宋体"/>
          <w:color w:val="auto"/>
          <w:szCs w:val="21"/>
          <w:highlight w:val="none"/>
        </w:rPr>
        <w:t>20.1</w:t>
      </w:r>
      <w:r>
        <w:rPr>
          <w:rFonts w:ascii="宋体" w:hAnsi="宋体"/>
          <w:color w:val="auto"/>
          <w:szCs w:val="21"/>
          <w:highlight w:val="none"/>
        </w:rPr>
        <w:t>投标人</w:t>
      </w:r>
      <w:r>
        <w:rPr>
          <w:rFonts w:hint="eastAsia" w:ascii="宋体" w:hAnsi="宋体"/>
          <w:color w:val="auto"/>
          <w:szCs w:val="21"/>
          <w:highlight w:val="none"/>
        </w:rPr>
        <w:t>提交的投标文件、技术文件和资料，以及投标人与招标人就有关投标的所有来往函电均应使用中文。投标文件中若有英文或其他语言文字的资料，应提供相应的中文翻译资料。对不同文本投标文件的解释发生异议的，以中文文本为准。</w:t>
      </w:r>
    </w:p>
    <w:p>
      <w:pPr>
        <w:shd w:val="clear" w:color="auto" w:fill="auto"/>
        <w:spacing w:line="440" w:lineRule="exact"/>
        <w:ind w:firstLine="283" w:firstLineChars="135"/>
        <w:rPr>
          <w:rFonts w:hint="eastAsia" w:ascii="宋体"/>
          <w:color w:val="auto"/>
          <w:szCs w:val="21"/>
          <w:highlight w:val="none"/>
        </w:rPr>
      </w:pPr>
      <w:r>
        <w:rPr>
          <w:rFonts w:hint="eastAsia" w:ascii="宋体"/>
          <w:color w:val="auto"/>
          <w:szCs w:val="21"/>
          <w:highlight w:val="none"/>
        </w:rPr>
        <w:t xml:space="preserve"> 20.2除</w:t>
      </w:r>
      <w:r>
        <w:rPr>
          <w:rFonts w:hint="eastAsia" w:ascii="宋体"/>
          <w:color w:val="auto"/>
          <w:szCs w:val="21"/>
          <w:highlight w:val="none"/>
          <w:lang w:eastAsia="zh-CN"/>
        </w:rPr>
        <w:t>采购文件</w:t>
      </w:r>
      <w:r>
        <w:rPr>
          <w:rFonts w:hint="eastAsia" w:ascii="宋体"/>
          <w:color w:val="auto"/>
          <w:szCs w:val="21"/>
          <w:highlight w:val="none"/>
        </w:rPr>
        <w:t>中另有规定外，</w:t>
      </w:r>
      <w:r>
        <w:rPr>
          <w:rFonts w:hint="eastAsia" w:ascii="宋体"/>
          <w:color w:val="auto"/>
          <w:szCs w:val="21"/>
          <w:highlight w:val="none"/>
          <w:lang w:eastAsia="zh-CN"/>
        </w:rPr>
        <w:t>投标函</w:t>
      </w:r>
      <w:r>
        <w:rPr>
          <w:rFonts w:hint="eastAsia" w:ascii="宋体"/>
          <w:color w:val="auto"/>
          <w:szCs w:val="21"/>
          <w:highlight w:val="none"/>
        </w:rPr>
        <w:t>所使用的度量衡均须采用法定计量单位。</w:t>
      </w:r>
    </w:p>
    <w:p>
      <w:pPr>
        <w:shd w:val="clear" w:color="auto" w:fill="auto"/>
        <w:spacing w:line="400" w:lineRule="exact"/>
        <w:ind w:firstLine="205" w:firstLineChars="98"/>
        <w:rPr>
          <w:rFonts w:hint="eastAsia" w:ascii="宋体" w:hAnsi="宋体"/>
          <w:b/>
          <w:color w:val="auto"/>
          <w:szCs w:val="21"/>
          <w:highlight w:val="none"/>
        </w:rPr>
      </w:pPr>
      <w:r>
        <w:rPr>
          <w:rFonts w:hint="eastAsia"/>
          <w:b/>
          <w:color w:val="auto"/>
          <w:szCs w:val="21"/>
          <w:highlight w:val="none"/>
        </w:rPr>
        <w:t xml:space="preserve">21. </w:t>
      </w:r>
      <w:r>
        <w:rPr>
          <w:rFonts w:hint="eastAsia" w:ascii="宋体" w:hAnsi="宋体"/>
          <w:b/>
          <w:color w:val="auto"/>
          <w:szCs w:val="21"/>
          <w:highlight w:val="none"/>
        </w:rPr>
        <w:t>投标文件的组成</w:t>
      </w:r>
    </w:p>
    <w:p>
      <w:pPr>
        <w:shd w:val="clear" w:color="auto" w:fill="auto"/>
        <w:spacing w:line="400" w:lineRule="exact"/>
        <w:ind w:firstLine="420" w:firstLineChars="200"/>
        <w:rPr>
          <w:rFonts w:hint="eastAsia" w:ascii="宋体"/>
          <w:color w:val="auto"/>
          <w:szCs w:val="21"/>
          <w:highlight w:val="none"/>
        </w:rPr>
      </w:pPr>
      <w:r>
        <w:rPr>
          <w:rFonts w:hint="eastAsia" w:ascii="宋体" w:hAnsi="宋体"/>
          <w:color w:val="auto"/>
          <w:szCs w:val="21"/>
          <w:highlight w:val="none"/>
        </w:rPr>
        <w:t>资格证明文件和商务及技术文件两部分。</w:t>
      </w:r>
    </w:p>
    <w:p>
      <w:pPr>
        <w:shd w:val="clear" w:color="auto" w:fill="auto"/>
        <w:spacing w:line="440" w:lineRule="exact"/>
        <w:ind w:firstLine="308" w:firstLineChars="147"/>
        <w:rPr>
          <w:rFonts w:hint="eastAsia" w:ascii="宋体" w:eastAsia="宋体"/>
          <w:b/>
          <w:color w:val="auto"/>
          <w:szCs w:val="21"/>
          <w:highlight w:val="none"/>
          <w:lang w:eastAsia="zh-CN"/>
        </w:rPr>
      </w:pPr>
      <w:r>
        <w:rPr>
          <w:rFonts w:hint="eastAsia" w:ascii="宋体"/>
          <w:b/>
          <w:color w:val="auto"/>
          <w:szCs w:val="21"/>
          <w:highlight w:val="none"/>
        </w:rPr>
        <w:t>21.1资格证明文件</w:t>
      </w:r>
      <w:r>
        <w:rPr>
          <w:rFonts w:hint="eastAsia" w:ascii="宋体"/>
          <w:b/>
          <w:color w:val="auto"/>
          <w:szCs w:val="21"/>
          <w:highlight w:val="none"/>
          <w:lang w:eastAsia="zh-CN"/>
        </w:rPr>
        <w:t>（包括但不限于）</w:t>
      </w:r>
    </w:p>
    <w:p>
      <w:pPr>
        <w:shd w:val="clear" w:color="auto" w:fill="auto"/>
        <w:spacing w:line="440" w:lineRule="exact"/>
        <w:ind w:firstLine="308" w:firstLineChars="147"/>
        <w:rPr>
          <w:rFonts w:hint="eastAsia" w:hAnsi="宋体"/>
          <w:color w:val="auto"/>
          <w:szCs w:val="21"/>
          <w:highlight w:val="none"/>
        </w:rPr>
      </w:pPr>
      <w:r>
        <w:rPr>
          <w:rFonts w:hint="eastAsia" w:hAnsi="宋体"/>
          <w:color w:val="auto"/>
          <w:szCs w:val="21"/>
          <w:highlight w:val="none"/>
        </w:rPr>
        <w:t>资格证明</w:t>
      </w:r>
      <w:r>
        <w:rPr>
          <w:rFonts w:hint="eastAsia" w:hAnsi="宋体"/>
          <w:color w:val="auto"/>
          <w:szCs w:val="21"/>
          <w:highlight w:val="none"/>
          <w:lang w:eastAsia="zh-CN"/>
        </w:rPr>
        <w:t>文件</w:t>
      </w:r>
      <w:r>
        <w:rPr>
          <w:rFonts w:hint="eastAsia" w:hAnsi="宋体"/>
          <w:color w:val="auto"/>
          <w:szCs w:val="21"/>
          <w:highlight w:val="none"/>
        </w:rPr>
        <w:t>是证明投标人有资格参加投标和中标后有能力履行合同的文件，这些文件应能满足招标的要求，否则作无效投标处理。</w:t>
      </w:r>
    </w:p>
    <w:p>
      <w:pPr>
        <w:shd w:val="clear" w:color="auto" w:fill="auto"/>
        <w:spacing w:line="400" w:lineRule="exact"/>
        <w:ind w:firstLine="210" w:firstLineChars="1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开标一览表（见投标文件格式一）;</w:t>
      </w:r>
    </w:p>
    <w:p>
      <w:pPr>
        <w:shd w:val="clear" w:color="auto" w:fill="auto"/>
        <w:spacing w:line="400" w:lineRule="exact"/>
        <w:ind w:firstLine="417" w:firstLineChars="199"/>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法人或者非法人组织的营业执照等证明文件复印件（须加盖本单位章）;</w:t>
      </w:r>
    </w:p>
    <w:p>
      <w:pPr>
        <w:shd w:val="clear" w:color="auto" w:fill="auto"/>
        <w:spacing w:line="400" w:lineRule="exact"/>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法定代表人</w:t>
      </w:r>
      <w:r>
        <w:rPr>
          <w:rFonts w:hint="eastAsia" w:ascii="宋体" w:hAnsi="宋体" w:eastAsia="宋体" w:cs="Times New Roman"/>
          <w:color w:val="auto"/>
          <w:szCs w:val="21"/>
          <w:highlight w:val="none"/>
          <w:lang w:val="en-US" w:eastAsia="zh-CN"/>
        </w:rPr>
        <w:t>资格证明书</w:t>
      </w:r>
      <w:r>
        <w:rPr>
          <w:rFonts w:hint="eastAsia" w:ascii="宋体" w:hAnsi="宋体" w:eastAsia="宋体" w:cs="Times New Roman"/>
          <w:color w:val="auto"/>
          <w:szCs w:val="21"/>
          <w:highlight w:val="none"/>
        </w:rPr>
        <w:t>（见投标文件格式二）</w:t>
      </w:r>
      <w:r>
        <w:rPr>
          <w:rFonts w:hint="eastAsia" w:ascii="宋体" w:hAnsi="宋体" w:eastAsia="宋体" w:cs="Times New Roman"/>
          <w:color w:val="auto"/>
          <w:szCs w:val="21"/>
          <w:highlight w:val="none"/>
          <w:lang w:eastAsia="zh-CN"/>
        </w:rPr>
        <w:t>；</w:t>
      </w:r>
    </w:p>
    <w:p>
      <w:pPr>
        <w:shd w:val="clear" w:color="auto" w:fill="auto"/>
        <w:spacing w:line="400" w:lineRule="exact"/>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法定代表人授权委托书（见投标文件格式</w:t>
      </w:r>
      <w:r>
        <w:rPr>
          <w:rFonts w:hint="eastAsia" w:ascii="宋体" w:hAnsi="宋体" w:eastAsia="宋体" w:cs="Times New Roman"/>
          <w:color w:val="auto"/>
          <w:szCs w:val="21"/>
          <w:highlight w:val="none"/>
          <w:lang w:eastAsia="zh-CN"/>
        </w:rPr>
        <w:t>三</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eastAsia="zh-CN"/>
        </w:rPr>
        <w:t>；</w:t>
      </w:r>
    </w:p>
    <w:p>
      <w:pPr>
        <w:shd w:val="clear" w:color="auto" w:fill="auto"/>
        <w:spacing w:line="400" w:lineRule="exact"/>
        <w:ind w:firstLine="417" w:firstLineChars="199"/>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具有良好的商业信誉和健全的财务会计制度的证明文件；</w:t>
      </w:r>
    </w:p>
    <w:p>
      <w:pPr>
        <w:shd w:val="clear" w:color="auto" w:fill="auto"/>
        <w:spacing w:line="400" w:lineRule="exact"/>
        <w:ind w:firstLine="417" w:firstLineChars="199"/>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lang w:eastAsia="zh-CN"/>
        </w:rPr>
        <w:t>）投标</w:t>
      </w:r>
      <w:r>
        <w:rPr>
          <w:rFonts w:hint="eastAsia" w:ascii="宋体" w:hAnsi="宋体" w:cs="Times New Roman"/>
          <w:color w:val="auto"/>
          <w:szCs w:val="21"/>
          <w:highlight w:val="none"/>
          <w:lang w:eastAsia="zh-CN"/>
        </w:rPr>
        <w:t>保证金打款凭证</w:t>
      </w:r>
      <w:r>
        <w:rPr>
          <w:rFonts w:hint="eastAsia" w:ascii="宋体" w:hAnsi="宋体" w:eastAsia="宋体" w:cs="Times New Roman"/>
          <w:color w:val="auto"/>
          <w:szCs w:val="21"/>
          <w:highlight w:val="none"/>
          <w:lang w:eastAsia="zh-CN"/>
        </w:rPr>
        <w:t>或投标担保函；</w:t>
      </w:r>
    </w:p>
    <w:p>
      <w:pPr>
        <w:shd w:val="clear" w:color="auto" w:fill="auto"/>
        <w:spacing w:line="400" w:lineRule="exact"/>
        <w:ind w:firstLine="417" w:firstLineChars="199"/>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投标企业须提供投标人（被授权在职人员）近6个月的社保证明；</w:t>
      </w:r>
    </w:p>
    <w:p>
      <w:pPr>
        <w:shd w:val="clear" w:color="auto" w:fill="auto"/>
        <w:spacing w:line="400" w:lineRule="exact"/>
        <w:ind w:firstLine="417" w:firstLineChars="199"/>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8</w:t>
      </w:r>
      <w:r>
        <w:rPr>
          <w:rFonts w:hint="eastAsia" w:ascii="宋体" w:hAnsi="宋体" w:eastAsia="宋体" w:cs="Times New Roman"/>
          <w:color w:val="auto"/>
          <w:szCs w:val="21"/>
          <w:highlight w:val="none"/>
        </w:rPr>
        <w:t>）参加政府采购活动前3年内在经营活动中没有重大违法记录的书面声明;</w:t>
      </w:r>
    </w:p>
    <w:p>
      <w:pPr>
        <w:shd w:val="clear" w:color="auto" w:fill="auto"/>
        <w:spacing w:line="400" w:lineRule="exact"/>
        <w:ind w:firstLine="417" w:firstLineChars="199"/>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eastAsia="zh-CN"/>
        </w:rPr>
        <w:t>（</w:t>
      </w:r>
      <w:r>
        <w:rPr>
          <w:rFonts w:hint="eastAsia" w:ascii="宋体" w:hAnsi="宋体" w:cs="Times New Roman"/>
          <w:color w:val="auto"/>
          <w:szCs w:val="21"/>
          <w:highlight w:val="none"/>
          <w:lang w:val="en-US" w:eastAsia="zh-CN"/>
        </w:rPr>
        <w:t>9</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投标人须知资料表要求的其他资格证明文件;</w:t>
      </w:r>
    </w:p>
    <w:p>
      <w:pPr>
        <w:shd w:val="clear" w:color="auto" w:fill="auto"/>
        <w:spacing w:line="400" w:lineRule="exact"/>
        <w:ind w:firstLine="417"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cs="Times New Roman"/>
          <w:color w:val="auto"/>
          <w:szCs w:val="21"/>
          <w:highlight w:val="none"/>
          <w:lang w:val="en-US" w:eastAsia="zh-CN"/>
        </w:rPr>
        <w:t>10</w:t>
      </w:r>
      <w:r>
        <w:rPr>
          <w:rFonts w:hint="eastAsia" w:ascii="宋体" w:hAnsi="宋体" w:eastAsia="宋体" w:cs="Times New Roman"/>
          <w:color w:val="auto"/>
          <w:szCs w:val="21"/>
          <w:highlight w:val="none"/>
          <w:lang w:eastAsia="zh-CN"/>
        </w:rPr>
        <w:t>）</w:t>
      </w:r>
      <w:r>
        <w:rPr>
          <w:rFonts w:hint="eastAsia" w:ascii="宋体" w:hAnsi="宋体" w:cs="宋体"/>
          <w:kern w:val="0"/>
          <w:szCs w:val="21"/>
          <w:highlight w:val="none"/>
        </w:rPr>
        <w:t>诚信声明</w:t>
      </w:r>
      <w:r>
        <w:rPr>
          <w:rFonts w:hint="eastAsia" w:ascii="宋体" w:hAnsi="宋体" w:cs="宋体"/>
          <w:kern w:val="0"/>
          <w:szCs w:val="21"/>
          <w:highlight w:val="none"/>
          <w:lang w:eastAsia="zh-CN"/>
        </w:rPr>
        <w:t>；</w:t>
      </w:r>
    </w:p>
    <w:p>
      <w:pPr>
        <w:shd w:val="clear" w:color="auto" w:fill="auto"/>
        <w:spacing w:line="440" w:lineRule="exact"/>
        <w:ind w:firstLine="308" w:firstLineChars="147"/>
        <w:rPr>
          <w:rFonts w:hint="eastAsia" w:ascii="Times New Roman" w:hAnsi="宋体" w:eastAsia="宋体" w:cs="Times New Roman"/>
          <w:color w:val="auto"/>
          <w:szCs w:val="21"/>
          <w:highlight w:val="none"/>
        </w:rPr>
      </w:pPr>
      <w:r>
        <w:rPr>
          <w:rFonts w:hint="eastAsia" w:ascii="宋体" w:hAnsi="宋体" w:cs="宋体"/>
          <w:b/>
          <w:color w:val="auto"/>
          <w:szCs w:val="21"/>
          <w:highlight w:val="none"/>
        </w:rPr>
        <w:t>21.2</w:t>
      </w:r>
      <w:r>
        <w:rPr>
          <w:rFonts w:hint="eastAsia" w:ascii="宋体" w:hAnsi="宋体" w:cs="宋体"/>
          <w:b/>
          <w:color w:val="auto"/>
          <w:szCs w:val="21"/>
          <w:highlight w:val="none"/>
          <w:lang w:val="en-US" w:eastAsia="zh-CN"/>
        </w:rPr>
        <w:t xml:space="preserve"> 商务及技术文件</w:t>
      </w:r>
      <w:r>
        <w:rPr>
          <w:rFonts w:hint="eastAsia" w:ascii="宋体"/>
          <w:b/>
          <w:color w:val="auto"/>
          <w:szCs w:val="21"/>
          <w:highlight w:val="none"/>
          <w:lang w:eastAsia="zh-CN"/>
        </w:rPr>
        <w:t>（包括但不限于）</w:t>
      </w:r>
    </w:p>
    <w:p>
      <w:pPr>
        <w:shd w:val="clear" w:color="auto" w:fill="auto"/>
        <w:spacing w:line="400" w:lineRule="exact"/>
        <w:ind w:firstLine="417"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lang w:eastAsia="zh-CN"/>
        </w:rPr>
        <w:t>）</w:t>
      </w:r>
      <w:r>
        <w:rPr>
          <w:rFonts w:hint="eastAsia" w:ascii="宋体" w:hAnsi="宋体" w:cs="Times New Roman"/>
          <w:color w:val="auto"/>
          <w:szCs w:val="21"/>
          <w:highlight w:val="none"/>
          <w:lang w:eastAsia="zh-CN"/>
        </w:rPr>
        <w:t>投标函</w:t>
      </w:r>
      <w:r>
        <w:rPr>
          <w:rFonts w:hint="eastAsia" w:ascii="宋体" w:hAnsi="宋体" w:eastAsia="宋体" w:cs="Times New Roman"/>
          <w:color w:val="auto"/>
          <w:szCs w:val="21"/>
          <w:highlight w:val="none"/>
          <w:lang w:eastAsia="zh-CN"/>
        </w:rPr>
        <w:t>（投标文件格式五）</w:t>
      </w:r>
    </w:p>
    <w:p>
      <w:pPr>
        <w:shd w:val="clear" w:color="auto" w:fill="auto"/>
        <w:spacing w:line="400" w:lineRule="exact"/>
        <w:ind w:firstLine="417"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lang w:eastAsia="zh-CN"/>
        </w:rPr>
        <w:t>）投标分项报价表（投标文件格式六）</w:t>
      </w:r>
    </w:p>
    <w:p>
      <w:pPr>
        <w:shd w:val="clear" w:color="auto" w:fill="auto"/>
        <w:spacing w:line="400" w:lineRule="exact"/>
        <w:ind w:firstLine="417"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lang w:eastAsia="zh-CN"/>
        </w:rPr>
        <w:t>）</w:t>
      </w:r>
      <w:r>
        <w:rPr>
          <w:rFonts w:hint="eastAsia" w:ascii="宋体" w:hAnsi="宋体" w:cs="Times New Roman"/>
          <w:color w:val="auto"/>
          <w:szCs w:val="21"/>
          <w:highlight w:val="none"/>
          <w:lang w:val="en-US" w:eastAsia="zh-CN"/>
        </w:rPr>
        <w:t>货物</w:t>
      </w:r>
      <w:r>
        <w:rPr>
          <w:rFonts w:hint="eastAsia" w:ascii="宋体" w:hAnsi="宋体" w:eastAsia="宋体" w:cs="Times New Roman"/>
          <w:color w:val="auto"/>
          <w:szCs w:val="21"/>
          <w:highlight w:val="none"/>
          <w:lang w:eastAsia="zh-CN"/>
        </w:rPr>
        <w:t>一览表（投标文件格式七）</w:t>
      </w:r>
    </w:p>
    <w:p>
      <w:pPr>
        <w:shd w:val="clear" w:color="auto" w:fill="auto"/>
        <w:spacing w:line="400" w:lineRule="exact"/>
        <w:ind w:firstLine="417"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lang w:eastAsia="zh-CN"/>
        </w:rPr>
        <w:t>）技术</w:t>
      </w:r>
      <w:r>
        <w:rPr>
          <w:rFonts w:hint="eastAsia" w:ascii="宋体" w:hAnsi="宋体" w:eastAsia="宋体" w:cs="Times New Roman"/>
          <w:color w:val="auto"/>
          <w:szCs w:val="21"/>
          <w:highlight w:val="none"/>
          <w:lang w:val="en-US" w:eastAsia="zh-CN"/>
        </w:rPr>
        <w:t>要求</w:t>
      </w:r>
      <w:r>
        <w:rPr>
          <w:rFonts w:hint="eastAsia" w:ascii="宋体" w:hAnsi="宋体" w:eastAsia="宋体" w:cs="Times New Roman"/>
          <w:color w:val="auto"/>
          <w:szCs w:val="21"/>
          <w:highlight w:val="none"/>
          <w:lang w:eastAsia="zh-CN"/>
        </w:rPr>
        <w:t>偏离表（投标文件格式八）</w:t>
      </w:r>
    </w:p>
    <w:p>
      <w:pPr>
        <w:shd w:val="clear" w:color="auto" w:fill="auto"/>
        <w:spacing w:line="400" w:lineRule="exact"/>
        <w:ind w:firstLine="417"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lang w:eastAsia="zh-CN"/>
        </w:rPr>
        <w:t>）商务条款偏离表（投标文件格式九）</w:t>
      </w:r>
    </w:p>
    <w:p>
      <w:pPr>
        <w:shd w:val="clear" w:color="auto" w:fill="auto"/>
        <w:spacing w:line="400" w:lineRule="exact"/>
        <w:ind w:firstLine="417"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lang w:eastAsia="zh-CN"/>
        </w:rPr>
        <w:t>）符合《政府采购促进中小企业发展暂行办法》、《关于政府采购支持监狱企业发展有关问题的通知》和《三部门联合发布关于促进残疾人就业政府采购政策的通知》条件的投标人提交）</w:t>
      </w:r>
    </w:p>
    <w:p>
      <w:pPr>
        <w:shd w:val="clear" w:color="auto" w:fill="auto"/>
        <w:spacing w:line="400" w:lineRule="exact"/>
        <w:ind w:firstLine="417"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lang w:eastAsia="zh-CN"/>
        </w:rPr>
        <w:t>-1《投标人企业（单位）类型声明函》（投标文件格式十）</w:t>
      </w:r>
    </w:p>
    <w:p>
      <w:pPr>
        <w:shd w:val="clear" w:color="auto" w:fill="auto"/>
        <w:spacing w:line="400" w:lineRule="exact"/>
        <w:ind w:firstLine="417"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lang w:eastAsia="zh-CN"/>
        </w:rPr>
        <w:t>-2《制造商投标人企业（单位）类型声明函》（投标文件格式十一）</w:t>
      </w:r>
    </w:p>
    <w:p>
      <w:pPr>
        <w:shd w:val="clear" w:color="auto" w:fill="auto"/>
        <w:spacing w:line="400" w:lineRule="exact"/>
        <w:ind w:firstLine="417"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lang w:eastAsia="zh-CN"/>
        </w:rPr>
        <w:t>-3《残疾人福利性单位声明函》（投标文件格式十二）</w:t>
      </w:r>
    </w:p>
    <w:p>
      <w:pPr>
        <w:shd w:val="clear" w:color="auto" w:fill="auto"/>
        <w:spacing w:line="400" w:lineRule="exact"/>
        <w:ind w:firstLine="417"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lang w:eastAsia="zh-CN"/>
        </w:rPr>
        <w:t>）投标人关联单位的说明（格式自拟）</w:t>
      </w:r>
    </w:p>
    <w:p>
      <w:pPr>
        <w:shd w:val="clear" w:color="auto" w:fill="auto"/>
        <w:spacing w:line="400" w:lineRule="exact"/>
        <w:ind w:firstLine="417"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8</w:t>
      </w:r>
      <w:r>
        <w:rPr>
          <w:rFonts w:hint="eastAsia" w:ascii="宋体" w:hAnsi="宋体" w:eastAsia="宋体" w:cs="Times New Roman"/>
          <w:color w:val="auto"/>
          <w:szCs w:val="21"/>
          <w:highlight w:val="none"/>
          <w:lang w:eastAsia="zh-CN"/>
        </w:rPr>
        <w:t>）评分标准和细则中技术部分证明材料（格式自拟）</w:t>
      </w:r>
    </w:p>
    <w:p>
      <w:pPr>
        <w:shd w:val="clear" w:color="auto" w:fill="auto"/>
        <w:spacing w:line="400" w:lineRule="exact"/>
        <w:ind w:firstLine="424" w:firstLineChars="202"/>
        <w:rPr>
          <w:rFonts w:hint="eastAsia" w:ascii="宋体" w:eastAsia="宋体"/>
          <w:color w:val="auto"/>
          <w:szCs w:val="21"/>
          <w:highlight w:val="none"/>
          <w:lang w:eastAsia="zh-CN"/>
        </w:rPr>
      </w:pPr>
      <w:r>
        <w:rPr>
          <w:rFonts w:hint="eastAsia" w:ascii="宋体"/>
          <w:color w:val="auto"/>
          <w:szCs w:val="21"/>
          <w:highlight w:val="none"/>
          <w:lang w:eastAsia="zh-CN"/>
        </w:rPr>
        <w:t>（</w:t>
      </w:r>
      <w:r>
        <w:rPr>
          <w:rFonts w:hint="eastAsia" w:ascii="宋体"/>
          <w:color w:val="auto"/>
          <w:szCs w:val="21"/>
          <w:highlight w:val="none"/>
          <w:lang w:val="en-US" w:eastAsia="zh-CN"/>
        </w:rPr>
        <w:t>9</w:t>
      </w:r>
      <w:r>
        <w:rPr>
          <w:rFonts w:hint="eastAsia" w:ascii="宋体"/>
          <w:color w:val="auto"/>
          <w:szCs w:val="21"/>
          <w:highlight w:val="none"/>
          <w:lang w:eastAsia="zh-CN"/>
        </w:rPr>
        <w:t>）</w:t>
      </w:r>
      <w:r>
        <w:rPr>
          <w:rFonts w:hint="eastAsia" w:ascii="宋体" w:hAnsi="宋体" w:eastAsia="宋体" w:cs="Times New Roman"/>
          <w:color w:val="auto"/>
          <w:szCs w:val="21"/>
          <w:highlight w:val="none"/>
          <w:lang w:eastAsia="zh-CN"/>
        </w:rPr>
        <w:t>评分标准和细则中商务部分证明材料（格式自拟）</w:t>
      </w:r>
    </w:p>
    <w:p>
      <w:pPr>
        <w:shd w:val="clear" w:color="auto" w:fill="auto"/>
        <w:spacing w:line="400" w:lineRule="exact"/>
        <w:ind w:firstLine="424" w:firstLineChars="202"/>
        <w:rPr>
          <w:rFonts w:hint="eastAsia" w:ascii="宋体" w:eastAsia="宋体"/>
          <w:color w:val="auto"/>
          <w:szCs w:val="21"/>
          <w:highlight w:val="none"/>
          <w:lang w:eastAsia="zh-CN"/>
        </w:rPr>
      </w:pPr>
      <w:r>
        <w:rPr>
          <w:rFonts w:hint="eastAsia" w:ascii="宋体"/>
          <w:color w:val="auto"/>
          <w:szCs w:val="21"/>
          <w:highlight w:val="none"/>
          <w:lang w:eastAsia="zh-CN"/>
        </w:rPr>
        <w:t>（</w:t>
      </w:r>
      <w:r>
        <w:rPr>
          <w:rFonts w:hint="eastAsia" w:ascii="宋体"/>
          <w:color w:val="auto"/>
          <w:szCs w:val="21"/>
          <w:highlight w:val="none"/>
          <w:lang w:val="en-US" w:eastAsia="zh-CN"/>
        </w:rPr>
        <w:t>10</w:t>
      </w:r>
      <w:r>
        <w:rPr>
          <w:rFonts w:hint="eastAsia" w:ascii="宋体"/>
          <w:color w:val="auto"/>
          <w:szCs w:val="21"/>
          <w:highlight w:val="none"/>
          <w:lang w:eastAsia="zh-CN"/>
        </w:rPr>
        <w:t>）投标人认为有必要提供的其他证明材料（格式自拟）</w:t>
      </w:r>
    </w:p>
    <w:p>
      <w:pPr>
        <w:shd w:val="clear" w:color="auto" w:fill="auto"/>
        <w:spacing w:line="400" w:lineRule="exact"/>
        <w:ind w:firstLine="417" w:firstLineChars="199"/>
        <w:rPr>
          <w:rFonts w:hint="eastAsia" w:ascii="宋体" w:eastAsia="宋体"/>
          <w:color w:val="auto"/>
          <w:szCs w:val="21"/>
          <w:highlight w:val="none"/>
          <w:lang w:eastAsia="zh-CN"/>
        </w:rPr>
      </w:pPr>
      <w:r>
        <w:rPr>
          <w:rFonts w:hint="eastAsia" w:ascii="宋体" w:hAnsi="宋体" w:eastAsia="宋体" w:cs="宋体"/>
          <w:b/>
          <w:color w:val="auto"/>
          <w:kern w:val="0"/>
          <w:szCs w:val="21"/>
          <w:highlight w:val="none"/>
          <w:u w:val="single"/>
        </w:rPr>
        <w:t>注：以上材料须</w:t>
      </w:r>
      <w:r>
        <w:rPr>
          <w:rFonts w:hint="eastAsia" w:ascii="宋体" w:hAnsi="宋体" w:eastAsia="宋体" w:cs="宋体"/>
          <w:b/>
          <w:color w:val="auto"/>
          <w:kern w:val="0"/>
          <w:szCs w:val="21"/>
          <w:highlight w:val="none"/>
          <w:u w:val="single"/>
          <w:lang w:eastAsia="zh-CN"/>
        </w:rPr>
        <w:t>逐页</w:t>
      </w:r>
      <w:r>
        <w:rPr>
          <w:rFonts w:hint="eastAsia" w:ascii="宋体" w:hAnsi="宋体" w:eastAsia="宋体" w:cs="宋体"/>
          <w:b/>
          <w:color w:val="auto"/>
          <w:kern w:val="0"/>
          <w:szCs w:val="21"/>
          <w:highlight w:val="none"/>
          <w:u w:val="single"/>
        </w:rPr>
        <w:t>加盖单位公章</w:t>
      </w:r>
      <w:r>
        <w:rPr>
          <w:rFonts w:hint="eastAsia" w:ascii="宋体" w:hAnsi="宋体" w:eastAsia="宋体" w:cs="宋体"/>
          <w:b/>
          <w:color w:val="auto"/>
          <w:kern w:val="0"/>
          <w:szCs w:val="21"/>
          <w:highlight w:val="none"/>
          <w:u w:val="single"/>
          <w:lang w:eastAsia="zh-CN"/>
        </w:rPr>
        <w:t>。</w:t>
      </w:r>
    </w:p>
    <w:p>
      <w:pPr>
        <w:shd w:val="clear" w:color="auto" w:fill="auto"/>
        <w:spacing w:line="400" w:lineRule="exact"/>
        <w:ind w:firstLine="417" w:firstLineChars="199"/>
        <w:rPr>
          <w:rFonts w:hint="eastAsia" w:ascii="宋体" w:hAnsi="宋体" w:eastAsia="宋体" w:cs="Times New Roman"/>
          <w:color w:val="auto"/>
          <w:szCs w:val="21"/>
          <w:highlight w:val="none"/>
          <w:lang w:eastAsia="zh-CN"/>
        </w:rPr>
      </w:pPr>
      <w:r>
        <w:rPr>
          <w:rFonts w:hint="eastAsia" w:ascii="宋体"/>
          <w:color w:val="auto"/>
          <w:szCs w:val="21"/>
          <w:highlight w:val="none"/>
        </w:rPr>
        <w:t>21.</w:t>
      </w:r>
      <w:r>
        <w:rPr>
          <w:rFonts w:hint="eastAsia" w:ascii="宋体"/>
          <w:color w:val="auto"/>
          <w:szCs w:val="21"/>
          <w:highlight w:val="none"/>
          <w:lang w:val="en-US" w:eastAsia="zh-CN"/>
        </w:rPr>
        <w:t>3</w:t>
      </w:r>
      <w:r>
        <w:rPr>
          <w:rFonts w:hint="eastAsia" w:ascii="宋体" w:hAnsi="宋体" w:eastAsia="宋体" w:cs="Times New Roman"/>
          <w:color w:val="auto"/>
          <w:szCs w:val="21"/>
          <w:highlight w:val="none"/>
          <w:lang w:eastAsia="zh-CN"/>
        </w:rPr>
        <w:t>投标文件的要求</w:t>
      </w:r>
    </w:p>
    <w:p>
      <w:pPr>
        <w:shd w:val="clear" w:color="auto" w:fill="auto"/>
        <w:spacing w:line="400" w:lineRule="exact"/>
        <w:ind w:firstLine="417"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lang w:eastAsia="zh-CN"/>
        </w:rPr>
        <w:t>）供应商应仔细阅读采购文件的所有内容，按照采购文件的要求详细编制投标文件，所提交的全部资料必须真实有效，并且要保证字迹清晰易于辨认。投标文件应对采购文件实质性内容作出响应，否则按无效标处理。</w:t>
      </w:r>
    </w:p>
    <w:p>
      <w:pPr>
        <w:shd w:val="clear" w:color="auto" w:fill="auto"/>
        <w:spacing w:line="400" w:lineRule="exact"/>
        <w:ind w:firstLine="417"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lang w:eastAsia="zh-CN"/>
        </w:rPr>
        <w:t>）投标文件格式应按本采购文件第六章格式要求编制，不得对采购文件格式进行增删更改，否则按无效标处理。</w:t>
      </w:r>
    </w:p>
    <w:p>
      <w:pPr>
        <w:shd w:val="clear" w:color="auto" w:fill="auto"/>
        <w:spacing w:line="400" w:lineRule="exact"/>
        <w:ind w:firstLine="417"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lang w:eastAsia="zh-CN"/>
        </w:rPr>
        <w:t xml:space="preserve">）对采购文件格式可更改的例外情况：采购文件第六章附件格式要求中明确规定表格中行数不够用时可按相同格式增加行数，其他一切内容和格式不得更改。 </w:t>
      </w:r>
    </w:p>
    <w:p>
      <w:pPr>
        <w:shd w:val="clear" w:color="auto" w:fill="auto"/>
        <w:spacing w:line="400" w:lineRule="exact"/>
        <w:ind w:firstLine="417"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lang w:eastAsia="zh-CN"/>
        </w:rPr>
        <w:t>）投标文件为电子投标文件，电子投标文件按“政采云供应商项目采购-电子招投标操作指南”及本采购文件要求制作、加密传输。</w:t>
      </w:r>
    </w:p>
    <w:p>
      <w:pPr>
        <w:shd w:val="clear" w:color="auto" w:fill="auto"/>
        <w:spacing w:line="400" w:lineRule="exact"/>
        <w:ind w:firstLine="417" w:firstLineChars="199"/>
        <w:rPr>
          <w:rFonts w:hint="eastAsia" w:ascii="宋体"/>
          <w:color w:val="auto"/>
          <w:szCs w:val="21"/>
          <w:highlight w:val="none"/>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lang w:eastAsia="zh-CN"/>
        </w:rPr>
        <w:t>）投标文件未在投标截止时间前完成传输的，视为投标文件撤回；投标文件未按时解密也未提供备份投标文件的，亦视为投标文件撤回。</w:t>
      </w:r>
    </w:p>
    <w:p>
      <w:pPr>
        <w:shd w:val="clear" w:color="auto" w:fill="auto"/>
        <w:spacing w:line="440" w:lineRule="exact"/>
        <w:ind w:firstLine="420" w:firstLineChars="200"/>
        <w:rPr>
          <w:rFonts w:hint="eastAsia" w:ascii="宋体"/>
          <w:color w:val="auto"/>
          <w:szCs w:val="21"/>
          <w:highlight w:val="none"/>
        </w:rPr>
      </w:pPr>
      <w:r>
        <w:rPr>
          <w:rFonts w:hint="eastAsia" w:ascii="宋体"/>
          <w:b/>
          <w:color w:val="auto"/>
          <w:szCs w:val="21"/>
          <w:highlight w:val="none"/>
        </w:rPr>
        <w:t>22</w:t>
      </w:r>
      <w:r>
        <w:rPr>
          <w:rFonts w:hint="eastAsia" w:ascii="宋体"/>
          <w:color w:val="auto"/>
          <w:szCs w:val="21"/>
          <w:highlight w:val="none"/>
        </w:rPr>
        <w:t>.</w:t>
      </w:r>
      <w:r>
        <w:rPr>
          <w:rFonts w:hint="eastAsia" w:ascii="宋体"/>
          <w:b/>
          <w:color w:val="auto"/>
          <w:szCs w:val="21"/>
          <w:highlight w:val="none"/>
        </w:rPr>
        <w:t>投标报价</w:t>
      </w:r>
    </w:p>
    <w:p>
      <w:pPr>
        <w:shd w:val="clear" w:color="auto" w:fill="auto"/>
        <w:spacing w:line="440" w:lineRule="exact"/>
        <w:ind w:firstLine="420" w:firstLineChars="200"/>
        <w:rPr>
          <w:rFonts w:hint="eastAsia" w:ascii="宋体"/>
          <w:color w:val="auto"/>
          <w:szCs w:val="21"/>
          <w:highlight w:val="none"/>
        </w:rPr>
      </w:pPr>
      <w:r>
        <w:rPr>
          <w:rFonts w:hint="eastAsia" w:ascii="宋体"/>
          <w:color w:val="auto"/>
          <w:szCs w:val="21"/>
          <w:highlight w:val="none"/>
        </w:rPr>
        <w:t>22.1投标报价文件中的单价和总价全部采用人民币表示。</w:t>
      </w:r>
    </w:p>
    <w:p>
      <w:pPr>
        <w:shd w:val="clear" w:color="auto" w:fill="auto"/>
        <w:spacing w:line="440" w:lineRule="exact"/>
        <w:ind w:firstLine="420" w:firstLineChars="200"/>
        <w:rPr>
          <w:rFonts w:hint="eastAsia" w:ascii="宋体"/>
          <w:color w:val="auto"/>
          <w:szCs w:val="21"/>
          <w:highlight w:val="none"/>
        </w:rPr>
      </w:pPr>
      <w:r>
        <w:rPr>
          <w:rFonts w:hint="eastAsia" w:ascii="宋体"/>
          <w:color w:val="auto"/>
          <w:szCs w:val="21"/>
          <w:highlight w:val="none"/>
        </w:rPr>
        <w:t>22.2投标报价表上应清楚地标明投标人拟提供</w:t>
      </w:r>
      <w:r>
        <w:rPr>
          <w:rFonts w:hint="eastAsia" w:ascii="宋体"/>
          <w:color w:val="auto"/>
          <w:szCs w:val="21"/>
          <w:highlight w:val="none"/>
          <w:lang w:val="en-US" w:eastAsia="zh-CN"/>
        </w:rPr>
        <w:t>服务的</w:t>
      </w:r>
      <w:r>
        <w:rPr>
          <w:rFonts w:hint="eastAsia" w:ascii="宋体"/>
          <w:color w:val="auto"/>
          <w:szCs w:val="21"/>
          <w:highlight w:val="none"/>
        </w:rPr>
        <w:t>单价和总价。</w:t>
      </w:r>
    </w:p>
    <w:p>
      <w:pPr>
        <w:shd w:val="clear" w:color="auto" w:fill="auto"/>
        <w:spacing w:line="440" w:lineRule="exact"/>
        <w:ind w:firstLine="420" w:firstLineChars="200"/>
        <w:rPr>
          <w:rFonts w:hint="eastAsia" w:ascii="宋体"/>
          <w:color w:val="auto"/>
          <w:szCs w:val="21"/>
          <w:highlight w:val="none"/>
        </w:rPr>
      </w:pPr>
      <w:r>
        <w:rPr>
          <w:rFonts w:hint="eastAsia" w:ascii="宋体"/>
          <w:color w:val="auto"/>
          <w:szCs w:val="21"/>
          <w:highlight w:val="none"/>
        </w:rPr>
        <w:t>22.3投标人只允许有一个方案、一个报价。</w:t>
      </w:r>
    </w:p>
    <w:p>
      <w:pPr>
        <w:shd w:val="clear" w:color="auto" w:fill="auto"/>
        <w:spacing w:line="440" w:lineRule="exact"/>
        <w:ind w:firstLine="420" w:firstLineChars="200"/>
        <w:rPr>
          <w:rFonts w:hint="eastAsia" w:ascii="宋体"/>
          <w:color w:val="auto"/>
          <w:szCs w:val="21"/>
          <w:highlight w:val="none"/>
        </w:rPr>
      </w:pPr>
      <w:r>
        <w:rPr>
          <w:rFonts w:hint="eastAsia" w:ascii="宋体"/>
          <w:color w:val="auto"/>
          <w:szCs w:val="21"/>
          <w:highlight w:val="none"/>
        </w:rPr>
        <w:t>22.4投标人应按“采购内容及</w:t>
      </w:r>
      <w:r>
        <w:rPr>
          <w:rFonts w:hint="eastAsia" w:ascii="宋体"/>
          <w:color w:val="auto"/>
          <w:szCs w:val="21"/>
          <w:highlight w:val="none"/>
          <w:lang w:val="en-US" w:eastAsia="zh-CN"/>
        </w:rPr>
        <w:t>服务</w:t>
      </w:r>
      <w:r>
        <w:rPr>
          <w:rFonts w:hint="eastAsia" w:ascii="宋体"/>
          <w:color w:val="auto"/>
          <w:szCs w:val="21"/>
          <w:highlight w:val="none"/>
        </w:rPr>
        <w:t>要求”所列</w:t>
      </w:r>
      <w:r>
        <w:rPr>
          <w:rFonts w:hint="eastAsia" w:ascii="宋体"/>
          <w:color w:val="auto"/>
          <w:szCs w:val="21"/>
          <w:highlight w:val="none"/>
          <w:lang w:val="en-US" w:eastAsia="zh-CN"/>
        </w:rPr>
        <w:t>明细</w:t>
      </w:r>
      <w:r>
        <w:rPr>
          <w:rFonts w:hint="eastAsia" w:ascii="宋体"/>
          <w:color w:val="auto"/>
          <w:szCs w:val="21"/>
          <w:highlight w:val="none"/>
        </w:rPr>
        <w:t>逐项进行单价报价，并最终</w:t>
      </w:r>
      <w:r>
        <w:rPr>
          <w:rFonts w:hint="eastAsia" w:ascii="宋体"/>
          <w:color w:val="auto"/>
          <w:szCs w:val="21"/>
          <w:highlight w:val="none"/>
          <w:lang w:val="en-US" w:eastAsia="zh-CN"/>
        </w:rPr>
        <w:t>合计</w:t>
      </w:r>
      <w:r>
        <w:rPr>
          <w:rFonts w:hint="eastAsia" w:ascii="宋体"/>
          <w:color w:val="auto"/>
          <w:szCs w:val="21"/>
          <w:highlight w:val="none"/>
        </w:rPr>
        <w:t>报价，不得采用总价下浮的方式进行报价。综合单价包括：</w:t>
      </w:r>
      <w:r>
        <w:rPr>
          <w:rFonts w:hint="eastAsia" w:ascii="宋体"/>
          <w:color w:val="auto"/>
          <w:szCs w:val="21"/>
          <w:highlight w:val="none"/>
          <w:lang w:val="en-US" w:eastAsia="zh-CN"/>
        </w:rPr>
        <w:t>明细所有内容、</w:t>
      </w:r>
      <w:r>
        <w:rPr>
          <w:rFonts w:hint="eastAsia" w:ascii="宋体"/>
          <w:color w:val="auto"/>
          <w:szCs w:val="21"/>
          <w:highlight w:val="none"/>
        </w:rPr>
        <w:t>材料费、辅材费、管理费、</w:t>
      </w:r>
      <w:r>
        <w:rPr>
          <w:rFonts w:hint="eastAsia" w:ascii="宋体"/>
          <w:color w:val="auto"/>
          <w:szCs w:val="21"/>
          <w:highlight w:val="none"/>
          <w:lang w:val="en-US" w:eastAsia="zh-CN"/>
        </w:rPr>
        <w:t>保险费用</w:t>
      </w:r>
      <w:r>
        <w:rPr>
          <w:rFonts w:hint="eastAsia" w:ascii="宋体"/>
          <w:color w:val="auto"/>
          <w:szCs w:val="21"/>
          <w:highlight w:val="none"/>
        </w:rPr>
        <w:t>、培训</w:t>
      </w:r>
      <w:r>
        <w:rPr>
          <w:rFonts w:hint="eastAsia" w:ascii="宋体"/>
          <w:color w:val="auto"/>
          <w:szCs w:val="21"/>
          <w:highlight w:val="none"/>
          <w:lang w:val="en-US" w:eastAsia="zh-CN"/>
        </w:rPr>
        <w:t>费、代理费、</w:t>
      </w:r>
      <w:r>
        <w:rPr>
          <w:rFonts w:hint="eastAsia" w:ascii="宋体"/>
          <w:color w:val="auto"/>
          <w:szCs w:val="21"/>
          <w:highlight w:val="none"/>
        </w:rPr>
        <w:t>及后期服务</w:t>
      </w:r>
      <w:r>
        <w:rPr>
          <w:rFonts w:hint="eastAsia" w:ascii="宋体"/>
          <w:color w:val="auto"/>
          <w:szCs w:val="21"/>
          <w:highlight w:val="none"/>
          <w:lang w:val="en-US" w:eastAsia="zh-CN"/>
        </w:rPr>
        <w:t>跟踪指导等所有费用，</w:t>
      </w:r>
      <w:r>
        <w:rPr>
          <w:rFonts w:hint="eastAsia" w:ascii="宋体"/>
          <w:color w:val="auto"/>
          <w:szCs w:val="21"/>
          <w:highlight w:val="none"/>
        </w:rPr>
        <w:t>国家对中标单位征收的各种税费等所有一切费用，综合单价今后将不作任何调整。</w:t>
      </w:r>
    </w:p>
    <w:p>
      <w:pPr>
        <w:shd w:val="clear" w:color="auto" w:fill="auto"/>
        <w:spacing w:line="440" w:lineRule="exact"/>
        <w:ind w:firstLine="420" w:firstLineChars="200"/>
        <w:rPr>
          <w:rFonts w:hint="eastAsia" w:ascii="宋体"/>
          <w:color w:val="auto"/>
          <w:szCs w:val="21"/>
          <w:highlight w:val="none"/>
        </w:rPr>
      </w:pPr>
      <w:r>
        <w:rPr>
          <w:rFonts w:hint="eastAsia" w:ascii="宋体"/>
          <w:color w:val="auto"/>
          <w:szCs w:val="21"/>
          <w:highlight w:val="none"/>
        </w:rPr>
        <w:t>22.5投标报价的价格是履行合同的固定总价。</w:t>
      </w:r>
    </w:p>
    <w:p>
      <w:pPr>
        <w:shd w:val="clear" w:color="auto" w:fill="auto"/>
        <w:spacing w:line="440" w:lineRule="exact"/>
        <w:ind w:firstLine="420" w:firstLineChars="200"/>
        <w:rPr>
          <w:rFonts w:hint="eastAsia" w:ascii="宋体"/>
          <w:color w:val="auto"/>
          <w:szCs w:val="21"/>
          <w:highlight w:val="none"/>
        </w:rPr>
      </w:pPr>
      <w:r>
        <w:rPr>
          <w:rFonts w:hint="eastAsia" w:ascii="宋体"/>
          <w:color w:val="auto"/>
          <w:szCs w:val="21"/>
          <w:highlight w:val="none"/>
        </w:rPr>
        <w:t>22.6投标文件报价为含税价，招标人不再为此次招标支付任何费用。</w:t>
      </w:r>
    </w:p>
    <w:p>
      <w:pPr>
        <w:shd w:val="clear" w:color="auto" w:fill="auto"/>
        <w:spacing w:line="440" w:lineRule="exact"/>
        <w:ind w:firstLine="420" w:firstLineChars="200"/>
        <w:rPr>
          <w:rFonts w:hint="eastAsia" w:ascii="宋体"/>
          <w:color w:val="auto"/>
          <w:szCs w:val="21"/>
          <w:highlight w:val="none"/>
        </w:rPr>
      </w:pPr>
      <w:r>
        <w:rPr>
          <w:rFonts w:hint="eastAsia" w:ascii="宋体"/>
          <w:color w:val="auto"/>
          <w:szCs w:val="21"/>
          <w:highlight w:val="none"/>
        </w:rPr>
        <w:t>22.7投标报价应由法定代表人或被授权人签署。</w:t>
      </w:r>
    </w:p>
    <w:p>
      <w:pPr>
        <w:shd w:val="clear" w:color="auto" w:fill="auto"/>
        <w:spacing w:line="440" w:lineRule="exact"/>
        <w:ind w:firstLine="420" w:firstLineChars="200"/>
        <w:rPr>
          <w:rFonts w:hint="eastAsia" w:ascii="宋体"/>
          <w:bCs/>
          <w:color w:val="auto"/>
          <w:szCs w:val="21"/>
          <w:highlight w:val="none"/>
        </w:rPr>
      </w:pPr>
      <w:r>
        <w:rPr>
          <w:rFonts w:hint="eastAsia" w:ascii="宋体"/>
          <w:bCs/>
          <w:color w:val="auto"/>
          <w:szCs w:val="21"/>
          <w:highlight w:val="none"/>
        </w:rPr>
        <w:t>22.8</w:t>
      </w:r>
      <w:r>
        <w:rPr>
          <w:rFonts w:hint="eastAsia" w:ascii="宋体" w:hAnsi="宋体"/>
          <w:b/>
          <w:color w:val="auto"/>
          <w:szCs w:val="21"/>
          <w:highlight w:val="none"/>
        </w:rPr>
        <w:t>投标人投标总报价，不得高于本次招标设置的最高限价，</w:t>
      </w:r>
      <w:r>
        <w:rPr>
          <w:rFonts w:hint="eastAsia" w:ascii="宋体" w:hAnsi="宋体"/>
          <w:b/>
          <w:bCs/>
          <w:color w:val="auto"/>
          <w:szCs w:val="21"/>
          <w:highlight w:val="none"/>
        </w:rPr>
        <w:t>否则将作为无效投标处理。</w:t>
      </w:r>
    </w:p>
    <w:p>
      <w:pPr>
        <w:shd w:val="clear" w:color="auto" w:fill="auto"/>
        <w:spacing w:line="440" w:lineRule="exact"/>
        <w:ind w:firstLine="420" w:firstLineChars="200"/>
        <w:rPr>
          <w:rFonts w:hint="eastAsia" w:ascii="宋体"/>
          <w:color w:val="auto"/>
          <w:szCs w:val="21"/>
          <w:highlight w:val="none"/>
        </w:rPr>
      </w:pPr>
      <w:r>
        <w:rPr>
          <w:rFonts w:hint="eastAsia" w:ascii="宋体"/>
          <w:color w:val="auto"/>
          <w:szCs w:val="21"/>
          <w:highlight w:val="none"/>
        </w:rPr>
        <w:t>22.9总投标价中不得包含</w:t>
      </w:r>
      <w:r>
        <w:rPr>
          <w:rFonts w:hint="eastAsia" w:ascii="宋体"/>
          <w:color w:val="auto"/>
          <w:szCs w:val="21"/>
          <w:highlight w:val="none"/>
          <w:lang w:eastAsia="zh-CN"/>
        </w:rPr>
        <w:t>采购文件</w:t>
      </w:r>
      <w:r>
        <w:rPr>
          <w:rFonts w:hint="eastAsia" w:ascii="宋体"/>
          <w:color w:val="auto"/>
          <w:szCs w:val="21"/>
          <w:highlight w:val="none"/>
        </w:rPr>
        <w:t>要求以外的内容，否则，在评标时不予核减，但在授予合同时，招标人有权将这部分价格从其中标价格中扣除。</w:t>
      </w:r>
    </w:p>
    <w:p>
      <w:pPr>
        <w:shd w:val="clear" w:color="auto" w:fill="auto"/>
        <w:spacing w:line="440" w:lineRule="exact"/>
        <w:ind w:firstLine="420" w:firstLineChars="200"/>
        <w:rPr>
          <w:rFonts w:hint="eastAsia" w:ascii="宋体"/>
          <w:color w:val="auto"/>
          <w:szCs w:val="21"/>
          <w:highlight w:val="none"/>
        </w:rPr>
      </w:pPr>
      <w:r>
        <w:rPr>
          <w:rFonts w:hint="eastAsia" w:ascii="宋体"/>
          <w:color w:val="auto"/>
          <w:szCs w:val="21"/>
          <w:highlight w:val="none"/>
        </w:rPr>
        <w:t>22.10总投标价中不得缺漏</w:t>
      </w:r>
      <w:r>
        <w:rPr>
          <w:rFonts w:hint="eastAsia" w:ascii="宋体"/>
          <w:color w:val="auto"/>
          <w:szCs w:val="21"/>
          <w:highlight w:val="none"/>
          <w:lang w:eastAsia="zh-CN"/>
        </w:rPr>
        <w:t>采购文件</w:t>
      </w:r>
      <w:r>
        <w:rPr>
          <w:rFonts w:hint="eastAsia" w:ascii="宋体"/>
          <w:color w:val="auto"/>
          <w:szCs w:val="21"/>
          <w:highlight w:val="none"/>
        </w:rPr>
        <w:t>所要求的内容，否则，评标时将有效投标中该项内容的最高价计入其评标总价，但在授予合同时，缺漏项目的报价视作已含在其他项目的报价中，这些项目将作为免费赠送而包含在合同内。</w:t>
      </w:r>
    </w:p>
    <w:p>
      <w:pPr>
        <w:shd w:val="clear" w:color="auto" w:fill="auto"/>
        <w:spacing w:line="440" w:lineRule="exact"/>
        <w:ind w:firstLine="420" w:firstLineChars="200"/>
        <w:rPr>
          <w:rFonts w:hint="eastAsia" w:ascii="宋体"/>
          <w:b/>
          <w:color w:val="auto"/>
          <w:szCs w:val="21"/>
          <w:highlight w:val="none"/>
        </w:rPr>
      </w:pPr>
      <w:r>
        <w:rPr>
          <w:rFonts w:hint="eastAsia" w:ascii="宋体"/>
          <w:b/>
          <w:color w:val="auto"/>
          <w:szCs w:val="21"/>
          <w:highlight w:val="none"/>
        </w:rPr>
        <w:t>23. 投标有效期</w:t>
      </w:r>
    </w:p>
    <w:p>
      <w:pPr>
        <w:shd w:val="clear" w:color="auto" w:fill="auto"/>
        <w:spacing w:line="440" w:lineRule="exact"/>
        <w:ind w:firstLine="420" w:firstLineChars="200"/>
        <w:rPr>
          <w:rFonts w:hint="eastAsia" w:ascii="宋体"/>
          <w:color w:val="auto"/>
          <w:szCs w:val="21"/>
          <w:highlight w:val="none"/>
        </w:rPr>
      </w:pPr>
      <w:r>
        <w:rPr>
          <w:rFonts w:hint="eastAsia" w:ascii="宋体"/>
          <w:color w:val="auto"/>
          <w:szCs w:val="21"/>
          <w:highlight w:val="none"/>
        </w:rPr>
        <w:t>23.1 除投标人须知前附表另有规定外，投标有效期为60天。</w:t>
      </w:r>
    </w:p>
    <w:p>
      <w:pPr>
        <w:shd w:val="clear" w:color="auto" w:fill="auto"/>
        <w:spacing w:line="440" w:lineRule="exact"/>
        <w:ind w:firstLine="420" w:firstLineChars="200"/>
        <w:rPr>
          <w:rFonts w:hint="eastAsia" w:ascii="宋体"/>
          <w:color w:val="auto"/>
          <w:szCs w:val="21"/>
          <w:highlight w:val="none"/>
        </w:rPr>
      </w:pPr>
      <w:r>
        <w:rPr>
          <w:rFonts w:hint="eastAsia" w:ascii="宋体"/>
          <w:color w:val="auto"/>
          <w:szCs w:val="21"/>
          <w:highlight w:val="none"/>
        </w:rPr>
        <w:t>23.2在投标有效期内，投标人撤销或修改其投标文件的，应承担</w:t>
      </w:r>
      <w:r>
        <w:rPr>
          <w:rFonts w:hint="eastAsia" w:ascii="宋体"/>
          <w:color w:val="auto"/>
          <w:szCs w:val="21"/>
          <w:highlight w:val="none"/>
          <w:lang w:eastAsia="zh-CN"/>
        </w:rPr>
        <w:t>采购文件</w:t>
      </w:r>
      <w:r>
        <w:rPr>
          <w:rFonts w:hint="eastAsia" w:ascii="宋体"/>
          <w:color w:val="auto"/>
          <w:szCs w:val="21"/>
          <w:highlight w:val="none"/>
        </w:rPr>
        <w:t>和法律规定的责任。</w:t>
      </w:r>
    </w:p>
    <w:p>
      <w:pPr>
        <w:shd w:val="clear" w:color="auto" w:fill="auto"/>
        <w:spacing w:line="440" w:lineRule="exact"/>
        <w:ind w:firstLine="420" w:firstLineChars="200"/>
        <w:rPr>
          <w:rFonts w:hint="eastAsia" w:ascii="宋体"/>
          <w:color w:val="auto"/>
          <w:szCs w:val="21"/>
          <w:highlight w:val="none"/>
        </w:rPr>
      </w:pPr>
      <w:r>
        <w:rPr>
          <w:rFonts w:hint="eastAsia" w:ascii="宋体"/>
          <w:color w:val="auto"/>
          <w:szCs w:val="21"/>
          <w:highlight w:val="none"/>
        </w:rPr>
        <w:t>23.3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shd w:val="clear" w:color="auto" w:fill="auto"/>
        <w:spacing w:line="440" w:lineRule="exact"/>
        <w:ind w:firstLine="403" w:firstLineChars="192"/>
        <w:rPr>
          <w:rFonts w:hint="eastAsia" w:ascii="宋体"/>
          <w:b/>
          <w:color w:val="auto"/>
          <w:szCs w:val="21"/>
          <w:highlight w:val="none"/>
        </w:rPr>
      </w:pPr>
      <w:r>
        <w:rPr>
          <w:rFonts w:hint="eastAsia" w:ascii="宋体"/>
          <w:b/>
          <w:color w:val="auto"/>
          <w:szCs w:val="21"/>
          <w:highlight w:val="none"/>
        </w:rPr>
        <w:t>24. 投标保证金</w:t>
      </w:r>
    </w:p>
    <w:p>
      <w:pPr>
        <w:shd w:val="clear" w:color="auto" w:fill="auto"/>
        <w:spacing w:line="400" w:lineRule="exact"/>
        <w:ind w:firstLine="420" w:firstLineChars="200"/>
        <w:rPr>
          <w:rFonts w:hint="eastAsia" w:ascii="宋体"/>
          <w:color w:val="auto"/>
          <w:szCs w:val="21"/>
          <w:highlight w:val="none"/>
        </w:rPr>
      </w:pPr>
      <w:r>
        <w:rPr>
          <w:rFonts w:hint="eastAsia" w:ascii="宋体"/>
          <w:color w:val="auto"/>
          <w:szCs w:val="21"/>
          <w:highlight w:val="none"/>
        </w:rPr>
        <w:t>24.1投标人须知前附表规定递交投标保证金的，投标人在递交投标文件的同时，应按投标人须知前附表规定的金额、担保形式和第六章“投标文件格式”规定的投标保证金格式递交投标保证金，并作为其投标文件的组成部分。投标人不按要求提交投标保证金的，评标委员会将否决其投标。</w:t>
      </w:r>
    </w:p>
    <w:p>
      <w:pPr>
        <w:shd w:val="clear" w:color="auto" w:fill="auto"/>
        <w:spacing w:line="400" w:lineRule="exact"/>
        <w:ind w:firstLine="420" w:firstLineChars="200"/>
        <w:rPr>
          <w:rFonts w:hint="eastAsia" w:ascii="宋体"/>
          <w:color w:val="auto"/>
          <w:szCs w:val="21"/>
          <w:highlight w:val="none"/>
        </w:rPr>
      </w:pPr>
      <w:r>
        <w:rPr>
          <w:rFonts w:hint="eastAsia" w:ascii="宋体"/>
          <w:color w:val="auto"/>
          <w:szCs w:val="21"/>
          <w:highlight w:val="none"/>
        </w:rPr>
        <w:t>24.2自中标通知书发出之日起5个工作日内退还未中标投标人的投标保证金，自政府采购合同签订之日起5个工作日内退还中标人的投标保证金。</w:t>
      </w:r>
    </w:p>
    <w:p>
      <w:pPr>
        <w:shd w:val="clear" w:color="auto" w:fill="auto"/>
        <w:spacing w:line="400" w:lineRule="exact"/>
        <w:ind w:firstLine="420" w:firstLineChars="200"/>
        <w:rPr>
          <w:rFonts w:hint="eastAsia" w:ascii="宋体"/>
          <w:color w:val="auto"/>
          <w:szCs w:val="21"/>
          <w:highlight w:val="none"/>
        </w:rPr>
      </w:pPr>
      <w:r>
        <w:rPr>
          <w:rFonts w:hint="eastAsia" w:ascii="宋体"/>
          <w:color w:val="auto"/>
          <w:szCs w:val="21"/>
          <w:highlight w:val="none"/>
        </w:rPr>
        <w:t xml:space="preserve">24.3有下列情形之一的，投标保证金将不予退还： </w:t>
      </w:r>
    </w:p>
    <w:p>
      <w:pPr>
        <w:shd w:val="clear" w:color="auto" w:fill="auto"/>
        <w:spacing w:line="400" w:lineRule="exact"/>
        <w:ind w:firstLine="420" w:firstLineChars="200"/>
        <w:rPr>
          <w:rFonts w:hint="eastAsia" w:ascii="宋体"/>
          <w:color w:val="auto"/>
          <w:szCs w:val="21"/>
          <w:highlight w:val="none"/>
        </w:rPr>
      </w:pPr>
      <w:r>
        <w:rPr>
          <w:rFonts w:hint="eastAsia" w:ascii="宋体"/>
          <w:color w:val="auto"/>
          <w:szCs w:val="21"/>
          <w:highlight w:val="none"/>
        </w:rPr>
        <w:t>（1）投标人在规定的投标有效期内撤回或修改其投标文件；</w:t>
      </w:r>
    </w:p>
    <w:p>
      <w:pPr>
        <w:shd w:val="clear" w:color="auto" w:fill="auto"/>
        <w:spacing w:line="400" w:lineRule="exact"/>
        <w:ind w:firstLine="420" w:firstLineChars="200"/>
        <w:rPr>
          <w:rFonts w:hint="eastAsia" w:ascii="宋体"/>
          <w:color w:val="auto"/>
          <w:szCs w:val="21"/>
          <w:highlight w:val="none"/>
        </w:rPr>
      </w:pPr>
      <w:r>
        <w:rPr>
          <w:rFonts w:hint="eastAsia" w:ascii="宋体"/>
          <w:color w:val="auto"/>
          <w:szCs w:val="21"/>
          <w:highlight w:val="none"/>
        </w:rPr>
        <w:t>（2）中标通知书发出后三十天内，中标人无正当理由拒签合同协议书或未按</w:t>
      </w:r>
      <w:r>
        <w:rPr>
          <w:rFonts w:hint="eastAsia" w:ascii="宋体"/>
          <w:color w:val="auto"/>
          <w:szCs w:val="21"/>
          <w:highlight w:val="none"/>
          <w:lang w:eastAsia="zh-CN"/>
        </w:rPr>
        <w:t>采购文件</w:t>
      </w:r>
      <w:r>
        <w:rPr>
          <w:rFonts w:hint="eastAsia" w:ascii="宋体"/>
          <w:color w:val="auto"/>
          <w:szCs w:val="21"/>
          <w:highlight w:val="none"/>
        </w:rPr>
        <w:t>规定提交履约担保。</w:t>
      </w:r>
    </w:p>
    <w:p>
      <w:pPr>
        <w:shd w:val="clear" w:color="auto" w:fill="auto"/>
        <w:spacing w:line="400" w:lineRule="exact"/>
        <w:ind w:firstLine="420" w:firstLineChars="200"/>
        <w:rPr>
          <w:rFonts w:hint="eastAsia" w:ascii="宋体"/>
          <w:color w:val="auto"/>
          <w:szCs w:val="21"/>
          <w:highlight w:val="none"/>
        </w:rPr>
      </w:pPr>
      <w:r>
        <w:rPr>
          <w:rFonts w:hint="eastAsia" w:ascii="宋体"/>
          <w:color w:val="auto"/>
          <w:szCs w:val="21"/>
          <w:highlight w:val="none"/>
        </w:rPr>
        <w:t>（3）提供虚假材料谋取中标的；</w:t>
      </w:r>
    </w:p>
    <w:p>
      <w:pPr>
        <w:shd w:val="clear" w:color="auto" w:fill="auto"/>
        <w:spacing w:line="400" w:lineRule="exact"/>
        <w:ind w:firstLine="420" w:firstLineChars="200"/>
        <w:rPr>
          <w:rFonts w:hint="eastAsia" w:ascii="宋体"/>
          <w:color w:val="auto"/>
          <w:szCs w:val="21"/>
          <w:highlight w:val="none"/>
        </w:rPr>
      </w:pPr>
      <w:r>
        <w:rPr>
          <w:rFonts w:hint="eastAsia" w:ascii="宋体"/>
          <w:color w:val="auto"/>
          <w:szCs w:val="21"/>
          <w:highlight w:val="none"/>
        </w:rPr>
        <w:t>（4）经查实属于陪标、串通投标的等。</w:t>
      </w:r>
    </w:p>
    <w:p>
      <w:pPr>
        <w:shd w:val="clear" w:color="auto" w:fill="auto"/>
        <w:spacing w:line="400" w:lineRule="exact"/>
        <w:ind w:firstLine="420" w:firstLineChars="200"/>
        <w:rPr>
          <w:rFonts w:hint="eastAsia" w:ascii="宋体"/>
          <w:color w:val="auto"/>
          <w:szCs w:val="21"/>
          <w:highlight w:val="none"/>
        </w:rPr>
      </w:pPr>
      <w:bookmarkStart w:id="32" w:name="_Toc469495727"/>
      <w:r>
        <w:rPr>
          <w:rFonts w:hint="eastAsia" w:ascii="宋体"/>
          <w:color w:val="auto"/>
          <w:szCs w:val="21"/>
          <w:highlight w:val="none"/>
        </w:rPr>
        <w:t>24.4投标保证金按</w:t>
      </w:r>
      <w:r>
        <w:rPr>
          <w:rFonts w:hint="eastAsia" w:ascii="宋体"/>
          <w:color w:val="auto"/>
          <w:szCs w:val="21"/>
          <w:highlight w:val="none"/>
          <w:lang w:eastAsia="zh-CN"/>
        </w:rPr>
        <w:t>投标人须知前附表第</w:t>
      </w:r>
      <w:r>
        <w:rPr>
          <w:rFonts w:hint="eastAsia" w:ascii="宋体"/>
          <w:color w:val="auto"/>
          <w:szCs w:val="21"/>
          <w:highlight w:val="none"/>
          <w:lang w:val="en-US" w:eastAsia="zh-CN"/>
        </w:rPr>
        <w:t>24条</w:t>
      </w:r>
      <w:r>
        <w:rPr>
          <w:rFonts w:hint="eastAsia" w:ascii="宋体"/>
          <w:color w:val="auto"/>
          <w:szCs w:val="21"/>
          <w:highlight w:val="none"/>
        </w:rPr>
        <w:t>规定执行。</w:t>
      </w:r>
    </w:p>
    <w:p>
      <w:pPr>
        <w:pStyle w:val="3"/>
        <w:shd w:val="clear" w:color="auto" w:fill="auto"/>
        <w:bidi w:val="0"/>
        <w:jc w:val="center"/>
        <w:rPr>
          <w:rFonts w:hint="eastAsia"/>
          <w:color w:val="auto"/>
          <w:sz w:val="28"/>
          <w:szCs w:val="28"/>
          <w:highlight w:val="none"/>
        </w:rPr>
      </w:pPr>
      <w:bookmarkStart w:id="33" w:name="_Toc1952"/>
      <w:r>
        <w:rPr>
          <w:rFonts w:hint="eastAsia"/>
          <w:color w:val="auto"/>
          <w:sz w:val="28"/>
          <w:szCs w:val="28"/>
          <w:highlight w:val="none"/>
        </w:rPr>
        <w:t>（四）</w:t>
      </w:r>
      <w:bookmarkEnd w:id="32"/>
      <w:r>
        <w:rPr>
          <w:rFonts w:hint="eastAsia"/>
          <w:color w:val="auto"/>
          <w:sz w:val="28"/>
          <w:szCs w:val="28"/>
          <w:highlight w:val="none"/>
        </w:rPr>
        <w:t>投标文件的制作、上传及递交要求</w:t>
      </w:r>
      <w:bookmarkEnd w:id="33"/>
    </w:p>
    <w:p>
      <w:pPr>
        <w:shd w:val="clear" w:color="auto" w:fill="auto"/>
        <w:snapToGrid w:val="0"/>
        <w:spacing w:line="360"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lang w:val="en-US" w:eastAsia="zh-CN"/>
        </w:rPr>
        <w:t>25.</w:t>
      </w:r>
      <w:r>
        <w:rPr>
          <w:rFonts w:hint="eastAsia" w:ascii="宋体" w:hAnsi="宋体" w:eastAsia="宋体" w:cs="宋体"/>
          <w:b/>
          <w:bCs/>
          <w:color w:val="auto"/>
          <w:sz w:val="21"/>
          <w:szCs w:val="21"/>
          <w:highlight w:val="none"/>
        </w:rPr>
        <w:t>投标文件的制作要求</w:t>
      </w:r>
    </w:p>
    <w:p>
      <w:pPr>
        <w:pStyle w:val="14"/>
        <w:shd w:val="clear" w:color="auto" w:fill="auto"/>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b w:val="0"/>
          <w:bCs/>
          <w:color w:val="auto"/>
          <w:sz w:val="21"/>
          <w:szCs w:val="21"/>
          <w:highlight w:val="none"/>
        </w:rPr>
        <w:t>（1）供应商应按照投标文件组成内容及项目招标需求和</w:t>
      </w:r>
      <w:r>
        <w:rPr>
          <w:rFonts w:hint="eastAsia" w:ascii="宋体" w:hAnsi="宋体" w:eastAsia="宋体" w:cs="宋体"/>
          <w:b w:val="0"/>
          <w:bCs/>
          <w:color w:val="auto"/>
          <w:sz w:val="21"/>
          <w:szCs w:val="21"/>
          <w:highlight w:val="none"/>
          <w:lang w:eastAsia="zh-CN"/>
        </w:rPr>
        <w:t>新疆</w:t>
      </w:r>
      <w:r>
        <w:rPr>
          <w:rFonts w:hint="eastAsia" w:ascii="宋体" w:hAnsi="宋体" w:eastAsia="宋体" w:cs="宋体"/>
          <w:b w:val="0"/>
          <w:bCs/>
          <w:color w:val="auto"/>
          <w:sz w:val="21"/>
          <w:szCs w:val="21"/>
          <w:highlight w:val="none"/>
        </w:rPr>
        <w:t>政府采购云平台要求制作投标文件，不按采购文件和</w:t>
      </w:r>
      <w:r>
        <w:rPr>
          <w:rFonts w:hint="eastAsia" w:ascii="宋体" w:hAnsi="宋体" w:eastAsia="宋体" w:cs="宋体"/>
          <w:b w:val="0"/>
          <w:bCs/>
          <w:color w:val="auto"/>
          <w:sz w:val="21"/>
          <w:szCs w:val="21"/>
          <w:highlight w:val="none"/>
          <w:lang w:eastAsia="zh-CN"/>
        </w:rPr>
        <w:t>新疆</w:t>
      </w:r>
      <w:r>
        <w:rPr>
          <w:rFonts w:hint="eastAsia" w:ascii="宋体" w:hAnsi="宋体" w:eastAsia="宋体" w:cs="宋体"/>
          <w:b w:val="0"/>
          <w:bCs/>
          <w:color w:val="auto"/>
          <w:sz w:val="21"/>
          <w:szCs w:val="21"/>
          <w:highlight w:val="none"/>
        </w:rPr>
        <w:t>政府采购云平台要求制作投标文件的将视情况处理（拒收等），由此产生的责任由供应商自行承担。</w:t>
      </w:r>
    </w:p>
    <w:p>
      <w:pPr>
        <w:pStyle w:val="14"/>
        <w:shd w:val="clear" w:color="auto" w:fill="auto"/>
        <w:snapToGrid w:val="0"/>
        <w:spacing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Cs/>
          <w:color w:val="auto"/>
          <w:sz w:val="21"/>
          <w:szCs w:val="21"/>
          <w:highlight w:val="none"/>
        </w:rPr>
        <w:t>电子投标文件部分：供应商应根据“政采云供应商项目采购-电子招投标操作指南”及本采购文件规定的格式和顺序编制电子投标文件并进行关联定位。本文件《第六章 投标文件格式》中有提供格式的，供应商应按照格式进行编制（格式中要求提供相关证明材料的还需后附相关证明材料），并按格式要求在指定位置根据要求进行签章，否则视为未提供；本文件《第六章投标文件格式》未提供格式的，请供应商自行拟定格式，并加盖单位公章，否则视为未提供。</w:t>
      </w:r>
    </w:p>
    <w:p>
      <w:pPr>
        <w:pStyle w:val="14"/>
        <w:shd w:val="clear" w:color="auto" w:fill="auto"/>
        <w:snapToGrid w:val="0"/>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备份电子投标文件：通过“政采云”平台电子投标工具制作投标文件所产生的备份文件。</w:t>
      </w:r>
    </w:p>
    <w:p>
      <w:pPr>
        <w:pStyle w:val="14"/>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（2）供应商应对所提供的全部资料的真实性、有效性承担法律责任，电子投标文件中所须加盖公章部分均采用CA签章。</w:t>
      </w:r>
    </w:p>
    <w:p>
      <w:pPr>
        <w:pStyle w:val="14"/>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（3）投标文件以及供应商与采购组织机构就有关投标事宜的所有来往函电，均应以中文汉语书写。除签字、盖章、专用名称等特殊情形外，以中文汉语以外的文字表述的投标文件视同未提供。</w:t>
      </w:r>
    </w:p>
    <w:p>
      <w:pPr>
        <w:pStyle w:val="14"/>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（4）投标计量单位，采购文件已有明确规定的，使用采购文件规定的计量单位；采购文件没有规定的，应采用中华人民共和国法定计量单位（货币单位：人民币元）。</w:t>
      </w:r>
    </w:p>
    <w:p>
      <w:pPr>
        <w:pStyle w:val="14"/>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（5）若供应商不按采购文件的要求提供资格审查材料，其风险由供应商自行承担。</w:t>
      </w:r>
    </w:p>
    <w:p>
      <w:pPr>
        <w:pStyle w:val="14"/>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（6）与本次投标无关的内容请不要制作在内，确保投标文件有针对性、简洁明了。</w:t>
      </w:r>
    </w:p>
    <w:p>
      <w:pPr>
        <w:shd w:val="clear" w:color="auto" w:fill="auto"/>
        <w:snapToGrid w:val="0"/>
        <w:spacing w:line="360"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lang w:val="en-US" w:eastAsia="zh-CN"/>
        </w:rPr>
        <w:t>26.</w:t>
      </w:r>
      <w:r>
        <w:rPr>
          <w:rFonts w:hint="eastAsia" w:ascii="宋体" w:hAnsi="宋体" w:eastAsia="宋体" w:cs="宋体"/>
          <w:b/>
          <w:bCs/>
          <w:color w:val="auto"/>
          <w:sz w:val="21"/>
          <w:szCs w:val="21"/>
          <w:highlight w:val="none"/>
        </w:rPr>
        <w:t>投标文件的上传</w:t>
      </w:r>
    </w:p>
    <w:p>
      <w:pPr>
        <w:pStyle w:val="14"/>
        <w:shd w:val="clear" w:color="auto" w:fill="auto"/>
        <w:snapToGrid w:val="0"/>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bidi="zh-CN"/>
        </w:rPr>
        <w:t>电子加密投标文件（“.jmbs”格式）</w:t>
      </w:r>
      <w:r>
        <w:rPr>
          <w:rFonts w:hint="eastAsia" w:ascii="宋体" w:hAnsi="宋体" w:eastAsia="宋体" w:cs="宋体"/>
          <w:b/>
          <w:bCs/>
          <w:color w:val="auto"/>
          <w:sz w:val="21"/>
          <w:szCs w:val="21"/>
          <w:highlight w:val="none"/>
        </w:rPr>
        <w:t>：</w:t>
      </w:r>
    </w:p>
    <w:p>
      <w:pPr>
        <w:pStyle w:val="14"/>
        <w:shd w:val="clear" w:color="auto" w:fill="auto"/>
        <w:snapToGrid w:val="0"/>
        <w:spacing w:line="360" w:lineRule="auto"/>
        <w:ind w:firstLine="525" w:firstLineChars="250"/>
        <w:rPr>
          <w:rFonts w:hint="eastAsia" w:ascii="宋体" w:hAnsi="宋体" w:eastAsia="宋体" w:cs="宋体"/>
          <w:b w:val="0"/>
          <w:bCs/>
          <w:color w:val="auto"/>
          <w:sz w:val="21"/>
          <w:szCs w:val="21"/>
          <w:highlight w:val="none"/>
          <w:lang w:bidi="zh-CN"/>
        </w:rPr>
      </w:pPr>
      <w:r>
        <w:rPr>
          <w:rFonts w:hint="eastAsia" w:ascii="宋体" w:hAnsi="宋体" w:eastAsia="宋体" w:cs="宋体"/>
          <w:b w:val="0"/>
          <w:bCs/>
          <w:color w:val="auto"/>
          <w:sz w:val="21"/>
          <w:szCs w:val="21"/>
          <w:highlight w:val="none"/>
          <w:lang w:bidi="zh-CN"/>
        </w:rPr>
        <w:t>a.</w:t>
      </w:r>
      <w:r>
        <w:rPr>
          <w:rFonts w:hint="eastAsia" w:ascii="宋体" w:hAnsi="宋体" w:eastAsia="宋体" w:cs="宋体"/>
          <w:b w:val="0"/>
          <w:bCs/>
          <w:color w:val="auto"/>
          <w:kern w:val="0"/>
          <w:sz w:val="21"/>
          <w:szCs w:val="21"/>
          <w:highlight w:val="none"/>
        </w:rPr>
        <w:t xml:space="preserve"> </w:t>
      </w:r>
      <w:r>
        <w:rPr>
          <w:rFonts w:hint="eastAsia" w:ascii="宋体" w:hAnsi="宋体" w:eastAsia="宋体" w:cs="宋体"/>
          <w:b w:val="0"/>
          <w:bCs/>
          <w:color w:val="auto"/>
          <w:sz w:val="21"/>
          <w:szCs w:val="21"/>
          <w:highlight w:val="none"/>
          <w:lang w:bidi="zh-CN"/>
        </w:rPr>
        <w:t>供应商应在投标截止时间前将电子加密投标文件成功上传递交至新疆政府采购云平台，否则投标无效；</w:t>
      </w:r>
    </w:p>
    <w:p>
      <w:pPr>
        <w:pStyle w:val="14"/>
        <w:shd w:val="clear" w:color="auto" w:fill="auto"/>
        <w:snapToGrid w:val="0"/>
        <w:spacing w:line="360" w:lineRule="auto"/>
        <w:ind w:firstLine="525" w:firstLineChars="25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bidi="zh-CN"/>
        </w:rPr>
        <w:t>b.供应商成功上传电子加密投标文件后，可自行打印投标文件接收回执。</w:t>
      </w:r>
    </w:p>
    <w:p>
      <w:pPr>
        <w:pStyle w:val="14"/>
        <w:shd w:val="clear" w:color="auto" w:fill="auto"/>
        <w:snapToGrid w:val="0"/>
        <w:spacing w:line="360" w:lineRule="auto"/>
        <w:rPr>
          <w:rFonts w:hint="eastAsia" w:ascii="宋体" w:hAnsi="宋体" w:eastAsia="宋体" w:cs="宋体"/>
          <w:b/>
          <w:bCs/>
          <w:color w:val="auto"/>
          <w:sz w:val="21"/>
          <w:szCs w:val="21"/>
          <w:highlight w:val="none"/>
          <w:lang w:bidi="zh-CN"/>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bidi="zh-CN"/>
        </w:rPr>
        <w:t>备份投标文件（“.bfbs”格式）：</w:t>
      </w:r>
    </w:p>
    <w:p>
      <w:pPr>
        <w:pStyle w:val="14"/>
        <w:shd w:val="clear" w:color="auto" w:fill="auto"/>
        <w:snapToGrid w:val="0"/>
        <w:spacing w:line="360" w:lineRule="auto"/>
        <w:ind w:firstLine="525" w:firstLineChars="250"/>
        <w:rPr>
          <w:rFonts w:hint="eastAsia" w:ascii="宋体" w:hAnsi="宋体" w:eastAsia="宋体" w:cs="宋体"/>
          <w:color w:val="auto"/>
          <w:sz w:val="21"/>
          <w:szCs w:val="21"/>
          <w:highlight w:val="none"/>
          <w:lang w:bidi="zh-CN"/>
        </w:rPr>
      </w:pPr>
      <w:r>
        <w:rPr>
          <w:rFonts w:hint="eastAsia" w:ascii="宋体" w:hAnsi="宋体" w:eastAsia="宋体" w:cs="宋体"/>
          <w:b w:val="0"/>
          <w:bCs/>
          <w:color w:val="auto"/>
          <w:sz w:val="21"/>
          <w:szCs w:val="21"/>
          <w:highlight w:val="none"/>
          <w:lang w:bidi="zh-CN"/>
        </w:rPr>
        <w:t>a.供应商可以将备份投标文件打包压缩并加密，压缩包命名为“XX单位备份投标文件”，加密密码由供应商自行保管；送达时间以采购代理机构实际接收时间为准。</w:t>
      </w:r>
      <w:r>
        <w:rPr>
          <w:rFonts w:hint="eastAsia" w:ascii="宋体" w:hAnsi="宋体" w:eastAsia="宋体" w:cs="宋体"/>
          <w:color w:val="auto"/>
          <w:sz w:val="21"/>
          <w:szCs w:val="21"/>
          <w:highlight w:val="none"/>
          <w:lang w:bidi="zh-CN"/>
        </w:rPr>
        <w:t>“备份投标文件”以投标截止时间前指定接收邮箱最终收到的文件为准，逾期或未按要求提供的视为未提供，建议供应商提前1日办理邮件提供事宜（接收人邮箱：</w:t>
      </w:r>
      <w:r>
        <w:rPr>
          <w:rFonts w:hint="eastAsia" w:ascii="宋体" w:hAnsi="宋体" w:eastAsia="宋体" w:cs="宋体"/>
          <w:color w:val="auto"/>
          <w:sz w:val="21"/>
          <w:szCs w:val="21"/>
          <w:highlight w:val="none"/>
          <w:lang w:bidi="zh-CN"/>
        </w:rPr>
        <w:fldChar w:fldCharType="begin"/>
      </w:r>
      <w:r>
        <w:rPr>
          <w:rFonts w:hint="eastAsia" w:ascii="宋体" w:hAnsi="宋体" w:eastAsia="宋体" w:cs="宋体"/>
          <w:color w:val="auto"/>
          <w:sz w:val="21"/>
          <w:szCs w:val="21"/>
          <w:highlight w:val="none"/>
          <w:lang w:bidi="zh-CN"/>
        </w:rPr>
        <w:instrText xml:space="preserve"> HYPERLINK "mailto:1207446769@qq.com，接收人：陈加轲，电话：15157655122" </w:instrText>
      </w:r>
      <w:r>
        <w:rPr>
          <w:rFonts w:hint="eastAsia" w:ascii="宋体" w:hAnsi="宋体" w:eastAsia="宋体" w:cs="宋体"/>
          <w:color w:val="auto"/>
          <w:sz w:val="21"/>
          <w:szCs w:val="21"/>
          <w:highlight w:val="none"/>
          <w:lang w:bidi="zh-CN"/>
        </w:rPr>
        <w:fldChar w:fldCharType="separate"/>
      </w:r>
      <w:r>
        <w:rPr>
          <w:rFonts w:hint="eastAsia" w:ascii="宋体" w:hAnsi="宋体" w:cs="宋体"/>
          <w:color w:val="auto"/>
          <w:sz w:val="21"/>
          <w:szCs w:val="21"/>
          <w:highlight w:val="none"/>
          <w:lang w:val="en-US" w:bidi="zh-CN"/>
        </w:rPr>
        <w:t>562251287</w:t>
      </w:r>
      <w:r>
        <w:rPr>
          <w:rFonts w:hint="eastAsia" w:ascii="宋体" w:hAnsi="宋体" w:eastAsia="宋体" w:cs="宋体"/>
          <w:color w:val="auto"/>
          <w:sz w:val="21"/>
          <w:szCs w:val="21"/>
          <w:highlight w:val="none"/>
          <w:lang w:val="en-US" w:bidi="zh-CN"/>
        </w:rPr>
        <w:t>@qq.com</w:t>
      </w:r>
      <w:r>
        <w:rPr>
          <w:rStyle w:val="57"/>
          <w:rFonts w:hint="eastAsia" w:ascii="宋体" w:hAnsi="宋体" w:eastAsia="宋体" w:cs="宋体"/>
          <w:color w:val="auto"/>
          <w:sz w:val="21"/>
          <w:szCs w:val="21"/>
          <w:highlight w:val="none"/>
          <w:lang w:bidi="zh-CN"/>
        </w:rPr>
        <w:t>，接收人：</w:t>
      </w:r>
      <w:r>
        <w:rPr>
          <w:rFonts w:hint="eastAsia" w:ascii="宋体" w:hAnsi="宋体" w:cs="宋体"/>
          <w:color w:val="auto"/>
          <w:sz w:val="21"/>
          <w:szCs w:val="21"/>
          <w:highlight w:val="none"/>
          <w:lang w:bidi="zh-CN"/>
        </w:rPr>
        <w:t>夏先生</w:t>
      </w:r>
      <w:r>
        <w:rPr>
          <w:rStyle w:val="57"/>
          <w:rFonts w:hint="eastAsia" w:ascii="宋体" w:hAnsi="宋体" w:eastAsia="宋体" w:cs="宋体"/>
          <w:color w:val="auto"/>
          <w:sz w:val="21"/>
          <w:szCs w:val="21"/>
          <w:highlight w:val="none"/>
          <w:lang w:bidi="zh-CN"/>
        </w:rPr>
        <w:t>，电话：</w:t>
      </w:r>
      <w:r>
        <w:rPr>
          <w:rFonts w:hint="eastAsia" w:ascii="宋体" w:hAnsi="宋体" w:eastAsia="宋体" w:cs="宋体"/>
          <w:color w:val="auto"/>
          <w:sz w:val="21"/>
          <w:szCs w:val="21"/>
          <w:highlight w:val="none"/>
          <w:lang w:val="en-US" w:bidi="zh-CN"/>
        </w:rPr>
        <w:t>1</w:t>
      </w:r>
      <w:r>
        <w:rPr>
          <w:rFonts w:hint="eastAsia" w:ascii="宋体" w:hAnsi="宋体" w:eastAsia="宋体" w:cs="宋体"/>
          <w:color w:val="auto"/>
          <w:sz w:val="21"/>
          <w:szCs w:val="21"/>
          <w:highlight w:val="none"/>
          <w:lang w:bidi="zh-CN"/>
        </w:rPr>
        <w:fldChar w:fldCharType="end"/>
      </w:r>
      <w:r>
        <w:rPr>
          <w:rFonts w:hint="eastAsia" w:ascii="宋体" w:hAnsi="宋体" w:eastAsia="宋体" w:cs="宋体"/>
          <w:color w:val="auto"/>
          <w:sz w:val="21"/>
          <w:szCs w:val="21"/>
          <w:highlight w:val="none"/>
          <w:lang w:val="en-US" w:bidi="zh-CN"/>
        </w:rPr>
        <w:t>3379708739</w:t>
      </w:r>
      <w:r>
        <w:rPr>
          <w:rFonts w:hint="eastAsia" w:ascii="宋体" w:hAnsi="宋体" w:eastAsia="宋体" w:cs="宋体"/>
          <w:color w:val="auto"/>
          <w:sz w:val="21"/>
          <w:szCs w:val="21"/>
          <w:highlight w:val="none"/>
          <w:lang w:bidi="zh-CN"/>
        </w:rPr>
        <w:t>）；</w:t>
      </w:r>
    </w:p>
    <w:p>
      <w:pPr>
        <w:pStyle w:val="14"/>
        <w:shd w:val="clear" w:color="auto" w:fill="auto"/>
        <w:snapToGrid w:val="0"/>
        <w:spacing w:line="360" w:lineRule="auto"/>
        <w:ind w:firstLine="525" w:firstLineChars="250"/>
        <w:rPr>
          <w:rFonts w:hint="eastAsia" w:ascii="宋体" w:hAnsi="宋体" w:eastAsia="宋体" w:cs="宋体"/>
          <w:b w:val="0"/>
          <w:bCs/>
          <w:color w:val="auto"/>
          <w:sz w:val="21"/>
          <w:szCs w:val="21"/>
          <w:highlight w:val="none"/>
          <w:lang w:bidi="zh-CN"/>
        </w:rPr>
      </w:pPr>
      <w:r>
        <w:rPr>
          <w:rFonts w:hint="eastAsia" w:ascii="宋体" w:hAnsi="宋体" w:eastAsia="宋体" w:cs="宋体"/>
          <w:b w:val="0"/>
          <w:bCs/>
          <w:color w:val="auto"/>
          <w:sz w:val="21"/>
          <w:szCs w:val="21"/>
          <w:highlight w:val="none"/>
          <w:lang w:bidi="zh-CN"/>
        </w:rPr>
        <w:t>b.通过“新疆政府采购云平台”成功上传递交的“电子加密投标文件”已按时解密的，“备份投标文件”自动失效。投标截止时间前，投标供应商仅递交了“备份投标文件”而未将“电子加密投标文件”成功上传至“政府采购云平台”的，投标无效。</w:t>
      </w:r>
    </w:p>
    <w:p>
      <w:pPr>
        <w:shd w:val="clear" w:color="auto" w:fill="auto"/>
        <w:snapToGrid w:val="0"/>
        <w:spacing w:line="360"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lang w:val="en-US" w:eastAsia="zh-CN"/>
        </w:rPr>
        <w:t>27.</w:t>
      </w:r>
      <w:r>
        <w:rPr>
          <w:rFonts w:hint="eastAsia" w:ascii="宋体" w:hAnsi="宋体" w:eastAsia="宋体" w:cs="宋体"/>
          <w:b/>
          <w:color w:val="auto"/>
          <w:sz w:val="21"/>
          <w:szCs w:val="21"/>
          <w:highlight w:val="none"/>
        </w:rPr>
        <w:t>投标文件的递交要求</w:t>
      </w:r>
    </w:p>
    <w:p>
      <w:pPr>
        <w:shd w:val="clear" w:color="auto" w:fill="auto"/>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（1）供应商须按照采购文件和政采云平台的要求编制并加密投标文件。在投标文件递交截止时间以前完成投标文件的传输递交，截止时间后递交的投标文件，将被拒收。</w:t>
      </w:r>
    </w:p>
    <w:p>
      <w:pPr>
        <w:shd w:val="clear" w:color="auto" w:fill="auto"/>
        <w:tabs>
          <w:tab w:val="left" w:pos="1418"/>
        </w:tabs>
        <w:autoSpaceDE w:val="0"/>
        <w:autoSpaceDN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（2）备份电子投标文件必须在投标截止时间前送达指定的投标地点。备份电子投标文件在截止时间后提交，采购组织机构将拒绝接收。</w:t>
      </w:r>
    </w:p>
    <w:p>
      <w:pPr>
        <w:shd w:val="clear" w:color="auto" w:fill="auto"/>
        <w:tabs>
          <w:tab w:val="left" w:pos="1418"/>
        </w:tabs>
        <w:autoSpaceDE w:val="0"/>
        <w:autoSpaceDN w:val="0"/>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eastAsia="宋体" w:cs="宋体"/>
          <w:color w:val="auto"/>
          <w:sz w:val="21"/>
          <w:szCs w:val="21"/>
          <w:highlight w:val="none"/>
        </w:rPr>
        <w:t>（3）如有特殊情况，采购组织机构延长截止时间和开标时间，采购组织机构和供应商的权利和义务将受到新的截止时间和开标时间的约束。</w:t>
      </w:r>
    </w:p>
    <w:p>
      <w:pPr>
        <w:shd w:val="clear" w:color="auto" w:fill="auto"/>
        <w:snapToGrid w:val="0"/>
        <w:spacing w:line="360" w:lineRule="auto"/>
        <w:ind w:firstLine="420"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28．投标文件的补充、修改与撤回</w:t>
      </w:r>
    </w:p>
    <w:p>
      <w:pPr>
        <w:shd w:val="clear" w:color="auto" w:fill="auto"/>
        <w:tabs>
          <w:tab w:val="left" w:pos="960"/>
          <w:tab w:val="left" w:pos="1418"/>
        </w:tabs>
        <w:autoSpaceDE w:val="0"/>
        <w:autoSpaceDN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p>
    <w:p>
      <w:pPr>
        <w:keepNext w:val="0"/>
        <w:keepLines w:val="0"/>
        <w:pageBreakBefore w:val="0"/>
        <w:widowControl w:val="0"/>
        <w:shd w:val="clear" w:color="auto" w:fill="auto"/>
        <w:kinsoku/>
        <w:wordWrap/>
        <w:overflowPunct/>
        <w:topLinePunct w:val="0"/>
        <w:autoSpaceDE/>
        <w:autoSpaceDN/>
        <w:bidi w:val="0"/>
        <w:adjustRightInd/>
        <w:snapToGrid/>
        <w:spacing w:before="313" w:beforeLines="100" w:after="313" w:afterLines="100" w:line="440" w:lineRule="exact"/>
        <w:jc w:val="center"/>
        <w:textAlignment w:val="auto"/>
        <w:outlineLvl w:val="2"/>
        <w:rPr>
          <w:rFonts w:hint="eastAsia" w:ascii="黑体" w:eastAsia="黑体"/>
          <w:color w:val="auto"/>
          <w:sz w:val="28"/>
          <w:szCs w:val="28"/>
          <w:highlight w:val="none"/>
        </w:rPr>
      </w:pPr>
      <w:bookmarkStart w:id="34" w:name="_Toc469495728"/>
      <w:r>
        <w:rPr>
          <w:rFonts w:hint="eastAsia" w:ascii="黑体" w:eastAsia="黑体"/>
          <w:color w:val="auto"/>
          <w:sz w:val="28"/>
          <w:szCs w:val="28"/>
          <w:highlight w:val="none"/>
        </w:rPr>
        <w:t>（五）开 标、评标和定标</w:t>
      </w:r>
      <w:bookmarkEnd w:id="34"/>
    </w:p>
    <w:p>
      <w:pPr>
        <w:shd w:val="clear" w:color="auto" w:fill="auto"/>
        <w:snapToGrid w:val="0"/>
        <w:spacing w:line="360" w:lineRule="auto"/>
        <w:ind w:firstLine="420"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29. 开标</w:t>
      </w:r>
    </w:p>
    <w:p>
      <w:pPr>
        <w:shd w:val="clear" w:color="auto" w:fill="auto"/>
        <w:snapToGrid w:val="0"/>
        <w:spacing w:line="360" w:lineRule="auto"/>
        <w:ind w:firstLine="420" w:firstLineChars="200"/>
        <w:rPr>
          <w:rFonts w:hint="eastAsia" w:ascii="宋体" w:hAnsi="宋体" w:eastAsia="宋体" w:cs="宋体"/>
          <w:b/>
          <w:bCs/>
          <w:color w:val="auto"/>
          <w:sz w:val="21"/>
          <w:szCs w:val="21"/>
          <w:highlight w:val="none"/>
          <w:lang w:val="en-US" w:eastAsia="zh-CN"/>
        </w:rPr>
      </w:pPr>
      <w:bookmarkStart w:id="35" w:name="_Toc73975822"/>
      <w:r>
        <w:rPr>
          <w:rFonts w:hint="eastAsia" w:ascii="宋体" w:hAnsi="宋体" w:eastAsia="宋体" w:cs="宋体"/>
          <w:b/>
          <w:bCs/>
          <w:color w:val="auto"/>
          <w:sz w:val="21"/>
          <w:szCs w:val="21"/>
          <w:highlight w:val="none"/>
          <w:lang w:val="en-US" w:eastAsia="zh-CN"/>
        </w:rPr>
        <w:t>29.1开标邀请</w:t>
      </w:r>
      <w:bookmarkEnd w:id="35"/>
    </w:p>
    <w:p>
      <w:pPr>
        <w:pStyle w:val="25"/>
        <w:shd w:val="clear" w:color="auto" w:fill="auto"/>
        <w:snapToGrid w:val="0"/>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开标准备：本项目开标的准备工作由采购组织机构负责落实，开标过程由采购组织机构负责记录；</w:t>
      </w:r>
    </w:p>
    <w:p>
      <w:pPr>
        <w:pStyle w:val="25"/>
        <w:shd w:val="clear" w:color="auto" w:fill="auto"/>
        <w:snapToGrid w:val="0"/>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t>开标主持：本项目开标由采购人或者采购代理机构主持；</w:t>
      </w:r>
    </w:p>
    <w:p>
      <w:pPr>
        <w:pStyle w:val="25"/>
        <w:shd w:val="clear" w:color="auto" w:fill="auto"/>
        <w:snapToGrid w:val="0"/>
        <w:spacing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lang w:val="en-US" w:eastAsia="zh-CN"/>
        </w:rPr>
        <w:t>3</w:t>
      </w: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rPr>
        <w:t>开标邀请：本项目采用电子交易，采购组织机构将按照采购文件规定的时间通过“</w:t>
      </w:r>
      <w:r>
        <w:rPr>
          <w:rFonts w:hint="eastAsia" w:ascii="宋体" w:hAnsi="宋体" w:eastAsia="宋体" w:cs="宋体"/>
          <w:b w:val="0"/>
          <w:color w:val="auto"/>
          <w:sz w:val="21"/>
          <w:szCs w:val="21"/>
          <w:highlight w:val="none"/>
          <w:lang w:eastAsia="zh-CN"/>
        </w:rPr>
        <w:t>新疆</w:t>
      </w:r>
      <w:r>
        <w:rPr>
          <w:rFonts w:hint="eastAsia" w:ascii="宋体" w:hAnsi="宋体" w:eastAsia="宋体" w:cs="宋体"/>
          <w:b w:val="0"/>
          <w:color w:val="auto"/>
          <w:sz w:val="21"/>
          <w:szCs w:val="21"/>
          <w:highlight w:val="none"/>
        </w:rPr>
        <w:t>政府采购云平台，网址：</w:t>
      </w:r>
      <w:r>
        <w:rPr>
          <w:rFonts w:hint="eastAsia" w:ascii="宋体" w:hAnsi="宋体" w:eastAsia="宋体" w:cs="宋体"/>
          <w:b w:val="0"/>
          <w:color w:val="auto"/>
          <w:sz w:val="21"/>
          <w:szCs w:val="21"/>
          <w:highlight w:val="none"/>
        </w:rPr>
        <w:fldChar w:fldCharType="begin"/>
      </w:r>
      <w:r>
        <w:rPr>
          <w:rFonts w:hint="eastAsia" w:ascii="宋体" w:hAnsi="宋体" w:eastAsia="宋体" w:cs="宋体"/>
          <w:b w:val="0"/>
          <w:color w:val="auto"/>
          <w:sz w:val="21"/>
          <w:szCs w:val="21"/>
          <w:highlight w:val="none"/>
        </w:rPr>
        <w:instrText xml:space="preserve">HYPERLINK "http://www.zcygov.cn"</w:instrText>
      </w:r>
      <w:r>
        <w:rPr>
          <w:rFonts w:hint="eastAsia" w:ascii="宋体" w:hAnsi="宋体" w:eastAsia="宋体" w:cs="宋体"/>
          <w:b w:val="0"/>
          <w:color w:val="auto"/>
          <w:sz w:val="21"/>
          <w:szCs w:val="21"/>
          <w:highlight w:val="none"/>
        </w:rPr>
        <w:fldChar w:fldCharType="separate"/>
      </w:r>
      <w:r>
        <w:rPr>
          <w:rStyle w:val="57"/>
          <w:rFonts w:hint="eastAsia" w:ascii="宋体" w:hAnsi="宋体" w:eastAsia="宋体" w:cs="宋体"/>
          <w:b w:val="0"/>
          <w:color w:val="auto"/>
          <w:sz w:val="21"/>
          <w:szCs w:val="21"/>
          <w:highlight w:val="none"/>
          <w:u w:val="none"/>
        </w:rPr>
        <w:t>www.zcygov.cn</w:t>
      </w:r>
      <w:r>
        <w:rPr>
          <w:rFonts w:hint="eastAsia" w:ascii="宋体" w:hAnsi="宋体" w:eastAsia="宋体" w:cs="宋体"/>
          <w:color w:val="auto"/>
          <w:sz w:val="21"/>
          <w:szCs w:val="21"/>
          <w:highlight w:val="none"/>
        </w:rPr>
        <w:fldChar w:fldCharType="end"/>
      </w:r>
      <w:r>
        <w:rPr>
          <w:rFonts w:hint="eastAsia" w:ascii="宋体" w:hAnsi="宋体" w:eastAsia="宋体" w:cs="宋体"/>
          <w:b w:val="0"/>
          <w:color w:val="auto"/>
          <w:sz w:val="21"/>
          <w:szCs w:val="21"/>
          <w:highlight w:val="none"/>
        </w:rPr>
        <w:t>”组织开标、开启投标响应文件，所有供应商均应当准时在线参加。</w:t>
      </w:r>
    </w:p>
    <w:p>
      <w:pPr>
        <w:pStyle w:val="25"/>
        <w:shd w:val="clear" w:color="auto" w:fill="auto"/>
        <w:snapToGrid w:val="0"/>
        <w:spacing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lang w:val="en-US" w:eastAsia="zh-CN"/>
        </w:rPr>
        <w:t>4</w:t>
      </w: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rPr>
        <w:t>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pPr>
        <w:shd w:val="clear" w:color="auto" w:fill="auto"/>
        <w:snapToGrid w:val="0"/>
        <w:spacing w:line="360" w:lineRule="auto"/>
        <w:ind w:firstLine="420" w:firstLineChars="200"/>
        <w:outlineLvl w:val="2"/>
        <w:rPr>
          <w:rFonts w:hint="eastAsia" w:ascii="宋体" w:hAnsi="宋体" w:eastAsia="宋体" w:cs="宋体"/>
          <w:b/>
          <w:color w:val="auto"/>
          <w:sz w:val="21"/>
          <w:szCs w:val="21"/>
          <w:highlight w:val="none"/>
        </w:rPr>
      </w:pPr>
      <w:bookmarkStart w:id="36" w:name="_Toc73975823"/>
      <w:r>
        <w:rPr>
          <w:rFonts w:hint="eastAsia" w:ascii="宋体" w:hAnsi="宋体" w:eastAsia="宋体" w:cs="宋体"/>
          <w:b/>
          <w:color w:val="auto"/>
          <w:sz w:val="21"/>
          <w:szCs w:val="21"/>
          <w:highlight w:val="none"/>
          <w:lang w:val="en-US" w:eastAsia="zh-CN"/>
        </w:rPr>
        <w:t>29.2</w:t>
      </w:r>
      <w:r>
        <w:rPr>
          <w:rFonts w:hint="eastAsia" w:ascii="宋体" w:hAnsi="宋体" w:eastAsia="宋体" w:cs="宋体"/>
          <w:b/>
          <w:bCs/>
          <w:color w:val="auto"/>
          <w:sz w:val="21"/>
          <w:szCs w:val="21"/>
          <w:highlight w:val="none"/>
        </w:rPr>
        <w:t>开标程序（先资格、商务技术后报价）</w:t>
      </w:r>
      <w:bookmarkEnd w:id="36"/>
    </w:p>
    <w:p>
      <w:pPr>
        <w:shd w:val="clear" w:color="auto" w:fill="auto"/>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开标时间到后，主持人宣布开标会议开始。</w:t>
      </w:r>
    </w:p>
    <w:p>
      <w:pPr>
        <w:shd w:val="clear" w:color="auto" w:fill="auto"/>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rPr>
        <w:t>投标文件解密（</w:t>
      </w:r>
      <w:r>
        <w:rPr>
          <w:rFonts w:hint="eastAsia" w:ascii="宋体" w:hAnsi="宋体" w:eastAsia="宋体" w:cs="宋体"/>
          <w:b/>
          <w:color w:val="auto"/>
          <w:kern w:val="0"/>
          <w:sz w:val="21"/>
          <w:szCs w:val="21"/>
          <w:highlight w:val="none"/>
        </w:rPr>
        <w:t>解密规定见《供应商须知前附表》</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w:t>
      </w:r>
    </w:p>
    <w:p>
      <w:pPr>
        <w:shd w:val="clear" w:color="auto" w:fill="auto"/>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rPr>
        <w:t>投标文件解密异常情况处理（</w:t>
      </w:r>
      <w:r>
        <w:rPr>
          <w:rFonts w:hint="eastAsia" w:ascii="宋体" w:hAnsi="宋体" w:eastAsia="宋体" w:cs="宋体"/>
          <w:b/>
          <w:color w:val="auto"/>
          <w:kern w:val="0"/>
          <w:sz w:val="21"/>
          <w:szCs w:val="21"/>
          <w:highlight w:val="none"/>
        </w:rPr>
        <w:t>处理办法见《供应商须知前附表》</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w:t>
      </w:r>
    </w:p>
    <w:p>
      <w:pPr>
        <w:shd w:val="clear" w:color="auto" w:fill="auto"/>
        <w:snapToGrid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公布投标文件解密情况（投标文件成功解密的供应商名单等信息），组织签署</w:t>
      </w:r>
      <w:r>
        <w:rPr>
          <w:rFonts w:hint="eastAsia" w:ascii="宋体" w:hAnsi="宋体" w:eastAsia="宋体" w:cs="宋体"/>
          <w:b/>
          <w:bCs/>
          <w:color w:val="auto"/>
          <w:kern w:val="0"/>
          <w:sz w:val="21"/>
          <w:szCs w:val="21"/>
          <w:highlight w:val="none"/>
        </w:rPr>
        <w:t>《政府采购活动现场确认声明书》（疫情防控期间，将通过电子邮件形式组织签署），供应商应在20分钟内通过邮件形式将经签署的《政府采购活动现场确认声明书》发送至采购代理机构指定邮箱</w:t>
      </w:r>
      <w:r>
        <w:rPr>
          <w:rFonts w:hint="eastAsia" w:ascii="宋体" w:hAnsi="宋体" w:cs="宋体"/>
          <w:b/>
          <w:bCs/>
          <w:color w:val="auto"/>
          <w:kern w:val="0"/>
          <w:sz w:val="21"/>
          <w:szCs w:val="21"/>
          <w:highlight w:val="none"/>
          <w:lang w:val="en-US" w:eastAsia="zh-CN"/>
        </w:rPr>
        <w:t>562251287</w:t>
      </w:r>
      <w:r>
        <w:rPr>
          <w:rFonts w:hint="eastAsia" w:ascii="宋体" w:hAnsi="宋体" w:eastAsia="宋体" w:cs="宋体"/>
          <w:b/>
          <w:bCs/>
          <w:color w:val="auto"/>
          <w:kern w:val="0"/>
          <w:sz w:val="21"/>
          <w:szCs w:val="21"/>
          <w:highlight w:val="none"/>
          <w:lang w:val="en-US" w:eastAsia="zh-CN"/>
        </w:rPr>
        <w:t>@qq.com</w:t>
      </w:r>
      <w:r>
        <w:rPr>
          <w:rFonts w:hint="eastAsia" w:ascii="宋体" w:hAnsi="宋体" w:eastAsia="宋体" w:cs="宋体"/>
          <w:b/>
          <w:bCs/>
          <w:color w:val="auto"/>
          <w:kern w:val="0"/>
          <w:sz w:val="21"/>
          <w:szCs w:val="21"/>
          <w:highlight w:val="none"/>
        </w:rPr>
        <w:t xml:space="preserve"> ，逾期发送或未发送的视为无异议</w:t>
      </w:r>
      <w:r>
        <w:rPr>
          <w:rFonts w:hint="eastAsia" w:ascii="宋体" w:hAnsi="宋体" w:eastAsia="宋体" w:cs="宋体"/>
          <w:color w:val="auto"/>
          <w:kern w:val="0"/>
          <w:sz w:val="21"/>
          <w:szCs w:val="21"/>
          <w:highlight w:val="none"/>
        </w:rPr>
        <w:t>。</w:t>
      </w:r>
    </w:p>
    <w:p>
      <w:pPr>
        <w:shd w:val="clear" w:color="auto" w:fill="auto"/>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开启标书信息（资格</w:t>
      </w:r>
      <w:r>
        <w:rPr>
          <w:rFonts w:hint="eastAsia" w:ascii="宋体" w:hAnsi="宋体" w:eastAsia="宋体" w:cs="宋体"/>
          <w:color w:val="auto"/>
          <w:kern w:val="0"/>
          <w:sz w:val="21"/>
          <w:szCs w:val="21"/>
          <w:highlight w:val="none"/>
          <w:lang w:eastAsia="zh-CN"/>
        </w:rPr>
        <w:t>证明</w:t>
      </w:r>
      <w:r>
        <w:rPr>
          <w:rFonts w:hint="eastAsia" w:ascii="宋体" w:hAnsi="宋体" w:eastAsia="宋体" w:cs="宋体"/>
          <w:color w:val="auto"/>
          <w:kern w:val="0"/>
          <w:sz w:val="21"/>
          <w:szCs w:val="21"/>
          <w:highlight w:val="none"/>
        </w:rPr>
        <w:t>文件、商务技术文件）。标书信息开启后，首先由采购人或采购代理机构</w:t>
      </w:r>
      <w:r>
        <w:rPr>
          <w:rFonts w:hint="eastAsia" w:ascii="宋体" w:hAnsi="宋体" w:eastAsia="宋体" w:cs="宋体"/>
          <w:color w:val="auto"/>
          <w:kern w:val="0"/>
          <w:sz w:val="21"/>
          <w:szCs w:val="21"/>
          <w:highlight w:val="none"/>
          <w:lang w:eastAsia="zh-CN"/>
        </w:rPr>
        <w:t>或评审小组</w:t>
      </w:r>
      <w:r>
        <w:rPr>
          <w:rFonts w:hint="eastAsia" w:ascii="宋体" w:hAnsi="宋体" w:eastAsia="宋体" w:cs="宋体"/>
          <w:color w:val="auto"/>
          <w:kern w:val="0"/>
          <w:sz w:val="21"/>
          <w:szCs w:val="21"/>
          <w:highlight w:val="none"/>
        </w:rPr>
        <w:t>依法对投标供应商的资格</w:t>
      </w:r>
      <w:r>
        <w:rPr>
          <w:rFonts w:hint="eastAsia" w:ascii="宋体" w:hAnsi="宋体" w:eastAsia="宋体" w:cs="宋体"/>
          <w:color w:val="auto"/>
          <w:kern w:val="0"/>
          <w:sz w:val="21"/>
          <w:szCs w:val="21"/>
          <w:highlight w:val="none"/>
          <w:lang w:eastAsia="zh-CN"/>
        </w:rPr>
        <w:t>证明</w:t>
      </w:r>
      <w:r>
        <w:rPr>
          <w:rFonts w:hint="eastAsia" w:ascii="宋体" w:hAnsi="宋体" w:eastAsia="宋体" w:cs="宋体"/>
          <w:color w:val="auto"/>
          <w:kern w:val="0"/>
          <w:sz w:val="21"/>
          <w:szCs w:val="21"/>
          <w:highlight w:val="none"/>
        </w:rPr>
        <w:t>文件进行审查（具体见本章“</w:t>
      </w:r>
      <w:r>
        <w:rPr>
          <w:rFonts w:hint="eastAsia" w:ascii="宋体" w:hAnsi="宋体" w:eastAsia="宋体" w:cs="宋体"/>
          <w:color w:val="auto"/>
          <w:kern w:val="0"/>
          <w:sz w:val="21"/>
          <w:szCs w:val="21"/>
          <w:highlight w:val="none"/>
          <w:lang w:val="en-US" w:eastAsia="zh-CN"/>
        </w:rPr>
        <w:t>29.3</w:t>
      </w:r>
      <w:r>
        <w:rPr>
          <w:rFonts w:hint="eastAsia" w:ascii="宋体" w:hAnsi="宋体" w:eastAsia="宋体" w:cs="宋体"/>
          <w:color w:val="auto"/>
          <w:kern w:val="0"/>
          <w:sz w:val="21"/>
          <w:szCs w:val="21"/>
          <w:highlight w:val="none"/>
        </w:rPr>
        <w:t xml:space="preserve"> 投标供应商资格审查”）， 审查结束公布投标供应商的资格符合情况。资格审查未获通过的供应商，其商务技术文件及报价文件不再进入评审。</w:t>
      </w:r>
    </w:p>
    <w:p>
      <w:pPr>
        <w:shd w:val="clear" w:color="auto" w:fill="auto"/>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商务技术评审结束后，主持人公布商务技术评审无效投标供应商名单和商务技术评审有效投标供应商名单及其商务技术得分情况</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商务技术评审无效的供应商，其报价不再进入评审。</w:t>
      </w:r>
    </w:p>
    <w:p>
      <w:pPr>
        <w:shd w:val="clear" w:color="auto" w:fill="auto"/>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开启有效投标供应商的报价，公布开标一览表有关内容，</w:t>
      </w:r>
      <w:r>
        <w:rPr>
          <w:rFonts w:hint="eastAsia" w:ascii="宋体" w:hAnsi="宋体" w:eastAsia="宋体" w:cs="宋体"/>
          <w:color w:val="auto"/>
          <w:sz w:val="21"/>
          <w:szCs w:val="21"/>
          <w:highlight w:val="none"/>
          <w:lang w:bidi="zh-CN"/>
        </w:rPr>
        <w:t>并【开启签字时段】，供应商对开标纪录进行在线签字确认（不予确认的应说明理由，否则视为无异议）</w:t>
      </w:r>
      <w:r>
        <w:rPr>
          <w:rFonts w:hint="eastAsia" w:ascii="宋体" w:hAnsi="宋体" w:eastAsia="宋体" w:cs="宋体"/>
          <w:color w:val="auto"/>
          <w:kern w:val="0"/>
          <w:sz w:val="21"/>
          <w:szCs w:val="21"/>
          <w:highlight w:val="none"/>
        </w:rPr>
        <w:t>。开标结束后，由评标委员会对报价的合理性、准确性等进行审查核实</w:t>
      </w:r>
      <w:r>
        <w:rPr>
          <w:rFonts w:hint="eastAsia" w:ascii="宋体" w:hAnsi="宋体" w:eastAsia="宋体" w:cs="宋体"/>
          <w:color w:val="auto"/>
          <w:sz w:val="21"/>
          <w:szCs w:val="21"/>
          <w:highlight w:val="none"/>
        </w:rPr>
        <w:t>。</w:t>
      </w:r>
    </w:p>
    <w:p>
      <w:pPr>
        <w:shd w:val="clear" w:color="auto" w:fill="auto"/>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rPr>
        <w:t>评审结束后，采购代理机构在系统上公布评审结果。</w:t>
      </w:r>
    </w:p>
    <w:p>
      <w:pPr>
        <w:shd w:val="clear" w:color="auto" w:fill="auto"/>
        <w:snapToGrid w:val="0"/>
        <w:spacing w:line="360" w:lineRule="auto"/>
        <w:ind w:left="48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特别情况说明：</w:t>
      </w:r>
    </w:p>
    <w:p>
      <w:pPr>
        <w:shd w:val="clear" w:color="auto" w:fill="auto"/>
        <w:snapToGrid w:val="0"/>
        <w:spacing w:line="360" w:lineRule="auto"/>
        <w:ind w:firstLine="371" w:firstLineChars="177"/>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（1）本项目采用电子交易，如遇“</w:t>
      </w:r>
      <w:r>
        <w:rPr>
          <w:rFonts w:hint="eastAsia" w:ascii="宋体" w:hAnsi="宋体" w:eastAsia="宋体" w:cs="宋体"/>
          <w:b/>
          <w:color w:val="auto"/>
          <w:kern w:val="0"/>
          <w:sz w:val="21"/>
          <w:szCs w:val="21"/>
          <w:highlight w:val="none"/>
          <w:lang w:eastAsia="zh-CN"/>
        </w:rPr>
        <w:t>新疆</w:t>
      </w:r>
      <w:r>
        <w:rPr>
          <w:rFonts w:hint="eastAsia" w:ascii="宋体" w:hAnsi="宋体" w:eastAsia="宋体" w:cs="宋体"/>
          <w:b/>
          <w:color w:val="auto"/>
          <w:kern w:val="0"/>
          <w:sz w:val="21"/>
          <w:szCs w:val="21"/>
          <w:highlight w:val="none"/>
        </w:rPr>
        <w:t>政府采购云平台”电子化开标或评审程序调整的，按调整后程序执行。</w:t>
      </w:r>
    </w:p>
    <w:p>
      <w:pPr>
        <w:shd w:val="clear" w:color="auto" w:fill="auto"/>
        <w:snapToGrid w:val="0"/>
        <w:spacing w:line="360" w:lineRule="auto"/>
        <w:ind w:firstLine="371" w:firstLineChars="177"/>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（2）开标过程中需要相关当事人进行签字或盖章确认的材料将通过“政府采购云平台”进行，若因“政府采购云平台”技术问题无法进行签字或盖章确认的，采购组织机构将通过电子邮件等形式予以确认，</w:t>
      </w:r>
      <w:r>
        <w:rPr>
          <w:rFonts w:hint="eastAsia" w:ascii="宋体" w:hAnsi="宋体" w:eastAsia="宋体" w:cs="宋体"/>
          <w:b/>
          <w:color w:val="auto"/>
          <w:kern w:val="0"/>
          <w:sz w:val="21"/>
          <w:szCs w:val="21"/>
          <w:highlight w:val="none"/>
          <w:u w:val="single"/>
        </w:rPr>
        <w:t>请供应商保证办理投标事宜人员电话畅通、网络在线，签字或盖章确认的时间为20分钟。如未及时签字或盖章确认的，视为无异议</w:t>
      </w:r>
      <w:r>
        <w:rPr>
          <w:rFonts w:hint="eastAsia" w:ascii="宋体" w:hAnsi="宋体" w:eastAsia="宋体" w:cs="宋体"/>
          <w:b/>
          <w:color w:val="auto"/>
          <w:kern w:val="0"/>
          <w:sz w:val="21"/>
          <w:szCs w:val="21"/>
          <w:highlight w:val="none"/>
        </w:rPr>
        <w:t>。</w:t>
      </w:r>
    </w:p>
    <w:p>
      <w:pPr>
        <w:shd w:val="clear" w:color="auto" w:fill="auto"/>
        <w:snapToGrid w:val="0"/>
        <w:spacing w:line="360" w:lineRule="auto"/>
        <w:ind w:firstLine="420" w:firstLineChars="200"/>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val="en-US" w:eastAsia="zh-CN"/>
        </w:rPr>
        <w:t>29.3</w:t>
      </w:r>
      <w:r>
        <w:rPr>
          <w:rFonts w:hint="eastAsia" w:ascii="宋体" w:hAnsi="宋体" w:eastAsia="宋体" w:cs="宋体"/>
          <w:b/>
          <w:color w:val="auto"/>
          <w:kern w:val="0"/>
          <w:sz w:val="21"/>
          <w:szCs w:val="21"/>
          <w:highlight w:val="none"/>
        </w:rPr>
        <w:t xml:space="preserve"> 投标供应商资格审查：</w:t>
      </w:r>
    </w:p>
    <w:p>
      <w:pPr>
        <w:shd w:val="clear" w:color="auto" w:fill="auto"/>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bCs/>
          <w:color w:val="auto"/>
          <w:kern w:val="0"/>
          <w:sz w:val="21"/>
          <w:szCs w:val="21"/>
          <w:highlight w:val="none"/>
        </w:rPr>
        <w:t>开标（标书信息开启）后，采购人或采购代理机构</w:t>
      </w:r>
      <w:r>
        <w:rPr>
          <w:rFonts w:hint="eastAsia" w:ascii="宋体" w:hAnsi="宋体" w:eastAsia="宋体" w:cs="宋体"/>
          <w:bCs/>
          <w:color w:val="auto"/>
          <w:kern w:val="0"/>
          <w:sz w:val="21"/>
          <w:szCs w:val="21"/>
          <w:highlight w:val="none"/>
          <w:lang w:eastAsia="zh-CN"/>
        </w:rPr>
        <w:t>或</w:t>
      </w:r>
      <w:r>
        <w:rPr>
          <w:rFonts w:hint="eastAsia" w:ascii="宋体" w:hAnsi="宋体" w:eastAsia="宋体" w:cs="宋体"/>
          <w:color w:val="auto"/>
          <w:kern w:val="0"/>
          <w:sz w:val="21"/>
          <w:szCs w:val="21"/>
          <w:highlight w:val="none"/>
          <w:lang w:eastAsia="zh-CN"/>
        </w:rPr>
        <w:t>评审小组</w:t>
      </w:r>
      <w:r>
        <w:rPr>
          <w:rFonts w:hint="eastAsia" w:ascii="宋体" w:hAnsi="宋体" w:eastAsia="宋体" w:cs="宋体"/>
          <w:bCs/>
          <w:color w:val="auto"/>
          <w:kern w:val="0"/>
          <w:sz w:val="21"/>
          <w:szCs w:val="21"/>
          <w:highlight w:val="none"/>
        </w:rPr>
        <w:t>首先依法对投标供应商的资格文件进行审查，审查各投标供应商的资格符合情况。</w:t>
      </w:r>
      <w:r>
        <w:rPr>
          <w:rFonts w:hint="eastAsia" w:ascii="宋体" w:hAnsi="宋体" w:eastAsia="宋体" w:cs="宋体"/>
          <w:color w:val="auto"/>
          <w:sz w:val="21"/>
          <w:szCs w:val="21"/>
          <w:highlight w:val="none"/>
        </w:rPr>
        <w:t>采购人或采购代理机构</w:t>
      </w:r>
      <w:r>
        <w:rPr>
          <w:rFonts w:hint="eastAsia" w:ascii="宋体" w:hAnsi="宋体" w:eastAsia="宋体" w:cs="宋体"/>
          <w:bCs/>
          <w:color w:val="auto"/>
          <w:kern w:val="0"/>
          <w:sz w:val="21"/>
          <w:szCs w:val="21"/>
          <w:highlight w:val="none"/>
          <w:lang w:eastAsia="zh-CN"/>
        </w:rPr>
        <w:t>或</w:t>
      </w:r>
      <w:r>
        <w:rPr>
          <w:rFonts w:hint="eastAsia" w:ascii="宋体" w:hAnsi="宋体" w:eastAsia="宋体" w:cs="宋体"/>
          <w:color w:val="auto"/>
          <w:kern w:val="0"/>
          <w:sz w:val="21"/>
          <w:szCs w:val="21"/>
          <w:highlight w:val="none"/>
          <w:lang w:eastAsia="zh-CN"/>
        </w:rPr>
        <w:t>评审小组</w:t>
      </w:r>
      <w:r>
        <w:rPr>
          <w:rFonts w:hint="eastAsia" w:ascii="宋体" w:hAnsi="宋体" w:eastAsia="宋体" w:cs="宋体"/>
          <w:color w:val="auto"/>
          <w:sz w:val="21"/>
          <w:szCs w:val="21"/>
          <w:highlight w:val="none"/>
        </w:rPr>
        <w:t>对投标供应商所提交的资格证明材料仅负审核的责任。如发现投标供应商所提交的资格证明材料不合法或与事实不符，采购人可取消其中标资格并追究投标供应商的法律责任。</w:t>
      </w:r>
    </w:p>
    <w:p>
      <w:pPr>
        <w:pStyle w:val="14"/>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投标供应商提交的资格证明材料无法证明其符合采购文件规定的“投标供应商资格要求”的，采购人或采购代理机构将对其作“资格审查不合格”处理（无效投标），并不再将其投标提交评标委员会进行后续评审。</w:t>
      </w:r>
    </w:p>
    <w:p>
      <w:pPr>
        <w:pStyle w:val="14"/>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w:t>
      </w:r>
      <w:r>
        <w:rPr>
          <w:rFonts w:hint="eastAsia" w:ascii="宋体" w:hAnsi="宋体" w:eastAsia="宋体" w:cs="宋体"/>
          <w:b w:val="0"/>
          <w:bCs/>
          <w:color w:val="auto"/>
          <w:kern w:val="0"/>
          <w:sz w:val="21"/>
          <w:szCs w:val="21"/>
          <w:highlight w:val="none"/>
        </w:rPr>
        <w:t>供应商</w:t>
      </w:r>
      <w:r>
        <w:rPr>
          <w:rFonts w:hint="eastAsia" w:ascii="宋体" w:hAnsi="宋体" w:eastAsia="宋体" w:cs="宋体"/>
          <w:b w:val="0"/>
          <w:bCs/>
          <w:color w:val="auto"/>
          <w:sz w:val="21"/>
          <w:szCs w:val="21"/>
          <w:highlight w:val="none"/>
        </w:rPr>
        <w:t>信用记录查询与使用：</w:t>
      </w:r>
      <w:r>
        <w:rPr>
          <w:rFonts w:hint="eastAsia" w:ascii="宋体" w:hAnsi="宋体" w:eastAsia="宋体" w:cs="宋体"/>
          <w:b w:val="0"/>
          <w:bCs/>
          <w:color w:val="auto"/>
          <w:kern w:val="0"/>
          <w:sz w:val="21"/>
          <w:szCs w:val="21"/>
          <w:highlight w:val="none"/>
        </w:rPr>
        <w:t>见《供应商须知前附表》。</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30.</w:t>
      </w:r>
      <w:r>
        <w:rPr>
          <w:rFonts w:hint="eastAsia" w:ascii="宋体"/>
          <w:color w:val="auto"/>
          <w:szCs w:val="21"/>
          <w:highlight w:val="none"/>
        </w:rPr>
        <w:t>评审工作的组织</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rPr>
        <w:t>采购人或采购代理机构负责组织本项目的评审工作，并依据《政府采购货物和服务招标投标管理办法（财政部第87号令）》第四十五条的相关规定履行职责。</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 评标委员会的组建</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.1评标委员会由采购人或采购代理机构依法组建，成员由采购人代表和评审专家组成，成员人数为五人或以上单数，其中评审专家不少于成员总数的三分之二。</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.2评审专家从</w:t>
      </w:r>
      <w:r>
        <w:rPr>
          <w:rFonts w:hint="eastAsia" w:ascii="宋体"/>
          <w:color w:val="auto"/>
          <w:szCs w:val="21"/>
          <w:highlight w:val="none"/>
          <w:lang w:eastAsia="zh-CN"/>
        </w:rPr>
        <w:t>新疆</w:t>
      </w:r>
      <w:r>
        <w:rPr>
          <w:rFonts w:hint="eastAsia" w:ascii="宋体"/>
          <w:color w:val="auto"/>
          <w:szCs w:val="21"/>
          <w:highlight w:val="none"/>
        </w:rPr>
        <w:t>政府采购云平台专家库中通过随机方式抽取产生。评标委员会成员名单在采购结果公告前保密。</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32</w:t>
      </w:r>
      <w:r>
        <w:rPr>
          <w:rFonts w:hint="eastAsia" w:ascii="宋体"/>
          <w:color w:val="auto"/>
          <w:szCs w:val="21"/>
          <w:highlight w:val="none"/>
        </w:rPr>
        <w:t>.评标委员会的职责</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32</w:t>
      </w:r>
      <w:r>
        <w:rPr>
          <w:rFonts w:hint="eastAsia" w:ascii="宋体"/>
          <w:color w:val="auto"/>
          <w:szCs w:val="21"/>
          <w:highlight w:val="none"/>
        </w:rPr>
        <w:t>.1审查、评价投标文件是否符合采购文件的商务、技术等实质性要求。</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32</w:t>
      </w:r>
      <w:r>
        <w:rPr>
          <w:rFonts w:hint="eastAsia" w:ascii="宋体"/>
          <w:color w:val="auto"/>
          <w:szCs w:val="21"/>
          <w:highlight w:val="none"/>
        </w:rPr>
        <w:t>.2要求供应商对投标文件有关事项作出澄清或者说明。</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32</w:t>
      </w:r>
      <w:r>
        <w:rPr>
          <w:rFonts w:hint="eastAsia" w:ascii="宋体"/>
          <w:color w:val="auto"/>
          <w:szCs w:val="21"/>
          <w:highlight w:val="none"/>
        </w:rPr>
        <w:t>.3对投标文件进行比较和评价。</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32</w:t>
      </w:r>
      <w:r>
        <w:rPr>
          <w:rFonts w:hint="eastAsia" w:ascii="宋体"/>
          <w:color w:val="auto"/>
          <w:szCs w:val="21"/>
          <w:highlight w:val="none"/>
        </w:rPr>
        <w:t>.4确定中标候选人名单，以及根据采购人委托直接确定中标人。</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32</w:t>
      </w:r>
      <w:r>
        <w:rPr>
          <w:rFonts w:hint="eastAsia" w:ascii="宋体"/>
          <w:color w:val="auto"/>
          <w:szCs w:val="21"/>
          <w:highlight w:val="none"/>
        </w:rPr>
        <w:t>.5向采购人、采购代理机构或者有关部门报告评审中发现的违法行为。</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33</w:t>
      </w:r>
      <w:r>
        <w:rPr>
          <w:rFonts w:hint="eastAsia" w:ascii="宋体"/>
          <w:color w:val="auto"/>
          <w:szCs w:val="21"/>
          <w:highlight w:val="none"/>
        </w:rPr>
        <w:t>. 评标原则</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33</w:t>
      </w:r>
      <w:r>
        <w:rPr>
          <w:rFonts w:hint="eastAsia" w:ascii="宋体"/>
          <w:color w:val="auto"/>
          <w:szCs w:val="21"/>
          <w:highlight w:val="none"/>
        </w:rPr>
        <w:t>.1评标委员会将遵循公平、公正、科学的原则，对供应商提交的投标文件进行综合评审，评标委员会按照采购文件规定的评标细则进行评分。</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33</w:t>
      </w:r>
      <w:r>
        <w:rPr>
          <w:rFonts w:hint="eastAsia" w:ascii="宋体"/>
          <w:color w:val="auto"/>
          <w:szCs w:val="21"/>
          <w:highlight w:val="none"/>
        </w:rPr>
        <w:t xml:space="preserve">.2客观公正对待所有供应商，对所有投标评价均采用相同的程序和标准。 </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33</w:t>
      </w:r>
      <w:r>
        <w:rPr>
          <w:rFonts w:hint="eastAsia" w:ascii="宋体"/>
          <w:color w:val="auto"/>
          <w:szCs w:val="21"/>
          <w:highlight w:val="none"/>
        </w:rPr>
        <w:t>.3评标委员会成员对需要共同认定的事项存在争议的，按照少数服从多数的原则作出结论。持不同意见的评标委员会成员应当在评审报告上签署不同意见及理由，否则视为同意评审报告。</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33</w:t>
      </w:r>
      <w:r>
        <w:rPr>
          <w:rFonts w:hint="eastAsia" w:ascii="宋体"/>
          <w:color w:val="auto"/>
          <w:szCs w:val="21"/>
          <w:highlight w:val="none"/>
        </w:rPr>
        <w:t>.4 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采购文件规定的方式确定一个供应商获得中标人推荐资格，采购文件未规定的采取随机抽取方式确定，其他同品牌供应商不作为中标候选人。</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rPr>
        <w:t xml:space="preserve">非单一产品采购项目，采购人应当根据采购项目技术构成、产品价格比重等合理确定核心产品，并在采购文件中载明。多家供应商提供的核心产品品牌相同的，按前款规定处理。      </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 评委纪律</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rPr>
        <w:t>评标委员会成员必须严格遵守保密规定，不得泄露评审的有关情况，任何单位和个人不得干扰、影响评标的正常进行，评标委员会成员不得私下与投标供应商接触，不得出现浙江省政府采购活动现场组织管理办法中规定的其他禁止行为。</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35.</w:t>
      </w:r>
      <w:r>
        <w:rPr>
          <w:rFonts w:hint="eastAsia" w:ascii="宋体"/>
          <w:color w:val="auto"/>
          <w:szCs w:val="21"/>
          <w:highlight w:val="none"/>
        </w:rPr>
        <w:t>评标程序</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35.</w:t>
      </w:r>
      <w:r>
        <w:rPr>
          <w:rFonts w:hint="eastAsia" w:ascii="宋体"/>
          <w:color w:val="auto"/>
          <w:szCs w:val="21"/>
          <w:highlight w:val="none"/>
        </w:rPr>
        <w:t>1 在评审专家中推选评标委员会组长，采购人代表不得担任评标委员会组长。</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35.</w:t>
      </w:r>
      <w:r>
        <w:rPr>
          <w:rFonts w:hint="eastAsia" w:ascii="宋体"/>
          <w:color w:val="auto"/>
          <w:szCs w:val="21"/>
          <w:highlight w:val="none"/>
        </w:rPr>
        <w:t>2 评标委员会组长召集成员认真阅读采购文件以及相关补充、质疑、答复文件、项目书面说明等材料，熟悉采购项目的基本概况，采购项目的质量要求、数量、主要技术标准或服务需求，采购合同主要条款，投标文件无效情形，评审方法、评审依据、评审标准等。</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35.</w:t>
      </w:r>
      <w:r>
        <w:rPr>
          <w:rFonts w:hint="eastAsia" w:ascii="宋体"/>
          <w:color w:val="auto"/>
          <w:szCs w:val="21"/>
          <w:highlight w:val="none"/>
        </w:rPr>
        <w:t>3 评审人员对符合资格的供应商的投标文件的有效性、符合性、完整性和响应程度进行审查，确定是否对采购文件作出实质性响应。</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35.</w:t>
      </w:r>
      <w:r>
        <w:rPr>
          <w:rFonts w:hint="eastAsia" w:ascii="宋体"/>
          <w:color w:val="auto"/>
          <w:szCs w:val="21"/>
          <w:highlight w:val="none"/>
        </w:rPr>
        <w:t>4 评审人员按采购文件规定的评审方法和评审标准，依法独立对供应商投标文件进行评估、比较，并给予评价或打分，不受任何单位和个人的干预。</w:t>
      </w:r>
    </w:p>
    <w:p>
      <w:pPr>
        <w:widowControl/>
        <w:shd w:val="clear" w:color="auto" w:fill="auto"/>
        <w:spacing w:line="44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综合评分法货物项目的价格分值占总分值的比重(即权值)为</w:t>
      </w:r>
      <w:r>
        <w:rPr>
          <w:rFonts w:hint="eastAsia" w:ascii="宋体" w:hAnsi="宋体" w:cs="宋体"/>
          <w:color w:val="auto"/>
          <w:kern w:val="0"/>
          <w:szCs w:val="21"/>
          <w:highlight w:val="none"/>
          <w:lang w:val="en-US" w:eastAsia="zh-CN"/>
        </w:rPr>
        <w:t>30</w:t>
      </w:r>
      <w:r>
        <w:rPr>
          <w:rFonts w:hint="eastAsia" w:ascii="宋体" w:hAnsi="宋体" w:eastAsia="宋体" w:cs="宋体"/>
          <w:color w:val="auto"/>
          <w:kern w:val="0"/>
          <w:szCs w:val="21"/>
          <w:highlight w:val="none"/>
        </w:rPr>
        <w:t>％，采购项目中含不同采购对象的，以占项目资金比例最高的采购对象确定其项目属性。其价格不列为评分因素，有特殊情况需要在上述规定范围外设定价格分权重的。</w:t>
      </w:r>
    </w:p>
    <w:p>
      <w:pPr>
        <w:widowControl/>
        <w:shd w:val="clear" w:color="auto" w:fill="auto"/>
        <w:spacing w:line="440" w:lineRule="exact"/>
        <w:ind w:firstLine="48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综合评分法中的价格分统一采用低价优先法计算，即满足</w:t>
      </w:r>
      <w:r>
        <w:rPr>
          <w:rFonts w:hint="eastAsia" w:ascii="宋体" w:hAnsi="宋体" w:eastAsia="宋体" w:cs="宋体"/>
          <w:color w:val="auto"/>
          <w:kern w:val="0"/>
          <w:szCs w:val="21"/>
          <w:highlight w:val="none"/>
          <w:lang w:eastAsia="zh-CN"/>
        </w:rPr>
        <w:t>招标</w:t>
      </w:r>
      <w:r>
        <w:rPr>
          <w:rFonts w:hint="eastAsia" w:ascii="宋体" w:hAnsi="宋体" w:eastAsia="宋体" w:cs="宋体"/>
          <w:color w:val="auto"/>
          <w:kern w:val="0"/>
          <w:szCs w:val="21"/>
          <w:highlight w:val="none"/>
        </w:rPr>
        <w:t>文件要求且最后报价最低的供应商的价格为</w:t>
      </w:r>
      <w:r>
        <w:rPr>
          <w:rFonts w:hint="eastAsia" w:ascii="宋体" w:hAnsi="宋体" w:eastAsia="宋体" w:cs="宋体"/>
          <w:color w:val="auto"/>
          <w:kern w:val="0"/>
          <w:szCs w:val="21"/>
          <w:highlight w:val="none"/>
          <w:lang w:eastAsia="zh-CN"/>
        </w:rPr>
        <w:t>招标</w:t>
      </w:r>
      <w:r>
        <w:rPr>
          <w:rFonts w:hint="eastAsia" w:ascii="宋体" w:hAnsi="宋体" w:eastAsia="宋体" w:cs="宋体"/>
          <w:color w:val="auto"/>
          <w:kern w:val="0"/>
          <w:szCs w:val="21"/>
          <w:highlight w:val="none"/>
        </w:rPr>
        <w:t>基准价，其价格分为满分。其他供应商的价格分统一按照下列公式计算：</w:t>
      </w:r>
    </w:p>
    <w:p>
      <w:pPr>
        <w:widowControl/>
        <w:shd w:val="clear" w:color="auto" w:fill="auto"/>
        <w:spacing w:line="440" w:lineRule="exact"/>
        <w:ind w:firstLine="48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投标</w:t>
      </w:r>
      <w:r>
        <w:rPr>
          <w:rFonts w:hint="eastAsia" w:ascii="宋体" w:hAnsi="宋体" w:eastAsia="宋体" w:cs="宋体"/>
          <w:color w:val="auto"/>
          <w:kern w:val="0"/>
          <w:szCs w:val="21"/>
          <w:highlight w:val="none"/>
        </w:rPr>
        <w:t>报价得分=（基准价/</w:t>
      </w:r>
      <w:r>
        <w:rPr>
          <w:rFonts w:hint="eastAsia" w:ascii="宋体" w:hAnsi="宋体" w:eastAsia="宋体" w:cs="宋体"/>
          <w:color w:val="auto"/>
          <w:kern w:val="0"/>
          <w:szCs w:val="21"/>
          <w:highlight w:val="none"/>
          <w:lang w:eastAsia="zh-CN"/>
        </w:rPr>
        <w:t>投标</w:t>
      </w:r>
      <w:r>
        <w:rPr>
          <w:rFonts w:hint="eastAsia" w:ascii="宋体" w:hAnsi="宋体" w:eastAsia="宋体" w:cs="宋体"/>
          <w:color w:val="auto"/>
          <w:kern w:val="0"/>
          <w:szCs w:val="21"/>
          <w:highlight w:val="none"/>
        </w:rPr>
        <w:t>报价）×价格权值×100</w:t>
      </w:r>
    </w:p>
    <w:p>
      <w:pPr>
        <w:widowControl/>
        <w:shd w:val="clear" w:color="auto" w:fill="auto"/>
        <w:spacing w:line="440" w:lineRule="exact"/>
        <w:ind w:firstLine="480"/>
        <w:rPr>
          <w:rFonts w:hint="eastAsia" w:ascii="宋体"/>
          <w:color w:val="auto"/>
          <w:szCs w:val="21"/>
          <w:highlight w:val="none"/>
          <w:lang w:val="en-US" w:eastAsia="zh-CN"/>
        </w:rPr>
      </w:pPr>
      <w:r>
        <w:rPr>
          <w:rFonts w:hint="eastAsia" w:ascii="宋体" w:hAnsi="宋体" w:eastAsia="宋体" w:cs="宋体"/>
          <w:color w:val="auto"/>
          <w:kern w:val="0"/>
          <w:szCs w:val="21"/>
          <w:highlight w:val="none"/>
        </w:rPr>
        <w:t>项目评审过程中，不得去掉最后报价中的最高报价和最低报价。</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35.</w:t>
      </w:r>
      <w:r>
        <w:rPr>
          <w:rFonts w:hint="eastAsia" w:ascii="宋体"/>
          <w:color w:val="auto"/>
          <w:szCs w:val="21"/>
          <w:highlight w:val="none"/>
        </w:rPr>
        <w:t>5 评审人员对各供应商投标文件非实质性内容有疑议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35.</w:t>
      </w:r>
      <w:r>
        <w:rPr>
          <w:rFonts w:hint="eastAsia" w:ascii="宋体"/>
          <w:color w:val="auto"/>
          <w:szCs w:val="21"/>
          <w:highlight w:val="none"/>
        </w:rPr>
        <w:t>6 评审人员需对采购方工作人员唱票或统计的评审结果进行确认，现场监督员应对评审结果签署监督意见。如发现分值汇总计算错误、分项评分超出评分标准范围、客观评分不一致以及存在评分畸高、畸低（其总评分偏离平均分</w:t>
      </w:r>
      <w:r>
        <w:rPr>
          <w:rFonts w:hint="eastAsia" w:ascii="宋体"/>
          <w:color w:val="auto"/>
          <w:szCs w:val="21"/>
          <w:highlight w:val="none"/>
          <w:lang w:val="en-US" w:eastAsia="zh-CN"/>
        </w:rPr>
        <w:t>30</w:t>
      </w:r>
      <w:r>
        <w:rPr>
          <w:rFonts w:hint="eastAsia" w:ascii="宋体"/>
          <w:color w:val="auto"/>
          <w:szCs w:val="21"/>
          <w:highlight w:val="none"/>
        </w:rPr>
        <w:t>%以上的）情形的，应由相关人员当场改正或作出书面说明；拒不改正又不作书面说明的，由现场监督员如实记载后存入项目档案资料。</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35.</w:t>
      </w:r>
      <w:r>
        <w:rPr>
          <w:rFonts w:hint="eastAsia" w:ascii="宋体"/>
          <w:color w:val="auto"/>
          <w:szCs w:val="21"/>
          <w:highlight w:val="none"/>
        </w:rPr>
        <w:t>7 评标委员会根据评审汇总情况和采购文件规定确定中标候选供应商排序名单。</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35.</w:t>
      </w:r>
      <w:r>
        <w:rPr>
          <w:rFonts w:hint="eastAsia" w:ascii="宋体"/>
          <w:color w:val="auto"/>
          <w:szCs w:val="21"/>
          <w:highlight w:val="none"/>
        </w:rPr>
        <w:t xml:space="preserve">8 起草评审报告，所有评审人员须在评审报告上签字确认，对自己的评审意见承担法律责任。 </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35.</w:t>
      </w:r>
      <w:r>
        <w:rPr>
          <w:rFonts w:hint="eastAsia" w:ascii="宋体"/>
          <w:color w:val="auto"/>
          <w:szCs w:val="21"/>
          <w:highlight w:val="none"/>
        </w:rPr>
        <w:t>9 采购组织机构对评标委员会评审专家进行评价。</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35.</w:t>
      </w:r>
      <w:r>
        <w:rPr>
          <w:rFonts w:hint="eastAsia" w:ascii="宋体"/>
          <w:color w:val="auto"/>
          <w:szCs w:val="21"/>
          <w:highlight w:val="none"/>
        </w:rPr>
        <w:t>10 修改评审结果</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rPr>
        <w:t>评标结果汇总完成后，除下列情形外，任何人不得修改评标结果：</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rPr>
        <w:t>（1）分值汇总计算错误的；</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rPr>
        <w:t>（2）分项评分超出评分标准范围的；</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rPr>
        <w:t>（3）评标委员会成员对客观评审因素评分不一致的；</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rPr>
        <w:t>（4）经评标委员会认定评分畸高、畸低的。</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36．澄清、说明或补正的形式</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36.1对于投标文件中含义不明确、同类问题表述不一致或者有明显文字和计算错误的内容，评标委员会将通过“政府采购云平台”在线询标的方式要求投标供应商在规定的时间内作出必要的澄清、说明或者补正，</w:t>
      </w:r>
      <w:r>
        <w:rPr>
          <w:rFonts w:hint="eastAsia" w:ascii="宋体"/>
          <w:b/>
          <w:bCs/>
          <w:color w:val="auto"/>
          <w:szCs w:val="21"/>
          <w:highlight w:val="none"/>
          <w:lang w:val="en-US" w:eastAsia="zh-CN"/>
        </w:rPr>
        <w:t>投标供应商澄清、说明或补正时间为20分钟</w:t>
      </w:r>
      <w:r>
        <w:rPr>
          <w:rFonts w:hint="eastAsia" w:ascii="宋体"/>
          <w:b w:val="0"/>
          <w:bCs w:val="0"/>
          <w:color w:val="auto"/>
          <w:szCs w:val="21"/>
          <w:highlight w:val="none"/>
          <w:lang w:val="en-US" w:eastAsia="zh-CN"/>
        </w:rPr>
        <w:t>。</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36.2投标供应商的澄清、说明或者补正应当通过“政府采购云平台”在线答复的方式提交，并加盖公章（电子印章），或者由法定代表人（负责人）或其授权的代表签字。投标供应商的澄清、说明或者补正不得超出投标文件的范围或者改变投标文件的实质性内容，不接受投标供应商主动对投标文件的澄清、说明或者补正。</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37．错误修正的原则</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电子交易平台客户端里开标一览表录入的投标报价或优惠率与扫描上传的报价文件信息不一致的，以扫描上传的报价文件信息为准进行修正。</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投标文件报价出现前后不一致的，除采购文件另有规定外，按照下列规定修正：</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 投标函中表述的内容与报价表中不一致的，以报价表为准；报价表中的内容与报价明细表不一致的，以报价表为准；</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37.2 投标文件中的大写金额和小写金额不一致的，以大写金额为准；</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37.3 单价金额小数点或者百分比有明显错位的，以开标一览表的总价为准，并修改单价；</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37.4 总价金额与按单价汇总金额不一致的，以单价金额计算结果为准；</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37.5 若用文字表示的数值与用数字表示的数值不一致，以文字表示的数值为准；</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37.6 如有多报（指数量超出采购文件需求）、重报（指同一货物重复报价），其投标总价在评标过程中不予调整，如其中标，其合同价按其投标单价予以调整；</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37.7 对不同文字文本投标文件的解释发生异议的，以中文文本为准；</w:t>
      </w:r>
    </w:p>
    <w:p>
      <w:pPr>
        <w:shd w:val="clear" w:color="auto" w:fill="auto"/>
        <w:spacing w:line="440" w:lineRule="exact"/>
        <w:ind w:firstLine="210" w:firstLineChars="100"/>
        <w:jc w:val="left"/>
        <w:rPr>
          <w:rFonts w:hint="eastAsia" w:ascii="宋体"/>
          <w:b/>
          <w:bCs/>
          <w:color w:val="auto"/>
          <w:szCs w:val="21"/>
          <w:highlight w:val="none"/>
          <w:lang w:val="en-US" w:eastAsia="zh-CN"/>
        </w:rPr>
      </w:pPr>
      <w:r>
        <w:rPr>
          <w:rFonts w:hint="eastAsia" w:ascii="宋体"/>
          <w:b w:val="0"/>
          <w:bCs w:val="0"/>
          <w:color w:val="auto"/>
          <w:szCs w:val="21"/>
          <w:highlight w:val="none"/>
          <w:lang w:val="en-US"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w:t>
      </w:r>
      <w:r>
        <w:rPr>
          <w:rFonts w:hint="eastAsia" w:ascii="宋体"/>
          <w:b/>
          <w:bCs/>
          <w:color w:val="auto"/>
          <w:szCs w:val="21"/>
          <w:highlight w:val="none"/>
          <w:lang w:val="en-US" w:eastAsia="zh-CN"/>
        </w:rPr>
        <w:t>修正应当采用电子询标的形式，并加盖公章（电子印章）。</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38．无效投标文件</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有下列情形之一的，投标文件按无效标处理：</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38.1 报名的投标人与参加投标的投标人发生实质性变更的且未提供有效证明的；</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38.2投标人提交两份或两份以上内容不同的投标文件，未声明哪一份有效的；</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38.3 投标文件非投标人法定代表人签署的，未提供或提供无效的法定代表人授权书；</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38.4 未按招标文件规定装订；</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38.5 投标文件内容未按招标文件规定签字或盖章的；</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38.6 投标文件组成漏项或未按规定的格式编制或投标文件正、副本份数不足或内容不全或内容字迹模糊辨认不清的等而导致评标活动无法正常进行；</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38.7 投标人未按招标文件变更通知更改投标文件的；</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38.8 《开标一览表</w:t>
      </w:r>
      <w:r>
        <w:rPr>
          <w:rFonts w:hint="eastAsia" w:ascii="宋体" w:hAnsi="Times New Roman" w:eastAsia="宋体" w:cs="Times New Roman"/>
          <w:b w:val="0"/>
          <w:bCs w:val="0"/>
          <w:color w:val="auto"/>
          <w:szCs w:val="21"/>
          <w:highlight w:val="none"/>
          <w:lang w:val="en-US" w:eastAsia="zh-CN"/>
        </w:rPr>
        <w:t>》和《投标分项报价表》内容不完</w:t>
      </w:r>
      <w:r>
        <w:rPr>
          <w:rFonts w:hint="eastAsia" w:ascii="宋体"/>
          <w:b w:val="0"/>
          <w:bCs w:val="0"/>
          <w:color w:val="auto"/>
          <w:szCs w:val="21"/>
          <w:highlight w:val="none"/>
          <w:lang w:val="en-US" w:eastAsia="zh-CN"/>
        </w:rPr>
        <w:t>整且不接受修正意见或字迹不能辨认的或未提供；</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38.9 标项投标报价超过招标文件规定的预算金额或最高限价</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38.10 因投标人原因编制错误造成经评标委员会修正后的报价达到或超过投标报价的0.5%；</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38.11 投标人的报价明显低于其他通过符合性审查投标人的报价，有可能影响产品质量或者不能诚信履约的，且在规定时间内不能合理说明原因并提供证明材料的；</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38.12 未实质性响应招标文件中条款要求的投标文件；</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38.13 不符合招标范围、技术规格、技术标准的要求无法满足采购人使用要求；</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38.14 投标文件附有采购人不能接受的条款；</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38.15 投标文件中提供了赠品或者与本项目采购无关的其他商品、服务；</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38.16 投标文件中承诺的投标有效期少于招标文件中载明的投标有效期；</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38.17投标人串通投标，妨碍其他投标人的竞争行为，损害采购人或者其他投标人的合法权益；</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38.18违反国家及政府部门相关法律、法规、文件规定或经评标委员会认定的其他属于重大偏离；</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39．废标</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39.1 符合招标文件规定废标情形的；</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39.2 出现影响采购公正的违法、违规行为的；</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39.3 供应商的报价均超过了采购预算（或最高限价），采购人不能支付的;</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39.4 因重大变故，采购任务取消的。</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40．突发情况处理</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40.1 采购过程中出现以下情形，导致电子交易平台无法正常运行，或者无法保证电子交易的公平、公正和安全时，采购组织机构可中止电子交易活动：</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 xml:space="preserve">（1）电子交易平台发生故障而无法登录访问的； </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（2）电子交易平台应用或数据库出现错误，不能进行正常操作的；</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（3）电子交易平台发现严重安全漏洞，有潜在泄密危险的；</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 xml:space="preserve">（4）病毒发作导致不能进行正常操作的； </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（5）其他无法保证电子交易的公平、公正和安全的情况。</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40.2 采购代理机构或评审小组因不可抗力（不可抗力包括但不限于自然灾害、断电、传播疫病等）原因造成电子交易活动无法正常运行的，将采取以下措施：</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 xml:space="preserve">（1）短时间内能消除不可抗力因素的，采购代理机构或评审小组在消除不可抗力因素后继续组织电子交易活动； </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（2）长时间内无法消除不可抗力因素的，采购代理机构或评审小组将中止电子交易活动。中止电子交易活动的，采购人应当重新组织政府采购活动。</w:t>
      </w:r>
    </w:p>
    <w:p>
      <w:pPr>
        <w:shd w:val="clear" w:color="auto" w:fill="auto"/>
        <w:snapToGrid w:val="0"/>
        <w:spacing w:line="360" w:lineRule="exact"/>
        <w:ind w:firstLine="421"/>
        <w:rPr>
          <w:rFonts w:hint="eastAsia" w:ascii="宋体"/>
          <w:b/>
          <w:color w:val="auto"/>
          <w:szCs w:val="21"/>
          <w:highlight w:val="none"/>
        </w:rPr>
      </w:pPr>
      <w:r>
        <w:rPr>
          <w:rFonts w:hint="eastAsia" w:ascii="宋体"/>
          <w:b/>
          <w:color w:val="auto"/>
          <w:szCs w:val="21"/>
          <w:highlight w:val="none"/>
          <w:lang w:val="en-US" w:eastAsia="zh-CN"/>
        </w:rPr>
        <w:t>41</w:t>
      </w:r>
      <w:r>
        <w:rPr>
          <w:rFonts w:hint="eastAsia" w:ascii="宋体"/>
          <w:b/>
          <w:color w:val="auto"/>
          <w:szCs w:val="21"/>
          <w:highlight w:val="none"/>
        </w:rPr>
        <w:t>. 定标</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color w:val="auto"/>
          <w:szCs w:val="21"/>
          <w:highlight w:val="none"/>
        </w:rPr>
        <w:t xml:space="preserve">   </w:t>
      </w:r>
      <w:r>
        <w:rPr>
          <w:rFonts w:hint="eastAsia" w:ascii="宋体"/>
          <w:b w:val="0"/>
          <w:bCs w:val="0"/>
          <w:color w:val="auto"/>
          <w:szCs w:val="21"/>
          <w:highlight w:val="none"/>
          <w:lang w:val="en-US" w:eastAsia="zh-CN"/>
        </w:rPr>
        <w:t xml:space="preserve"> </w:t>
      </w:r>
      <w:bookmarkStart w:id="37" w:name="_Toc469495729"/>
      <w:r>
        <w:rPr>
          <w:rFonts w:hint="eastAsia" w:ascii="宋体"/>
          <w:b w:val="0"/>
          <w:bCs w:val="0"/>
          <w:color w:val="auto"/>
          <w:szCs w:val="21"/>
          <w:highlight w:val="none"/>
          <w:lang w:val="en-US" w:eastAsia="zh-CN"/>
        </w:rPr>
        <w:t>41.1采购结果确认（确定中标供应商）</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采购结果确认（确定中标供应商）：本项目由采购人根据评标委员会提交的《评审报告》，通过“政府采购云平台”依法确认采购结果、确定中标供应商。具体流程如下：</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（1）采购代理机构将在评审结束后2个工作日内将评审报告送采购人。</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 xml:space="preserve">（2）采购人将在收到评审报告之日起5个工作日内，在评审报告推荐的中标候选供应商名单中按顺序确定中标供应商，并将确认意见以书面形式回复采购代理机构。 </w:t>
      </w:r>
    </w:p>
    <w:p>
      <w:pPr>
        <w:shd w:val="clear" w:color="auto" w:fill="auto"/>
        <w:spacing w:line="440" w:lineRule="exact"/>
        <w:ind w:firstLine="210" w:firstLineChars="100"/>
        <w:jc w:val="left"/>
        <w:rPr>
          <w:rFonts w:hint="eastAsia" w:ascii="宋体"/>
          <w:b/>
          <w:bCs/>
          <w:color w:val="auto"/>
          <w:szCs w:val="21"/>
          <w:highlight w:val="none"/>
          <w:lang w:val="en-US" w:eastAsia="zh-CN"/>
        </w:rPr>
      </w:pPr>
      <w:r>
        <w:rPr>
          <w:rFonts w:hint="eastAsia" w:ascii="宋体"/>
          <w:b w:val="0"/>
          <w:bCs w:val="0"/>
          <w:color w:val="auto"/>
          <w:szCs w:val="21"/>
          <w:highlight w:val="none"/>
          <w:lang w:val="en-US" w:eastAsia="zh-CN"/>
        </w:rPr>
        <w:t>41.2采购结果经采购人确认后2个工作日内，采购代理机构将在</w:t>
      </w:r>
      <w:r>
        <w:rPr>
          <w:rFonts w:hint="eastAsia" w:ascii="宋体"/>
          <w:b/>
          <w:bCs/>
          <w:color w:val="auto"/>
          <w:szCs w:val="21"/>
          <w:highlight w:val="none"/>
          <w:lang w:val="en-US" w:eastAsia="zh-CN"/>
        </w:rPr>
        <w:t>克州公共资源交易中心网、新疆政府采购网（www.zjzfcg.gov.cn）上公告采购结果，中标公告期限为1个工作日。</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42. 中标通知书</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42.1</w:t>
      </w:r>
      <w:r>
        <w:rPr>
          <w:rFonts w:hint="eastAsia" w:ascii="宋体" w:hAnsi="宋体" w:eastAsia="宋体" w:cs="宋体"/>
          <w:color w:val="auto"/>
          <w:szCs w:val="21"/>
          <w:highlight w:val="none"/>
        </w:rPr>
        <w:t>在</w:t>
      </w:r>
      <w:r>
        <w:rPr>
          <w:rFonts w:hint="eastAsia" w:ascii="宋体" w:hAnsi="宋体" w:eastAsia="宋体" w:cs="宋体"/>
          <w:color w:val="auto"/>
          <w:szCs w:val="21"/>
          <w:highlight w:val="none"/>
          <w:lang w:eastAsia="zh-CN"/>
        </w:rPr>
        <w:t>中标</w:t>
      </w:r>
      <w:r>
        <w:rPr>
          <w:rFonts w:hint="eastAsia" w:ascii="宋体" w:hAnsi="宋体" w:eastAsia="宋体" w:cs="宋体"/>
          <w:color w:val="auto"/>
          <w:szCs w:val="21"/>
          <w:highlight w:val="none"/>
        </w:rPr>
        <w:t>通知书发出前，招标人将</w:t>
      </w:r>
      <w:r>
        <w:rPr>
          <w:rFonts w:hint="eastAsia" w:ascii="宋体" w:hAnsi="宋体" w:eastAsia="宋体" w:cs="宋体"/>
          <w:color w:val="auto"/>
          <w:szCs w:val="21"/>
          <w:highlight w:val="none"/>
          <w:lang w:eastAsia="zh-CN"/>
        </w:rPr>
        <w:t>中标</w:t>
      </w:r>
      <w:r>
        <w:rPr>
          <w:rFonts w:hint="eastAsia" w:ascii="宋体" w:hAnsi="宋体" w:eastAsia="宋体" w:cs="宋体"/>
          <w:color w:val="auto"/>
          <w:szCs w:val="21"/>
          <w:highlight w:val="none"/>
        </w:rPr>
        <w:t>侯选人的情况在</w:t>
      </w:r>
      <w:r>
        <w:rPr>
          <w:rFonts w:hint="eastAsia" w:ascii="宋体" w:hAnsi="宋体" w:eastAsia="宋体" w:cs="宋体"/>
          <w:color w:val="auto"/>
          <w:szCs w:val="21"/>
          <w:highlight w:val="none"/>
          <w:lang w:val="en-US" w:eastAsia="zh-CN"/>
        </w:rPr>
        <w:t>克州公共资源交易中心网、</w:t>
      </w:r>
      <w:r>
        <w:rPr>
          <w:rFonts w:hint="eastAsia" w:ascii="宋体" w:hAnsi="宋体" w:eastAsia="宋体" w:cs="宋体"/>
          <w:color w:val="auto"/>
          <w:szCs w:val="21"/>
          <w:highlight w:val="none"/>
          <w:lang w:eastAsia="zh-CN"/>
        </w:rPr>
        <w:t>新疆政府采购网</w:t>
      </w:r>
      <w:r>
        <w:rPr>
          <w:rFonts w:hint="eastAsia" w:ascii="宋体" w:hAnsi="宋体" w:eastAsia="宋体" w:cs="宋体"/>
          <w:color w:val="auto"/>
          <w:szCs w:val="21"/>
          <w:highlight w:val="none"/>
        </w:rPr>
        <w:t>予以公示，</w:t>
      </w:r>
      <w:r>
        <w:rPr>
          <w:rFonts w:hint="eastAsia" w:ascii="宋体" w:hAnsi="宋体" w:eastAsia="宋体" w:cs="宋体"/>
          <w:b/>
          <w:bCs/>
          <w:color w:val="auto"/>
          <w:szCs w:val="21"/>
          <w:highlight w:val="none"/>
        </w:rPr>
        <w:t>公示期为</w:t>
      </w:r>
      <w:r>
        <w:rPr>
          <w:rFonts w:hint="eastAsia" w:ascii="宋体" w:hAnsi="宋体" w:eastAsia="宋体" w:cs="宋体"/>
          <w:b/>
          <w:bCs/>
          <w:color w:val="auto"/>
          <w:szCs w:val="21"/>
          <w:highlight w:val="none"/>
          <w:lang w:eastAsia="zh-CN"/>
        </w:rPr>
        <w:t>一</w:t>
      </w:r>
      <w:r>
        <w:rPr>
          <w:rFonts w:hint="eastAsia" w:ascii="宋体" w:hAnsi="宋体" w:eastAsia="宋体" w:cs="宋体"/>
          <w:b/>
          <w:bCs/>
          <w:color w:val="auto"/>
          <w:szCs w:val="21"/>
          <w:highlight w:val="none"/>
        </w:rPr>
        <w:t>个工作日。</w:t>
      </w:r>
      <w:r>
        <w:rPr>
          <w:rFonts w:hint="eastAsia" w:ascii="宋体" w:hAnsi="宋体" w:eastAsia="宋体" w:cs="宋体"/>
          <w:b/>
          <w:bCs/>
          <w:color w:val="auto"/>
          <w:szCs w:val="21"/>
          <w:highlight w:val="none"/>
          <w:lang w:eastAsia="zh-CN"/>
        </w:rPr>
        <w:t>待公示期结束后，</w:t>
      </w:r>
      <w:r>
        <w:rPr>
          <w:rFonts w:hint="eastAsia" w:ascii="宋体"/>
          <w:b w:val="0"/>
          <w:bCs w:val="0"/>
          <w:color w:val="auto"/>
          <w:szCs w:val="21"/>
          <w:highlight w:val="none"/>
          <w:lang w:val="en-US" w:eastAsia="zh-CN"/>
        </w:rPr>
        <w:t>采购组织机构向中标人发出中标通知书。</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42.2中标通知书作为签订合同的重要依据，对采购人和中标供应商均具有法律效力。采购人改变中标结果或者中标供应商放弃中标项目的都应承担法律责任。中标供应商不得向他人转让中标项目，也不得将中标项目肢解后分别向他人转让。</w:t>
      </w:r>
    </w:p>
    <w:p>
      <w:pPr>
        <w:shd w:val="clear" w:color="auto" w:fill="auto"/>
        <w:spacing w:before="156" w:beforeLines="50" w:line="440" w:lineRule="exact"/>
        <w:jc w:val="center"/>
        <w:outlineLvl w:val="2"/>
        <w:rPr>
          <w:rFonts w:hint="eastAsia" w:ascii="黑体" w:eastAsia="黑体"/>
          <w:color w:val="auto"/>
          <w:sz w:val="24"/>
          <w:highlight w:val="none"/>
        </w:rPr>
      </w:pPr>
      <w:r>
        <w:rPr>
          <w:rFonts w:hint="eastAsia" w:ascii="黑体" w:eastAsia="黑体"/>
          <w:color w:val="auto"/>
          <w:sz w:val="28"/>
          <w:szCs w:val="28"/>
          <w:highlight w:val="none"/>
        </w:rPr>
        <w:t>（六）合同的授予</w:t>
      </w:r>
      <w:bookmarkEnd w:id="37"/>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bookmarkStart w:id="38" w:name="_Toc73975843"/>
      <w:bookmarkStart w:id="39" w:name="_Toc469495730"/>
      <w:r>
        <w:rPr>
          <w:rFonts w:hint="eastAsia" w:ascii="宋体"/>
          <w:b w:val="0"/>
          <w:bCs w:val="0"/>
          <w:color w:val="auto"/>
          <w:szCs w:val="21"/>
          <w:highlight w:val="none"/>
          <w:lang w:val="en-US" w:eastAsia="zh-CN"/>
        </w:rPr>
        <w:t>44．签订合同及公告</w:t>
      </w:r>
      <w:bookmarkEnd w:id="38"/>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44.1采购人在中标通知书发出之日起30日内与中标供应商签订合同。</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44.2中标供应商拖延、拒签合同的,取消中标资格。</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44.3 采购文件、中标供应商的投标文件及评标过程中有关澄清文件等均作为签订合同的依据。所签订的合同不得对采购文件和中标供应商的投标文件的内容作实质性修改。</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44.4采购人应当自政府采购合同签订之日起2个工作日内，在省级以上财政部门指定的政府采购信息发布媒体及相关网站上公告。</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44.5采购人应当自政府采购合同签订之日起7个工作日内，将政府采购合同副本报同级人民政府财政部门备案以及采购代理机构存档。</w:t>
      </w:r>
    </w:p>
    <w:p>
      <w:pPr>
        <w:shd w:val="clear" w:color="auto" w:fill="auto"/>
        <w:adjustRightInd w:val="0"/>
        <w:snapToGrid w:val="0"/>
        <w:spacing w:line="440" w:lineRule="exact"/>
        <w:jc w:val="center"/>
        <w:outlineLvl w:val="2"/>
        <w:rPr>
          <w:rFonts w:hint="eastAsia" w:ascii="黑体" w:eastAsia="黑体"/>
          <w:color w:val="auto"/>
          <w:sz w:val="28"/>
          <w:szCs w:val="28"/>
          <w:highlight w:val="none"/>
        </w:rPr>
      </w:pPr>
      <w:r>
        <w:rPr>
          <w:rFonts w:hint="eastAsia" w:ascii="黑体" w:eastAsia="黑体"/>
          <w:color w:val="auto"/>
          <w:sz w:val="28"/>
          <w:szCs w:val="28"/>
          <w:highlight w:val="none"/>
        </w:rPr>
        <w:t>（七）纪律和监督</w:t>
      </w:r>
      <w:bookmarkEnd w:id="39"/>
    </w:p>
    <w:p>
      <w:pPr>
        <w:shd w:val="clear" w:color="auto" w:fill="auto"/>
        <w:spacing w:line="440" w:lineRule="exact"/>
        <w:ind w:firstLine="308" w:firstLineChars="147"/>
        <w:jc w:val="left"/>
        <w:rPr>
          <w:rFonts w:hint="eastAsia" w:ascii="宋体"/>
          <w:b/>
          <w:color w:val="auto"/>
          <w:szCs w:val="21"/>
          <w:highlight w:val="none"/>
        </w:rPr>
      </w:pPr>
      <w:r>
        <w:rPr>
          <w:rFonts w:hint="eastAsia" w:ascii="宋体"/>
          <w:b/>
          <w:color w:val="auto"/>
          <w:szCs w:val="21"/>
          <w:highlight w:val="none"/>
          <w:lang w:val="en-US" w:eastAsia="zh-CN"/>
        </w:rPr>
        <w:t>45</w:t>
      </w:r>
      <w:r>
        <w:rPr>
          <w:rFonts w:hint="eastAsia" w:ascii="宋体"/>
          <w:b/>
          <w:color w:val="auto"/>
          <w:szCs w:val="21"/>
          <w:highlight w:val="none"/>
        </w:rPr>
        <w:t xml:space="preserve">. 对招标人的纪律要求 </w:t>
      </w:r>
    </w:p>
    <w:p>
      <w:pPr>
        <w:shd w:val="clear" w:color="auto" w:fill="auto"/>
        <w:adjustRightInd w:val="0"/>
        <w:snapToGrid w:val="0"/>
        <w:spacing w:line="440" w:lineRule="exact"/>
        <w:ind w:firstLine="315" w:firstLineChars="150"/>
        <w:rPr>
          <w:rFonts w:hint="eastAsia" w:ascii="宋体"/>
          <w:color w:val="auto"/>
          <w:kern w:val="10"/>
          <w:szCs w:val="21"/>
          <w:highlight w:val="none"/>
        </w:rPr>
      </w:pPr>
      <w:r>
        <w:rPr>
          <w:rFonts w:hint="eastAsia" w:ascii="宋体"/>
          <w:color w:val="auto"/>
          <w:kern w:val="10"/>
          <w:szCs w:val="21"/>
          <w:highlight w:val="none"/>
          <w:lang w:val="en-US" w:eastAsia="zh-CN"/>
        </w:rPr>
        <w:t>45</w:t>
      </w:r>
      <w:r>
        <w:rPr>
          <w:rFonts w:hint="eastAsia" w:ascii="宋体"/>
          <w:color w:val="auto"/>
          <w:kern w:val="10"/>
          <w:szCs w:val="21"/>
          <w:highlight w:val="none"/>
        </w:rPr>
        <w:t xml:space="preserve">.1招标人不得泄漏招标投标活动中应当保密的情况和资料，不得与投标人串通损害国家利益，社会公共利益或者他人合法权益。 </w:t>
      </w:r>
    </w:p>
    <w:p>
      <w:pPr>
        <w:shd w:val="clear" w:color="auto" w:fill="auto"/>
        <w:spacing w:line="440" w:lineRule="exact"/>
        <w:ind w:firstLine="308" w:firstLineChars="147"/>
        <w:jc w:val="left"/>
        <w:rPr>
          <w:rFonts w:hint="eastAsia" w:ascii="宋体"/>
          <w:b/>
          <w:color w:val="auto"/>
          <w:szCs w:val="21"/>
          <w:highlight w:val="none"/>
        </w:rPr>
      </w:pPr>
      <w:r>
        <w:rPr>
          <w:rFonts w:hint="eastAsia" w:ascii="宋体"/>
          <w:b/>
          <w:color w:val="auto"/>
          <w:szCs w:val="21"/>
          <w:highlight w:val="none"/>
          <w:lang w:val="en-US" w:eastAsia="zh-CN"/>
        </w:rPr>
        <w:t>46</w:t>
      </w:r>
      <w:r>
        <w:rPr>
          <w:rFonts w:hint="eastAsia" w:ascii="宋体"/>
          <w:b/>
          <w:color w:val="auto"/>
          <w:szCs w:val="21"/>
          <w:highlight w:val="none"/>
        </w:rPr>
        <w:t xml:space="preserve">. 对投标人的纪律要求 </w:t>
      </w:r>
    </w:p>
    <w:p>
      <w:pPr>
        <w:shd w:val="clear" w:color="auto" w:fill="auto"/>
        <w:adjustRightInd w:val="0"/>
        <w:snapToGrid w:val="0"/>
        <w:spacing w:line="440" w:lineRule="exact"/>
        <w:ind w:firstLine="315" w:firstLineChars="150"/>
        <w:rPr>
          <w:rFonts w:hint="eastAsia" w:ascii="宋体"/>
          <w:color w:val="auto"/>
          <w:kern w:val="10"/>
          <w:szCs w:val="21"/>
          <w:highlight w:val="none"/>
        </w:rPr>
      </w:pPr>
      <w:r>
        <w:rPr>
          <w:rFonts w:hint="eastAsia" w:ascii="宋体"/>
          <w:color w:val="auto"/>
          <w:kern w:val="10"/>
          <w:szCs w:val="21"/>
          <w:highlight w:val="none"/>
          <w:lang w:val="en-US" w:eastAsia="zh-CN"/>
        </w:rPr>
        <w:t>46</w:t>
      </w:r>
      <w:r>
        <w:rPr>
          <w:rFonts w:hint="eastAsia" w:ascii="宋体"/>
          <w:color w:val="auto"/>
          <w:kern w:val="10"/>
          <w:szCs w:val="21"/>
          <w:highlight w:val="none"/>
        </w:rPr>
        <w:t>.1投标人不得相互串通投标或者与招标人串通投标，不得向招标人或者评标委员会成员行贿谋取中标，不得以他人名义投标或者以其他方式弄虚作假骗取中标；投标人不得以任何方式干扰、影响评标工作。</w:t>
      </w:r>
    </w:p>
    <w:p>
      <w:pPr>
        <w:shd w:val="clear" w:color="auto" w:fill="auto"/>
        <w:spacing w:line="440" w:lineRule="exact"/>
        <w:ind w:firstLine="308" w:firstLineChars="147"/>
        <w:jc w:val="left"/>
        <w:rPr>
          <w:rFonts w:hint="eastAsia" w:ascii="宋体"/>
          <w:b/>
          <w:color w:val="auto"/>
          <w:szCs w:val="21"/>
          <w:highlight w:val="none"/>
        </w:rPr>
      </w:pPr>
      <w:r>
        <w:rPr>
          <w:rFonts w:hint="eastAsia" w:ascii="宋体"/>
          <w:b/>
          <w:color w:val="auto"/>
          <w:szCs w:val="21"/>
          <w:highlight w:val="none"/>
          <w:lang w:val="en-US" w:eastAsia="zh-CN"/>
        </w:rPr>
        <w:t>47</w:t>
      </w:r>
      <w:r>
        <w:rPr>
          <w:rFonts w:hint="eastAsia" w:ascii="宋体"/>
          <w:b/>
          <w:color w:val="auto"/>
          <w:szCs w:val="21"/>
          <w:highlight w:val="none"/>
        </w:rPr>
        <w:t xml:space="preserve">. 对评标委员会成员的纪律要求 </w:t>
      </w:r>
    </w:p>
    <w:p>
      <w:pPr>
        <w:shd w:val="clear" w:color="auto" w:fill="auto"/>
        <w:adjustRightInd w:val="0"/>
        <w:snapToGrid w:val="0"/>
        <w:spacing w:line="440" w:lineRule="exact"/>
        <w:ind w:firstLine="315" w:firstLineChars="150"/>
        <w:rPr>
          <w:rFonts w:hint="eastAsia" w:ascii="宋体"/>
          <w:color w:val="auto"/>
          <w:kern w:val="10"/>
          <w:szCs w:val="21"/>
          <w:highlight w:val="none"/>
        </w:rPr>
      </w:pPr>
      <w:r>
        <w:rPr>
          <w:rFonts w:hint="eastAsia" w:ascii="宋体"/>
          <w:color w:val="auto"/>
          <w:kern w:val="10"/>
          <w:szCs w:val="21"/>
          <w:highlight w:val="none"/>
          <w:lang w:val="en-US" w:eastAsia="zh-CN"/>
        </w:rPr>
        <w:t>47</w:t>
      </w:r>
      <w:r>
        <w:rPr>
          <w:rFonts w:hint="eastAsia" w:ascii="宋体"/>
          <w:color w:val="auto"/>
          <w:kern w:val="10"/>
          <w:szCs w:val="21"/>
          <w:highlight w:val="none"/>
        </w:rPr>
        <w:t>.1评标委员会成员不得收受他人的财物或者其他好处，不得向他人透漏对投标文件的评审和比较、中标候选人的推荐情况以及评标有关的其他情况。</w:t>
      </w:r>
    </w:p>
    <w:p>
      <w:pPr>
        <w:shd w:val="clear" w:color="auto" w:fill="auto"/>
        <w:adjustRightInd w:val="0"/>
        <w:snapToGrid w:val="0"/>
        <w:spacing w:line="440" w:lineRule="exact"/>
        <w:ind w:firstLine="315" w:firstLineChars="150"/>
        <w:rPr>
          <w:rFonts w:hint="eastAsia" w:ascii="宋体"/>
          <w:color w:val="auto"/>
          <w:kern w:val="10"/>
          <w:szCs w:val="21"/>
          <w:highlight w:val="none"/>
        </w:rPr>
      </w:pPr>
      <w:r>
        <w:rPr>
          <w:rFonts w:hint="eastAsia" w:ascii="宋体"/>
          <w:color w:val="auto"/>
          <w:kern w:val="10"/>
          <w:szCs w:val="21"/>
          <w:highlight w:val="none"/>
          <w:lang w:val="en-US" w:eastAsia="zh-CN"/>
        </w:rPr>
        <w:t>47</w:t>
      </w:r>
      <w:r>
        <w:rPr>
          <w:rFonts w:hint="eastAsia" w:ascii="宋体"/>
          <w:color w:val="auto"/>
          <w:kern w:val="10"/>
          <w:szCs w:val="21"/>
          <w:highlight w:val="none"/>
        </w:rPr>
        <w:t xml:space="preserve">.2在评标活动中，评标委员会成员不得擅离职守，影响评标程序正常进行，不得使用第三章“评标办法”没有规定的评审因素和标准进行评标。 </w:t>
      </w:r>
    </w:p>
    <w:p>
      <w:pPr>
        <w:shd w:val="clear" w:color="auto" w:fill="auto"/>
        <w:spacing w:line="440" w:lineRule="exact"/>
        <w:ind w:firstLine="308" w:firstLineChars="147"/>
        <w:jc w:val="left"/>
        <w:rPr>
          <w:rFonts w:hint="eastAsia" w:ascii="宋体"/>
          <w:b/>
          <w:color w:val="auto"/>
          <w:szCs w:val="21"/>
          <w:highlight w:val="none"/>
        </w:rPr>
      </w:pPr>
      <w:r>
        <w:rPr>
          <w:rFonts w:hint="eastAsia" w:ascii="宋体"/>
          <w:b/>
          <w:color w:val="auto"/>
          <w:szCs w:val="21"/>
          <w:highlight w:val="none"/>
          <w:lang w:val="en-US" w:eastAsia="zh-CN"/>
        </w:rPr>
        <w:t>48</w:t>
      </w:r>
      <w:r>
        <w:rPr>
          <w:rFonts w:hint="eastAsia" w:ascii="宋体"/>
          <w:b/>
          <w:color w:val="auto"/>
          <w:szCs w:val="21"/>
          <w:highlight w:val="none"/>
        </w:rPr>
        <w:t xml:space="preserve">. 对与评标活动有关的工作人员的纪律要求 </w:t>
      </w:r>
    </w:p>
    <w:p>
      <w:pPr>
        <w:shd w:val="clear" w:color="auto" w:fill="auto"/>
        <w:adjustRightInd w:val="0"/>
        <w:snapToGrid w:val="0"/>
        <w:spacing w:line="440" w:lineRule="exact"/>
        <w:ind w:firstLine="315" w:firstLineChars="150"/>
        <w:rPr>
          <w:rFonts w:hint="eastAsia" w:ascii="宋体"/>
          <w:color w:val="auto"/>
          <w:kern w:val="10"/>
          <w:szCs w:val="21"/>
          <w:highlight w:val="none"/>
        </w:rPr>
      </w:pPr>
      <w:r>
        <w:rPr>
          <w:rFonts w:hint="eastAsia" w:ascii="宋体"/>
          <w:color w:val="auto"/>
          <w:kern w:val="10"/>
          <w:szCs w:val="21"/>
          <w:highlight w:val="none"/>
        </w:rPr>
        <w:t>4</w:t>
      </w:r>
      <w:r>
        <w:rPr>
          <w:rFonts w:hint="eastAsia" w:ascii="宋体"/>
          <w:color w:val="auto"/>
          <w:kern w:val="10"/>
          <w:szCs w:val="21"/>
          <w:highlight w:val="none"/>
          <w:lang w:val="en-US" w:eastAsia="zh-CN"/>
        </w:rPr>
        <w:t>8</w:t>
      </w:r>
      <w:r>
        <w:rPr>
          <w:rFonts w:hint="eastAsia" w:ascii="宋体"/>
          <w:color w:val="auto"/>
          <w:kern w:val="10"/>
          <w:szCs w:val="21"/>
          <w:highlight w:val="none"/>
        </w:rPr>
        <w:t>.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shd w:val="clear" w:color="auto" w:fill="auto"/>
        <w:spacing w:before="156" w:beforeLines="50" w:after="156" w:afterLines="50" w:line="500" w:lineRule="exact"/>
        <w:ind w:firstLine="840" w:firstLineChars="300"/>
        <w:jc w:val="center"/>
        <w:rPr>
          <w:rFonts w:hint="eastAsia" w:ascii="黑体" w:hAnsi="宋体" w:eastAsia="黑体"/>
          <w:color w:val="auto"/>
          <w:sz w:val="28"/>
          <w:szCs w:val="28"/>
          <w:highlight w:val="none"/>
        </w:rPr>
      </w:pPr>
      <w:r>
        <w:rPr>
          <w:rFonts w:hint="eastAsia" w:ascii="黑体" w:eastAsia="黑体"/>
          <w:color w:val="auto"/>
          <w:sz w:val="28"/>
          <w:szCs w:val="28"/>
          <w:highlight w:val="none"/>
        </w:rPr>
        <w:t>（八）</w:t>
      </w:r>
      <w:r>
        <w:rPr>
          <w:rFonts w:hint="eastAsia" w:ascii="黑体" w:hAnsi="宋体" w:eastAsia="黑体"/>
          <w:color w:val="auto"/>
          <w:sz w:val="28"/>
          <w:szCs w:val="28"/>
          <w:highlight w:val="none"/>
        </w:rPr>
        <w:t>质疑与投诉</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49．质疑和投诉</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49.1.供应商认为采购文件、采购过程和中标、成交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（一）对可以质疑的采购文件提出质疑的，为收到采购文件之日或者采购文件公告期限届满之日；</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（二）对采购过程提出质疑的，为各采购程序环节结束之日；</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（三）对中标或者成交结果提出质疑的，为中标或者成交结果公告期限届满之日。</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49.2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供应商为自然人的，应当由本人签字；供应商为法人或者其他组织的，应当由法定代表人、主要负责人，或者其授权代表签字或者盖章，并加盖公章。</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49.3供应商质疑、投诉应当有明确的请求和必要的证明材料。供应商投诉的事项不得超出已质疑事项的范围。采购人及采购代理机构按《政府采购质疑和投诉办法》进行处理供应商质疑事项。</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49.4质疑供应商对采购人、采购代理机构的质疑答复不满意，或者采购人、采购代理机构未在规定期限内作出答复的，供应商可以在答复期满后15个工作日内向同级财政部门提起投诉。</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49.5供应商有下列情形之一的，采购代理机构将克州财政局，将其列入不良行为记录名单：</w:t>
      </w:r>
    </w:p>
    <w:p>
      <w:pPr>
        <w:keepNext w:val="0"/>
        <w:keepLines w:val="0"/>
        <w:pageBreakBefore w:val="0"/>
        <w:widowControl w:val="0"/>
        <w:shd w:val="clear" w:color="auto" w:fill="auto"/>
        <w:kinsoku/>
        <w:wordWrap/>
        <w:overflowPunct/>
        <w:topLinePunct w:val="0"/>
        <w:autoSpaceDE/>
        <w:autoSpaceDN/>
        <w:bidi w:val="0"/>
        <w:adjustRightInd/>
        <w:snapToGrid/>
        <w:spacing w:line="380" w:lineRule="exact"/>
        <w:ind w:firstLine="210" w:firstLineChars="100"/>
        <w:jc w:val="left"/>
        <w:textAlignment w:val="auto"/>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（一）一年内三次以上质疑均查无实据的；</w:t>
      </w:r>
    </w:p>
    <w:p>
      <w:pPr>
        <w:keepNext w:val="0"/>
        <w:keepLines w:val="0"/>
        <w:pageBreakBefore w:val="0"/>
        <w:widowControl w:val="0"/>
        <w:shd w:val="clear" w:color="auto" w:fill="auto"/>
        <w:kinsoku/>
        <w:wordWrap/>
        <w:overflowPunct/>
        <w:topLinePunct w:val="0"/>
        <w:autoSpaceDE/>
        <w:autoSpaceDN/>
        <w:bidi w:val="0"/>
        <w:adjustRightInd/>
        <w:snapToGrid/>
        <w:spacing w:line="380" w:lineRule="exact"/>
        <w:ind w:firstLine="210" w:firstLineChars="100"/>
        <w:jc w:val="left"/>
        <w:textAlignment w:val="auto"/>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（二）捏造事实或者提供虚假质疑材料的。</w:t>
      </w:r>
    </w:p>
    <w:p>
      <w:pPr>
        <w:keepNext w:val="0"/>
        <w:keepLines w:val="0"/>
        <w:pageBreakBefore w:val="0"/>
        <w:widowControl w:val="0"/>
        <w:shd w:val="clear" w:color="auto" w:fill="auto"/>
        <w:kinsoku/>
        <w:wordWrap/>
        <w:overflowPunct/>
        <w:topLinePunct w:val="0"/>
        <w:autoSpaceDE/>
        <w:autoSpaceDN/>
        <w:bidi w:val="0"/>
        <w:adjustRightInd/>
        <w:snapToGrid/>
        <w:spacing w:line="380" w:lineRule="exact"/>
        <w:ind w:firstLine="210" w:firstLineChars="100"/>
        <w:jc w:val="left"/>
        <w:textAlignment w:val="auto"/>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（三）以非法手段取得证明材料。证据来源的合法性存在明显疑问，质疑人无法证明其取得方式合法的，视为以非法手段取得证明材料。</w:t>
      </w:r>
    </w:p>
    <w:p>
      <w:pPr>
        <w:shd w:val="clear" w:color="auto" w:fill="auto"/>
        <w:jc w:val="left"/>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附件：</w:t>
      </w:r>
    </w:p>
    <w:p>
      <w:pPr>
        <w:shd w:val="clear" w:color="auto" w:fill="auto"/>
        <w:jc w:val="center"/>
        <w:outlineLvl w:val="0"/>
        <w:rPr>
          <w:rFonts w:hint="eastAsia" w:ascii="宋体" w:hAnsi="宋体" w:eastAsia="宋体" w:cs="宋体"/>
          <w:b/>
          <w:bCs/>
          <w:color w:val="auto"/>
          <w:sz w:val="28"/>
          <w:szCs w:val="28"/>
          <w:highlight w:val="none"/>
        </w:rPr>
      </w:pPr>
      <w:bookmarkStart w:id="40" w:name="_Toc1478"/>
      <w:r>
        <w:rPr>
          <w:rFonts w:hint="eastAsia" w:ascii="宋体" w:hAnsi="宋体" w:eastAsia="宋体" w:cs="宋体"/>
          <w:b/>
          <w:bCs/>
          <w:color w:val="auto"/>
          <w:sz w:val="32"/>
          <w:szCs w:val="32"/>
          <w:highlight w:val="none"/>
          <w:lang w:eastAsia="zh-CN"/>
        </w:rPr>
        <w:t>政府采购投诉书（范本）、质疑函范本</w:t>
      </w:r>
      <w:bookmarkEnd w:id="40"/>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u w:val="single"/>
        </w:rPr>
      </w:pPr>
      <w:r>
        <w:rPr>
          <w:rFonts w:hint="eastAsia" w:ascii="宋体" w:hAnsi="宋体" w:eastAsia="宋体" w:cs="宋体"/>
          <w:b/>
          <w:bCs/>
          <w:color w:val="auto"/>
          <w:sz w:val="28"/>
          <w:szCs w:val="28"/>
          <w:highlight w:val="none"/>
        </w:rPr>
        <w:t>政府采购投诉书（范本）</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委托代理人姓名：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职务：</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住址：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被投诉人：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我公司参加了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年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日被投诉人组织的</w:t>
      </w:r>
      <w:r>
        <w:rPr>
          <w:rFonts w:hint="eastAsia" w:ascii="宋体" w:hAnsi="宋体" w:eastAsia="宋体" w:cs="宋体"/>
          <w:color w:val="auto"/>
          <w:sz w:val="21"/>
          <w:szCs w:val="21"/>
          <w:highlight w:val="none"/>
          <w:u w:val="single"/>
        </w:rPr>
        <w:t>（采购人）（项目名称）（项目编号）</w:t>
      </w:r>
      <w:r>
        <w:rPr>
          <w:rFonts w:hint="eastAsia" w:ascii="宋体" w:hAnsi="宋体" w:eastAsia="宋体" w:cs="宋体"/>
          <w:color w:val="auto"/>
          <w:sz w:val="21"/>
          <w:szCs w:val="21"/>
          <w:highlight w:val="none"/>
        </w:rPr>
        <w:t>的采购活动，我公司认为该项目的</w:t>
      </w:r>
      <w:r>
        <w:rPr>
          <w:rFonts w:hint="eastAsia" w:ascii="宋体" w:hAnsi="宋体" w:eastAsia="宋体" w:cs="宋体"/>
          <w:color w:val="auto"/>
          <w:sz w:val="21"/>
          <w:szCs w:val="21"/>
          <w:highlight w:val="none"/>
          <w:u w:val="single"/>
        </w:rPr>
        <w:t>（采购文件/采购过程/中标（</w:t>
      </w:r>
      <w:r>
        <w:rPr>
          <w:rFonts w:hint="eastAsia" w:ascii="宋体" w:hAnsi="宋体" w:eastAsia="宋体" w:cs="宋体"/>
          <w:color w:val="auto"/>
          <w:sz w:val="21"/>
          <w:szCs w:val="21"/>
          <w:highlight w:val="none"/>
          <w:u w:val="single"/>
          <w:lang w:eastAsia="zh-CN"/>
        </w:rPr>
        <w:t>中标</w:t>
      </w:r>
      <w:r>
        <w:rPr>
          <w:rFonts w:hint="eastAsia" w:ascii="宋体" w:hAnsi="宋体" w:eastAsia="宋体" w:cs="宋体"/>
          <w:color w:val="auto"/>
          <w:sz w:val="21"/>
          <w:szCs w:val="21"/>
          <w:highlight w:val="none"/>
          <w:u w:val="single"/>
        </w:rPr>
        <w:t>）结果）</w:t>
      </w:r>
      <w:r>
        <w:rPr>
          <w:rFonts w:hint="eastAsia" w:ascii="宋体" w:hAnsi="宋体" w:eastAsia="宋体" w:cs="宋体"/>
          <w:color w:val="auto"/>
          <w:sz w:val="21"/>
          <w:szCs w:val="21"/>
          <w:highlight w:val="none"/>
        </w:rPr>
        <w:t>损害了我公司权益，对此，我公司于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日向</w:t>
      </w:r>
      <w:r>
        <w:rPr>
          <w:rFonts w:hint="eastAsia" w:ascii="宋体" w:hAnsi="宋体" w:eastAsia="宋体" w:cs="宋体"/>
          <w:color w:val="auto"/>
          <w:sz w:val="21"/>
          <w:szCs w:val="21"/>
          <w:highlight w:val="none"/>
          <w:u w:val="single"/>
        </w:rPr>
        <w:t>（采购人或者政府采购代理机构）</w:t>
      </w:r>
      <w:r>
        <w:rPr>
          <w:rFonts w:hint="eastAsia" w:ascii="宋体" w:hAnsi="宋体" w:eastAsia="宋体" w:cs="宋体"/>
          <w:color w:val="auto"/>
          <w:sz w:val="21"/>
          <w:szCs w:val="21"/>
          <w:highlight w:val="none"/>
        </w:rPr>
        <w:t>提出了质疑，</w:t>
      </w:r>
      <w:r>
        <w:rPr>
          <w:rFonts w:hint="eastAsia" w:ascii="宋体" w:hAnsi="宋体" w:eastAsia="宋体" w:cs="宋体"/>
          <w:color w:val="auto"/>
          <w:sz w:val="21"/>
          <w:szCs w:val="21"/>
          <w:highlight w:val="none"/>
          <w:u w:val="single"/>
        </w:rPr>
        <w:t>（其于    年  月  日作出书面答复，因对其作出的答复不满意）/（被质疑人未在法定期内予以答复，按照政府采购有关规定）</w:t>
      </w:r>
      <w:r>
        <w:rPr>
          <w:rFonts w:hint="eastAsia" w:ascii="宋体" w:hAnsi="宋体" w:eastAsia="宋体" w:cs="宋体"/>
          <w:color w:val="auto"/>
          <w:sz w:val="21"/>
          <w:szCs w:val="21"/>
          <w:highlight w:val="none"/>
        </w:rPr>
        <w:t>，现向贵机关提起投诉：</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0" w:firstLineChars="200"/>
        <w:textAlignment w:val="auto"/>
        <w:outlineLvl w:val="0"/>
        <w:rPr>
          <w:rFonts w:hint="eastAsia" w:ascii="宋体" w:hAnsi="宋体" w:eastAsia="宋体" w:cs="宋体"/>
          <w:color w:val="auto"/>
          <w:sz w:val="21"/>
          <w:szCs w:val="21"/>
          <w:highlight w:val="none"/>
        </w:rPr>
      </w:pPr>
      <w:bookmarkStart w:id="41" w:name="_Toc24352"/>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u w:val="single"/>
        </w:rPr>
        <w:t>具体的投诉事项及事实依据；</w:t>
      </w:r>
      <w:bookmarkEnd w:id="41"/>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0" w:firstLineChars="200"/>
        <w:textAlignment w:val="auto"/>
        <w:outlineLvl w:val="0"/>
        <w:rPr>
          <w:rFonts w:hint="eastAsia" w:ascii="宋体" w:hAnsi="宋体" w:eastAsia="宋体" w:cs="宋体"/>
          <w:color w:val="auto"/>
          <w:sz w:val="21"/>
          <w:szCs w:val="21"/>
          <w:highlight w:val="none"/>
        </w:rPr>
      </w:pPr>
      <w:bookmarkStart w:id="42" w:name="_Toc9312"/>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u w:val="single"/>
        </w:rPr>
        <w:t>质疑和质疑答复情况简要描述；</w:t>
      </w:r>
      <w:bookmarkEnd w:id="42"/>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0" w:firstLineChars="200"/>
        <w:textAlignment w:val="auto"/>
        <w:outlineLvl w:val="0"/>
        <w:rPr>
          <w:rFonts w:hint="eastAsia" w:ascii="宋体" w:hAnsi="宋体" w:eastAsia="宋体" w:cs="宋体"/>
          <w:color w:val="auto"/>
          <w:sz w:val="21"/>
          <w:szCs w:val="21"/>
          <w:highlight w:val="none"/>
        </w:rPr>
      </w:pPr>
      <w:bookmarkStart w:id="43" w:name="_Toc15016"/>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u w:val="single"/>
        </w:rPr>
        <w:t>投诉请求。</w:t>
      </w:r>
      <w:bookmarkEnd w:id="43"/>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outlineLvl w:val="0"/>
        <w:rPr>
          <w:rFonts w:hint="eastAsia" w:ascii="宋体" w:hAnsi="宋体" w:eastAsia="宋体" w:cs="宋体"/>
          <w:color w:val="auto"/>
          <w:sz w:val="21"/>
          <w:szCs w:val="21"/>
          <w:highlight w:val="none"/>
        </w:rPr>
      </w:pPr>
      <w:bookmarkStart w:id="44" w:name="_Toc30698"/>
      <w:r>
        <w:rPr>
          <w:rFonts w:hint="eastAsia" w:ascii="宋体" w:hAnsi="宋体" w:eastAsia="宋体" w:cs="宋体"/>
          <w:color w:val="auto"/>
          <w:sz w:val="21"/>
          <w:szCs w:val="21"/>
          <w:highlight w:val="none"/>
        </w:rPr>
        <w:t>1.质疑书和质疑答复书；</w:t>
      </w:r>
      <w:bookmarkEnd w:id="44"/>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outlineLvl w:val="0"/>
        <w:rPr>
          <w:rFonts w:hint="eastAsia" w:ascii="宋体" w:hAnsi="宋体" w:eastAsia="宋体" w:cs="宋体"/>
          <w:color w:val="auto"/>
          <w:sz w:val="21"/>
          <w:szCs w:val="21"/>
          <w:highlight w:val="none"/>
        </w:rPr>
      </w:pPr>
      <w:bookmarkStart w:id="45" w:name="_Toc26947"/>
      <w:r>
        <w:rPr>
          <w:rFonts w:hint="eastAsia" w:ascii="宋体" w:hAnsi="宋体" w:eastAsia="宋体" w:cs="宋体"/>
          <w:color w:val="auto"/>
          <w:sz w:val="21"/>
          <w:szCs w:val="21"/>
          <w:highlight w:val="none"/>
        </w:rPr>
        <w:t>2.证据材料（需注明证据来源），证人的姓名、住址和联系方式等；</w:t>
      </w:r>
      <w:bookmarkEnd w:id="45"/>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outlineLvl w:val="0"/>
        <w:rPr>
          <w:rFonts w:hint="eastAsia" w:ascii="宋体" w:hAnsi="宋体" w:eastAsia="宋体" w:cs="宋体"/>
          <w:color w:val="auto"/>
          <w:sz w:val="21"/>
          <w:szCs w:val="21"/>
          <w:highlight w:val="none"/>
        </w:rPr>
      </w:pPr>
      <w:bookmarkStart w:id="46" w:name="_Toc23952"/>
      <w:r>
        <w:rPr>
          <w:rFonts w:hint="eastAsia" w:ascii="宋体" w:hAnsi="宋体" w:eastAsia="宋体" w:cs="宋体"/>
          <w:color w:val="auto"/>
          <w:sz w:val="21"/>
          <w:szCs w:val="21"/>
          <w:highlight w:val="none"/>
        </w:rPr>
        <w:t>3.营业执照；</w:t>
      </w:r>
      <w:bookmarkEnd w:id="46"/>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outlineLvl w:val="0"/>
        <w:rPr>
          <w:rFonts w:hint="eastAsia" w:ascii="宋体" w:hAnsi="宋体" w:eastAsia="宋体" w:cs="宋体"/>
          <w:color w:val="auto"/>
          <w:sz w:val="21"/>
          <w:szCs w:val="21"/>
          <w:highlight w:val="none"/>
        </w:rPr>
      </w:pPr>
      <w:bookmarkStart w:id="47" w:name="_Toc7310"/>
      <w:r>
        <w:rPr>
          <w:rFonts w:hint="eastAsia" w:ascii="宋体" w:hAnsi="宋体" w:eastAsia="宋体" w:cs="宋体"/>
          <w:color w:val="auto"/>
          <w:sz w:val="21"/>
          <w:szCs w:val="21"/>
          <w:highlight w:val="none"/>
        </w:rPr>
        <w:t>4.法定代表人身份证明函</w:t>
      </w:r>
      <w:bookmarkEnd w:id="47"/>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outlineLvl w:val="0"/>
        <w:rPr>
          <w:rFonts w:hint="eastAsia" w:ascii="宋体" w:hAnsi="宋体" w:eastAsia="宋体" w:cs="宋体"/>
          <w:color w:val="auto"/>
          <w:sz w:val="21"/>
          <w:szCs w:val="21"/>
          <w:highlight w:val="none"/>
        </w:rPr>
      </w:pPr>
      <w:bookmarkStart w:id="48" w:name="_Toc27923"/>
      <w:r>
        <w:rPr>
          <w:rFonts w:hint="eastAsia" w:ascii="宋体" w:hAnsi="宋体" w:eastAsia="宋体" w:cs="宋体"/>
          <w:color w:val="auto"/>
          <w:sz w:val="21"/>
          <w:szCs w:val="21"/>
          <w:highlight w:val="none"/>
        </w:rPr>
        <w:t>5.法定代表人授权委托书（包含法定代表人和委托代理人的身份证复印件）；</w:t>
      </w:r>
      <w:bookmarkEnd w:id="48"/>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outlineLvl w:val="0"/>
        <w:rPr>
          <w:rFonts w:hint="eastAsia" w:ascii="宋体" w:hAnsi="宋体" w:eastAsia="宋体" w:cs="宋体"/>
          <w:color w:val="auto"/>
          <w:sz w:val="21"/>
          <w:szCs w:val="21"/>
          <w:highlight w:val="none"/>
        </w:rPr>
      </w:pPr>
      <w:bookmarkStart w:id="49" w:name="_Toc28542"/>
      <w:r>
        <w:rPr>
          <w:rFonts w:hint="eastAsia" w:ascii="宋体" w:hAnsi="宋体" w:eastAsia="宋体" w:cs="宋体"/>
          <w:color w:val="auto"/>
          <w:sz w:val="21"/>
          <w:szCs w:val="21"/>
          <w:highlight w:val="none"/>
        </w:rPr>
        <w:t>6.政府采购监管部门认为应当提供的其它材料。</w:t>
      </w:r>
      <w:bookmarkEnd w:id="49"/>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投诉供应商：（盖章）</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法定代表人（或主要负责人）：（签字）</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3360" w:firstLineChars="1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本投诉书正本叁份，副本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份并附电子文档。</w:t>
      </w:r>
    </w:p>
    <w:p>
      <w:pPr>
        <w:shd w:val="clear" w:color="auto" w:fill="auto"/>
        <w:ind w:left="7951" w:hanging="7920" w:hangingChars="1800"/>
        <w:jc w:val="center"/>
        <w:rPr>
          <w:rFonts w:hint="eastAsia" w:ascii="宋体" w:hAnsi="宋体" w:eastAsia="宋体" w:cs="宋体"/>
          <w:b/>
          <w:bCs/>
          <w:color w:val="auto"/>
          <w:sz w:val="44"/>
          <w:szCs w:val="44"/>
          <w:highlight w:val="none"/>
        </w:rPr>
      </w:pPr>
    </w:p>
    <w:p>
      <w:pPr>
        <w:shd w:val="clear" w:color="auto" w:fill="auto"/>
        <w:jc w:val="both"/>
        <w:outlineLvl w:val="9"/>
        <w:rPr>
          <w:rFonts w:hint="eastAsia" w:ascii="宋体" w:hAnsi="宋体" w:eastAsia="宋体" w:cs="宋体"/>
          <w:b/>
          <w:bCs/>
          <w:color w:val="auto"/>
          <w:sz w:val="32"/>
          <w:szCs w:val="32"/>
          <w:highlight w:val="none"/>
        </w:rPr>
      </w:pPr>
      <w:bookmarkStart w:id="50" w:name="_Toc17515"/>
    </w:p>
    <w:p>
      <w:pPr>
        <w:pStyle w:val="20"/>
        <w:rPr>
          <w:rFonts w:hint="eastAsia" w:ascii="宋体" w:hAnsi="宋体" w:eastAsia="宋体" w:cs="宋体"/>
          <w:b/>
          <w:bCs/>
          <w:color w:val="auto"/>
          <w:sz w:val="32"/>
          <w:szCs w:val="32"/>
          <w:highlight w:val="none"/>
        </w:rPr>
      </w:pPr>
    </w:p>
    <w:p>
      <w:pPr>
        <w:rPr>
          <w:rFonts w:hint="eastAsia"/>
        </w:rPr>
      </w:pPr>
    </w:p>
    <w:p>
      <w:pPr>
        <w:shd w:val="clear" w:color="auto" w:fill="auto"/>
        <w:ind w:left="7951" w:hanging="5760" w:hangingChars="1800"/>
        <w:jc w:val="center"/>
        <w:outlineLvl w:val="0"/>
        <w:rPr>
          <w:rFonts w:hint="eastAsia" w:ascii="宋体" w:hAnsi="宋体" w:eastAsia="宋体" w:cs="宋体"/>
          <w:color w:val="auto"/>
          <w:sz w:val="32"/>
          <w:szCs w:val="32"/>
          <w:highlight w:val="none"/>
        </w:rPr>
      </w:pPr>
      <w:bookmarkStart w:id="51" w:name="_Toc30458"/>
      <w:r>
        <w:rPr>
          <w:rFonts w:hint="eastAsia" w:ascii="宋体" w:hAnsi="宋体" w:eastAsia="宋体" w:cs="宋体"/>
          <w:b/>
          <w:bCs/>
          <w:color w:val="auto"/>
          <w:sz w:val="32"/>
          <w:szCs w:val="32"/>
          <w:highlight w:val="none"/>
        </w:rPr>
        <w:t>投诉相关说明</w:t>
      </w:r>
      <w:bookmarkEnd w:id="50"/>
      <w:bookmarkEnd w:id="51"/>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投诉人应当满足《政府采购法》、《政府采购法实施条例》和《政府采购供应商投诉处理办法》的相关规定。</w:t>
      </w:r>
    </w:p>
    <w:p>
      <w:pPr>
        <w:keepNext w:val="0"/>
        <w:keepLines w:val="0"/>
        <w:pageBreakBefore w:val="0"/>
        <w:numPr>
          <w:ilvl w:val="0"/>
          <w:numId w:val="5"/>
        </w:numPr>
        <w:shd w:val="clear" w:color="auto" w:fill="auto"/>
        <w:kinsoku/>
        <w:wordWrap/>
        <w:overflowPunct/>
        <w:topLinePunct w:val="0"/>
        <w:autoSpaceDE/>
        <w:autoSpaceDN/>
        <w:bidi w:val="0"/>
        <w:adjustRightInd/>
        <w:snapToGrid/>
        <w:spacing w:line="400" w:lineRule="exact"/>
        <w:ind w:left="3990" w:leftChars="0" w:hanging="3360" w:firstLineChars="0"/>
        <w:textAlignment w:val="auto"/>
        <w:outlineLvl w:val="0"/>
        <w:rPr>
          <w:rFonts w:hint="eastAsia" w:ascii="宋体" w:hAnsi="宋体" w:eastAsia="宋体" w:cs="宋体"/>
          <w:b/>
          <w:bCs/>
          <w:color w:val="auto"/>
          <w:sz w:val="21"/>
          <w:szCs w:val="21"/>
          <w:highlight w:val="none"/>
        </w:rPr>
      </w:pPr>
      <w:bookmarkStart w:id="52" w:name="_Toc11499"/>
      <w:bookmarkStart w:id="53" w:name="_Toc13369"/>
      <w:r>
        <w:rPr>
          <w:rFonts w:hint="eastAsia" w:ascii="宋体" w:hAnsi="宋体" w:eastAsia="宋体" w:cs="宋体"/>
          <w:b/>
          <w:bCs/>
          <w:color w:val="auto"/>
          <w:sz w:val="21"/>
          <w:szCs w:val="21"/>
          <w:highlight w:val="none"/>
        </w:rPr>
        <w:t>质疑前置及时间要求</w:t>
      </w:r>
      <w:bookmarkEnd w:id="52"/>
      <w:bookmarkEnd w:id="53"/>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sz w:val="21"/>
          <w:szCs w:val="21"/>
          <w:highlight w:val="none"/>
        </w:rPr>
        <w:t>《中华人民共和国政府采购法》</w:t>
      </w:r>
      <w:r>
        <w:rPr>
          <w:rFonts w:hint="eastAsia" w:ascii="宋体" w:hAnsi="宋体" w:eastAsia="宋体" w:cs="宋体"/>
          <w:color w:val="auto"/>
          <w:kern w:val="0"/>
          <w:sz w:val="21"/>
          <w:szCs w:val="21"/>
          <w:highlight w:val="none"/>
          <w:shd w:val="clear" w:color="auto" w:fill="FFFFFF"/>
        </w:rPr>
        <w:t>第五十一条：供应商对政府采购活动事项有疑问的，可以向采购人提出询问，采购人应当及时作出答复，但答复的内容不得涉及商业秘密。</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shd w:val="clear" w:color="auto" w:fill="FFFFFF"/>
        </w:rPr>
        <w:t xml:space="preserve"> 第五十二条：供应商认为采购文件、采购过程和中标、</w:t>
      </w:r>
      <w:r>
        <w:rPr>
          <w:rFonts w:hint="eastAsia" w:ascii="宋体" w:hAnsi="宋体" w:eastAsia="宋体" w:cs="宋体"/>
          <w:color w:val="auto"/>
          <w:kern w:val="0"/>
          <w:sz w:val="21"/>
          <w:szCs w:val="21"/>
          <w:highlight w:val="none"/>
          <w:shd w:val="clear" w:color="auto" w:fill="FFFFFF"/>
          <w:lang w:eastAsia="zh-CN"/>
        </w:rPr>
        <w:t>中标</w:t>
      </w:r>
      <w:r>
        <w:rPr>
          <w:rFonts w:hint="eastAsia" w:ascii="宋体" w:hAnsi="宋体" w:eastAsia="宋体" w:cs="宋体"/>
          <w:color w:val="auto"/>
          <w:kern w:val="0"/>
          <w:sz w:val="21"/>
          <w:szCs w:val="21"/>
          <w:highlight w:val="none"/>
          <w:shd w:val="clear" w:color="auto" w:fill="FFFFFF"/>
        </w:rPr>
        <w:t>结果使自己的权益受到损害的，可以在知道或者应知其权益受到损害之日起七个工作日内，以书面形式向采购人提出质疑。</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 xml:space="preserve"> 第五十三条：采购人应当在收到供应商的书面质疑后七个工作日内作出答复，并以书面形式通知质疑供应商和其他有关供应商，但答复的内容不得涉及商业秘密。</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 xml:space="preserve"> 第五十五条:质疑供应商对采购人、采购代理机构的答复不满意或者采购人、采购代理机构未在规定的时间内作出答复的，可以在答复期满后十五个工作日内向同级政府采购监督管理部门投诉。</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 xml:space="preserve">  《政府采购实施条例》第五十五条：供应商质疑、投诉应当有明确的请求和必要的证明材料。供应商投诉的事项不得超出质疑事项的范围。</w:t>
      </w:r>
    </w:p>
    <w:p>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p>
    <w:p>
      <w:pPr>
        <w:keepNext w:val="0"/>
        <w:keepLines w:val="0"/>
        <w:pageBreakBefore w:val="0"/>
        <w:shd w:val="clear" w:color="auto" w:fill="auto"/>
        <w:kinsoku/>
        <w:wordWrap/>
        <w:overflowPunct/>
        <w:topLinePunct w:val="0"/>
        <w:autoSpaceDE/>
        <w:autoSpaceDN/>
        <w:bidi w:val="0"/>
        <w:adjustRightInd/>
        <w:snapToGrid/>
        <w:spacing w:line="400" w:lineRule="exact"/>
        <w:ind w:left="5760" w:hanging="3780" w:hangingChars="1800"/>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b/>
          <w:bCs/>
          <w:color w:val="auto"/>
          <w:sz w:val="21"/>
          <w:szCs w:val="21"/>
          <w:highlight w:val="none"/>
        </w:rPr>
        <w:t xml:space="preserve">   </w:t>
      </w:r>
      <w:bookmarkStart w:id="54" w:name="_Toc13508"/>
      <w:bookmarkStart w:id="55" w:name="_Toc16790"/>
      <w:r>
        <w:rPr>
          <w:rFonts w:hint="eastAsia" w:ascii="宋体" w:hAnsi="宋体" w:eastAsia="宋体" w:cs="宋体"/>
          <w:b/>
          <w:bCs/>
          <w:color w:val="auto"/>
          <w:sz w:val="21"/>
          <w:szCs w:val="21"/>
          <w:highlight w:val="none"/>
        </w:rPr>
        <w:t>二、书面方式</w:t>
      </w:r>
      <w:bookmarkEnd w:id="54"/>
      <w:bookmarkEnd w:id="55"/>
    </w:p>
    <w:p>
      <w:pPr>
        <w:keepNext w:val="0"/>
        <w:keepLines w:val="0"/>
        <w:pageBreakBefore w:val="0"/>
        <w:shd w:val="clear" w:color="auto" w:fill="auto"/>
        <w:kinsoku/>
        <w:wordWrap/>
        <w:overflowPunct/>
        <w:topLinePunct w:val="0"/>
        <w:autoSpaceDE/>
        <w:autoSpaceDN/>
        <w:bidi w:val="0"/>
        <w:adjustRightInd/>
        <w:snapToGrid/>
        <w:spacing w:line="400" w:lineRule="exact"/>
        <w:ind w:left="5760" w:hanging="3780" w:hangingChars="18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《政府采购供应商投诉处理办法》第八条：投诉人投诉</w:t>
      </w:r>
    </w:p>
    <w:p>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时，应当提交投诉书，并按照被投诉人以及与投诉事项有关的供应商数量提供投诉书的副本。</w:t>
      </w:r>
    </w:p>
    <w:p>
      <w:pPr>
        <w:keepNext w:val="0"/>
        <w:keepLines w:val="0"/>
        <w:pageBreakBefore w:val="0"/>
        <w:shd w:val="clear" w:color="auto" w:fill="auto"/>
        <w:kinsoku/>
        <w:wordWrap/>
        <w:overflowPunct/>
        <w:topLinePunct w:val="0"/>
        <w:autoSpaceDE/>
        <w:autoSpaceDN/>
        <w:bidi w:val="0"/>
        <w:adjustRightInd/>
        <w:snapToGrid/>
        <w:spacing w:line="400" w:lineRule="exact"/>
        <w:ind w:left="5760" w:hanging="3780" w:hangingChars="18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投诉书应当包括下列主要内容：</w:t>
      </w:r>
    </w:p>
    <w:p>
      <w:pPr>
        <w:keepNext w:val="0"/>
        <w:keepLines w:val="0"/>
        <w:pageBreakBefore w:val="0"/>
        <w:numPr>
          <w:ilvl w:val="0"/>
          <w:numId w:val="6"/>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投诉人和被投诉人的名称、地址、电话等；</w:t>
      </w:r>
    </w:p>
    <w:p>
      <w:pPr>
        <w:keepNext w:val="0"/>
        <w:keepLines w:val="0"/>
        <w:pageBreakBefore w:val="0"/>
        <w:numPr>
          <w:ilvl w:val="0"/>
          <w:numId w:val="6"/>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具体的投诉事项及事实依据；</w:t>
      </w:r>
    </w:p>
    <w:p>
      <w:pPr>
        <w:keepNext w:val="0"/>
        <w:keepLines w:val="0"/>
        <w:pageBreakBefore w:val="0"/>
        <w:numPr>
          <w:ilvl w:val="0"/>
          <w:numId w:val="6"/>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质疑和质疑答复情况及相关证明材料；</w:t>
      </w:r>
    </w:p>
    <w:p>
      <w:pPr>
        <w:keepNext w:val="0"/>
        <w:keepLines w:val="0"/>
        <w:pageBreakBefore w:val="0"/>
        <w:numPr>
          <w:ilvl w:val="0"/>
          <w:numId w:val="6"/>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提起投诉的日期。</w:t>
      </w:r>
    </w:p>
    <w:p>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投诉书应当署名。投诉人为自然人，应当由本人签字；投诉人为法人或者其他组织的，应当由法定代表人或者主要负责人签字并加盖公章。</w:t>
      </w:r>
    </w:p>
    <w:p>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《政府采购供应商投诉处理办法》第十条：投诉人提起投诉应当符合下列条件：</w:t>
      </w:r>
    </w:p>
    <w:p>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投诉人是参与所投诉政府采购活动的供应商；</w:t>
      </w:r>
    </w:p>
    <w:p>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提起投诉诉前已依法进行质疑；</w:t>
      </w:r>
    </w:p>
    <w:p>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投诉书内容符合本办法的规定；</w:t>
      </w:r>
    </w:p>
    <w:p>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在投诉有效期内提起投诉；</w:t>
      </w:r>
    </w:p>
    <w:p>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属于本级财政部门管辖；</w:t>
      </w:r>
    </w:p>
    <w:p>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同一投诉事项未经财政部门投诉处理；</w:t>
      </w:r>
    </w:p>
    <w:p>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国务院财政部门规定的其他条件。</w:t>
      </w:r>
    </w:p>
    <w:p>
      <w:pPr>
        <w:keepNext w:val="0"/>
        <w:keepLines w:val="0"/>
        <w:pageBreakBefore w:val="0"/>
        <w:shd w:val="clear" w:color="auto" w:fill="auto"/>
        <w:kinsoku/>
        <w:wordWrap/>
        <w:overflowPunct/>
        <w:topLinePunct w:val="0"/>
        <w:autoSpaceDE/>
        <w:autoSpaceDN/>
        <w:bidi w:val="0"/>
        <w:adjustRightInd/>
        <w:snapToGrid/>
        <w:spacing w:line="400" w:lineRule="exact"/>
        <w:ind w:left="5760" w:hanging="3780" w:hangingChars="18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shd w:val="clear" w:color="auto" w:fill="auto"/>
        <w:outlineLvl w:val="0"/>
        <w:rPr>
          <w:rFonts w:hint="eastAsia"/>
          <w:color w:val="auto"/>
          <w:sz w:val="21"/>
          <w:szCs w:val="21"/>
          <w:highlight w:val="none"/>
        </w:rPr>
      </w:pPr>
      <w:r>
        <w:rPr>
          <w:rFonts w:hint="eastAsia"/>
          <w:color w:val="auto"/>
          <w:sz w:val="21"/>
          <w:szCs w:val="21"/>
          <w:highlight w:val="none"/>
        </w:rPr>
        <w:t xml:space="preserve"> </w:t>
      </w:r>
      <w:r>
        <w:rPr>
          <w:rFonts w:hint="eastAsia" w:ascii="宋体" w:hAnsi="宋体" w:eastAsia="宋体" w:cs="宋体"/>
          <w:b/>
          <w:bCs/>
          <w:color w:val="auto"/>
          <w:sz w:val="21"/>
          <w:szCs w:val="21"/>
          <w:highlight w:val="none"/>
        </w:rPr>
        <w:t xml:space="preserve">   </w:t>
      </w:r>
      <w:bookmarkStart w:id="56" w:name="_Toc18853"/>
      <w:bookmarkStart w:id="57" w:name="_Toc5978"/>
      <w:r>
        <w:rPr>
          <w:rFonts w:hint="eastAsia" w:ascii="宋体" w:hAnsi="宋体" w:eastAsia="宋体" w:cs="宋体"/>
          <w:b/>
          <w:bCs/>
          <w:color w:val="auto"/>
          <w:sz w:val="21"/>
          <w:szCs w:val="21"/>
          <w:highlight w:val="none"/>
        </w:rPr>
        <w:t>三、虚假、恶意投诉法律责任</w:t>
      </w:r>
      <w:bookmarkEnd w:id="56"/>
      <w:bookmarkEnd w:id="57"/>
    </w:p>
    <w:p>
      <w:pPr>
        <w:keepNext w:val="0"/>
        <w:keepLines w:val="0"/>
        <w:pageBreakBefore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第七十三条：供应商捏造实施、提供虚假材料或者以非法手段取得证明材料进行投诉的，由财政部门列入不良行为记录名单，禁止其1至3年内参加政府采购活动。</w:t>
      </w:r>
    </w:p>
    <w:p>
      <w:pPr>
        <w:keepNext w:val="0"/>
        <w:keepLines w:val="0"/>
        <w:pageBreakBefore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《政府采购供应商投诉处理办法》第二十六条：投诉人有下列情形之一的，属于虚假、恶意投诉，财政部门应当驳回投诉，将其列入不良行为记录名单，并依法予以处罚：</w:t>
      </w:r>
    </w:p>
    <w:p>
      <w:pPr>
        <w:keepNext w:val="0"/>
        <w:keepLines w:val="0"/>
        <w:pageBreakBefore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（一）1年内3次以上投诉均查无实据的；</w:t>
      </w:r>
    </w:p>
    <w:p>
      <w:pPr>
        <w:keepNext w:val="0"/>
        <w:keepLines w:val="0"/>
        <w:pageBreakBefore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（二）捏造事实或者提供虚假投诉材料的。</w:t>
      </w:r>
    </w:p>
    <w:p>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p>
    <w:p>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p>
    <w:p>
      <w:pPr>
        <w:shd w:val="clear" w:color="auto" w:fill="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递交投诉书地址：</w:t>
      </w:r>
      <w:r>
        <w:rPr>
          <w:rFonts w:hint="eastAsia" w:ascii="宋体" w:hAnsi="宋体" w:cs="宋体"/>
          <w:color w:val="auto"/>
          <w:sz w:val="21"/>
          <w:szCs w:val="21"/>
          <w:highlight w:val="none"/>
          <w:lang w:val="en-US" w:eastAsia="zh-CN"/>
        </w:rPr>
        <w:t>克州</w:t>
      </w:r>
      <w:r>
        <w:rPr>
          <w:rFonts w:hint="eastAsia" w:ascii="宋体" w:hAnsi="宋体" w:eastAsia="宋体" w:cs="宋体"/>
          <w:color w:val="auto"/>
          <w:sz w:val="21"/>
          <w:szCs w:val="21"/>
          <w:highlight w:val="none"/>
          <w:lang w:val="en-US" w:eastAsia="zh-CN"/>
        </w:rPr>
        <w:t>财政局政府采购办</w:t>
      </w:r>
      <w:r>
        <w:rPr>
          <w:rFonts w:hint="eastAsia" w:ascii="宋体" w:hAnsi="宋体" w:eastAsia="宋体" w:cs="宋体"/>
          <w:color w:val="auto"/>
          <w:sz w:val="21"/>
          <w:szCs w:val="21"/>
          <w:highlight w:val="none"/>
        </w:rPr>
        <w:t>监管办公室</w:t>
      </w:r>
    </w:p>
    <w:p>
      <w:pPr>
        <w:shd w:val="clear" w:color="auto" w:fill="auto"/>
        <w:jc w:val="right"/>
        <w:rPr>
          <w:rFonts w:hint="eastAsia" w:ascii="宋体" w:hAnsi="宋体" w:eastAsia="宋体" w:cs="宋体"/>
          <w:color w:val="auto"/>
          <w:sz w:val="32"/>
          <w:szCs w:val="32"/>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宋体" w:hAnsi="宋体" w:eastAsia="宋体" w:cs="宋体"/>
          <w:b/>
          <w:bCs/>
          <w:color w:val="auto"/>
          <w:sz w:val="44"/>
          <w:szCs w:val="44"/>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宋体" w:hAnsi="宋体" w:eastAsia="宋体" w:cs="宋体"/>
          <w:b/>
          <w:bCs/>
          <w:color w:val="auto"/>
          <w:sz w:val="44"/>
          <w:szCs w:val="44"/>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宋体" w:hAnsi="宋体" w:eastAsia="宋体" w:cs="宋体"/>
          <w:b/>
          <w:bCs/>
          <w:color w:val="auto"/>
          <w:sz w:val="44"/>
          <w:szCs w:val="44"/>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宋体" w:hAnsi="宋体" w:eastAsia="宋体" w:cs="宋体"/>
          <w:b/>
          <w:bCs/>
          <w:color w:val="auto"/>
          <w:sz w:val="44"/>
          <w:szCs w:val="44"/>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宋体" w:hAnsi="宋体" w:eastAsia="宋体" w:cs="宋体"/>
          <w:b/>
          <w:bCs/>
          <w:color w:val="auto"/>
          <w:sz w:val="44"/>
          <w:szCs w:val="44"/>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宋体" w:hAnsi="宋体" w:eastAsia="宋体" w:cs="宋体"/>
          <w:b/>
          <w:bCs/>
          <w:color w:val="auto"/>
          <w:sz w:val="44"/>
          <w:szCs w:val="44"/>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宋体" w:hAnsi="宋体" w:eastAsia="宋体" w:cs="宋体"/>
          <w:b/>
          <w:bCs/>
          <w:color w:val="auto"/>
          <w:sz w:val="44"/>
          <w:szCs w:val="44"/>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宋体" w:hAnsi="宋体" w:eastAsia="宋体" w:cs="宋体"/>
          <w:b/>
          <w:bCs/>
          <w:color w:val="auto"/>
          <w:sz w:val="44"/>
          <w:szCs w:val="44"/>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宋体" w:hAnsi="宋体" w:eastAsia="宋体" w:cs="宋体"/>
          <w:b/>
          <w:bCs/>
          <w:color w:val="auto"/>
          <w:sz w:val="44"/>
          <w:szCs w:val="44"/>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宋体" w:hAnsi="宋体" w:eastAsia="宋体" w:cs="宋体"/>
          <w:b/>
          <w:bCs/>
          <w:color w:val="auto"/>
          <w:sz w:val="44"/>
          <w:szCs w:val="44"/>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宋体" w:hAnsi="宋体" w:eastAsia="宋体" w:cs="宋体"/>
          <w:b/>
          <w:bCs/>
          <w:color w:val="auto"/>
          <w:sz w:val="44"/>
          <w:szCs w:val="44"/>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宋体" w:hAnsi="宋体" w:eastAsia="宋体" w:cs="宋体"/>
          <w:b/>
          <w:bCs/>
          <w:color w:val="auto"/>
          <w:sz w:val="44"/>
          <w:szCs w:val="44"/>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宋体" w:hAnsi="宋体" w:eastAsia="宋体" w:cs="宋体"/>
          <w:b/>
          <w:bCs/>
          <w:color w:val="auto"/>
          <w:sz w:val="44"/>
          <w:szCs w:val="44"/>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9"/>
        <w:rPr>
          <w:rFonts w:hint="eastAsia" w:ascii="宋体" w:hAnsi="宋体" w:eastAsia="宋体" w:cs="宋体"/>
          <w:b/>
          <w:bCs/>
          <w:color w:val="auto"/>
          <w:sz w:val="44"/>
          <w:szCs w:val="44"/>
          <w:highlight w:val="none"/>
        </w:rPr>
      </w:pPr>
      <w:bookmarkStart w:id="58" w:name="_Toc1697"/>
    </w:p>
    <w:p>
      <w:pPr>
        <w:pStyle w:val="20"/>
        <w:rPr>
          <w:rFonts w:hint="eastAsia"/>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0"/>
        <w:rPr>
          <w:rFonts w:hint="eastAsia" w:ascii="宋体" w:hAnsi="宋体" w:eastAsia="宋体" w:cs="宋体"/>
          <w:b/>
          <w:bCs/>
          <w:color w:val="auto"/>
          <w:sz w:val="32"/>
          <w:szCs w:val="32"/>
          <w:highlight w:val="none"/>
        </w:rPr>
      </w:pPr>
      <w:bookmarkStart w:id="59" w:name="_Toc25273"/>
      <w:r>
        <w:rPr>
          <w:rFonts w:hint="eastAsia" w:ascii="宋体" w:hAnsi="宋体" w:eastAsia="宋体" w:cs="宋体"/>
          <w:b/>
          <w:bCs/>
          <w:color w:val="auto"/>
          <w:sz w:val="32"/>
          <w:szCs w:val="32"/>
          <w:highlight w:val="none"/>
        </w:rPr>
        <w:t>质疑函范本</w:t>
      </w:r>
      <w:bookmarkEnd w:id="58"/>
      <w:bookmarkEnd w:id="59"/>
    </w:p>
    <w:p>
      <w:pPr>
        <w:keepNext w:val="0"/>
        <w:keepLines w:val="0"/>
        <w:pageBreakBefore w:val="0"/>
        <w:widowControl w:val="0"/>
        <w:shd w:val="clear" w:color="auto" w:fill="auto"/>
        <w:kinsoku/>
        <w:wordWrap/>
        <w:overflowPunct/>
        <w:topLinePunct w:val="0"/>
        <w:autoSpaceDE/>
        <w:autoSpaceDN/>
        <w:bidi w:val="0"/>
        <w:adjustRightInd w:val="0"/>
        <w:snapToGrid w:val="0"/>
        <w:spacing w:beforeLines="100" w:line="540" w:lineRule="exact"/>
        <w:ind w:firstLine="420" w:firstLineChars="200"/>
        <w:textAlignment w:val="auto"/>
        <w:outlineLvl w:val="0"/>
        <w:rPr>
          <w:rFonts w:hint="eastAsia" w:ascii="宋体" w:hAnsi="宋体" w:eastAsia="宋体" w:cs="宋体"/>
          <w:bCs/>
          <w:color w:val="auto"/>
          <w:sz w:val="21"/>
          <w:szCs w:val="21"/>
          <w:highlight w:val="none"/>
        </w:rPr>
      </w:pPr>
      <w:bookmarkStart w:id="60" w:name="_Toc32421"/>
      <w:bookmarkStart w:id="61" w:name="_Toc9061"/>
      <w:r>
        <w:rPr>
          <w:rFonts w:hint="eastAsia" w:ascii="宋体" w:hAnsi="宋体" w:eastAsia="宋体" w:cs="宋体"/>
          <w:bCs/>
          <w:color w:val="auto"/>
          <w:sz w:val="21"/>
          <w:szCs w:val="21"/>
          <w:highlight w:val="none"/>
        </w:rPr>
        <w:t>一、质疑供应商基本信息</w:t>
      </w:r>
      <w:bookmarkEnd w:id="60"/>
      <w:bookmarkEnd w:id="61"/>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质疑供应商：</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授权代表：</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地址： </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outlineLvl w:val="0"/>
        <w:rPr>
          <w:rFonts w:hint="eastAsia" w:ascii="宋体" w:hAnsi="宋体" w:eastAsia="宋体" w:cs="宋体"/>
          <w:bCs/>
          <w:color w:val="auto"/>
          <w:sz w:val="21"/>
          <w:szCs w:val="21"/>
          <w:highlight w:val="none"/>
        </w:rPr>
      </w:pPr>
      <w:bookmarkStart w:id="62" w:name="_Toc15938"/>
      <w:bookmarkStart w:id="63" w:name="_Toc17556"/>
      <w:r>
        <w:rPr>
          <w:rFonts w:hint="eastAsia" w:ascii="宋体" w:hAnsi="宋体" w:eastAsia="宋体" w:cs="宋体"/>
          <w:bCs/>
          <w:color w:val="auto"/>
          <w:sz w:val="21"/>
          <w:szCs w:val="21"/>
          <w:highlight w:val="none"/>
        </w:rPr>
        <w:t>二、质疑项目基本情况</w:t>
      </w:r>
      <w:bookmarkEnd w:id="62"/>
      <w:bookmarkEnd w:id="63"/>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质疑项目的名称：</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质疑项目的编号：</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包号：</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采购人名称：</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采购文件获取日期：</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outlineLvl w:val="0"/>
        <w:rPr>
          <w:rFonts w:hint="eastAsia" w:ascii="宋体" w:hAnsi="宋体" w:eastAsia="宋体" w:cs="宋体"/>
          <w:bCs/>
          <w:color w:val="auto"/>
          <w:sz w:val="21"/>
          <w:szCs w:val="21"/>
          <w:highlight w:val="none"/>
        </w:rPr>
      </w:pPr>
      <w:bookmarkStart w:id="64" w:name="_Toc18271"/>
      <w:bookmarkStart w:id="65" w:name="_Toc30754"/>
      <w:r>
        <w:rPr>
          <w:rFonts w:hint="eastAsia" w:ascii="宋体" w:hAnsi="宋体" w:eastAsia="宋体" w:cs="宋体"/>
          <w:bCs/>
          <w:color w:val="auto"/>
          <w:sz w:val="21"/>
          <w:szCs w:val="21"/>
          <w:highlight w:val="none"/>
        </w:rPr>
        <w:t>三、质疑事项具体内容</w:t>
      </w:r>
      <w:bookmarkEnd w:id="64"/>
      <w:bookmarkEnd w:id="65"/>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质疑事项1：</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事实依据：</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法律依据：</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质疑事项2</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outlineLvl w:val="0"/>
        <w:rPr>
          <w:rFonts w:hint="eastAsia" w:ascii="宋体" w:hAnsi="宋体" w:eastAsia="宋体" w:cs="宋体"/>
          <w:bCs/>
          <w:color w:val="auto"/>
          <w:sz w:val="21"/>
          <w:szCs w:val="21"/>
          <w:highlight w:val="none"/>
        </w:rPr>
      </w:pPr>
      <w:bookmarkStart w:id="66" w:name="_Toc5657"/>
      <w:bookmarkStart w:id="67" w:name="_Toc22365"/>
      <w:r>
        <w:rPr>
          <w:rFonts w:hint="eastAsia" w:ascii="宋体" w:hAnsi="宋体" w:eastAsia="宋体" w:cs="宋体"/>
          <w:bCs/>
          <w:color w:val="auto"/>
          <w:sz w:val="21"/>
          <w:szCs w:val="21"/>
          <w:highlight w:val="none"/>
        </w:rPr>
        <w:t>四、与质疑事项相关的质疑请求</w:t>
      </w:r>
      <w:bookmarkEnd w:id="66"/>
      <w:bookmarkEnd w:id="67"/>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请求：</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spacing w:line="5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签字(签章)：                   公章：                      </w:t>
      </w:r>
    </w:p>
    <w:p>
      <w:pPr>
        <w:keepNext w:val="0"/>
        <w:keepLines w:val="0"/>
        <w:pageBreakBefore w:val="0"/>
        <w:widowControl w:val="0"/>
        <w:shd w:val="clear" w:color="auto" w:fill="auto"/>
        <w:kinsoku/>
        <w:wordWrap/>
        <w:overflowPunct/>
        <w:topLinePunct w:val="0"/>
        <w:autoSpaceDE/>
        <w:autoSpaceDN/>
        <w:bidi w:val="0"/>
        <w:spacing w:line="540" w:lineRule="exact"/>
        <w:ind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 xml:space="preserve">日期：    </w:t>
      </w:r>
    </w:p>
    <w:p>
      <w:pPr>
        <w:pageBreakBefore/>
        <w:shd w:val="clear" w:color="auto" w:fill="auto"/>
        <w:spacing w:line="440" w:lineRule="exact"/>
        <w:jc w:val="center"/>
        <w:outlineLvl w:val="0"/>
        <w:rPr>
          <w:rFonts w:hint="eastAsia" w:ascii="黑体" w:eastAsia="黑体"/>
          <w:color w:val="auto"/>
          <w:sz w:val="30"/>
          <w:szCs w:val="30"/>
          <w:highlight w:val="none"/>
        </w:rPr>
      </w:pPr>
      <w:bookmarkStart w:id="68" w:name="_Toc30785"/>
      <w:bookmarkStart w:id="69" w:name="_Toc469495731"/>
      <w:r>
        <w:rPr>
          <w:rFonts w:hint="eastAsia" w:ascii="黑体" w:eastAsia="黑体"/>
          <w:color w:val="auto"/>
          <w:sz w:val="30"/>
          <w:szCs w:val="30"/>
          <w:highlight w:val="none"/>
        </w:rPr>
        <w:t>第三章  评标办法</w:t>
      </w:r>
      <w:bookmarkEnd w:id="68"/>
      <w:bookmarkEnd w:id="69"/>
    </w:p>
    <w:p>
      <w:pPr>
        <w:shd w:val="clear" w:color="auto" w:fill="auto"/>
        <w:jc w:val="center"/>
        <w:outlineLvl w:val="1"/>
        <w:rPr>
          <w:rFonts w:hint="eastAsia" w:ascii="宋体" w:hAnsi="Times New Roman" w:eastAsia="宋体" w:cs="Times New Roman"/>
          <w:b/>
          <w:color w:val="auto"/>
          <w:sz w:val="28"/>
          <w:szCs w:val="28"/>
          <w:highlight w:val="none"/>
        </w:rPr>
      </w:pPr>
      <w:bookmarkStart w:id="70" w:name="_Toc362983802"/>
      <w:bookmarkStart w:id="71" w:name="_Toc469495733"/>
      <w:bookmarkStart w:id="72" w:name="_Toc267320058"/>
      <w:bookmarkStart w:id="73" w:name="_Toc363135205"/>
      <w:r>
        <w:rPr>
          <w:rFonts w:hint="eastAsia" w:ascii="宋体" w:hAnsi="Times New Roman" w:eastAsia="宋体" w:cs="Times New Roman"/>
          <w:b/>
          <w:color w:val="auto"/>
          <w:sz w:val="28"/>
          <w:szCs w:val="28"/>
          <w:highlight w:val="none"/>
        </w:rPr>
        <w:t>一</w:t>
      </w:r>
      <w:r>
        <w:rPr>
          <w:rFonts w:hint="eastAsia" w:ascii="宋体" w:hAnsi="Times New Roman" w:eastAsia="宋体" w:cs="Times New Roman"/>
          <w:b/>
          <w:color w:val="auto"/>
          <w:sz w:val="28"/>
          <w:szCs w:val="28"/>
          <w:highlight w:val="none"/>
          <w:lang w:val="en-US" w:eastAsia="zh-CN"/>
        </w:rPr>
        <w:t xml:space="preserve">  </w:t>
      </w:r>
      <w:r>
        <w:rPr>
          <w:rFonts w:hint="eastAsia" w:ascii="宋体" w:hAnsi="Times New Roman" w:eastAsia="宋体" w:cs="Times New Roman"/>
          <w:b/>
          <w:color w:val="auto"/>
          <w:sz w:val="28"/>
          <w:szCs w:val="28"/>
          <w:highlight w:val="none"/>
        </w:rPr>
        <w:t>总  则</w:t>
      </w:r>
    </w:p>
    <w:p>
      <w:pPr>
        <w:shd w:val="clear" w:color="auto" w:fill="auto"/>
        <w:tabs>
          <w:tab w:val="left" w:pos="567"/>
          <w:tab w:val="left" w:pos="600"/>
        </w:tabs>
        <w:spacing w:line="440" w:lineRule="exact"/>
        <w:ind w:firstLine="535"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1、一般规定</w:t>
      </w:r>
    </w:p>
    <w:p>
      <w:pPr>
        <w:shd w:val="clear" w:color="auto" w:fill="auto"/>
        <w:spacing w:line="440" w:lineRule="exact"/>
        <w:ind w:firstLine="535"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1.1本项目的招标按照《中华人民共和国政府采购法》、《政府采购货物和服务招标投标管理办法》及政府采购的有关规定进行。</w:t>
      </w:r>
    </w:p>
    <w:p>
      <w:pPr>
        <w:shd w:val="clear" w:color="auto" w:fill="auto"/>
        <w:spacing w:line="440" w:lineRule="exact"/>
        <w:ind w:firstLine="535"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1.2评标必须遵循邀请、公平、公正、诚实信用的原则。</w:t>
      </w:r>
    </w:p>
    <w:p>
      <w:pPr>
        <w:shd w:val="clear" w:color="auto" w:fill="auto"/>
        <w:spacing w:line="440" w:lineRule="exact"/>
        <w:ind w:firstLine="535"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1.3招标代理机构组织招标、开标、评标工作，全过程接受政府采购有关部门的监督、管理和指导。</w:t>
      </w:r>
    </w:p>
    <w:p>
      <w:pPr>
        <w:shd w:val="clear" w:color="auto" w:fill="auto"/>
        <w:spacing w:line="440" w:lineRule="exact"/>
        <w:ind w:firstLine="535"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1.4评标按照招标文件规定的内容进行，采取符合招标文件要求的最低评标价法；</w:t>
      </w:r>
    </w:p>
    <w:p>
      <w:pPr>
        <w:shd w:val="clear" w:color="auto" w:fill="auto"/>
        <w:spacing w:line="440" w:lineRule="exact"/>
        <w:ind w:firstLine="535"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1.5本办法的评标对象是指投标人按照招标文件要求提供的有效投标文件，包括投标人应评标委员会要求对原投标文件作出的正式书面澄清文件。</w:t>
      </w:r>
    </w:p>
    <w:p>
      <w:pPr>
        <w:shd w:val="clear" w:color="auto" w:fill="auto"/>
        <w:tabs>
          <w:tab w:val="left" w:pos="567"/>
          <w:tab w:val="left" w:pos="1145"/>
        </w:tabs>
        <w:spacing w:line="440" w:lineRule="exact"/>
        <w:ind w:firstLine="535"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2、评标组织机构的组成</w:t>
      </w:r>
    </w:p>
    <w:p>
      <w:pPr>
        <w:widowControl/>
        <w:shd w:val="clear" w:color="auto" w:fill="auto"/>
        <w:spacing w:line="440" w:lineRule="exact"/>
        <w:ind w:firstLine="480"/>
        <w:rPr>
          <w:rFonts w:hint="eastAsia" w:ascii="宋体" w:hAnsi="宋体" w:eastAsia="宋体" w:cs="宋体"/>
          <w:b/>
          <w:bCs/>
          <w:color w:val="auto"/>
          <w:kern w:val="0"/>
          <w:szCs w:val="21"/>
          <w:highlight w:val="none"/>
        </w:rPr>
      </w:pPr>
      <w:r>
        <w:rPr>
          <w:rFonts w:hint="eastAsia" w:ascii="宋体" w:hAnsi="宋体" w:eastAsia="宋体" w:cs="宋体"/>
          <w:b/>
          <w:bCs/>
          <w:color w:val="auto"/>
          <w:szCs w:val="21"/>
          <w:highlight w:val="none"/>
        </w:rPr>
        <w:t>2.1</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kern w:val="0"/>
          <w:szCs w:val="21"/>
          <w:highlight w:val="none"/>
          <w:lang w:bidi="ar-SA"/>
        </w:rPr>
        <w:t>评标委员会由采购人代表和有关技术、经济等方面的专家组成，成员人数应当为5人</w:t>
      </w:r>
      <w:r>
        <w:rPr>
          <w:rFonts w:hint="eastAsia" w:ascii="宋体" w:hAnsi="宋体" w:eastAsia="宋体" w:cs="宋体"/>
          <w:color w:val="auto"/>
          <w:kern w:val="0"/>
          <w:szCs w:val="21"/>
          <w:highlight w:val="none"/>
          <w:lang w:eastAsia="zh-CN" w:bidi="ar-SA"/>
        </w:rPr>
        <w:t>或</w:t>
      </w:r>
      <w:r>
        <w:rPr>
          <w:rFonts w:hint="eastAsia" w:ascii="宋体" w:hAnsi="宋体" w:eastAsia="宋体" w:cs="宋体"/>
          <w:color w:val="auto"/>
          <w:kern w:val="0"/>
          <w:szCs w:val="21"/>
          <w:highlight w:val="none"/>
          <w:lang w:val="en-US" w:eastAsia="zh-CN" w:bidi="ar-SA"/>
        </w:rPr>
        <w:t>5人</w:t>
      </w:r>
      <w:r>
        <w:rPr>
          <w:rFonts w:hint="eastAsia" w:ascii="宋体" w:hAnsi="宋体" w:eastAsia="宋体" w:cs="宋体"/>
          <w:color w:val="auto"/>
          <w:kern w:val="0"/>
          <w:szCs w:val="21"/>
          <w:highlight w:val="none"/>
          <w:lang w:bidi="ar-SA"/>
        </w:rPr>
        <w:t>以上单数。其中，技术、经济等方面的专家不得少于成员总数的三分之二。采购数额在1000万元以上、技术复杂的项目，评标委员会中技术、经济方面的专家人数应当为七人以上单数。采购人应当从同级或上一级财政部门设立的政府采购评审专家库中，通过随机方式抽取评标专家。采购人对技术复杂、专业性极强的采购项目，通过随机方式难以确定合适评标专家的，经设区的市、自治州以上人民政府财政部门同意，可以采取选择性方式确定评标专家。</w:t>
      </w:r>
    </w:p>
    <w:p>
      <w:pPr>
        <w:shd w:val="clear" w:color="auto" w:fill="auto"/>
        <w:tabs>
          <w:tab w:val="left" w:pos="567"/>
          <w:tab w:val="left" w:pos="1145"/>
        </w:tabs>
        <w:spacing w:line="440" w:lineRule="exact"/>
        <w:ind w:firstLine="535"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2.2评标工作组由招标人及有关专家组成，由评标委员会确认，并接受其领导。</w:t>
      </w:r>
    </w:p>
    <w:p>
      <w:pPr>
        <w:shd w:val="clear" w:color="auto" w:fill="auto"/>
        <w:tabs>
          <w:tab w:val="left" w:pos="567"/>
          <w:tab w:val="left" w:pos="1145"/>
        </w:tabs>
        <w:spacing w:line="440" w:lineRule="exact"/>
        <w:ind w:firstLine="535"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2.3评标委员会应相对独立工作，负责评标、撰写技术、商务评标报告。采购代理机构负责评标过程中资料的保管、发放、回收，整理、汇总评标资料。</w:t>
      </w:r>
    </w:p>
    <w:p>
      <w:pPr>
        <w:shd w:val="clear" w:color="auto" w:fill="auto"/>
        <w:tabs>
          <w:tab w:val="left" w:pos="567"/>
          <w:tab w:val="left" w:pos="600"/>
        </w:tabs>
        <w:spacing w:line="440" w:lineRule="exact"/>
        <w:ind w:firstLine="535"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3、评标委员会职责</w:t>
      </w:r>
    </w:p>
    <w:p>
      <w:pPr>
        <w:pStyle w:val="146"/>
        <w:shd w:val="clear" w:color="auto" w:fill="auto"/>
        <w:spacing w:before="0" w:beforeAutospacing="0" w:after="0" w:afterAutospacing="0" w:line="440" w:lineRule="exact"/>
        <w:ind w:firstLine="535" w:firstLineChars="25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3.1审查投标文件是否符合招标文件要求，并作出评价；</w:t>
      </w:r>
    </w:p>
    <w:p>
      <w:pPr>
        <w:pStyle w:val="146"/>
        <w:shd w:val="clear" w:color="auto" w:fill="auto"/>
        <w:spacing w:before="0" w:beforeAutospacing="0" w:after="0" w:afterAutospacing="0" w:line="440" w:lineRule="exact"/>
        <w:ind w:firstLine="535" w:firstLineChars="25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3.2要求投标人对投标文件有关事项作出解释或者澄清；</w:t>
      </w:r>
    </w:p>
    <w:p>
      <w:pPr>
        <w:pStyle w:val="146"/>
        <w:shd w:val="clear" w:color="auto" w:fill="auto"/>
        <w:spacing w:before="0" w:beforeAutospacing="0" w:after="0" w:afterAutospacing="0" w:line="440" w:lineRule="exact"/>
        <w:ind w:firstLine="535" w:firstLineChars="25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3.3推荐中标候选人名单；</w:t>
      </w:r>
    </w:p>
    <w:p>
      <w:pPr>
        <w:pStyle w:val="146"/>
        <w:shd w:val="clear" w:color="auto" w:fill="auto"/>
        <w:spacing w:before="0" w:beforeAutospacing="0" w:after="0" w:afterAutospacing="0" w:line="440" w:lineRule="exact"/>
        <w:ind w:firstLine="535" w:firstLineChars="25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3.4向招标人、招标代理机构或者有关部门报告非法干预评标工作的行为。</w:t>
      </w:r>
    </w:p>
    <w:p>
      <w:pPr>
        <w:shd w:val="clear" w:color="auto" w:fill="auto"/>
        <w:tabs>
          <w:tab w:val="left" w:pos="567"/>
          <w:tab w:val="left" w:pos="600"/>
        </w:tabs>
        <w:spacing w:line="440" w:lineRule="exact"/>
        <w:ind w:firstLine="535"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4、评标委员会义务</w:t>
      </w:r>
    </w:p>
    <w:p>
      <w:pPr>
        <w:shd w:val="clear" w:color="auto" w:fill="auto"/>
        <w:tabs>
          <w:tab w:val="left" w:pos="567"/>
          <w:tab w:val="left" w:pos="600"/>
        </w:tabs>
        <w:spacing w:line="440" w:lineRule="exact"/>
        <w:ind w:firstLine="535"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4.1遵纪守法，客观、公正、廉洁地履行职责；</w:t>
      </w:r>
    </w:p>
    <w:p>
      <w:pPr>
        <w:shd w:val="clear" w:color="auto" w:fill="auto"/>
        <w:tabs>
          <w:tab w:val="left" w:pos="567"/>
          <w:tab w:val="left" w:pos="600"/>
        </w:tabs>
        <w:spacing w:line="440" w:lineRule="exact"/>
        <w:ind w:firstLine="535"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4.2按照招标文件规定的评标方法和评标标准进行评标，对评审意见承担个人责任；</w:t>
      </w:r>
    </w:p>
    <w:p>
      <w:pPr>
        <w:shd w:val="clear" w:color="auto" w:fill="auto"/>
        <w:tabs>
          <w:tab w:val="left" w:pos="567"/>
          <w:tab w:val="left" w:pos="600"/>
        </w:tabs>
        <w:spacing w:line="440" w:lineRule="exact"/>
        <w:ind w:firstLine="535"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4.3对评标过程和结果，以及投标人的商业秘密保密；</w:t>
      </w:r>
    </w:p>
    <w:p>
      <w:pPr>
        <w:shd w:val="clear" w:color="auto" w:fill="auto"/>
        <w:tabs>
          <w:tab w:val="left" w:pos="567"/>
          <w:tab w:val="left" w:pos="600"/>
        </w:tabs>
        <w:spacing w:line="440" w:lineRule="exact"/>
        <w:ind w:firstLine="535"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4.4参与评标报告的起草；</w:t>
      </w:r>
    </w:p>
    <w:p>
      <w:pPr>
        <w:shd w:val="clear" w:color="auto" w:fill="auto"/>
        <w:tabs>
          <w:tab w:val="left" w:pos="567"/>
          <w:tab w:val="left" w:pos="600"/>
        </w:tabs>
        <w:spacing w:line="440" w:lineRule="exact"/>
        <w:ind w:firstLine="535"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4.5配合有关部门的投诉处理工作；</w:t>
      </w:r>
    </w:p>
    <w:p>
      <w:pPr>
        <w:shd w:val="clear" w:color="auto" w:fill="auto"/>
        <w:tabs>
          <w:tab w:val="left" w:pos="567"/>
          <w:tab w:val="left" w:pos="600"/>
        </w:tabs>
        <w:spacing w:line="440" w:lineRule="exact"/>
        <w:ind w:firstLine="535"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4.6配合招标人、招标代理机构答复投标供应商提出的质疑。</w:t>
      </w:r>
    </w:p>
    <w:p>
      <w:pPr>
        <w:shd w:val="clear" w:color="auto" w:fill="auto"/>
        <w:tabs>
          <w:tab w:val="left" w:pos="1547"/>
        </w:tabs>
        <w:spacing w:line="440" w:lineRule="exact"/>
        <w:ind w:firstLine="535" w:firstLineChars="255"/>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5、 评标程序</w:t>
      </w:r>
    </w:p>
    <w:p>
      <w:pPr>
        <w:pStyle w:val="40"/>
        <w:shd w:val="clear" w:color="auto" w:fill="auto"/>
        <w:tabs>
          <w:tab w:val="left" w:pos="720"/>
          <w:tab w:val="clear" w:pos="0"/>
        </w:tabs>
        <w:spacing w:line="440" w:lineRule="exact"/>
        <w:ind w:firstLine="535" w:firstLineChars="255"/>
        <w:rPr>
          <w:rFonts w:hint="eastAsia" w:ascii="宋体" w:hAnsi="宋体" w:eastAsia="宋体" w:cs="宋体"/>
          <w:bCs/>
          <w:color w:val="auto"/>
          <w:szCs w:val="21"/>
          <w:highlight w:val="none"/>
          <w:lang w:bidi="ar-SA"/>
        </w:rPr>
      </w:pPr>
      <w:r>
        <w:rPr>
          <w:rFonts w:hint="eastAsia" w:ascii="宋体" w:hAnsi="宋体" w:eastAsia="宋体" w:cs="宋体"/>
          <w:bCs/>
          <w:color w:val="auto"/>
          <w:szCs w:val="21"/>
          <w:highlight w:val="none"/>
          <w:lang w:bidi="ar-SA"/>
        </w:rPr>
        <w:t>5.1本次评标首先由评标委员会对投标人的投标文件进行初审，对未能通过初审的投标文件作无效标处理；</w:t>
      </w:r>
    </w:p>
    <w:p>
      <w:pPr>
        <w:shd w:val="clear" w:color="auto" w:fill="auto"/>
        <w:tabs>
          <w:tab w:val="left" w:pos="720"/>
        </w:tabs>
        <w:spacing w:line="440" w:lineRule="exact"/>
        <w:ind w:firstLine="535" w:firstLineChars="255"/>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5.2对通过初审的投标人的投标文件进行详细的比较和评价。如需要，进行必要的澄清工作；</w:t>
      </w:r>
    </w:p>
    <w:p>
      <w:pPr>
        <w:keepNext w:val="0"/>
        <w:keepLines w:val="0"/>
        <w:pageBreakBefore w:val="0"/>
        <w:widowControl/>
        <w:shd w:val="clear" w:color="auto" w:fill="auto"/>
        <w:kinsoku/>
        <w:wordWrap/>
        <w:overflowPunct/>
        <w:topLinePunct w:val="0"/>
        <w:autoSpaceDE/>
        <w:autoSpaceDN/>
        <w:bidi w:val="0"/>
        <w:adjustRightInd/>
        <w:snapToGrid/>
        <w:spacing w:line="360" w:lineRule="exact"/>
        <w:ind w:firstLine="482"/>
        <w:textAlignment w:val="auto"/>
        <w:outlineLvl w:val="9"/>
        <w:rPr>
          <w:rFonts w:hint="eastAsia" w:ascii="宋体" w:hAnsi="宋体" w:eastAsia="宋体" w:cs="宋体"/>
          <w:color w:val="auto"/>
          <w:kern w:val="0"/>
          <w:szCs w:val="21"/>
          <w:highlight w:val="none"/>
          <w:lang w:bidi="ar-SA"/>
        </w:rPr>
      </w:pPr>
      <w:r>
        <w:rPr>
          <w:rFonts w:hint="eastAsia" w:ascii="宋体" w:hAnsi="宋体" w:eastAsia="宋体" w:cs="宋体"/>
          <w:color w:val="auto"/>
          <w:szCs w:val="21"/>
          <w:highlight w:val="none"/>
          <w:lang w:bidi="ar-SA"/>
        </w:rPr>
        <w:t>5.3依据评分标准以及各项权值，各位评委单独就每个投标人的</w:t>
      </w:r>
      <w:r>
        <w:rPr>
          <w:rFonts w:hint="eastAsia" w:ascii="宋体" w:hAnsi="宋体" w:eastAsia="宋体" w:cs="宋体"/>
          <w:color w:val="auto"/>
          <w:kern w:val="0"/>
          <w:szCs w:val="21"/>
          <w:highlight w:val="none"/>
          <w:lang w:bidi="ar-SA"/>
        </w:rPr>
        <w:t>投标文件进行价格、技术、</w:t>
      </w:r>
      <w:r>
        <w:rPr>
          <w:rFonts w:hint="eastAsia" w:ascii="宋体" w:hAnsi="宋体" w:eastAsia="宋体" w:cs="宋体"/>
          <w:color w:val="auto"/>
          <w:kern w:val="0"/>
          <w:szCs w:val="21"/>
          <w:highlight w:val="none"/>
          <w:lang w:bidi="ar-SA"/>
        </w:rPr>
        <w:fldChar w:fldCharType="begin"/>
      </w:r>
      <w:r>
        <w:rPr>
          <w:rFonts w:hint="eastAsia" w:ascii="宋体" w:hAnsi="宋体" w:eastAsia="宋体" w:cs="宋体"/>
          <w:color w:val="auto"/>
          <w:kern w:val="0"/>
          <w:szCs w:val="21"/>
          <w:highlight w:val="none"/>
          <w:lang w:bidi="ar-SA"/>
        </w:rPr>
        <w:instrText xml:space="preserve">HYPERLINK "http://zhidao.baidu.com/search?word=%E8%B4%A2%E5%8A%A1%E7%8A%B6%E5%86%B5&amp;fr=qb_search_exp&amp;ie=utf8&amp;eid_gfrom=151"</w:instrText>
      </w:r>
      <w:r>
        <w:rPr>
          <w:rFonts w:hint="eastAsia" w:ascii="宋体" w:hAnsi="宋体" w:eastAsia="宋体" w:cs="宋体"/>
          <w:color w:val="auto"/>
          <w:kern w:val="0"/>
          <w:szCs w:val="21"/>
          <w:highlight w:val="none"/>
          <w:lang w:bidi="ar-SA"/>
        </w:rPr>
        <w:fldChar w:fldCharType="separate"/>
      </w:r>
      <w:r>
        <w:rPr>
          <w:rFonts w:hint="eastAsia" w:ascii="宋体" w:hAnsi="宋体" w:eastAsia="宋体" w:cs="宋体"/>
          <w:color w:val="auto"/>
          <w:kern w:val="0"/>
          <w:szCs w:val="21"/>
          <w:highlight w:val="none"/>
          <w:lang w:bidi="ar-SA"/>
        </w:rPr>
        <w:t>财务状况</w:t>
      </w:r>
      <w:r>
        <w:rPr>
          <w:rFonts w:hint="eastAsia" w:ascii="宋体" w:hAnsi="宋体" w:eastAsia="宋体" w:cs="宋体"/>
          <w:color w:val="auto"/>
          <w:kern w:val="0"/>
          <w:szCs w:val="21"/>
          <w:highlight w:val="none"/>
          <w:lang w:bidi="ar-SA"/>
        </w:rPr>
        <w:fldChar w:fldCharType="end"/>
      </w:r>
      <w:r>
        <w:rPr>
          <w:rFonts w:hint="eastAsia" w:ascii="宋体" w:hAnsi="宋体" w:eastAsia="宋体" w:cs="宋体"/>
          <w:color w:val="auto"/>
          <w:kern w:val="0"/>
          <w:szCs w:val="21"/>
          <w:highlight w:val="none"/>
          <w:lang w:bidi="ar-SA"/>
        </w:rPr>
        <w:t>、信誉、业绩、服务、对招标文件的响应程度，以及相应的比重或者权值等各项因素进行综合评审后，按最终综合得分由高向低排序，由评标委员会推荐综合得分最高的投标人为第一中标候选人，综合得分第二名的投标人为第二中标候选人，综合得分第三名的投标人为第三中标候选人。</w:t>
      </w:r>
    </w:p>
    <w:p>
      <w:pPr>
        <w:rPr>
          <w:rFonts w:hint="eastAsia"/>
          <w:highlight w:val="none"/>
        </w:rPr>
      </w:pPr>
      <w:r>
        <w:rPr>
          <w:rFonts w:hint="eastAsia" w:ascii="宋体"/>
          <w:b/>
          <w:color w:val="auto"/>
          <w:sz w:val="28"/>
          <w:szCs w:val="28"/>
          <w:highlight w:val="none"/>
        </w:rPr>
        <w:br w:type="page"/>
      </w:r>
    </w:p>
    <w:p>
      <w:pPr>
        <w:shd w:val="clear" w:color="auto" w:fill="auto"/>
        <w:jc w:val="center"/>
        <w:outlineLvl w:val="1"/>
        <w:rPr>
          <w:rFonts w:hint="eastAsia" w:ascii="宋体"/>
          <w:b/>
          <w:color w:val="auto"/>
          <w:sz w:val="28"/>
          <w:szCs w:val="28"/>
          <w:highlight w:val="none"/>
        </w:rPr>
      </w:pPr>
      <w:r>
        <w:rPr>
          <w:rFonts w:hint="eastAsia" w:ascii="宋体"/>
          <w:b/>
          <w:color w:val="auto"/>
          <w:sz w:val="28"/>
          <w:szCs w:val="28"/>
          <w:highlight w:val="none"/>
        </w:rPr>
        <w:t>二  投标文件初审</w:t>
      </w:r>
      <w:bookmarkEnd w:id="70"/>
      <w:bookmarkEnd w:id="71"/>
    </w:p>
    <w:p>
      <w:pPr>
        <w:shd w:val="clear" w:color="auto" w:fill="auto"/>
        <w:spacing w:line="400" w:lineRule="exact"/>
        <w:ind w:firstLine="308" w:firstLineChars="147"/>
        <w:rPr>
          <w:rFonts w:hint="eastAsia" w:ascii="宋体"/>
          <w:b/>
          <w:color w:val="auto"/>
          <w:szCs w:val="21"/>
          <w:highlight w:val="none"/>
        </w:rPr>
      </w:pPr>
      <w:r>
        <w:rPr>
          <w:rFonts w:hint="eastAsia" w:ascii="宋体"/>
          <w:b/>
          <w:color w:val="auto"/>
          <w:szCs w:val="21"/>
          <w:highlight w:val="none"/>
          <w:lang w:val="en-US" w:eastAsia="zh-CN"/>
        </w:rPr>
        <w:t>6</w:t>
      </w:r>
      <w:r>
        <w:rPr>
          <w:rFonts w:hint="eastAsia" w:ascii="宋体"/>
          <w:b/>
          <w:color w:val="auto"/>
          <w:szCs w:val="21"/>
          <w:highlight w:val="none"/>
        </w:rPr>
        <w:t>.资格性审查:</w:t>
      </w:r>
    </w:p>
    <w:p>
      <w:pPr>
        <w:shd w:val="clear" w:color="auto" w:fill="auto"/>
        <w:spacing w:line="400" w:lineRule="exact"/>
        <w:ind w:firstLine="308" w:firstLineChars="147"/>
        <w:rPr>
          <w:rFonts w:hint="eastAsia"/>
          <w:color w:val="auto"/>
          <w:szCs w:val="21"/>
          <w:highlight w:val="none"/>
        </w:rPr>
      </w:pPr>
      <w:r>
        <w:rPr>
          <w:rFonts w:hint="eastAsia" w:ascii="宋体"/>
          <w:color w:val="auto"/>
          <w:szCs w:val="21"/>
          <w:highlight w:val="none"/>
          <w:lang w:val="en-US" w:eastAsia="zh-CN"/>
        </w:rPr>
        <w:t>6</w:t>
      </w:r>
      <w:r>
        <w:rPr>
          <w:rFonts w:hint="eastAsia" w:ascii="宋体"/>
          <w:color w:val="auto"/>
          <w:szCs w:val="21"/>
          <w:highlight w:val="none"/>
        </w:rPr>
        <w:t>.1</w:t>
      </w:r>
      <w:r>
        <w:rPr>
          <w:rFonts w:hint="eastAsia"/>
          <w:color w:val="auto"/>
          <w:szCs w:val="21"/>
          <w:highlight w:val="none"/>
        </w:rPr>
        <w:t>评审细则</w:t>
      </w:r>
    </w:p>
    <w:tbl>
      <w:tblPr>
        <w:tblStyle w:val="47"/>
        <w:tblW w:w="9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552"/>
        <w:gridCol w:w="6717"/>
        <w:gridCol w:w="560"/>
        <w:gridCol w:w="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89" w:type="dxa"/>
            <w:vMerge w:val="restart"/>
            <w:vAlign w:val="center"/>
          </w:tcPr>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w:t>
            </w:r>
          </w:p>
        </w:tc>
        <w:tc>
          <w:tcPr>
            <w:tcW w:w="7269" w:type="dxa"/>
            <w:gridSpan w:val="2"/>
            <w:vMerge w:val="restart"/>
            <w:vAlign w:val="center"/>
          </w:tcPr>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评审内容</w:t>
            </w:r>
          </w:p>
        </w:tc>
        <w:tc>
          <w:tcPr>
            <w:tcW w:w="1220" w:type="dxa"/>
            <w:gridSpan w:val="2"/>
            <w:vAlign w:val="center"/>
          </w:tcPr>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89" w:type="dxa"/>
            <w:vMerge w:val="continue"/>
            <w:vAlign w:val="center"/>
          </w:tcPr>
          <w:p>
            <w:pPr>
              <w:keepNext w:val="0"/>
              <w:keepLines w:val="0"/>
              <w:suppressLineNumbers w:val="0"/>
              <w:shd w:val="clear" w:color="auto" w:fill="auto"/>
              <w:spacing w:before="0" w:beforeAutospacing="0" w:after="0" w:afterAutospacing="0"/>
              <w:ind w:left="0" w:right="0"/>
              <w:rPr>
                <w:rFonts w:hint="eastAsia" w:ascii="宋体" w:hAnsi="宋体" w:eastAsia="宋体" w:cs="宋体"/>
                <w:color w:val="auto"/>
                <w:sz w:val="21"/>
                <w:szCs w:val="24"/>
                <w:highlight w:val="none"/>
              </w:rPr>
            </w:pPr>
          </w:p>
        </w:tc>
        <w:tc>
          <w:tcPr>
            <w:tcW w:w="7269" w:type="dxa"/>
            <w:gridSpan w:val="2"/>
            <w:vMerge w:val="continue"/>
            <w:vAlign w:val="top"/>
          </w:tcPr>
          <w:p>
            <w:pPr>
              <w:keepNext w:val="0"/>
              <w:keepLines w:val="0"/>
              <w:suppressLineNumbers w:val="0"/>
              <w:shd w:val="clear" w:color="auto" w:fill="auto"/>
              <w:spacing w:before="0" w:beforeAutospacing="0" w:after="0" w:afterAutospacing="0"/>
              <w:ind w:left="0" w:right="0"/>
              <w:rPr>
                <w:rFonts w:hint="eastAsia" w:ascii="宋体" w:hAnsi="宋体" w:eastAsia="宋体" w:cs="宋体"/>
                <w:color w:val="auto"/>
                <w:sz w:val="21"/>
                <w:szCs w:val="24"/>
                <w:highlight w:val="none"/>
              </w:rPr>
            </w:pPr>
          </w:p>
        </w:tc>
        <w:tc>
          <w:tcPr>
            <w:tcW w:w="560" w:type="dxa"/>
            <w:vAlign w:val="center"/>
          </w:tcPr>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是</w:t>
            </w:r>
          </w:p>
        </w:tc>
        <w:tc>
          <w:tcPr>
            <w:tcW w:w="660" w:type="dxa"/>
            <w:vAlign w:val="center"/>
          </w:tcPr>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89" w:type="dxa"/>
            <w:vMerge w:val="restart"/>
            <w:vAlign w:val="center"/>
          </w:tcPr>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审</w:t>
            </w:r>
          </w:p>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查</w:t>
            </w:r>
          </w:p>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w:t>
            </w:r>
          </w:p>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准</w:t>
            </w:r>
          </w:p>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(适</w:t>
            </w:r>
          </w:p>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w:t>
            </w:r>
          </w:p>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于</w:t>
            </w:r>
          </w:p>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w:t>
            </w:r>
          </w:p>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格</w:t>
            </w:r>
          </w:p>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后</w:t>
            </w:r>
          </w:p>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审)</w:t>
            </w:r>
          </w:p>
        </w:tc>
        <w:tc>
          <w:tcPr>
            <w:tcW w:w="552" w:type="dxa"/>
            <w:vAlign w:val="center"/>
          </w:tcPr>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717" w:type="dxa"/>
            <w:vAlign w:val="center"/>
          </w:tcPr>
          <w:p>
            <w:pPr>
              <w:keepNext w:val="0"/>
              <w:keepLines w:val="0"/>
              <w:widowControl/>
              <w:suppressLineNumbers w:val="0"/>
              <w:shd w:val="clear" w:color="auto" w:fill="auto"/>
              <w:spacing w:before="0" w:beforeAutospacing="0" w:after="0" w:afterAutospacing="0"/>
              <w:ind w:left="0" w:right="0"/>
              <w:jc w:val="left"/>
              <w:textAlignment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kern w:val="0"/>
                <w:sz w:val="22"/>
                <w:szCs w:val="22"/>
                <w:highlight w:val="none"/>
                <w:lang w:eastAsia="zh-CN" w:bidi="ar"/>
              </w:rPr>
              <w:t>有效的三证合一营业执照</w:t>
            </w:r>
          </w:p>
        </w:tc>
        <w:tc>
          <w:tcPr>
            <w:tcW w:w="560" w:type="dxa"/>
            <w:vAlign w:val="top"/>
          </w:tcPr>
          <w:p>
            <w:pPr>
              <w:keepNext w:val="0"/>
              <w:keepLines w:val="0"/>
              <w:suppressLineNumbers w:val="0"/>
              <w:shd w:val="clear" w:color="auto" w:fill="auto"/>
              <w:spacing w:before="0" w:beforeAutospacing="0" w:after="0" w:afterAutospacing="0"/>
              <w:ind w:left="0" w:right="0"/>
              <w:rPr>
                <w:rFonts w:hint="eastAsia" w:ascii="宋体" w:hAnsi="宋体" w:eastAsia="宋体" w:cs="宋体"/>
                <w:color w:val="auto"/>
                <w:sz w:val="24"/>
                <w:szCs w:val="24"/>
                <w:highlight w:val="none"/>
              </w:rPr>
            </w:pPr>
          </w:p>
        </w:tc>
        <w:tc>
          <w:tcPr>
            <w:tcW w:w="660" w:type="dxa"/>
            <w:vAlign w:val="top"/>
          </w:tcPr>
          <w:p>
            <w:pPr>
              <w:keepNext w:val="0"/>
              <w:keepLines w:val="0"/>
              <w:suppressLineNumbers w:val="0"/>
              <w:shd w:val="clear" w:color="auto" w:fill="auto"/>
              <w:spacing w:before="0" w:beforeAutospacing="0" w:after="0" w:afterAutospacing="0"/>
              <w:ind w:left="0" w:right="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89" w:type="dxa"/>
            <w:vMerge w:val="continue"/>
            <w:vAlign w:val="center"/>
          </w:tcPr>
          <w:p>
            <w:pPr>
              <w:keepNext w:val="0"/>
              <w:keepLines w:val="0"/>
              <w:suppressLineNumbers w:val="0"/>
              <w:shd w:val="clear" w:color="auto" w:fill="auto"/>
              <w:spacing w:before="0" w:beforeAutospacing="0" w:after="0" w:afterAutospacing="0"/>
              <w:ind w:left="0" w:right="0"/>
              <w:rPr>
                <w:rFonts w:hint="eastAsia" w:ascii="宋体" w:hAnsi="宋体" w:eastAsia="宋体" w:cs="宋体"/>
                <w:color w:val="auto"/>
                <w:sz w:val="24"/>
                <w:szCs w:val="32"/>
                <w:highlight w:val="none"/>
              </w:rPr>
            </w:pPr>
          </w:p>
        </w:tc>
        <w:tc>
          <w:tcPr>
            <w:tcW w:w="552" w:type="dxa"/>
            <w:vAlign w:val="center"/>
          </w:tcPr>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717" w:type="dxa"/>
            <w:vAlign w:val="center"/>
          </w:tcPr>
          <w:p>
            <w:pPr>
              <w:keepNext w:val="0"/>
              <w:keepLines w:val="0"/>
              <w:widowControl/>
              <w:suppressLineNumbers w:val="0"/>
              <w:shd w:val="clear" w:color="auto" w:fill="auto"/>
              <w:spacing w:before="0" w:beforeAutospacing="0" w:after="0" w:afterAutospacing="0"/>
              <w:ind w:left="0" w:right="0"/>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eastAsia="zh-CN" w:bidi="ar"/>
              </w:rPr>
              <w:t>保证金打款凭证</w:t>
            </w:r>
            <w:r>
              <w:rPr>
                <w:rFonts w:hint="eastAsia" w:ascii="宋体" w:hAnsi="宋体" w:eastAsia="宋体" w:cs="宋体"/>
                <w:color w:val="auto"/>
                <w:kern w:val="0"/>
                <w:sz w:val="22"/>
                <w:szCs w:val="22"/>
                <w:highlight w:val="none"/>
                <w:lang w:eastAsia="zh-CN" w:bidi="ar"/>
              </w:rPr>
              <w:t>或保函等票据</w:t>
            </w:r>
          </w:p>
        </w:tc>
        <w:tc>
          <w:tcPr>
            <w:tcW w:w="560" w:type="dxa"/>
            <w:vAlign w:val="top"/>
          </w:tcPr>
          <w:p>
            <w:pPr>
              <w:keepNext w:val="0"/>
              <w:keepLines w:val="0"/>
              <w:suppressLineNumbers w:val="0"/>
              <w:shd w:val="clear" w:color="auto" w:fill="auto"/>
              <w:spacing w:before="0" w:beforeAutospacing="0" w:after="0" w:afterAutospacing="0"/>
              <w:ind w:left="0" w:right="0"/>
              <w:rPr>
                <w:rFonts w:hint="eastAsia" w:ascii="宋体" w:hAnsi="宋体" w:eastAsia="宋体" w:cs="宋体"/>
                <w:color w:val="auto"/>
                <w:sz w:val="24"/>
                <w:szCs w:val="24"/>
                <w:highlight w:val="none"/>
              </w:rPr>
            </w:pPr>
          </w:p>
        </w:tc>
        <w:tc>
          <w:tcPr>
            <w:tcW w:w="660" w:type="dxa"/>
            <w:vAlign w:val="top"/>
          </w:tcPr>
          <w:p>
            <w:pPr>
              <w:keepNext w:val="0"/>
              <w:keepLines w:val="0"/>
              <w:suppressLineNumbers w:val="0"/>
              <w:shd w:val="clear" w:color="auto" w:fill="auto"/>
              <w:spacing w:before="0" w:beforeAutospacing="0" w:after="0" w:afterAutospacing="0"/>
              <w:ind w:left="0" w:right="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889" w:type="dxa"/>
            <w:vMerge w:val="continue"/>
            <w:vAlign w:val="center"/>
          </w:tcPr>
          <w:p>
            <w:pPr>
              <w:keepNext w:val="0"/>
              <w:keepLines w:val="0"/>
              <w:suppressLineNumbers w:val="0"/>
              <w:shd w:val="clear" w:color="auto" w:fill="auto"/>
              <w:spacing w:before="0" w:beforeAutospacing="0" w:after="0" w:afterAutospacing="0"/>
              <w:ind w:left="0" w:right="0"/>
              <w:rPr>
                <w:rFonts w:hint="eastAsia" w:ascii="宋体" w:hAnsi="宋体" w:eastAsia="宋体" w:cs="宋体"/>
                <w:color w:val="auto"/>
                <w:sz w:val="24"/>
                <w:szCs w:val="32"/>
                <w:highlight w:val="none"/>
              </w:rPr>
            </w:pPr>
          </w:p>
        </w:tc>
        <w:tc>
          <w:tcPr>
            <w:tcW w:w="552" w:type="dxa"/>
            <w:vAlign w:val="center"/>
          </w:tcPr>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6717" w:type="dxa"/>
            <w:vAlign w:val="center"/>
          </w:tcPr>
          <w:p>
            <w:pPr>
              <w:keepNext w:val="0"/>
              <w:keepLines w:val="0"/>
              <w:widowControl/>
              <w:suppressLineNumbers w:val="0"/>
              <w:shd w:val="clear" w:color="auto" w:fill="auto"/>
              <w:spacing w:before="0" w:beforeAutospacing="0" w:after="0" w:afterAutospacing="0"/>
              <w:ind w:left="0" w:right="0"/>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eastAsia="宋体" w:cs="宋体"/>
                <w:color w:val="auto"/>
                <w:kern w:val="0"/>
                <w:sz w:val="22"/>
                <w:szCs w:val="22"/>
                <w:highlight w:val="none"/>
                <w:lang w:eastAsia="zh-CN" w:bidi="ar"/>
              </w:rPr>
              <w:t>法定代表人投标需提供法定代表人资格证明书，委托代理人投标需提供法定代表人授权委托书</w:t>
            </w:r>
          </w:p>
        </w:tc>
        <w:tc>
          <w:tcPr>
            <w:tcW w:w="560" w:type="dxa"/>
            <w:vAlign w:val="top"/>
          </w:tcPr>
          <w:p>
            <w:pPr>
              <w:keepNext w:val="0"/>
              <w:keepLines w:val="0"/>
              <w:suppressLineNumbers w:val="0"/>
              <w:shd w:val="clear" w:color="auto" w:fill="auto"/>
              <w:spacing w:before="0" w:beforeAutospacing="0" w:after="0" w:afterAutospacing="0"/>
              <w:ind w:left="0" w:right="0"/>
              <w:rPr>
                <w:rFonts w:hint="eastAsia" w:ascii="宋体" w:hAnsi="宋体" w:eastAsia="宋体" w:cs="宋体"/>
                <w:color w:val="auto"/>
                <w:sz w:val="24"/>
                <w:szCs w:val="24"/>
                <w:highlight w:val="none"/>
              </w:rPr>
            </w:pPr>
          </w:p>
        </w:tc>
        <w:tc>
          <w:tcPr>
            <w:tcW w:w="660" w:type="dxa"/>
            <w:vAlign w:val="top"/>
          </w:tcPr>
          <w:p>
            <w:pPr>
              <w:keepNext w:val="0"/>
              <w:keepLines w:val="0"/>
              <w:suppressLineNumbers w:val="0"/>
              <w:shd w:val="clear" w:color="auto" w:fill="auto"/>
              <w:spacing w:before="0" w:beforeAutospacing="0" w:after="0" w:afterAutospacing="0"/>
              <w:ind w:left="0" w:right="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889" w:type="dxa"/>
            <w:vMerge w:val="continue"/>
            <w:vAlign w:val="center"/>
          </w:tcPr>
          <w:p>
            <w:pPr>
              <w:keepNext w:val="0"/>
              <w:keepLines w:val="0"/>
              <w:suppressLineNumbers w:val="0"/>
              <w:shd w:val="clear" w:color="auto" w:fill="auto"/>
              <w:spacing w:before="0" w:beforeAutospacing="0" w:after="0" w:afterAutospacing="0"/>
              <w:ind w:left="0" w:right="0"/>
              <w:rPr>
                <w:rFonts w:hint="eastAsia" w:ascii="宋体" w:hAnsi="宋体" w:eastAsia="宋体" w:cs="宋体"/>
                <w:color w:val="auto"/>
                <w:sz w:val="24"/>
                <w:szCs w:val="32"/>
                <w:highlight w:val="none"/>
              </w:rPr>
            </w:pPr>
          </w:p>
        </w:tc>
        <w:tc>
          <w:tcPr>
            <w:tcW w:w="552" w:type="dxa"/>
            <w:vAlign w:val="center"/>
          </w:tcPr>
          <w:p>
            <w:pPr>
              <w:keepNext w:val="0"/>
              <w:keepLines w:val="0"/>
              <w:widowControl/>
              <w:suppressLineNumbers w:val="0"/>
              <w:shd w:val="clear" w:color="auto" w:fill="auto"/>
              <w:spacing w:before="0" w:beforeAutospacing="0" w:after="0" w:afterAutospacing="0"/>
              <w:ind w:left="0" w:right="0"/>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eastAsia="宋体" w:cs="宋体"/>
                <w:color w:val="auto"/>
                <w:kern w:val="0"/>
                <w:sz w:val="22"/>
                <w:szCs w:val="22"/>
                <w:highlight w:val="none"/>
                <w:lang w:val="en-US" w:eastAsia="zh-CN" w:bidi="ar"/>
              </w:rPr>
              <w:t>4</w:t>
            </w:r>
          </w:p>
        </w:tc>
        <w:tc>
          <w:tcPr>
            <w:tcW w:w="6717" w:type="dxa"/>
            <w:vAlign w:val="center"/>
          </w:tcPr>
          <w:p>
            <w:pPr>
              <w:keepNext w:val="0"/>
              <w:keepLines w:val="0"/>
              <w:widowControl/>
              <w:suppressLineNumbers w:val="0"/>
              <w:shd w:val="clear" w:color="auto" w:fill="auto"/>
              <w:spacing w:before="0" w:beforeAutospacing="0" w:after="0" w:afterAutospacing="0"/>
              <w:ind w:left="0" w:right="0"/>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eastAsia="宋体" w:cs="宋体"/>
                <w:color w:val="auto"/>
                <w:kern w:val="0"/>
                <w:sz w:val="22"/>
                <w:szCs w:val="22"/>
                <w:highlight w:val="none"/>
                <w:lang w:val="en-US" w:eastAsia="zh-CN" w:bidi="ar"/>
              </w:rPr>
              <w:t>近三年内</w:t>
            </w:r>
            <w:r>
              <w:rPr>
                <w:rFonts w:hint="eastAsia" w:ascii="宋体" w:hAnsi="宋体" w:eastAsia="宋体" w:cs="宋体"/>
                <w:color w:val="auto"/>
                <w:kern w:val="0"/>
                <w:sz w:val="22"/>
                <w:szCs w:val="22"/>
                <w:highlight w:val="none"/>
                <w:lang w:eastAsia="zh-CN" w:bidi="ar"/>
              </w:rPr>
              <w:t>未被“信用中国”（www.creditchina.gov.cn）、中国政府采购网（www.ccgp.gov.cn）列入失信被执行人、重大税收违法案件当事人名单、政府采购严重违法失信行为记录名单</w:t>
            </w:r>
          </w:p>
        </w:tc>
        <w:tc>
          <w:tcPr>
            <w:tcW w:w="560" w:type="dxa"/>
            <w:vAlign w:val="top"/>
          </w:tcPr>
          <w:p>
            <w:pPr>
              <w:keepNext w:val="0"/>
              <w:keepLines w:val="0"/>
              <w:suppressLineNumbers w:val="0"/>
              <w:shd w:val="clear" w:color="auto" w:fill="auto"/>
              <w:spacing w:before="0" w:beforeAutospacing="0" w:after="0" w:afterAutospacing="0"/>
              <w:ind w:left="0" w:right="0"/>
              <w:rPr>
                <w:rFonts w:hint="eastAsia" w:ascii="宋体" w:hAnsi="宋体" w:eastAsia="宋体" w:cs="宋体"/>
                <w:color w:val="auto"/>
                <w:sz w:val="24"/>
                <w:szCs w:val="24"/>
                <w:highlight w:val="none"/>
              </w:rPr>
            </w:pPr>
          </w:p>
        </w:tc>
        <w:tc>
          <w:tcPr>
            <w:tcW w:w="660" w:type="dxa"/>
            <w:vAlign w:val="top"/>
          </w:tcPr>
          <w:p>
            <w:pPr>
              <w:keepNext w:val="0"/>
              <w:keepLines w:val="0"/>
              <w:suppressLineNumbers w:val="0"/>
              <w:shd w:val="clear" w:color="auto" w:fill="auto"/>
              <w:spacing w:before="0" w:beforeAutospacing="0" w:after="0" w:afterAutospacing="0"/>
              <w:ind w:left="0" w:right="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89" w:type="dxa"/>
            <w:vMerge w:val="continue"/>
            <w:vAlign w:val="center"/>
          </w:tcPr>
          <w:p>
            <w:pPr>
              <w:keepNext w:val="0"/>
              <w:keepLines w:val="0"/>
              <w:suppressLineNumbers w:val="0"/>
              <w:shd w:val="clear" w:color="auto" w:fill="auto"/>
              <w:spacing w:before="0" w:beforeAutospacing="0" w:after="0" w:afterAutospacing="0"/>
              <w:ind w:left="0" w:right="0"/>
              <w:rPr>
                <w:rFonts w:hint="eastAsia" w:ascii="宋体" w:hAnsi="宋体" w:eastAsia="宋体" w:cs="宋体"/>
                <w:color w:val="auto"/>
                <w:sz w:val="24"/>
                <w:szCs w:val="32"/>
                <w:highlight w:val="none"/>
              </w:rPr>
            </w:pPr>
          </w:p>
        </w:tc>
        <w:tc>
          <w:tcPr>
            <w:tcW w:w="552" w:type="dxa"/>
            <w:vAlign w:val="center"/>
          </w:tcPr>
          <w:p>
            <w:pPr>
              <w:keepNext w:val="0"/>
              <w:keepLines w:val="0"/>
              <w:widowControl/>
              <w:suppressLineNumbers w:val="0"/>
              <w:shd w:val="clear" w:color="auto" w:fill="auto"/>
              <w:spacing w:before="0" w:beforeAutospacing="0" w:after="0" w:afterAutospacing="0"/>
              <w:ind w:left="0" w:right="0"/>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eastAsia="宋体" w:cs="宋体"/>
                <w:color w:val="auto"/>
                <w:kern w:val="0"/>
                <w:sz w:val="22"/>
                <w:szCs w:val="22"/>
                <w:highlight w:val="none"/>
                <w:lang w:val="en-US" w:eastAsia="zh-CN" w:bidi="ar"/>
              </w:rPr>
              <w:t>5</w:t>
            </w:r>
          </w:p>
        </w:tc>
        <w:tc>
          <w:tcPr>
            <w:tcW w:w="6717" w:type="dxa"/>
            <w:vAlign w:val="center"/>
          </w:tcPr>
          <w:p>
            <w:pPr>
              <w:keepNext w:val="0"/>
              <w:keepLines w:val="0"/>
              <w:widowControl/>
              <w:suppressLineNumbers w:val="0"/>
              <w:shd w:val="clear" w:color="auto" w:fill="auto"/>
              <w:spacing w:before="0" w:beforeAutospacing="0" w:after="0" w:afterAutospacing="0"/>
              <w:ind w:left="0" w:right="0"/>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eastAsia="宋体" w:cs="宋体"/>
                <w:color w:val="auto"/>
                <w:kern w:val="0"/>
                <w:sz w:val="22"/>
                <w:szCs w:val="22"/>
                <w:highlight w:val="none"/>
                <w:lang w:eastAsia="zh-CN" w:bidi="ar"/>
              </w:rPr>
              <w:t>投标企业须提供投标人（被授权在职人员）近6个月的社保证明</w:t>
            </w:r>
          </w:p>
        </w:tc>
        <w:tc>
          <w:tcPr>
            <w:tcW w:w="560" w:type="dxa"/>
            <w:vAlign w:val="top"/>
          </w:tcPr>
          <w:p>
            <w:pPr>
              <w:keepNext w:val="0"/>
              <w:keepLines w:val="0"/>
              <w:suppressLineNumbers w:val="0"/>
              <w:shd w:val="clear" w:color="auto" w:fill="auto"/>
              <w:spacing w:before="0" w:beforeAutospacing="0" w:after="0" w:afterAutospacing="0"/>
              <w:ind w:left="0" w:right="0"/>
              <w:rPr>
                <w:rFonts w:hint="eastAsia" w:ascii="宋体" w:hAnsi="宋体" w:eastAsia="宋体" w:cs="宋体"/>
                <w:color w:val="auto"/>
                <w:sz w:val="24"/>
                <w:szCs w:val="24"/>
                <w:highlight w:val="none"/>
              </w:rPr>
            </w:pPr>
          </w:p>
        </w:tc>
        <w:tc>
          <w:tcPr>
            <w:tcW w:w="660" w:type="dxa"/>
            <w:vAlign w:val="top"/>
          </w:tcPr>
          <w:p>
            <w:pPr>
              <w:keepNext w:val="0"/>
              <w:keepLines w:val="0"/>
              <w:suppressLineNumbers w:val="0"/>
              <w:shd w:val="clear" w:color="auto" w:fill="auto"/>
              <w:spacing w:before="0" w:beforeAutospacing="0" w:after="0" w:afterAutospacing="0"/>
              <w:ind w:left="0" w:right="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89" w:type="dxa"/>
            <w:vMerge w:val="continue"/>
            <w:vAlign w:val="center"/>
          </w:tcPr>
          <w:p>
            <w:pPr>
              <w:keepNext w:val="0"/>
              <w:keepLines w:val="0"/>
              <w:suppressLineNumbers w:val="0"/>
              <w:shd w:val="clear" w:color="auto" w:fill="auto"/>
              <w:spacing w:before="0" w:beforeAutospacing="0" w:after="0" w:afterAutospacing="0"/>
              <w:ind w:left="0" w:right="0"/>
              <w:rPr>
                <w:rFonts w:hint="eastAsia" w:ascii="宋体" w:hAnsi="宋体" w:eastAsia="宋体" w:cs="宋体"/>
                <w:color w:val="auto"/>
                <w:sz w:val="24"/>
                <w:szCs w:val="32"/>
                <w:highlight w:val="none"/>
              </w:rPr>
            </w:pPr>
          </w:p>
        </w:tc>
        <w:tc>
          <w:tcPr>
            <w:tcW w:w="552" w:type="dxa"/>
            <w:vAlign w:val="center"/>
          </w:tcPr>
          <w:p>
            <w:pPr>
              <w:keepNext w:val="0"/>
              <w:keepLines w:val="0"/>
              <w:widowControl/>
              <w:suppressLineNumbers w:val="0"/>
              <w:shd w:val="clear" w:color="auto" w:fill="auto"/>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6</w:t>
            </w:r>
          </w:p>
        </w:tc>
        <w:tc>
          <w:tcPr>
            <w:tcW w:w="6717" w:type="dxa"/>
            <w:vAlign w:val="center"/>
          </w:tcPr>
          <w:p>
            <w:pPr>
              <w:keepNext w:val="0"/>
              <w:keepLines w:val="0"/>
              <w:widowControl/>
              <w:suppressLineNumbers w:val="0"/>
              <w:shd w:val="clear" w:color="auto" w:fill="auto"/>
              <w:spacing w:before="0" w:beforeAutospacing="0" w:after="0" w:afterAutospacing="0"/>
              <w:ind w:left="0" w:right="0"/>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eastAsia="宋体" w:cs="宋体"/>
                <w:color w:val="auto"/>
                <w:kern w:val="0"/>
                <w:sz w:val="22"/>
                <w:szCs w:val="22"/>
                <w:highlight w:val="none"/>
                <w:lang w:val="en-US" w:eastAsia="zh-CN" w:bidi="ar"/>
              </w:rPr>
              <w:t>所投产品属于第二类医疗器械的，还需提供有效的行政主管部门颁发的医疗器械经营备案凭证（或医疗器械生产许可证或医疗器械经营许可证）；所投产品属于第三类医疗器械的，还需提供有效的行政主管部门颁发的医疗器械生产许可证（或医疗器械经营许可证）</w:t>
            </w:r>
          </w:p>
        </w:tc>
        <w:tc>
          <w:tcPr>
            <w:tcW w:w="560" w:type="dxa"/>
            <w:vAlign w:val="top"/>
          </w:tcPr>
          <w:p>
            <w:pPr>
              <w:keepNext w:val="0"/>
              <w:keepLines w:val="0"/>
              <w:suppressLineNumbers w:val="0"/>
              <w:shd w:val="clear" w:color="auto" w:fill="auto"/>
              <w:spacing w:before="0" w:beforeAutospacing="0" w:after="0" w:afterAutospacing="0"/>
              <w:ind w:left="0" w:right="0"/>
              <w:rPr>
                <w:rFonts w:hint="eastAsia" w:ascii="宋体" w:hAnsi="宋体" w:eastAsia="宋体" w:cs="宋体"/>
                <w:color w:val="auto"/>
                <w:sz w:val="24"/>
                <w:szCs w:val="24"/>
                <w:highlight w:val="none"/>
              </w:rPr>
            </w:pPr>
          </w:p>
        </w:tc>
        <w:tc>
          <w:tcPr>
            <w:tcW w:w="660" w:type="dxa"/>
            <w:vAlign w:val="top"/>
          </w:tcPr>
          <w:p>
            <w:pPr>
              <w:keepNext w:val="0"/>
              <w:keepLines w:val="0"/>
              <w:suppressLineNumbers w:val="0"/>
              <w:shd w:val="clear" w:color="auto" w:fill="auto"/>
              <w:spacing w:before="0" w:beforeAutospacing="0" w:after="0" w:afterAutospacing="0"/>
              <w:ind w:left="0" w:right="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889" w:type="dxa"/>
            <w:vMerge w:val="continue"/>
            <w:vAlign w:val="center"/>
          </w:tcPr>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4"/>
                <w:szCs w:val="24"/>
                <w:highlight w:val="none"/>
              </w:rPr>
            </w:pPr>
          </w:p>
        </w:tc>
        <w:tc>
          <w:tcPr>
            <w:tcW w:w="552" w:type="dxa"/>
            <w:vAlign w:val="center"/>
          </w:tcPr>
          <w:p>
            <w:pPr>
              <w:keepNext w:val="0"/>
              <w:keepLines w:val="0"/>
              <w:widowControl/>
              <w:suppressLineNumbers w:val="0"/>
              <w:shd w:val="clear" w:color="auto" w:fill="auto"/>
              <w:spacing w:before="0" w:beforeAutospacing="0" w:after="0" w:afterAutospacing="0"/>
              <w:ind w:left="0" w:right="0"/>
              <w:jc w:val="center"/>
              <w:textAlignment w:val="center"/>
              <w:rPr>
                <w:rFonts w:hint="eastAsia" w:ascii="宋体" w:hAnsi="宋体" w:eastAsia="宋体" w:cs="宋体"/>
                <w:color w:val="auto"/>
                <w:kern w:val="0"/>
                <w:sz w:val="22"/>
                <w:szCs w:val="22"/>
                <w:highlight w:val="none"/>
                <w:lang w:val="en-US" w:eastAsia="zh-CN" w:bidi="ar"/>
              </w:rPr>
            </w:pPr>
          </w:p>
        </w:tc>
        <w:tc>
          <w:tcPr>
            <w:tcW w:w="6717" w:type="dxa"/>
            <w:vAlign w:val="center"/>
          </w:tcPr>
          <w:p>
            <w:pPr>
              <w:keepNext w:val="0"/>
              <w:keepLines w:val="0"/>
              <w:widowControl/>
              <w:suppressLineNumbers w:val="0"/>
              <w:shd w:val="clear" w:color="auto" w:fill="auto"/>
              <w:spacing w:before="0" w:beforeAutospacing="0" w:after="0" w:afterAutospacing="0"/>
              <w:ind w:left="0" w:right="0"/>
              <w:jc w:val="both"/>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结论：是否通过评审（须填写通过或不通过）</w:t>
            </w:r>
          </w:p>
          <w:p>
            <w:pPr>
              <w:keepNext w:val="0"/>
              <w:keepLines w:val="0"/>
              <w:widowControl/>
              <w:suppressLineNumbers w:val="0"/>
              <w:shd w:val="clear" w:color="auto" w:fill="auto"/>
              <w:spacing w:before="0" w:beforeAutospacing="0" w:after="0" w:afterAutospacing="0"/>
              <w:ind w:left="0" w:right="0"/>
              <w:jc w:val="both"/>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注：如有一项不合格，作废标处理。</w:t>
            </w:r>
          </w:p>
        </w:tc>
        <w:tc>
          <w:tcPr>
            <w:tcW w:w="1220" w:type="dxa"/>
            <w:gridSpan w:val="2"/>
            <w:vAlign w:val="top"/>
          </w:tcPr>
          <w:p>
            <w:pPr>
              <w:keepNext w:val="0"/>
              <w:keepLines w:val="0"/>
              <w:suppressLineNumbers w:val="0"/>
              <w:shd w:val="clear" w:color="auto" w:fill="auto"/>
              <w:spacing w:before="0" w:beforeAutospacing="0" w:after="0" w:afterAutospacing="0"/>
              <w:ind w:left="0" w:right="0"/>
              <w:rPr>
                <w:rFonts w:hint="eastAsia" w:ascii="宋体" w:hAnsi="宋体" w:eastAsia="宋体" w:cs="宋体"/>
                <w:color w:val="auto"/>
                <w:sz w:val="24"/>
                <w:szCs w:val="24"/>
                <w:highlight w:val="none"/>
              </w:rPr>
            </w:pPr>
          </w:p>
        </w:tc>
      </w:tr>
    </w:tbl>
    <w:p>
      <w:pPr>
        <w:shd w:val="clear" w:color="auto" w:fill="auto"/>
        <w:spacing w:line="400" w:lineRule="exact"/>
        <w:ind w:firstLine="506" w:firstLineChars="241"/>
        <w:rPr>
          <w:rFonts w:hint="eastAsia" w:ascii="宋体"/>
          <w:b/>
          <w:color w:val="auto"/>
          <w:szCs w:val="21"/>
          <w:highlight w:val="none"/>
        </w:rPr>
      </w:pPr>
      <w:r>
        <w:rPr>
          <w:rFonts w:hint="eastAsia" w:ascii="宋体" w:hAnsi="宋体"/>
          <w:b/>
          <w:color w:val="auto"/>
          <w:szCs w:val="21"/>
          <w:highlight w:val="none"/>
          <w:lang w:val="en-US" w:eastAsia="zh-CN"/>
        </w:rPr>
        <w:t>6</w:t>
      </w:r>
      <w:r>
        <w:rPr>
          <w:rFonts w:hint="eastAsia" w:ascii="宋体" w:hAnsi="宋体"/>
          <w:b/>
          <w:color w:val="auto"/>
          <w:szCs w:val="21"/>
          <w:highlight w:val="none"/>
        </w:rPr>
        <w:t>.2如评标专家在检验电子标书过程中，如果由于投标人自身原因导致评标专家无法查看并检验电子标书中以上相关资料的，否决其投标。即使投标单位将原件携带至现场的，同样按无效投标处理。</w:t>
      </w:r>
    </w:p>
    <w:p>
      <w:pPr>
        <w:shd w:val="clear" w:color="auto" w:fill="auto"/>
        <w:spacing w:before="156" w:beforeLines="50" w:line="440" w:lineRule="exact"/>
        <w:ind w:firstLine="308" w:firstLineChars="147"/>
        <w:rPr>
          <w:rFonts w:hint="eastAsia" w:ascii="宋体"/>
          <w:b/>
          <w:color w:val="auto"/>
          <w:szCs w:val="21"/>
          <w:highlight w:val="none"/>
        </w:rPr>
      </w:pPr>
      <w:r>
        <w:rPr>
          <w:rFonts w:hint="eastAsia" w:ascii="宋体"/>
          <w:b/>
          <w:color w:val="auto"/>
          <w:szCs w:val="21"/>
          <w:highlight w:val="none"/>
          <w:lang w:val="en-US" w:eastAsia="zh-CN"/>
        </w:rPr>
        <w:t>7</w:t>
      </w:r>
      <w:r>
        <w:rPr>
          <w:rFonts w:hint="eastAsia" w:ascii="宋体"/>
          <w:b/>
          <w:color w:val="auto"/>
          <w:szCs w:val="21"/>
          <w:highlight w:val="none"/>
        </w:rPr>
        <w:t>.符合性审查</w:t>
      </w:r>
    </w:p>
    <w:p>
      <w:pPr>
        <w:shd w:val="clear" w:color="auto" w:fill="auto"/>
        <w:spacing w:line="440" w:lineRule="exact"/>
        <w:ind w:firstLine="315" w:firstLineChars="150"/>
        <w:rPr>
          <w:rFonts w:hint="eastAsia" w:ascii="宋体"/>
          <w:color w:val="auto"/>
          <w:szCs w:val="21"/>
          <w:highlight w:val="none"/>
        </w:rPr>
      </w:pPr>
      <w:r>
        <w:rPr>
          <w:rFonts w:hint="eastAsia" w:ascii="宋体"/>
          <w:color w:val="auto"/>
          <w:szCs w:val="21"/>
          <w:highlight w:val="none"/>
          <w:lang w:val="en-US" w:eastAsia="zh-CN"/>
        </w:rPr>
        <w:t>7</w:t>
      </w:r>
      <w:r>
        <w:rPr>
          <w:rFonts w:hint="eastAsia" w:ascii="宋体"/>
          <w:color w:val="auto"/>
          <w:szCs w:val="21"/>
          <w:highlight w:val="none"/>
        </w:rPr>
        <w:t>．1评审细则</w:t>
      </w:r>
    </w:p>
    <w:tbl>
      <w:tblPr>
        <w:tblStyle w:val="47"/>
        <w:tblpPr w:leftFromText="180" w:rightFromText="180" w:vertAnchor="text" w:horzAnchor="page" w:tblpX="1293" w:tblpY="544"/>
        <w:tblW w:w="925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13"/>
        <w:gridCol w:w="444"/>
        <w:gridCol w:w="6261"/>
        <w:gridCol w:w="670"/>
        <w:gridCol w:w="6"/>
        <w:gridCol w:w="66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14" w:hRule="atLeast"/>
        </w:trPr>
        <w:tc>
          <w:tcPr>
            <w:tcW w:w="1213" w:type="dxa"/>
            <w:tcBorders>
              <w:top w:val="single" w:color="auto" w:sz="4" w:space="0"/>
              <w:left w:val="single" w:color="auto" w:sz="4" w:space="0"/>
            </w:tcBorders>
            <w:vAlign w:val="center"/>
          </w:tcPr>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项目</w:t>
            </w:r>
          </w:p>
        </w:tc>
        <w:tc>
          <w:tcPr>
            <w:tcW w:w="6705" w:type="dxa"/>
            <w:gridSpan w:val="2"/>
            <w:tcBorders>
              <w:top w:val="single" w:color="auto" w:sz="4" w:space="0"/>
            </w:tcBorders>
            <w:vAlign w:val="center"/>
          </w:tcPr>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评审内容</w:t>
            </w:r>
          </w:p>
        </w:tc>
        <w:tc>
          <w:tcPr>
            <w:tcW w:w="1340" w:type="dxa"/>
            <w:gridSpan w:val="3"/>
            <w:tcBorders>
              <w:top w:val="single" w:color="auto" w:sz="4" w:space="0"/>
              <w:right w:val="single" w:color="auto" w:sz="4" w:space="0"/>
            </w:tcBorders>
            <w:vAlign w:val="center"/>
          </w:tcPr>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评审意见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213" w:type="dxa"/>
            <w:tcBorders>
              <w:left w:val="single" w:color="auto" w:sz="4" w:space="0"/>
              <w:bottom w:val="single" w:color="auto" w:sz="4" w:space="0"/>
            </w:tcBorders>
            <w:vAlign w:val="center"/>
          </w:tcPr>
          <w:p>
            <w:pPr>
              <w:keepNext w:val="0"/>
              <w:keepLines w:val="0"/>
              <w:suppressLineNumbers w:val="0"/>
              <w:shd w:val="clear" w:color="auto" w:fill="auto"/>
              <w:spacing w:before="0" w:beforeAutospacing="0" w:after="0" w:afterAutospacing="0"/>
              <w:ind w:left="0" w:right="0"/>
              <w:rPr>
                <w:rFonts w:hint="eastAsia" w:ascii="宋体" w:hAnsi="宋体" w:eastAsia="宋体" w:cs="宋体"/>
                <w:color w:val="auto"/>
                <w:sz w:val="24"/>
                <w:szCs w:val="32"/>
                <w:highlight w:val="none"/>
              </w:rPr>
            </w:pPr>
          </w:p>
        </w:tc>
        <w:tc>
          <w:tcPr>
            <w:tcW w:w="6705" w:type="dxa"/>
            <w:gridSpan w:val="2"/>
            <w:tcBorders>
              <w:bottom w:val="single" w:color="auto" w:sz="4" w:space="0"/>
            </w:tcBorders>
            <w:vAlign w:val="top"/>
          </w:tcPr>
          <w:p>
            <w:pPr>
              <w:keepNext w:val="0"/>
              <w:keepLines w:val="0"/>
              <w:suppressLineNumbers w:val="0"/>
              <w:shd w:val="clear" w:color="auto" w:fill="auto"/>
              <w:spacing w:before="0" w:beforeAutospacing="0" w:after="0" w:afterAutospacing="0"/>
              <w:ind w:left="0" w:right="0"/>
              <w:rPr>
                <w:rFonts w:hint="eastAsia" w:ascii="宋体" w:hAnsi="宋体" w:eastAsia="宋体" w:cs="宋体"/>
                <w:color w:val="auto"/>
                <w:sz w:val="24"/>
                <w:szCs w:val="32"/>
                <w:highlight w:val="none"/>
              </w:rPr>
            </w:pPr>
          </w:p>
        </w:tc>
        <w:tc>
          <w:tcPr>
            <w:tcW w:w="676" w:type="dxa"/>
            <w:gridSpan w:val="2"/>
            <w:vAlign w:val="center"/>
          </w:tcPr>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是</w:t>
            </w:r>
          </w:p>
        </w:tc>
        <w:tc>
          <w:tcPr>
            <w:tcW w:w="664" w:type="dxa"/>
            <w:tcBorders>
              <w:right w:val="single" w:color="auto" w:sz="4" w:space="0"/>
            </w:tcBorders>
            <w:vAlign w:val="center"/>
          </w:tcPr>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213"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hd w:val="clear" w:color="auto" w:fill="auto"/>
              <w:spacing w:before="0" w:beforeAutospacing="0" w:after="0" w:afterAutospacing="0"/>
              <w:ind w:left="0" w:right="0"/>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审</w:t>
            </w:r>
          </w:p>
          <w:p>
            <w:pPr>
              <w:keepNext w:val="0"/>
              <w:keepLines w:val="0"/>
              <w:widowControl/>
              <w:suppressLineNumbers w:val="0"/>
              <w:shd w:val="clear" w:color="auto" w:fill="auto"/>
              <w:spacing w:before="0" w:beforeAutospacing="0" w:after="0" w:afterAutospacing="0"/>
              <w:ind w:left="0" w:right="0"/>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查</w:t>
            </w:r>
          </w:p>
          <w:p>
            <w:pPr>
              <w:keepNext w:val="0"/>
              <w:keepLines w:val="0"/>
              <w:widowControl/>
              <w:suppressLineNumbers w:val="0"/>
              <w:shd w:val="clear" w:color="auto" w:fill="auto"/>
              <w:spacing w:before="0" w:beforeAutospacing="0" w:after="0" w:afterAutospacing="0"/>
              <w:ind w:left="0" w:right="0"/>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标</w:t>
            </w:r>
          </w:p>
          <w:p>
            <w:pPr>
              <w:keepNext w:val="0"/>
              <w:keepLines w:val="0"/>
              <w:widowControl/>
              <w:suppressLineNumbers w:val="0"/>
              <w:shd w:val="clear" w:color="auto" w:fill="auto"/>
              <w:spacing w:before="0" w:beforeAutospacing="0" w:after="0" w:afterAutospacing="0"/>
              <w:ind w:left="0" w:righ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szCs w:val="22"/>
                <w:highlight w:val="none"/>
                <w:lang w:bidi="ar"/>
              </w:rPr>
              <w:t>准</w:t>
            </w:r>
          </w:p>
        </w:tc>
        <w:tc>
          <w:tcPr>
            <w:tcW w:w="444" w:type="dxa"/>
            <w:tcBorders>
              <w:top w:val="single" w:color="auto" w:sz="4" w:space="0"/>
              <w:left w:val="single" w:color="auto" w:sz="4" w:space="0"/>
              <w:right w:val="single" w:color="auto" w:sz="4" w:space="0"/>
            </w:tcBorders>
            <w:vAlign w:val="center"/>
          </w:tcPr>
          <w:p>
            <w:pPr>
              <w:keepNext w:val="0"/>
              <w:keepLines w:val="0"/>
              <w:widowControl/>
              <w:suppressLineNumbers w:val="0"/>
              <w:shd w:val="clear" w:color="auto" w:fill="auto"/>
              <w:spacing w:before="0" w:beforeAutospacing="0" w:after="0" w:afterAutospacing="0"/>
              <w:ind w:left="0" w:right="0"/>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w:t>
            </w:r>
          </w:p>
        </w:tc>
        <w:tc>
          <w:tcPr>
            <w:tcW w:w="6261" w:type="dxa"/>
            <w:tcBorders>
              <w:top w:val="single" w:color="auto" w:sz="4" w:space="0"/>
              <w:left w:val="single" w:color="auto" w:sz="4" w:space="0"/>
              <w:right w:val="single" w:color="auto" w:sz="4" w:space="0"/>
            </w:tcBorders>
            <w:vAlign w:val="center"/>
          </w:tcPr>
          <w:p>
            <w:pPr>
              <w:keepNext w:val="0"/>
              <w:keepLines w:val="0"/>
              <w:widowControl/>
              <w:suppressLineNumbers w:val="0"/>
              <w:shd w:val="clear" w:color="auto" w:fill="auto"/>
              <w:spacing w:before="0" w:beforeAutospacing="0" w:after="0" w:afterAutospacing="0"/>
              <w:ind w:left="0" w:right="0"/>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由政府立项核准、审批的采购项目, 报价高于设定的采购预算价的；</w:t>
            </w:r>
          </w:p>
        </w:tc>
        <w:tc>
          <w:tcPr>
            <w:tcW w:w="676" w:type="dxa"/>
            <w:gridSpan w:val="2"/>
            <w:tcBorders>
              <w:left w:val="single" w:color="auto" w:sz="4" w:space="0"/>
              <w:right w:val="single" w:color="auto" w:sz="4" w:space="0"/>
            </w:tcBorders>
            <w:vAlign w:val="top"/>
          </w:tcPr>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b/>
                <w:color w:val="auto"/>
                <w:sz w:val="24"/>
                <w:szCs w:val="24"/>
                <w:highlight w:val="none"/>
              </w:rPr>
            </w:pPr>
          </w:p>
        </w:tc>
        <w:tc>
          <w:tcPr>
            <w:tcW w:w="664" w:type="dxa"/>
            <w:tcBorders>
              <w:left w:val="single" w:color="auto" w:sz="4" w:space="0"/>
              <w:right w:val="single" w:color="auto" w:sz="4" w:space="0"/>
            </w:tcBorders>
            <w:vAlign w:val="top"/>
          </w:tcPr>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b/>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213" w:type="dxa"/>
            <w:vMerge w:val="continue"/>
            <w:tcBorders>
              <w:left w:val="single" w:color="auto" w:sz="4" w:space="0"/>
              <w:right w:val="single" w:color="auto" w:sz="4" w:space="0"/>
            </w:tcBorders>
            <w:vAlign w:val="center"/>
          </w:tcPr>
          <w:p>
            <w:pPr>
              <w:keepNext w:val="0"/>
              <w:keepLines w:val="0"/>
              <w:suppressLineNumbers w:val="0"/>
              <w:shd w:val="clear" w:color="auto" w:fill="auto"/>
              <w:spacing w:before="0" w:beforeAutospacing="0" w:after="0" w:afterAutospacing="0"/>
              <w:ind w:left="0" w:right="0"/>
              <w:rPr>
                <w:rFonts w:hint="eastAsia" w:ascii="宋体" w:hAnsi="宋体" w:eastAsia="宋体" w:cs="宋体"/>
                <w:color w:val="auto"/>
                <w:sz w:val="24"/>
                <w:szCs w:val="32"/>
                <w:highlight w:val="none"/>
              </w:rPr>
            </w:pPr>
          </w:p>
        </w:tc>
        <w:tc>
          <w:tcPr>
            <w:tcW w:w="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color="auto" w:fill="auto"/>
              <w:spacing w:before="0" w:beforeAutospacing="0" w:after="0" w:afterAutospacing="0"/>
              <w:ind w:left="0" w:right="0"/>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2</w:t>
            </w:r>
          </w:p>
        </w:tc>
        <w:tc>
          <w:tcPr>
            <w:tcW w:w="62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color="auto" w:fill="auto"/>
              <w:spacing w:before="0" w:beforeAutospacing="0" w:after="0" w:afterAutospacing="0"/>
              <w:ind w:left="0" w:right="0"/>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eastAsia="宋体" w:cs="宋体"/>
                <w:color w:val="auto"/>
                <w:kern w:val="0"/>
                <w:sz w:val="22"/>
                <w:szCs w:val="22"/>
                <w:highlight w:val="none"/>
                <w:lang w:bidi="ar"/>
              </w:rPr>
              <w:t>法定代表人身份证明及授权委托书有效，且符合招标文件规定的格式</w:t>
            </w:r>
            <w:r>
              <w:rPr>
                <w:rFonts w:hint="eastAsia" w:ascii="宋体" w:hAnsi="宋体" w:eastAsia="宋体" w:cs="宋体"/>
                <w:color w:val="auto"/>
                <w:kern w:val="0"/>
                <w:sz w:val="22"/>
                <w:szCs w:val="22"/>
                <w:highlight w:val="none"/>
                <w:lang w:eastAsia="zh-CN" w:bidi="ar"/>
              </w:rPr>
              <w:t>；</w:t>
            </w:r>
          </w:p>
        </w:tc>
        <w:tc>
          <w:tcPr>
            <w:tcW w:w="676" w:type="dxa"/>
            <w:gridSpan w:val="2"/>
            <w:tcBorders>
              <w:left w:val="single" w:color="auto" w:sz="4" w:space="0"/>
            </w:tcBorders>
            <w:vAlign w:val="top"/>
          </w:tcPr>
          <w:p>
            <w:pPr>
              <w:keepNext w:val="0"/>
              <w:keepLines w:val="0"/>
              <w:suppressLineNumbers w:val="0"/>
              <w:shd w:val="clear" w:color="auto" w:fill="auto"/>
              <w:spacing w:before="0" w:beforeAutospacing="0" w:after="0" w:afterAutospacing="0"/>
              <w:ind w:left="0" w:right="0"/>
              <w:rPr>
                <w:rFonts w:hint="eastAsia" w:ascii="宋体" w:hAnsi="宋体" w:eastAsia="宋体" w:cs="宋体"/>
                <w:color w:val="auto"/>
                <w:sz w:val="24"/>
                <w:szCs w:val="24"/>
                <w:highlight w:val="none"/>
              </w:rPr>
            </w:pPr>
          </w:p>
        </w:tc>
        <w:tc>
          <w:tcPr>
            <w:tcW w:w="664" w:type="dxa"/>
            <w:tcBorders>
              <w:right w:val="single" w:color="auto" w:sz="4" w:space="0"/>
            </w:tcBorders>
            <w:vAlign w:val="top"/>
          </w:tcPr>
          <w:p>
            <w:pPr>
              <w:keepNext w:val="0"/>
              <w:keepLines w:val="0"/>
              <w:suppressLineNumbers w:val="0"/>
              <w:shd w:val="clear" w:color="auto" w:fill="auto"/>
              <w:spacing w:before="0" w:beforeAutospacing="0" w:after="0" w:afterAutospacing="0"/>
              <w:ind w:left="0" w:right="0"/>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atLeast"/>
        </w:trPr>
        <w:tc>
          <w:tcPr>
            <w:tcW w:w="1213" w:type="dxa"/>
            <w:vMerge w:val="continue"/>
            <w:tcBorders>
              <w:left w:val="single" w:color="auto" w:sz="4" w:space="0"/>
              <w:right w:val="single" w:color="auto" w:sz="4" w:space="0"/>
            </w:tcBorders>
            <w:vAlign w:val="center"/>
          </w:tcPr>
          <w:p>
            <w:pPr>
              <w:keepNext w:val="0"/>
              <w:keepLines w:val="0"/>
              <w:suppressLineNumbers w:val="0"/>
              <w:shd w:val="clear" w:color="auto" w:fill="auto"/>
              <w:spacing w:before="0" w:beforeAutospacing="0" w:after="0" w:afterAutospacing="0"/>
              <w:ind w:left="0" w:right="0"/>
              <w:rPr>
                <w:rFonts w:hint="eastAsia" w:ascii="宋体" w:hAnsi="宋体" w:eastAsia="宋体" w:cs="宋体"/>
                <w:color w:val="auto"/>
                <w:sz w:val="24"/>
                <w:szCs w:val="32"/>
                <w:highlight w:val="none"/>
              </w:rPr>
            </w:pPr>
          </w:p>
        </w:tc>
        <w:tc>
          <w:tcPr>
            <w:tcW w:w="444" w:type="dxa"/>
            <w:tcBorders>
              <w:top w:val="single" w:color="auto" w:sz="4" w:space="0"/>
              <w:left w:val="single" w:color="auto" w:sz="4" w:space="0"/>
              <w:right w:val="single" w:color="auto" w:sz="4" w:space="0"/>
            </w:tcBorders>
            <w:vAlign w:val="center"/>
          </w:tcPr>
          <w:p>
            <w:pPr>
              <w:keepNext w:val="0"/>
              <w:keepLines w:val="0"/>
              <w:widowControl/>
              <w:suppressLineNumbers w:val="0"/>
              <w:shd w:val="clear" w:color="auto" w:fill="auto"/>
              <w:spacing w:before="0" w:beforeAutospacing="0" w:after="0" w:afterAutospacing="0"/>
              <w:ind w:left="0" w:right="0"/>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3</w:t>
            </w:r>
          </w:p>
        </w:tc>
        <w:tc>
          <w:tcPr>
            <w:tcW w:w="6261" w:type="dxa"/>
            <w:tcBorders>
              <w:top w:val="single" w:color="auto" w:sz="4" w:space="0"/>
              <w:left w:val="single" w:color="auto" w:sz="4" w:space="0"/>
              <w:right w:val="single" w:color="auto" w:sz="4" w:space="0"/>
            </w:tcBorders>
            <w:vAlign w:val="center"/>
          </w:tcPr>
          <w:p>
            <w:pPr>
              <w:keepNext w:val="0"/>
              <w:keepLines w:val="0"/>
              <w:widowControl/>
              <w:suppressLineNumbers w:val="0"/>
              <w:shd w:val="clear" w:color="auto" w:fill="auto"/>
              <w:spacing w:before="0" w:beforeAutospacing="0" w:after="0" w:afterAutospacing="0"/>
              <w:ind w:left="0" w:right="0"/>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eastAsia="宋体" w:cs="宋体"/>
                <w:color w:val="auto"/>
                <w:kern w:val="0"/>
                <w:sz w:val="22"/>
                <w:szCs w:val="22"/>
                <w:highlight w:val="none"/>
                <w:lang w:bidi="ar"/>
              </w:rPr>
              <w:t>只有一个方案投标</w:t>
            </w:r>
            <w:r>
              <w:rPr>
                <w:rFonts w:hint="eastAsia" w:ascii="宋体" w:hAnsi="宋体" w:eastAsia="宋体" w:cs="宋体"/>
                <w:color w:val="auto"/>
                <w:kern w:val="0"/>
                <w:sz w:val="22"/>
                <w:szCs w:val="22"/>
                <w:highlight w:val="none"/>
                <w:lang w:eastAsia="zh-CN" w:bidi="ar"/>
              </w:rPr>
              <w:t>；</w:t>
            </w:r>
          </w:p>
        </w:tc>
        <w:tc>
          <w:tcPr>
            <w:tcW w:w="676" w:type="dxa"/>
            <w:gridSpan w:val="2"/>
            <w:tcBorders>
              <w:left w:val="single" w:color="auto" w:sz="4" w:space="0"/>
            </w:tcBorders>
            <w:vAlign w:val="top"/>
          </w:tcPr>
          <w:p>
            <w:pPr>
              <w:keepNext w:val="0"/>
              <w:keepLines w:val="0"/>
              <w:suppressLineNumbers w:val="0"/>
              <w:shd w:val="clear" w:color="auto" w:fill="auto"/>
              <w:spacing w:before="0" w:beforeAutospacing="0" w:after="0" w:afterAutospacing="0"/>
              <w:ind w:left="0" w:right="0"/>
              <w:rPr>
                <w:rFonts w:hint="eastAsia" w:ascii="宋体" w:hAnsi="宋体" w:eastAsia="宋体" w:cs="宋体"/>
                <w:color w:val="auto"/>
                <w:sz w:val="24"/>
                <w:szCs w:val="24"/>
                <w:highlight w:val="none"/>
              </w:rPr>
            </w:pPr>
          </w:p>
        </w:tc>
        <w:tc>
          <w:tcPr>
            <w:tcW w:w="664" w:type="dxa"/>
            <w:tcBorders>
              <w:right w:val="single" w:color="auto" w:sz="4" w:space="0"/>
            </w:tcBorders>
            <w:vAlign w:val="top"/>
          </w:tcPr>
          <w:p>
            <w:pPr>
              <w:keepNext w:val="0"/>
              <w:keepLines w:val="0"/>
              <w:suppressLineNumbers w:val="0"/>
              <w:shd w:val="clear" w:color="auto" w:fill="auto"/>
              <w:spacing w:before="0" w:beforeAutospacing="0" w:after="0" w:afterAutospacing="0"/>
              <w:ind w:left="0" w:right="0"/>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atLeast"/>
        </w:trPr>
        <w:tc>
          <w:tcPr>
            <w:tcW w:w="1213" w:type="dxa"/>
            <w:vMerge w:val="continue"/>
            <w:tcBorders>
              <w:left w:val="single" w:color="auto" w:sz="4" w:space="0"/>
              <w:right w:val="single" w:color="auto" w:sz="4" w:space="0"/>
            </w:tcBorders>
            <w:vAlign w:val="center"/>
          </w:tcPr>
          <w:p>
            <w:pPr>
              <w:keepNext w:val="0"/>
              <w:keepLines w:val="0"/>
              <w:suppressLineNumbers w:val="0"/>
              <w:shd w:val="clear" w:color="auto" w:fill="auto"/>
              <w:spacing w:before="0" w:beforeAutospacing="0" w:after="0" w:afterAutospacing="0"/>
              <w:ind w:left="0" w:right="0"/>
              <w:rPr>
                <w:rFonts w:hint="eastAsia" w:ascii="宋体" w:hAnsi="宋体" w:eastAsia="宋体" w:cs="宋体"/>
                <w:color w:val="auto"/>
                <w:sz w:val="24"/>
                <w:szCs w:val="32"/>
                <w:highlight w:val="none"/>
              </w:rPr>
            </w:pPr>
          </w:p>
        </w:tc>
        <w:tc>
          <w:tcPr>
            <w:tcW w:w="444" w:type="dxa"/>
            <w:tcBorders>
              <w:left w:val="single" w:color="auto" w:sz="4" w:space="0"/>
            </w:tcBorders>
            <w:vAlign w:val="center"/>
          </w:tcPr>
          <w:p>
            <w:pPr>
              <w:keepNext w:val="0"/>
              <w:keepLines w:val="0"/>
              <w:widowControl/>
              <w:suppressLineNumbers w:val="0"/>
              <w:shd w:val="clear" w:color="auto" w:fill="auto"/>
              <w:spacing w:before="0" w:beforeAutospacing="0" w:after="0" w:afterAutospacing="0"/>
              <w:ind w:left="0" w:right="0"/>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val="en-US" w:eastAsia="zh-CN" w:bidi="ar"/>
              </w:rPr>
              <w:t>4</w:t>
            </w:r>
          </w:p>
        </w:tc>
        <w:tc>
          <w:tcPr>
            <w:tcW w:w="6261" w:type="dxa"/>
            <w:tcBorders>
              <w:right w:val="single" w:color="auto" w:sz="4" w:space="0"/>
            </w:tcBorders>
            <w:vAlign w:val="center"/>
          </w:tcPr>
          <w:p>
            <w:pPr>
              <w:keepNext w:val="0"/>
              <w:keepLines w:val="0"/>
              <w:widowControl/>
              <w:suppressLineNumbers w:val="0"/>
              <w:shd w:val="clear" w:color="auto" w:fill="auto"/>
              <w:spacing w:before="0" w:beforeAutospacing="0" w:after="0" w:afterAutospacing="0"/>
              <w:ind w:left="0" w:right="0"/>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eastAsia="宋体" w:cs="宋体"/>
                <w:color w:val="auto"/>
                <w:kern w:val="0"/>
                <w:sz w:val="22"/>
                <w:szCs w:val="22"/>
                <w:highlight w:val="none"/>
                <w:lang w:bidi="ar"/>
              </w:rPr>
              <w:t>按时、足额缴纳投标保证金</w:t>
            </w:r>
            <w:r>
              <w:rPr>
                <w:rFonts w:hint="eastAsia" w:ascii="宋体" w:hAnsi="宋体" w:eastAsia="宋体" w:cs="宋体"/>
                <w:color w:val="auto"/>
                <w:kern w:val="0"/>
                <w:sz w:val="22"/>
                <w:szCs w:val="22"/>
                <w:highlight w:val="none"/>
                <w:lang w:eastAsia="zh-CN" w:bidi="ar"/>
              </w:rPr>
              <w:t>；</w:t>
            </w:r>
          </w:p>
        </w:tc>
        <w:tc>
          <w:tcPr>
            <w:tcW w:w="676" w:type="dxa"/>
            <w:gridSpan w:val="2"/>
            <w:tcBorders>
              <w:left w:val="single" w:color="auto" w:sz="4" w:space="0"/>
            </w:tcBorders>
            <w:vAlign w:val="top"/>
          </w:tcPr>
          <w:p>
            <w:pPr>
              <w:keepNext w:val="0"/>
              <w:keepLines w:val="0"/>
              <w:suppressLineNumbers w:val="0"/>
              <w:shd w:val="clear" w:color="auto" w:fill="auto"/>
              <w:spacing w:before="0" w:beforeAutospacing="0" w:after="0" w:afterAutospacing="0"/>
              <w:ind w:left="0" w:right="0"/>
              <w:rPr>
                <w:rFonts w:hint="eastAsia" w:ascii="宋体" w:hAnsi="宋体" w:eastAsia="宋体" w:cs="宋体"/>
                <w:color w:val="auto"/>
                <w:sz w:val="24"/>
                <w:szCs w:val="24"/>
                <w:highlight w:val="none"/>
              </w:rPr>
            </w:pPr>
          </w:p>
        </w:tc>
        <w:tc>
          <w:tcPr>
            <w:tcW w:w="664" w:type="dxa"/>
            <w:tcBorders>
              <w:right w:val="single" w:color="auto" w:sz="4" w:space="0"/>
            </w:tcBorders>
            <w:vAlign w:val="top"/>
          </w:tcPr>
          <w:p>
            <w:pPr>
              <w:keepNext w:val="0"/>
              <w:keepLines w:val="0"/>
              <w:suppressLineNumbers w:val="0"/>
              <w:shd w:val="clear" w:color="auto" w:fill="auto"/>
              <w:spacing w:before="0" w:beforeAutospacing="0" w:after="0" w:afterAutospacing="0"/>
              <w:ind w:left="0" w:right="0"/>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atLeast"/>
        </w:trPr>
        <w:tc>
          <w:tcPr>
            <w:tcW w:w="1213" w:type="dxa"/>
            <w:vMerge w:val="continue"/>
            <w:tcBorders>
              <w:left w:val="single" w:color="auto" w:sz="4" w:space="0"/>
              <w:right w:val="single" w:color="auto" w:sz="4" w:space="0"/>
            </w:tcBorders>
            <w:vAlign w:val="center"/>
          </w:tcPr>
          <w:p>
            <w:pPr>
              <w:keepNext w:val="0"/>
              <w:keepLines w:val="0"/>
              <w:suppressLineNumbers w:val="0"/>
              <w:shd w:val="clear" w:color="auto" w:fill="auto"/>
              <w:spacing w:before="0" w:beforeAutospacing="0" w:after="0" w:afterAutospacing="0"/>
              <w:ind w:left="0" w:right="0"/>
              <w:rPr>
                <w:rFonts w:hint="eastAsia" w:ascii="宋体" w:hAnsi="宋体" w:eastAsia="宋体" w:cs="宋体"/>
                <w:color w:val="auto"/>
                <w:sz w:val="24"/>
                <w:szCs w:val="32"/>
                <w:highlight w:val="none"/>
              </w:rPr>
            </w:pPr>
          </w:p>
        </w:tc>
        <w:tc>
          <w:tcPr>
            <w:tcW w:w="444" w:type="dxa"/>
            <w:tcBorders>
              <w:left w:val="single" w:color="auto" w:sz="4" w:space="0"/>
              <w:bottom w:val="single" w:color="auto" w:sz="4" w:space="0"/>
            </w:tcBorders>
            <w:vAlign w:val="center"/>
          </w:tcPr>
          <w:p>
            <w:pPr>
              <w:keepNext w:val="0"/>
              <w:keepLines w:val="0"/>
              <w:widowControl/>
              <w:suppressLineNumbers w:val="0"/>
              <w:shd w:val="clear" w:color="auto" w:fill="auto"/>
              <w:spacing w:before="0" w:beforeAutospacing="0" w:after="0" w:afterAutospacing="0"/>
              <w:ind w:left="0" w:right="0"/>
              <w:jc w:val="left"/>
              <w:textAlignment w:val="center"/>
              <w:rPr>
                <w:rFonts w:hint="eastAsia" w:ascii="宋体" w:hAnsi="宋体" w:eastAsia="宋体" w:cs="宋体"/>
                <w:color w:val="auto"/>
                <w:kern w:val="0"/>
                <w:sz w:val="22"/>
                <w:szCs w:val="22"/>
                <w:highlight w:val="yellow"/>
                <w:lang w:bidi="ar"/>
              </w:rPr>
            </w:pPr>
            <w:r>
              <w:rPr>
                <w:rFonts w:hint="eastAsia" w:ascii="宋体" w:hAnsi="宋体" w:eastAsia="宋体" w:cs="宋体"/>
                <w:color w:val="auto"/>
                <w:kern w:val="0"/>
                <w:sz w:val="22"/>
                <w:szCs w:val="22"/>
                <w:highlight w:val="none"/>
                <w:lang w:bidi="ar"/>
              </w:rPr>
              <w:t>5</w:t>
            </w:r>
          </w:p>
        </w:tc>
        <w:tc>
          <w:tcPr>
            <w:tcW w:w="6261" w:type="dxa"/>
            <w:tcBorders>
              <w:bottom w:val="single" w:color="auto" w:sz="4" w:space="0"/>
              <w:right w:val="single" w:color="auto" w:sz="4" w:space="0"/>
            </w:tcBorders>
            <w:vAlign w:val="center"/>
          </w:tcPr>
          <w:p>
            <w:pPr>
              <w:keepNext w:val="0"/>
              <w:keepLines w:val="0"/>
              <w:widowControl/>
              <w:suppressLineNumbers w:val="0"/>
              <w:shd w:val="clear" w:color="auto" w:fill="auto"/>
              <w:spacing w:before="0" w:beforeAutospacing="0" w:after="0" w:afterAutospacing="0"/>
              <w:ind w:left="0" w:leftChars="0" w:right="0" w:rightChars="0"/>
              <w:jc w:val="left"/>
              <w:textAlignment w:val="center"/>
              <w:rPr>
                <w:rFonts w:hint="eastAsia" w:ascii="宋体" w:hAnsi="宋体" w:eastAsia="宋体" w:cs="宋体"/>
                <w:color w:val="auto"/>
                <w:kern w:val="0"/>
                <w:sz w:val="22"/>
                <w:szCs w:val="22"/>
                <w:highlight w:val="yellow"/>
                <w:lang w:eastAsia="zh-CN" w:bidi="ar"/>
              </w:rPr>
            </w:pPr>
            <w:r>
              <w:rPr>
                <w:rFonts w:hint="eastAsia" w:ascii="宋体" w:hAnsi="宋体" w:eastAsia="宋体" w:cs="宋体"/>
                <w:color w:val="auto"/>
                <w:kern w:val="0"/>
                <w:sz w:val="22"/>
                <w:szCs w:val="22"/>
                <w:highlight w:val="none"/>
                <w:lang w:bidi="ar"/>
              </w:rPr>
              <w:t>投标文件内容齐全、无遗漏</w:t>
            </w:r>
            <w:r>
              <w:rPr>
                <w:rFonts w:hint="eastAsia" w:ascii="宋体" w:hAnsi="宋体" w:eastAsia="宋体" w:cs="宋体"/>
                <w:color w:val="auto"/>
                <w:kern w:val="0"/>
                <w:sz w:val="22"/>
                <w:szCs w:val="22"/>
                <w:highlight w:val="none"/>
                <w:lang w:eastAsia="zh-CN" w:bidi="ar"/>
              </w:rPr>
              <w:t>；</w:t>
            </w:r>
          </w:p>
        </w:tc>
        <w:tc>
          <w:tcPr>
            <w:tcW w:w="676" w:type="dxa"/>
            <w:gridSpan w:val="2"/>
            <w:tcBorders>
              <w:left w:val="single" w:color="auto" w:sz="4" w:space="0"/>
              <w:bottom w:val="single" w:color="auto" w:sz="4" w:space="0"/>
            </w:tcBorders>
            <w:vAlign w:val="top"/>
          </w:tcPr>
          <w:p>
            <w:pPr>
              <w:keepNext w:val="0"/>
              <w:keepLines w:val="0"/>
              <w:suppressLineNumbers w:val="0"/>
              <w:shd w:val="clear" w:color="auto" w:fill="auto"/>
              <w:spacing w:before="0" w:beforeAutospacing="0" w:after="0" w:afterAutospacing="0"/>
              <w:ind w:left="0" w:right="0"/>
              <w:rPr>
                <w:rFonts w:hint="eastAsia" w:ascii="宋体" w:hAnsi="宋体" w:eastAsia="宋体" w:cs="宋体"/>
                <w:color w:val="auto"/>
                <w:sz w:val="24"/>
                <w:szCs w:val="24"/>
                <w:highlight w:val="yellow"/>
              </w:rPr>
            </w:pPr>
          </w:p>
        </w:tc>
        <w:tc>
          <w:tcPr>
            <w:tcW w:w="664" w:type="dxa"/>
            <w:tcBorders>
              <w:bottom w:val="single" w:color="auto" w:sz="4" w:space="0"/>
              <w:right w:val="single" w:color="auto" w:sz="4" w:space="0"/>
            </w:tcBorders>
            <w:vAlign w:val="top"/>
          </w:tcPr>
          <w:p>
            <w:pPr>
              <w:keepNext w:val="0"/>
              <w:keepLines w:val="0"/>
              <w:suppressLineNumbers w:val="0"/>
              <w:shd w:val="clear" w:color="auto" w:fill="auto"/>
              <w:spacing w:before="0" w:beforeAutospacing="0" w:after="0" w:afterAutospacing="0"/>
              <w:ind w:left="0" w:right="0"/>
              <w:rPr>
                <w:rFonts w:hint="eastAsia" w:ascii="宋体" w:hAnsi="宋体" w:eastAsia="宋体" w:cs="宋体"/>
                <w:color w:val="auto"/>
                <w:sz w:val="24"/>
                <w:szCs w:val="24"/>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atLeast"/>
        </w:trPr>
        <w:tc>
          <w:tcPr>
            <w:tcW w:w="1213" w:type="dxa"/>
            <w:vMerge w:val="continue"/>
            <w:tcBorders>
              <w:left w:val="single" w:color="auto" w:sz="4" w:space="0"/>
              <w:right w:val="single" w:color="auto" w:sz="4" w:space="0"/>
            </w:tcBorders>
            <w:vAlign w:val="center"/>
          </w:tcPr>
          <w:p>
            <w:pPr>
              <w:keepNext w:val="0"/>
              <w:keepLines w:val="0"/>
              <w:suppressLineNumbers w:val="0"/>
              <w:shd w:val="clear" w:color="auto" w:fill="auto"/>
              <w:spacing w:before="0" w:beforeAutospacing="0" w:after="0" w:afterAutospacing="0"/>
              <w:ind w:left="0" w:right="0"/>
              <w:rPr>
                <w:rFonts w:hint="eastAsia" w:ascii="宋体" w:hAnsi="宋体" w:eastAsia="宋体" w:cs="宋体"/>
                <w:color w:val="auto"/>
                <w:sz w:val="24"/>
                <w:szCs w:val="32"/>
                <w:highlight w:val="none"/>
              </w:rPr>
            </w:pPr>
          </w:p>
        </w:tc>
        <w:tc>
          <w:tcPr>
            <w:tcW w:w="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color="auto" w:fill="auto"/>
              <w:spacing w:before="0" w:beforeAutospacing="0" w:after="0" w:afterAutospacing="0"/>
              <w:ind w:left="0" w:right="0"/>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6</w:t>
            </w:r>
          </w:p>
        </w:tc>
        <w:tc>
          <w:tcPr>
            <w:tcW w:w="62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color="auto" w:fill="auto"/>
              <w:spacing w:before="0" w:beforeAutospacing="0" w:after="0" w:afterAutospacing="0"/>
              <w:ind w:left="0" w:leftChars="0" w:right="0" w:rightChars="0"/>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eastAsia="宋体" w:cs="宋体"/>
                <w:color w:val="auto"/>
                <w:kern w:val="0"/>
                <w:sz w:val="22"/>
                <w:szCs w:val="22"/>
                <w:highlight w:val="none"/>
                <w:lang w:bidi="ar"/>
              </w:rPr>
              <w:t>对招标文件规定的招标内容全部作出响应</w:t>
            </w:r>
            <w:r>
              <w:rPr>
                <w:rFonts w:hint="eastAsia" w:ascii="宋体" w:hAnsi="宋体" w:eastAsia="宋体" w:cs="宋体"/>
                <w:color w:val="auto"/>
                <w:kern w:val="0"/>
                <w:sz w:val="22"/>
                <w:szCs w:val="22"/>
                <w:highlight w:val="none"/>
                <w:lang w:eastAsia="zh-CN" w:bidi="ar"/>
              </w:rPr>
              <w:t>；</w:t>
            </w:r>
          </w:p>
        </w:tc>
        <w:tc>
          <w:tcPr>
            <w:tcW w:w="676" w:type="dxa"/>
            <w:gridSpan w:val="2"/>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hd w:val="clear" w:color="auto" w:fill="auto"/>
              <w:spacing w:before="0" w:beforeAutospacing="0" w:after="0" w:afterAutospacing="0"/>
              <w:ind w:left="0" w:right="0"/>
              <w:rPr>
                <w:rFonts w:hint="eastAsia" w:ascii="宋体" w:hAnsi="宋体" w:eastAsia="宋体" w:cs="宋体"/>
                <w:color w:val="auto"/>
                <w:sz w:val="24"/>
                <w:szCs w:val="24"/>
                <w:highlight w:val="none"/>
              </w:rPr>
            </w:pPr>
          </w:p>
        </w:tc>
        <w:tc>
          <w:tcPr>
            <w:tcW w:w="66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hd w:val="clear" w:color="auto" w:fill="auto"/>
              <w:spacing w:before="0" w:beforeAutospacing="0" w:after="0" w:afterAutospacing="0"/>
              <w:ind w:left="0" w:right="0"/>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atLeast"/>
        </w:trPr>
        <w:tc>
          <w:tcPr>
            <w:tcW w:w="1213" w:type="dxa"/>
            <w:vMerge w:val="continue"/>
            <w:tcBorders>
              <w:left w:val="single" w:color="auto" w:sz="4" w:space="0"/>
              <w:right w:val="single" w:color="auto" w:sz="4" w:space="0"/>
            </w:tcBorders>
            <w:vAlign w:val="center"/>
          </w:tcPr>
          <w:p>
            <w:pPr>
              <w:keepNext w:val="0"/>
              <w:keepLines w:val="0"/>
              <w:suppressLineNumbers w:val="0"/>
              <w:shd w:val="clear" w:color="auto" w:fill="auto"/>
              <w:spacing w:before="0" w:beforeAutospacing="0" w:after="0" w:afterAutospacing="0"/>
              <w:ind w:left="0" w:right="0"/>
              <w:rPr>
                <w:rFonts w:hint="eastAsia" w:ascii="宋体" w:hAnsi="宋体" w:eastAsia="宋体" w:cs="宋体"/>
                <w:color w:val="auto"/>
                <w:sz w:val="24"/>
                <w:szCs w:val="32"/>
                <w:highlight w:val="none"/>
              </w:rPr>
            </w:pPr>
          </w:p>
        </w:tc>
        <w:tc>
          <w:tcPr>
            <w:tcW w:w="444" w:type="dxa"/>
            <w:tcBorders>
              <w:top w:val="single" w:color="auto" w:sz="4" w:space="0"/>
              <w:left w:val="single" w:color="auto" w:sz="4" w:space="0"/>
            </w:tcBorders>
            <w:vAlign w:val="center"/>
          </w:tcPr>
          <w:p>
            <w:pPr>
              <w:keepNext w:val="0"/>
              <w:keepLines w:val="0"/>
              <w:widowControl/>
              <w:suppressLineNumbers w:val="0"/>
              <w:shd w:val="clear" w:color="auto" w:fill="auto"/>
              <w:spacing w:before="0" w:beforeAutospacing="0" w:after="0" w:afterAutospacing="0"/>
              <w:ind w:left="0" w:right="0"/>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7</w:t>
            </w:r>
          </w:p>
        </w:tc>
        <w:tc>
          <w:tcPr>
            <w:tcW w:w="6261" w:type="dxa"/>
            <w:tcBorders>
              <w:top w:val="single" w:color="auto" w:sz="4" w:space="0"/>
              <w:right w:val="single" w:color="auto" w:sz="4" w:space="0"/>
            </w:tcBorders>
            <w:vAlign w:val="center"/>
          </w:tcPr>
          <w:p>
            <w:pPr>
              <w:keepNext w:val="0"/>
              <w:keepLines w:val="0"/>
              <w:widowControl/>
              <w:suppressLineNumbers w:val="0"/>
              <w:shd w:val="clear" w:color="auto" w:fill="auto"/>
              <w:spacing w:before="0" w:beforeAutospacing="0" w:after="0" w:afterAutospacing="0"/>
              <w:ind w:left="0" w:leftChars="0" w:right="0" w:rightChars="0"/>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eastAsia="宋体" w:cs="宋体"/>
                <w:color w:val="auto"/>
                <w:kern w:val="0"/>
                <w:sz w:val="22"/>
                <w:szCs w:val="22"/>
                <w:highlight w:val="none"/>
                <w:lang w:bidi="ar"/>
              </w:rPr>
              <w:t>满足招标文件提出的技术和质量要求</w:t>
            </w:r>
            <w:r>
              <w:rPr>
                <w:rFonts w:hint="eastAsia" w:ascii="宋体" w:hAnsi="宋体" w:eastAsia="宋体" w:cs="宋体"/>
                <w:color w:val="auto"/>
                <w:kern w:val="0"/>
                <w:sz w:val="22"/>
                <w:szCs w:val="22"/>
                <w:highlight w:val="none"/>
                <w:lang w:eastAsia="zh-CN" w:bidi="ar"/>
              </w:rPr>
              <w:t>；</w:t>
            </w:r>
          </w:p>
        </w:tc>
        <w:tc>
          <w:tcPr>
            <w:tcW w:w="676" w:type="dxa"/>
            <w:gridSpan w:val="2"/>
            <w:tcBorders>
              <w:top w:val="single" w:color="auto" w:sz="4" w:space="0"/>
              <w:left w:val="single" w:color="auto" w:sz="4" w:space="0"/>
            </w:tcBorders>
            <w:vAlign w:val="top"/>
          </w:tcPr>
          <w:p>
            <w:pPr>
              <w:keepNext w:val="0"/>
              <w:keepLines w:val="0"/>
              <w:suppressLineNumbers w:val="0"/>
              <w:shd w:val="clear" w:color="auto" w:fill="auto"/>
              <w:spacing w:before="0" w:beforeAutospacing="0" w:after="0" w:afterAutospacing="0"/>
              <w:ind w:left="0" w:right="0"/>
              <w:rPr>
                <w:rFonts w:hint="eastAsia" w:ascii="宋体" w:hAnsi="宋体" w:eastAsia="宋体" w:cs="宋体"/>
                <w:color w:val="auto"/>
                <w:sz w:val="24"/>
                <w:szCs w:val="24"/>
                <w:highlight w:val="none"/>
              </w:rPr>
            </w:pPr>
          </w:p>
        </w:tc>
        <w:tc>
          <w:tcPr>
            <w:tcW w:w="664" w:type="dxa"/>
            <w:tcBorders>
              <w:top w:val="single" w:color="auto" w:sz="4" w:space="0"/>
              <w:right w:val="single" w:color="auto" w:sz="4" w:space="0"/>
            </w:tcBorders>
            <w:vAlign w:val="top"/>
          </w:tcPr>
          <w:p>
            <w:pPr>
              <w:keepNext w:val="0"/>
              <w:keepLines w:val="0"/>
              <w:suppressLineNumbers w:val="0"/>
              <w:shd w:val="clear" w:color="auto" w:fill="auto"/>
              <w:spacing w:before="0" w:beforeAutospacing="0" w:after="0" w:afterAutospacing="0"/>
              <w:ind w:left="0" w:right="0"/>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atLeast"/>
        </w:trPr>
        <w:tc>
          <w:tcPr>
            <w:tcW w:w="1213" w:type="dxa"/>
            <w:vMerge w:val="continue"/>
            <w:tcBorders>
              <w:left w:val="single" w:color="auto" w:sz="4" w:space="0"/>
              <w:right w:val="single" w:color="auto" w:sz="4" w:space="0"/>
            </w:tcBorders>
            <w:vAlign w:val="center"/>
          </w:tcPr>
          <w:p>
            <w:pPr>
              <w:keepNext w:val="0"/>
              <w:keepLines w:val="0"/>
              <w:suppressLineNumbers w:val="0"/>
              <w:shd w:val="clear" w:color="auto" w:fill="auto"/>
              <w:spacing w:before="0" w:beforeAutospacing="0" w:after="0" w:afterAutospacing="0"/>
              <w:ind w:left="0" w:right="0"/>
              <w:rPr>
                <w:rFonts w:hint="eastAsia" w:ascii="宋体" w:hAnsi="宋体" w:eastAsia="宋体" w:cs="宋体"/>
                <w:color w:val="auto"/>
                <w:sz w:val="24"/>
                <w:szCs w:val="32"/>
                <w:highlight w:val="none"/>
              </w:rPr>
            </w:pPr>
          </w:p>
        </w:tc>
        <w:tc>
          <w:tcPr>
            <w:tcW w:w="444" w:type="dxa"/>
            <w:tcBorders>
              <w:left w:val="single" w:color="auto" w:sz="4" w:space="0"/>
            </w:tcBorders>
            <w:vAlign w:val="center"/>
          </w:tcPr>
          <w:p>
            <w:pPr>
              <w:keepNext w:val="0"/>
              <w:keepLines w:val="0"/>
              <w:widowControl/>
              <w:suppressLineNumbers w:val="0"/>
              <w:shd w:val="clear" w:color="auto" w:fill="auto"/>
              <w:spacing w:before="0" w:beforeAutospacing="0" w:after="0" w:afterAutospacing="0"/>
              <w:ind w:left="0" w:right="0"/>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8</w:t>
            </w:r>
          </w:p>
        </w:tc>
        <w:tc>
          <w:tcPr>
            <w:tcW w:w="6261" w:type="dxa"/>
            <w:tcBorders>
              <w:right w:val="single" w:color="auto" w:sz="4" w:space="0"/>
            </w:tcBorders>
            <w:vAlign w:val="center"/>
          </w:tcPr>
          <w:p>
            <w:pPr>
              <w:keepNext w:val="0"/>
              <w:keepLines w:val="0"/>
              <w:widowControl/>
              <w:suppressLineNumbers w:val="0"/>
              <w:shd w:val="clear" w:color="auto" w:fill="auto"/>
              <w:spacing w:before="0" w:beforeAutospacing="0" w:after="0" w:afterAutospacing="0"/>
              <w:ind w:left="0" w:leftChars="0" w:right="0" w:rightChars="0"/>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eastAsia="宋体" w:cs="宋体"/>
                <w:color w:val="auto"/>
                <w:kern w:val="0"/>
                <w:sz w:val="22"/>
                <w:szCs w:val="22"/>
                <w:highlight w:val="none"/>
                <w:lang w:bidi="ar"/>
              </w:rPr>
              <w:t>完成期限满足招标文件要求</w:t>
            </w:r>
            <w:r>
              <w:rPr>
                <w:rFonts w:hint="eastAsia" w:ascii="宋体" w:hAnsi="宋体" w:eastAsia="宋体" w:cs="宋体"/>
                <w:color w:val="auto"/>
                <w:kern w:val="0"/>
                <w:sz w:val="22"/>
                <w:szCs w:val="22"/>
                <w:highlight w:val="none"/>
                <w:lang w:eastAsia="zh-CN" w:bidi="ar"/>
              </w:rPr>
              <w:t>；</w:t>
            </w:r>
          </w:p>
        </w:tc>
        <w:tc>
          <w:tcPr>
            <w:tcW w:w="676" w:type="dxa"/>
            <w:gridSpan w:val="2"/>
            <w:tcBorders>
              <w:left w:val="single" w:color="auto" w:sz="4" w:space="0"/>
            </w:tcBorders>
            <w:vAlign w:val="top"/>
          </w:tcPr>
          <w:p>
            <w:pPr>
              <w:keepNext w:val="0"/>
              <w:keepLines w:val="0"/>
              <w:suppressLineNumbers w:val="0"/>
              <w:shd w:val="clear" w:color="auto" w:fill="auto"/>
              <w:spacing w:before="0" w:beforeAutospacing="0" w:after="0" w:afterAutospacing="0"/>
              <w:ind w:left="0" w:right="0"/>
              <w:rPr>
                <w:rFonts w:hint="eastAsia" w:ascii="宋体" w:hAnsi="宋体" w:eastAsia="宋体" w:cs="宋体"/>
                <w:color w:val="auto"/>
                <w:sz w:val="24"/>
                <w:szCs w:val="24"/>
                <w:highlight w:val="none"/>
              </w:rPr>
            </w:pPr>
          </w:p>
        </w:tc>
        <w:tc>
          <w:tcPr>
            <w:tcW w:w="664" w:type="dxa"/>
            <w:tcBorders>
              <w:right w:val="single" w:color="auto" w:sz="4" w:space="0"/>
            </w:tcBorders>
            <w:vAlign w:val="top"/>
          </w:tcPr>
          <w:p>
            <w:pPr>
              <w:keepNext w:val="0"/>
              <w:keepLines w:val="0"/>
              <w:suppressLineNumbers w:val="0"/>
              <w:shd w:val="clear" w:color="auto" w:fill="auto"/>
              <w:spacing w:before="0" w:beforeAutospacing="0" w:after="0" w:afterAutospacing="0"/>
              <w:ind w:left="0" w:right="0"/>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atLeast"/>
        </w:trPr>
        <w:tc>
          <w:tcPr>
            <w:tcW w:w="1213" w:type="dxa"/>
            <w:vMerge w:val="continue"/>
            <w:tcBorders>
              <w:left w:val="single" w:color="auto" w:sz="4" w:space="0"/>
              <w:right w:val="single" w:color="auto" w:sz="4" w:space="0"/>
            </w:tcBorders>
            <w:vAlign w:val="center"/>
          </w:tcPr>
          <w:p>
            <w:pPr>
              <w:keepNext w:val="0"/>
              <w:keepLines w:val="0"/>
              <w:suppressLineNumbers w:val="0"/>
              <w:shd w:val="clear" w:color="auto" w:fill="auto"/>
              <w:spacing w:before="0" w:beforeAutospacing="0" w:after="0" w:afterAutospacing="0"/>
              <w:ind w:left="0" w:right="0"/>
              <w:rPr>
                <w:rFonts w:hint="eastAsia" w:ascii="宋体" w:hAnsi="宋体" w:eastAsia="宋体" w:cs="宋体"/>
                <w:color w:val="auto"/>
                <w:sz w:val="24"/>
                <w:szCs w:val="32"/>
                <w:highlight w:val="none"/>
              </w:rPr>
            </w:pPr>
          </w:p>
        </w:tc>
        <w:tc>
          <w:tcPr>
            <w:tcW w:w="444" w:type="dxa"/>
            <w:tcBorders>
              <w:left w:val="single" w:color="auto" w:sz="4" w:space="0"/>
            </w:tcBorders>
            <w:vAlign w:val="center"/>
          </w:tcPr>
          <w:p>
            <w:pPr>
              <w:keepNext w:val="0"/>
              <w:keepLines w:val="0"/>
              <w:widowControl/>
              <w:suppressLineNumbers w:val="0"/>
              <w:shd w:val="clear" w:color="auto" w:fill="auto"/>
              <w:spacing w:before="0" w:beforeAutospacing="0" w:after="0" w:afterAutospacing="0"/>
              <w:ind w:left="0" w:right="0"/>
              <w:jc w:val="both"/>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9</w:t>
            </w:r>
          </w:p>
        </w:tc>
        <w:tc>
          <w:tcPr>
            <w:tcW w:w="6261" w:type="dxa"/>
            <w:tcBorders>
              <w:right w:val="single" w:color="auto" w:sz="4" w:space="0"/>
            </w:tcBorders>
            <w:vAlign w:val="center"/>
          </w:tcPr>
          <w:p>
            <w:pPr>
              <w:keepNext w:val="0"/>
              <w:keepLines w:val="0"/>
              <w:widowControl/>
              <w:suppressLineNumbers w:val="0"/>
              <w:shd w:val="clear" w:color="auto" w:fill="auto"/>
              <w:spacing w:before="0" w:beforeAutospacing="0" w:after="0" w:afterAutospacing="0"/>
              <w:ind w:left="0" w:leftChars="0" w:right="0" w:rightChars="0"/>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eastAsia="宋体" w:cs="宋体"/>
                <w:color w:val="auto"/>
                <w:kern w:val="0"/>
                <w:sz w:val="22"/>
                <w:szCs w:val="22"/>
                <w:highlight w:val="none"/>
                <w:lang w:bidi="ar"/>
              </w:rPr>
              <w:t>售后服务满足招标文件要求</w:t>
            </w:r>
            <w:r>
              <w:rPr>
                <w:rFonts w:hint="eastAsia" w:ascii="宋体" w:hAnsi="宋体" w:eastAsia="宋体" w:cs="宋体"/>
                <w:color w:val="auto"/>
                <w:kern w:val="0"/>
                <w:sz w:val="22"/>
                <w:szCs w:val="22"/>
                <w:highlight w:val="none"/>
                <w:lang w:eastAsia="zh-CN" w:bidi="ar"/>
              </w:rPr>
              <w:t>；</w:t>
            </w:r>
          </w:p>
        </w:tc>
        <w:tc>
          <w:tcPr>
            <w:tcW w:w="676" w:type="dxa"/>
            <w:gridSpan w:val="2"/>
            <w:tcBorders>
              <w:left w:val="single" w:color="auto" w:sz="4" w:space="0"/>
            </w:tcBorders>
            <w:vAlign w:val="top"/>
          </w:tcPr>
          <w:p>
            <w:pPr>
              <w:keepNext w:val="0"/>
              <w:keepLines w:val="0"/>
              <w:suppressLineNumbers w:val="0"/>
              <w:shd w:val="clear" w:color="auto" w:fill="auto"/>
              <w:spacing w:before="0" w:beforeAutospacing="0" w:after="0" w:afterAutospacing="0"/>
              <w:ind w:left="0" w:right="0"/>
              <w:rPr>
                <w:rFonts w:hint="eastAsia" w:ascii="宋体" w:hAnsi="宋体" w:eastAsia="宋体" w:cs="宋体"/>
                <w:color w:val="auto"/>
                <w:sz w:val="24"/>
                <w:szCs w:val="24"/>
                <w:highlight w:val="none"/>
              </w:rPr>
            </w:pPr>
          </w:p>
        </w:tc>
        <w:tc>
          <w:tcPr>
            <w:tcW w:w="664" w:type="dxa"/>
            <w:tcBorders>
              <w:right w:val="single" w:color="auto" w:sz="4" w:space="0"/>
            </w:tcBorders>
            <w:vAlign w:val="top"/>
          </w:tcPr>
          <w:p>
            <w:pPr>
              <w:keepNext w:val="0"/>
              <w:keepLines w:val="0"/>
              <w:suppressLineNumbers w:val="0"/>
              <w:shd w:val="clear" w:color="auto" w:fill="auto"/>
              <w:spacing w:before="0" w:beforeAutospacing="0" w:after="0" w:afterAutospacing="0"/>
              <w:ind w:left="0" w:right="0"/>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atLeast"/>
        </w:trPr>
        <w:tc>
          <w:tcPr>
            <w:tcW w:w="1213" w:type="dxa"/>
            <w:vMerge w:val="continue"/>
            <w:tcBorders>
              <w:left w:val="single" w:color="auto" w:sz="4" w:space="0"/>
              <w:right w:val="single" w:color="auto" w:sz="4" w:space="0"/>
            </w:tcBorders>
            <w:vAlign w:val="center"/>
          </w:tcPr>
          <w:p>
            <w:pPr>
              <w:keepNext w:val="0"/>
              <w:keepLines w:val="0"/>
              <w:suppressLineNumbers w:val="0"/>
              <w:shd w:val="clear" w:color="auto" w:fill="auto"/>
              <w:spacing w:before="0" w:beforeAutospacing="0" w:after="0" w:afterAutospacing="0"/>
              <w:ind w:left="0" w:right="0"/>
              <w:rPr>
                <w:rFonts w:hint="eastAsia" w:ascii="宋体" w:hAnsi="宋体" w:eastAsia="宋体" w:cs="宋体"/>
                <w:color w:val="auto"/>
                <w:sz w:val="24"/>
                <w:szCs w:val="32"/>
                <w:highlight w:val="none"/>
              </w:rPr>
            </w:pPr>
          </w:p>
        </w:tc>
        <w:tc>
          <w:tcPr>
            <w:tcW w:w="444" w:type="dxa"/>
            <w:tcBorders>
              <w:left w:val="single" w:color="auto" w:sz="4" w:space="0"/>
            </w:tcBorders>
            <w:vAlign w:val="center"/>
          </w:tcPr>
          <w:p>
            <w:pPr>
              <w:keepNext w:val="0"/>
              <w:keepLines w:val="0"/>
              <w:widowControl/>
              <w:suppressLineNumbers w:val="0"/>
              <w:shd w:val="clear" w:color="auto" w:fill="auto"/>
              <w:spacing w:before="0" w:beforeAutospacing="0" w:after="0" w:afterAutospacing="0"/>
              <w:ind w:left="0" w:right="0"/>
              <w:jc w:val="both"/>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10</w:t>
            </w:r>
          </w:p>
        </w:tc>
        <w:tc>
          <w:tcPr>
            <w:tcW w:w="6261" w:type="dxa"/>
            <w:tcBorders>
              <w:right w:val="single" w:color="auto" w:sz="4" w:space="0"/>
            </w:tcBorders>
            <w:vAlign w:val="center"/>
          </w:tcPr>
          <w:p>
            <w:pPr>
              <w:keepNext w:val="0"/>
              <w:keepLines w:val="0"/>
              <w:widowControl/>
              <w:suppressLineNumbers w:val="0"/>
              <w:shd w:val="clear" w:color="auto" w:fill="auto"/>
              <w:spacing w:before="0" w:beforeAutospacing="0" w:after="0" w:afterAutospacing="0"/>
              <w:ind w:left="0" w:leftChars="0" w:right="0" w:rightChars="0"/>
              <w:jc w:val="both"/>
              <w:textAlignment w:val="center"/>
              <w:rPr>
                <w:rFonts w:hint="eastAsia" w:ascii="宋体" w:hAnsi="宋体" w:eastAsia="宋体" w:cs="宋体"/>
                <w:color w:val="auto"/>
                <w:kern w:val="0"/>
                <w:sz w:val="22"/>
                <w:szCs w:val="22"/>
                <w:highlight w:val="none"/>
                <w:lang w:eastAsia="zh-CN" w:bidi="ar"/>
              </w:rPr>
            </w:pPr>
            <w:r>
              <w:rPr>
                <w:rFonts w:hint="eastAsia" w:ascii="宋体" w:hAnsi="宋体" w:eastAsia="宋体" w:cs="宋体"/>
                <w:color w:val="auto"/>
                <w:kern w:val="0"/>
                <w:sz w:val="22"/>
                <w:szCs w:val="22"/>
                <w:highlight w:val="none"/>
                <w:lang w:bidi="ar"/>
              </w:rPr>
              <w:t>投标有效期满足招标文件要求</w:t>
            </w:r>
            <w:r>
              <w:rPr>
                <w:rFonts w:hint="eastAsia" w:ascii="宋体" w:hAnsi="宋体" w:eastAsia="宋体" w:cs="宋体"/>
                <w:color w:val="auto"/>
                <w:kern w:val="0"/>
                <w:sz w:val="22"/>
                <w:szCs w:val="22"/>
                <w:highlight w:val="none"/>
                <w:lang w:eastAsia="zh-CN" w:bidi="ar"/>
              </w:rPr>
              <w:t>；</w:t>
            </w:r>
          </w:p>
        </w:tc>
        <w:tc>
          <w:tcPr>
            <w:tcW w:w="676" w:type="dxa"/>
            <w:gridSpan w:val="2"/>
            <w:tcBorders>
              <w:left w:val="single" w:color="auto" w:sz="4" w:space="0"/>
            </w:tcBorders>
            <w:vAlign w:val="top"/>
          </w:tcPr>
          <w:p>
            <w:pPr>
              <w:keepNext w:val="0"/>
              <w:keepLines w:val="0"/>
              <w:suppressLineNumbers w:val="0"/>
              <w:shd w:val="clear" w:color="auto" w:fill="auto"/>
              <w:spacing w:before="0" w:beforeAutospacing="0" w:after="0" w:afterAutospacing="0"/>
              <w:ind w:left="0" w:right="0"/>
              <w:rPr>
                <w:rFonts w:hint="eastAsia" w:ascii="宋体" w:hAnsi="宋体" w:eastAsia="宋体" w:cs="宋体"/>
                <w:color w:val="auto"/>
                <w:sz w:val="24"/>
                <w:szCs w:val="24"/>
                <w:highlight w:val="none"/>
              </w:rPr>
            </w:pPr>
          </w:p>
        </w:tc>
        <w:tc>
          <w:tcPr>
            <w:tcW w:w="664" w:type="dxa"/>
            <w:tcBorders>
              <w:right w:val="single" w:color="auto" w:sz="4" w:space="0"/>
            </w:tcBorders>
            <w:vAlign w:val="top"/>
          </w:tcPr>
          <w:p>
            <w:pPr>
              <w:keepNext w:val="0"/>
              <w:keepLines w:val="0"/>
              <w:suppressLineNumbers w:val="0"/>
              <w:shd w:val="clear" w:color="auto" w:fill="auto"/>
              <w:spacing w:before="0" w:beforeAutospacing="0" w:after="0" w:afterAutospacing="0"/>
              <w:ind w:left="0" w:right="0"/>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6" w:hRule="atLeast"/>
        </w:trPr>
        <w:tc>
          <w:tcPr>
            <w:tcW w:w="1213" w:type="dxa"/>
            <w:tcBorders>
              <w:left w:val="single" w:color="auto" w:sz="4" w:space="0"/>
              <w:bottom w:val="single" w:color="auto" w:sz="4" w:space="0"/>
              <w:right w:val="single" w:color="auto" w:sz="4" w:space="0"/>
            </w:tcBorders>
            <w:vAlign w:val="center"/>
          </w:tcPr>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4"/>
                <w:szCs w:val="24"/>
                <w:highlight w:val="none"/>
              </w:rPr>
            </w:pPr>
          </w:p>
        </w:tc>
        <w:tc>
          <w:tcPr>
            <w:tcW w:w="444" w:type="dxa"/>
            <w:tcBorders>
              <w:left w:val="single" w:color="auto" w:sz="4" w:space="0"/>
              <w:bottom w:val="single" w:color="auto" w:sz="4" w:space="0"/>
              <w:right w:val="single" w:color="auto" w:sz="4" w:space="0"/>
            </w:tcBorders>
            <w:vAlign w:val="center"/>
          </w:tcPr>
          <w:p>
            <w:pPr>
              <w:keepNext w:val="0"/>
              <w:keepLines w:val="0"/>
              <w:widowControl/>
              <w:suppressLineNumbers w:val="0"/>
              <w:shd w:val="clear" w:color="auto" w:fill="auto"/>
              <w:spacing w:before="0" w:beforeAutospacing="0" w:after="0" w:afterAutospacing="0"/>
              <w:ind w:left="0" w:right="0"/>
              <w:jc w:val="both"/>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11</w:t>
            </w:r>
          </w:p>
        </w:tc>
        <w:tc>
          <w:tcPr>
            <w:tcW w:w="6261" w:type="dxa"/>
            <w:tcBorders>
              <w:left w:val="single" w:color="auto" w:sz="4" w:space="0"/>
              <w:bottom w:val="single" w:color="auto" w:sz="4" w:space="0"/>
              <w:right w:val="single" w:color="auto" w:sz="4" w:space="0"/>
            </w:tcBorders>
            <w:vAlign w:val="center"/>
          </w:tcPr>
          <w:p>
            <w:pPr>
              <w:keepNext w:val="0"/>
              <w:keepLines w:val="0"/>
              <w:widowControl/>
              <w:suppressLineNumbers w:val="0"/>
              <w:shd w:val="clear" w:color="auto" w:fill="auto"/>
              <w:spacing w:before="0" w:beforeAutospacing="0" w:after="0" w:afterAutospacing="0"/>
              <w:ind w:left="0" w:leftChars="0" w:right="0" w:rightChars="0"/>
              <w:jc w:val="both"/>
              <w:textAlignment w:val="center"/>
              <w:rPr>
                <w:rFonts w:hint="eastAsia" w:ascii="宋体" w:hAnsi="宋体" w:eastAsia="宋体" w:cs="宋体"/>
                <w:color w:val="auto"/>
                <w:kern w:val="0"/>
                <w:sz w:val="22"/>
                <w:szCs w:val="22"/>
                <w:highlight w:val="none"/>
                <w:lang w:eastAsia="zh-CN" w:bidi="ar"/>
              </w:rPr>
            </w:pPr>
            <w:r>
              <w:rPr>
                <w:rFonts w:hint="eastAsia" w:ascii="宋体" w:hAnsi="宋体" w:eastAsia="宋体" w:cs="宋体"/>
                <w:color w:val="auto"/>
                <w:kern w:val="0"/>
                <w:sz w:val="22"/>
                <w:szCs w:val="22"/>
                <w:highlight w:val="none"/>
                <w:lang w:bidi="ar"/>
              </w:rPr>
              <w:t>投标文件上法定代表人或其授权代表人的签字</w:t>
            </w:r>
            <w:r>
              <w:rPr>
                <w:rFonts w:hint="eastAsia" w:ascii="宋体" w:hAnsi="宋体" w:eastAsia="宋体" w:cs="宋体"/>
                <w:color w:val="auto"/>
                <w:kern w:val="0"/>
                <w:sz w:val="22"/>
                <w:szCs w:val="22"/>
                <w:highlight w:val="none"/>
                <w:lang w:val="en-US" w:eastAsia="zh-CN" w:bidi="ar"/>
              </w:rPr>
              <w:t>或盖章是否</w:t>
            </w:r>
            <w:r>
              <w:rPr>
                <w:rFonts w:hint="eastAsia" w:ascii="宋体" w:hAnsi="宋体" w:eastAsia="宋体" w:cs="宋体"/>
                <w:color w:val="auto"/>
                <w:kern w:val="0"/>
                <w:sz w:val="22"/>
                <w:szCs w:val="22"/>
                <w:highlight w:val="none"/>
                <w:lang w:bidi="ar"/>
              </w:rPr>
              <w:t>齐全</w:t>
            </w:r>
            <w:r>
              <w:rPr>
                <w:rFonts w:hint="eastAsia" w:ascii="宋体" w:hAnsi="宋体" w:eastAsia="宋体" w:cs="宋体"/>
                <w:color w:val="auto"/>
                <w:kern w:val="0"/>
                <w:sz w:val="22"/>
                <w:szCs w:val="22"/>
                <w:highlight w:val="none"/>
                <w:lang w:eastAsia="zh-CN" w:bidi="ar"/>
              </w:rPr>
              <w:t>；</w:t>
            </w:r>
          </w:p>
        </w:tc>
        <w:tc>
          <w:tcPr>
            <w:tcW w:w="670" w:type="dxa"/>
            <w:tcBorders>
              <w:left w:val="single" w:color="auto" w:sz="4" w:space="0"/>
              <w:bottom w:val="single" w:color="auto" w:sz="4" w:space="0"/>
              <w:right w:val="single" w:color="auto" w:sz="4" w:space="0"/>
            </w:tcBorders>
            <w:vAlign w:val="top"/>
          </w:tcPr>
          <w:p>
            <w:pPr>
              <w:keepNext w:val="0"/>
              <w:keepLines w:val="0"/>
              <w:suppressLineNumbers w:val="0"/>
              <w:shd w:val="clear" w:color="auto" w:fill="auto"/>
              <w:spacing w:before="0" w:beforeAutospacing="0" w:after="0" w:afterAutospacing="0"/>
              <w:ind w:left="0" w:right="0"/>
              <w:rPr>
                <w:rFonts w:hint="eastAsia" w:ascii="宋体" w:hAnsi="宋体" w:eastAsia="宋体" w:cs="宋体"/>
                <w:color w:val="auto"/>
                <w:sz w:val="24"/>
                <w:szCs w:val="24"/>
                <w:highlight w:val="none"/>
              </w:rPr>
            </w:pPr>
          </w:p>
        </w:tc>
        <w:tc>
          <w:tcPr>
            <w:tcW w:w="670" w:type="dxa"/>
            <w:gridSpan w:val="2"/>
            <w:tcBorders>
              <w:left w:val="single" w:color="auto" w:sz="4" w:space="0"/>
              <w:bottom w:val="single" w:color="auto" w:sz="4" w:space="0"/>
              <w:right w:val="single" w:color="auto" w:sz="4" w:space="0"/>
            </w:tcBorders>
            <w:vAlign w:val="top"/>
          </w:tcPr>
          <w:p>
            <w:pPr>
              <w:keepNext w:val="0"/>
              <w:keepLines w:val="0"/>
              <w:suppressLineNumbers w:val="0"/>
              <w:shd w:val="clear" w:color="auto" w:fill="auto"/>
              <w:spacing w:before="0" w:beforeAutospacing="0" w:after="0" w:afterAutospacing="0"/>
              <w:ind w:left="0" w:right="0"/>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2" w:hRule="atLeast"/>
        </w:trPr>
        <w:tc>
          <w:tcPr>
            <w:tcW w:w="1213" w:type="dxa"/>
            <w:tcBorders>
              <w:left w:val="single" w:color="auto" w:sz="4" w:space="0"/>
              <w:bottom w:val="single" w:color="auto" w:sz="4" w:space="0"/>
              <w:right w:val="single" w:color="auto" w:sz="4" w:space="0"/>
            </w:tcBorders>
            <w:vAlign w:val="center"/>
          </w:tcPr>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4"/>
                <w:szCs w:val="24"/>
                <w:highlight w:val="none"/>
              </w:rPr>
            </w:pPr>
          </w:p>
        </w:tc>
        <w:tc>
          <w:tcPr>
            <w:tcW w:w="444" w:type="dxa"/>
            <w:tcBorders>
              <w:left w:val="single" w:color="auto" w:sz="4" w:space="0"/>
              <w:bottom w:val="single" w:color="auto" w:sz="4" w:space="0"/>
              <w:right w:val="single" w:color="auto" w:sz="4" w:space="0"/>
            </w:tcBorders>
            <w:vAlign w:val="center"/>
          </w:tcPr>
          <w:p>
            <w:pPr>
              <w:keepNext w:val="0"/>
              <w:keepLines w:val="0"/>
              <w:widowControl/>
              <w:suppressLineNumbers w:val="0"/>
              <w:shd w:val="clear" w:color="auto" w:fill="auto"/>
              <w:spacing w:before="0" w:beforeAutospacing="0" w:after="0" w:afterAutospacing="0"/>
              <w:ind w:left="0" w:right="0"/>
              <w:jc w:val="both"/>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12</w:t>
            </w:r>
          </w:p>
        </w:tc>
        <w:tc>
          <w:tcPr>
            <w:tcW w:w="6261" w:type="dxa"/>
            <w:tcBorders>
              <w:left w:val="single" w:color="auto" w:sz="4" w:space="0"/>
              <w:bottom w:val="single" w:color="auto" w:sz="4" w:space="0"/>
              <w:right w:val="single" w:color="auto" w:sz="4" w:space="0"/>
            </w:tcBorders>
            <w:vAlign w:val="center"/>
          </w:tcPr>
          <w:p>
            <w:pPr>
              <w:keepNext w:val="0"/>
              <w:keepLines w:val="0"/>
              <w:widowControl/>
              <w:suppressLineNumbers w:val="0"/>
              <w:shd w:val="clear" w:color="auto" w:fill="auto"/>
              <w:spacing w:before="0" w:beforeAutospacing="0" w:after="0" w:afterAutospacing="0"/>
              <w:ind w:left="0" w:leftChars="0" w:right="0" w:rightChars="0"/>
              <w:jc w:val="both"/>
              <w:textAlignment w:val="center"/>
              <w:rPr>
                <w:rFonts w:hint="eastAsia" w:ascii="宋体" w:hAnsi="宋体" w:eastAsia="宋体" w:cs="宋体"/>
                <w:color w:val="auto"/>
                <w:kern w:val="0"/>
                <w:sz w:val="22"/>
                <w:szCs w:val="22"/>
                <w:highlight w:val="none"/>
                <w:lang w:eastAsia="zh-CN" w:bidi="ar"/>
              </w:rPr>
            </w:pPr>
            <w:r>
              <w:rPr>
                <w:rFonts w:hint="eastAsia" w:ascii="宋体" w:hAnsi="宋体" w:eastAsia="宋体" w:cs="宋体"/>
                <w:color w:val="auto"/>
                <w:kern w:val="0"/>
                <w:sz w:val="22"/>
                <w:szCs w:val="22"/>
                <w:highlight w:val="none"/>
                <w:lang w:bidi="ar"/>
              </w:rPr>
              <w:t>投标人详细地址、联系人、电话</w:t>
            </w:r>
            <w:r>
              <w:rPr>
                <w:rFonts w:hint="eastAsia" w:ascii="宋体" w:hAnsi="宋体" w:eastAsia="宋体" w:cs="宋体"/>
                <w:color w:val="auto"/>
                <w:kern w:val="0"/>
                <w:sz w:val="22"/>
                <w:szCs w:val="22"/>
                <w:highlight w:val="none"/>
                <w:lang w:eastAsia="zh-CN" w:bidi="ar"/>
              </w:rPr>
              <w:t>。</w:t>
            </w:r>
          </w:p>
        </w:tc>
        <w:tc>
          <w:tcPr>
            <w:tcW w:w="670" w:type="dxa"/>
            <w:tcBorders>
              <w:left w:val="single" w:color="auto" w:sz="4" w:space="0"/>
              <w:bottom w:val="single" w:color="auto" w:sz="4" w:space="0"/>
              <w:right w:val="single" w:color="auto" w:sz="4" w:space="0"/>
            </w:tcBorders>
            <w:vAlign w:val="top"/>
          </w:tcPr>
          <w:p>
            <w:pPr>
              <w:keepNext w:val="0"/>
              <w:keepLines w:val="0"/>
              <w:suppressLineNumbers w:val="0"/>
              <w:shd w:val="clear" w:color="auto" w:fill="auto"/>
              <w:spacing w:before="0" w:beforeAutospacing="0" w:after="0" w:afterAutospacing="0"/>
              <w:ind w:left="0" w:right="0"/>
              <w:rPr>
                <w:rFonts w:hint="eastAsia" w:ascii="宋体" w:hAnsi="宋体" w:eastAsia="宋体" w:cs="宋体"/>
                <w:color w:val="auto"/>
                <w:sz w:val="24"/>
                <w:szCs w:val="24"/>
                <w:highlight w:val="none"/>
              </w:rPr>
            </w:pPr>
          </w:p>
        </w:tc>
        <w:tc>
          <w:tcPr>
            <w:tcW w:w="670" w:type="dxa"/>
            <w:gridSpan w:val="2"/>
            <w:tcBorders>
              <w:left w:val="single" w:color="auto" w:sz="4" w:space="0"/>
              <w:bottom w:val="single" w:color="auto" w:sz="4" w:space="0"/>
              <w:right w:val="single" w:color="auto" w:sz="4" w:space="0"/>
            </w:tcBorders>
            <w:vAlign w:val="top"/>
          </w:tcPr>
          <w:p>
            <w:pPr>
              <w:keepNext w:val="0"/>
              <w:keepLines w:val="0"/>
              <w:suppressLineNumbers w:val="0"/>
              <w:shd w:val="clear" w:color="auto" w:fill="auto"/>
              <w:spacing w:before="0" w:beforeAutospacing="0" w:after="0" w:afterAutospacing="0"/>
              <w:ind w:left="0" w:right="0"/>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6" w:hRule="atLeast"/>
        </w:trPr>
        <w:tc>
          <w:tcPr>
            <w:tcW w:w="1213" w:type="dxa"/>
            <w:tcBorders>
              <w:left w:val="single" w:color="auto" w:sz="4" w:space="0"/>
              <w:bottom w:val="single" w:color="auto" w:sz="4" w:space="0"/>
              <w:right w:val="single" w:color="auto" w:sz="4" w:space="0"/>
            </w:tcBorders>
            <w:vAlign w:val="center"/>
          </w:tcPr>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4"/>
                <w:szCs w:val="24"/>
                <w:highlight w:val="none"/>
              </w:rPr>
            </w:pPr>
          </w:p>
        </w:tc>
        <w:tc>
          <w:tcPr>
            <w:tcW w:w="6705" w:type="dxa"/>
            <w:gridSpan w:val="2"/>
            <w:tcBorders>
              <w:left w:val="single" w:color="auto" w:sz="4" w:space="0"/>
              <w:bottom w:val="single" w:color="auto" w:sz="4" w:space="0"/>
              <w:right w:val="single" w:color="auto" w:sz="4" w:space="0"/>
            </w:tcBorders>
            <w:vAlign w:val="top"/>
          </w:tcPr>
          <w:p>
            <w:pPr>
              <w:keepNext w:val="0"/>
              <w:keepLines w:val="0"/>
              <w:widowControl/>
              <w:suppressLineNumbers w:val="0"/>
              <w:shd w:val="clear" w:color="auto" w:fill="auto"/>
              <w:spacing w:before="0" w:beforeAutospacing="0" w:after="0" w:afterAutospacing="0"/>
              <w:ind w:left="0" w:right="0"/>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结论：是否通过评审（须填写通过或不通过）</w:t>
            </w:r>
          </w:p>
          <w:p>
            <w:pPr>
              <w:keepNext w:val="0"/>
              <w:keepLines w:val="0"/>
              <w:widowControl/>
              <w:suppressLineNumbers w:val="0"/>
              <w:shd w:val="clear" w:color="auto" w:fill="auto"/>
              <w:spacing w:before="0" w:beforeAutospacing="0" w:after="0" w:afterAutospacing="0"/>
              <w:ind w:left="0" w:right="0"/>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注：如有一项不合格，作废标处理。</w:t>
            </w:r>
          </w:p>
        </w:tc>
        <w:tc>
          <w:tcPr>
            <w:tcW w:w="1340" w:type="dxa"/>
            <w:gridSpan w:val="3"/>
            <w:tcBorders>
              <w:left w:val="single" w:color="auto" w:sz="4" w:space="0"/>
              <w:bottom w:val="single" w:color="auto" w:sz="4" w:space="0"/>
              <w:right w:val="single" w:color="auto" w:sz="4" w:space="0"/>
            </w:tcBorders>
            <w:vAlign w:val="top"/>
          </w:tcPr>
          <w:p>
            <w:pPr>
              <w:keepNext w:val="0"/>
              <w:keepLines w:val="0"/>
              <w:suppressLineNumbers w:val="0"/>
              <w:shd w:val="clear" w:color="auto" w:fill="auto"/>
              <w:spacing w:before="0" w:beforeAutospacing="0" w:after="0" w:afterAutospacing="0"/>
              <w:ind w:left="0" w:right="0"/>
              <w:rPr>
                <w:rFonts w:hint="eastAsia" w:ascii="宋体" w:hAnsi="宋体" w:eastAsia="宋体" w:cs="宋体"/>
                <w:color w:val="auto"/>
                <w:sz w:val="24"/>
                <w:szCs w:val="24"/>
                <w:highlight w:val="none"/>
              </w:rPr>
            </w:pPr>
          </w:p>
        </w:tc>
      </w:tr>
    </w:tbl>
    <w:p>
      <w:pPr>
        <w:shd w:val="clear" w:color="auto" w:fill="auto"/>
        <w:bidi w:val="0"/>
        <w:rPr>
          <w:rFonts w:hint="eastAsia"/>
          <w:color w:val="auto"/>
          <w:highlight w:val="none"/>
        </w:rPr>
      </w:pPr>
    </w:p>
    <w:p>
      <w:pPr>
        <w:shd w:val="clear" w:color="auto" w:fill="auto"/>
        <w:spacing w:line="400" w:lineRule="exact"/>
        <w:ind w:firstLine="506" w:firstLineChars="241"/>
        <w:rPr>
          <w:rFonts w:hint="eastAsia" w:ascii="宋体"/>
          <w:color w:val="auto"/>
          <w:szCs w:val="21"/>
          <w:highlight w:val="none"/>
        </w:rPr>
      </w:pPr>
      <w:r>
        <w:rPr>
          <w:rFonts w:hint="eastAsia" w:ascii="宋体"/>
          <w:color w:val="auto"/>
          <w:szCs w:val="21"/>
          <w:highlight w:val="none"/>
          <w:lang w:val="en-US" w:eastAsia="zh-CN"/>
        </w:rPr>
        <w:t>7</w:t>
      </w:r>
      <w:r>
        <w:rPr>
          <w:rFonts w:hint="eastAsia" w:ascii="宋体"/>
          <w:color w:val="auto"/>
          <w:szCs w:val="21"/>
          <w:highlight w:val="none"/>
        </w:rPr>
        <w:t>.2评委会判定投标文件的响应性只根据投标文件本身的内容，而不寻求外部的证据，但投标有不真实不正确的内容时除外。</w:t>
      </w:r>
    </w:p>
    <w:p>
      <w:pPr>
        <w:shd w:val="clear" w:color="auto" w:fill="auto"/>
        <w:spacing w:line="400" w:lineRule="exact"/>
        <w:ind w:firstLine="506" w:firstLineChars="241"/>
        <w:rPr>
          <w:rFonts w:hint="eastAsia" w:ascii="宋体"/>
          <w:color w:val="auto"/>
          <w:szCs w:val="21"/>
          <w:highlight w:val="none"/>
        </w:rPr>
      </w:pPr>
      <w:r>
        <w:rPr>
          <w:rFonts w:hint="eastAsia" w:ascii="宋体"/>
          <w:color w:val="auto"/>
          <w:szCs w:val="21"/>
          <w:highlight w:val="none"/>
          <w:lang w:val="en-US" w:eastAsia="zh-CN"/>
        </w:rPr>
        <w:t>7</w:t>
      </w:r>
      <w:r>
        <w:rPr>
          <w:rFonts w:hint="eastAsia" w:ascii="宋体"/>
          <w:color w:val="auto"/>
          <w:szCs w:val="21"/>
          <w:highlight w:val="none"/>
        </w:rPr>
        <w:t>.3如果投标文件实质上没有响应</w:t>
      </w:r>
      <w:r>
        <w:rPr>
          <w:rFonts w:hint="eastAsia" w:ascii="宋体"/>
          <w:color w:val="auto"/>
          <w:szCs w:val="21"/>
          <w:highlight w:val="none"/>
          <w:lang w:eastAsia="zh-CN"/>
        </w:rPr>
        <w:t>采购文件</w:t>
      </w:r>
      <w:r>
        <w:rPr>
          <w:rFonts w:hint="eastAsia" w:ascii="宋体"/>
          <w:color w:val="auto"/>
          <w:szCs w:val="21"/>
          <w:highlight w:val="none"/>
        </w:rPr>
        <w:t>的要求，评委会将予以拒绝，投标人不得通过修正或撤销不符合要求的偏离或保留，而使其投标成为实质上响应的投标。</w:t>
      </w:r>
    </w:p>
    <w:p>
      <w:pPr>
        <w:shd w:val="clear" w:color="auto" w:fill="auto"/>
        <w:spacing w:line="400" w:lineRule="exact"/>
        <w:ind w:firstLine="420" w:firstLineChars="200"/>
        <w:rPr>
          <w:rFonts w:hint="eastAsia" w:ascii="宋体"/>
          <w:color w:val="auto"/>
          <w:szCs w:val="21"/>
          <w:highlight w:val="none"/>
        </w:rPr>
      </w:pPr>
      <w:r>
        <w:rPr>
          <w:rFonts w:hint="eastAsia" w:ascii="宋体"/>
          <w:color w:val="auto"/>
          <w:szCs w:val="21"/>
          <w:highlight w:val="none"/>
        </w:rPr>
        <w:t xml:space="preserve"> </w:t>
      </w:r>
      <w:r>
        <w:rPr>
          <w:rFonts w:hint="eastAsia" w:ascii="宋体"/>
          <w:color w:val="auto"/>
          <w:szCs w:val="21"/>
          <w:highlight w:val="none"/>
          <w:lang w:val="en-US" w:eastAsia="zh-CN"/>
        </w:rPr>
        <w:t>7</w:t>
      </w:r>
      <w:r>
        <w:rPr>
          <w:rFonts w:hint="eastAsia" w:ascii="宋体"/>
          <w:color w:val="auto"/>
          <w:szCs w:val="21"/>
          <w:highlight w:val="none"/>
        </w:rPr>
        <w:t>.4投标人可在现场20分钟内对评标委员会的评审结论提出异议，评标委员会根据</w:t>
      </w:r>
      <w:r>
        <w:rPr>
          <w:rFonts w:hint="eastAsia" w:ascii="宋体"/>
          <w:color w:val="auto"/>
          <w:szCs w:val="21"/>
          <w:highlight w:val="none"/>
          <w:lang w:eastAsia="zh-CN"/>
        </w:rPr>
        <w:t>采购文件</w:t>
      </w:r>
      <w:r>
        <w:rPr>
          <w:rFonts w:hint="eastAsia" w:ascii="宋体"/>
          <w:color w:val="auto"/>
          <w:szCs w:val="21"/>
          <w:highlight w:val="none"/>
        </w:rPr>
        <w:t>及有关规定对投标人的异议进行复议</w:t>
      </w:r>
    </w:p>
    <w:p>
      <w:pPr>
        <w:shd w:val="clear" w:color="auto" w:fill="auto"/>
        <w:spacing w:line="400" w:lineRule="exact"/>
        <w:ind w:firstLine="525" w:firstLineChars="250"/>
        <w:rPr>
          <w:rFonts w:hint="eastAsia" w:ascii="宋体"/>
          <w:color w:val="auto"/>
          <w:szCs w:val="21"/>
          <w:highlight w:val="none"/>
        </w:rPr>
      </w:pPr>
      <w:r>
        <w:rPr>
          <w:rFonts w:hint="eastAsia" w:ascii="宋体"/>
          <w:color w:val="auto"/>
          <w:szCs w:val="21"/>
          <w:highlight w:val="none"/>
          <w:lang w:val="en-US" w:eastAsia="zh-CN"/>
        </w:rPr>
        <w:t>7</w:t>
      </w:r>
      <w:r>
        <w:rPr>
          <w:rFonts w:hint="eastAsia" w:ascii="宋体"/>
          <w:color w:val="auto"/>
          <w:szCs w:val="21"/>
          <w:highlight w:val="none"/>
        </w:rPr>
        <w:t>.5只有通过初审的投标人才能进入下一步评标程序。</w:t>
      </w:r>
    </w:p>
    <w:p>
      <w:pPr>
        <w:shd w:val="clear" w:color="auto" w:fill="auto"/>
        <w:spacing w:line="400" w:lineRule="exact"/>
        <w:ind w:firstLine="420" w:firstLineChars="200"/>
        <w:rPr>
          <w:rFonts w:hint="eastAsia" w:ascii="宋体"/>
          <w:color w:val="auto"/>
          <w:szCs w:val="21"/>
          <w:highlight w:val="none"/>
        </w:rPr>
      </w:pPr>
      <w:r>
        <w:rPr>
          <w:rFonts w:hint="eastAsia" w:ascii="宋体" w:hAnsi="宋体"/>
          <w:b/>
          <w:color w:val="auto"/>
          <w:szCs w:val="21"/>
          <w:highlight w:val="none"/>
        </w:rPr>
        <w:t>温馨提示：投标文件资格审查资料请精心准备,如评标专家在检验电子标书过程中，如果由于投标人自身原因导致评标专家无法查看并检验电子标书中以上相关资料的，按无效投标处理。即使投标单位将原件携带至现场的，同样按无效投标处理。</w:t>
      </w:r>
    </w:p>
    <w:p>
      <w:pPr>
        <w:shd w:val="clear" w:color="auto" w:fill="auto"/>
        <w:spacing w:before="156" w:beforeLines="50" w:line="400" w:lineRule="exact"/>
        <w:jc w:val="center"/>
        <w:outlineLvl w:val="1"/>
        <w:rPr>
          <w:rFonts w:hint="eastAsia" w:ascii="宋体"/>
          <w:b/>
          <w:color w:val="auto"/>
          <w:sz w:val="24"/>
          <w:highlight w:val="none"/>
        </w:rPr>
      </w:pPr>
      <w:bookmarkStart w:id="74" w:name="_Toc362983803"/>
      <w:bookmarkStart w:id="75" w:name="_Toc469495734"/>
      <w:r>
        <w:rPr>
          <w:rFonts w:hint="eastAsia" w:ascii="宋体"/>
          <w:b/>
          <w:color w:val="auto"/>
          <w:sz w:val="28"/>
          <w:szCs w:val="28"/>
          <w:highlight w:val="none"/>
        </w:rPr>
        <w:t xml:space="preserve">三  </w:t>
      </w:r>
      <w:r>
        <w:rPr>
          <w:rFonts w:hint="eastAsia" w:ascii="宋体"/>
          <w:b/>
          <w:color w:val="auto"/>
          <w:sz w:val="24"/>
          <w:highlight w:val="none"/>
        </w:rPr>
        <w:t>投标文件的澄清和补正</w:t>
      </w:r>
      <w:bookmarkEnd w:id="74"/>
      <w:bookmarkEnd w:id="75"/>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8．澄清、说明或补正的形式</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8.1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8.2投标供应商的澄清、说明或者补正应当通过“政府采购云平台”在线答复的方式提交，并加盖公章（电子印章），或者由法定代表人（负责人）或其授权的代表签字。投标供应商的澄清、说明或者补正不得超出投标文件的范围或者改变投标文件的实质性内容，不接受投标供应商主动对投标文件的澄清、说明或者补正。</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8.3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9．错误修正的原则</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电子交易平台客户端里开标一览表录入的投标报价或优惠率与扫描上传的报价文件信息不一致的，以扫描上传的报价文件信息为准进行修正。</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投标文件报价出现前后不一致的，除采购文件另有规定外，按照下列规定修正：</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9.1 投标函中表述的内容与报价表中不一致的，以报价表为准；报价表中的内容与报价明细表不一致的，以报价表为准；</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9.2 投标文件中的大写金额和小写金额不一致的，以大写金额为准；</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9.3 单价金额小数点或者百分比有明显错位的，以开标一览表的总价为准，并修改单价；</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9.4 总价金额与按单价汇总金额不一致的，以单价金额计算结果为准；</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9.5 若用文字表示的数值与用数字表示的数值不一致，以文字表示的数值为准；</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9.6 如有多报（指数量超出采购文件需求）、重报（指同一货物重复报价），其投标总价在评标过程中不予调整，如其中标，其合同价按其投标单价予以调整；</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9.7 对不同文字文本投标文件的解释发生异议的，以中文文本为准；</w:t>
      </w:r>
    </w:p>
    <w:p>
      <w:pPr>
        <w:shd w:val="clear" w:color="auto" w:fill="auto"/>
        <w:spacing w:line="440" w:lineRule="exact"/>
        <w:ind w:firstLine="210" w:firstLineChars="100"/>
        <w:jc w:val="left"/>
        <w:rPr>
          <w:rFonts w:hint="eastAsia" w:ascii="宋体"/>
          <w:b/>
          <w:color w:val="auto"/>
          <w:sz w:val="24"/>
          <w:highlight w:val="none"/>
        </w:rPr>
      </w:pPr>
      <w:r>
        <w:rPr>
          <w:rFonts w:hint="eastAsia" w:ascii="宋体"/>
          <w:b w:val="0"/>
          <w:bCs w:val="0"/>
          <w:color w:val="auto"/>
          <w:szCs w:val="21"/>
          <w:highlight w:val="none"/>
          <w:lang w:val="en-US"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bookmarkStart w:id="76" w:name="_Toc469495735"/>
    </w:p>
    <w:p>
      <w:pPr>
        <w:shd w:val="clear" w:color="auto" w:fill="auto"/>
        <w:spacing w:line="400" w:lineRule="exact"/>
        <w:jc w:val="center"/>
        <w:outlineLvl w:val="1"/>
        <w:rPr>
          <w:rFonts w:hint="eastAsia" w:ascii="宋体"/>
          <w:b/>
          <w:color w:val="auto"/>
          <w:sz w:val="24"/>
          <w:highlight w:val="none"/>
        </w:rPr>
      </w:pPr>
      <w:r>
        <w:rPr>
          <w:rFonts w:hint="eastAsia" w:ascii="宋体"/>
          <w:b/>
          <w:color w:val="auto"/>
          <w:sz w:val="24"/>
          <w:highlight w:val="none"/>
        </w:rPr>
        <w:t>四 比较与评价</w:t>
      </w:r>
      <w:bookmarkEnd w:id="76"/>
    </w:p>
    <w:p>
      <w:pPr>
        <w:shd w:val="clear" w:color="auto" w:fill="auto"/>
        <w:tabs>
          <w:tab w:val="left" w:pos="720"/>
        </w:tabs>
        <w:spacing w:line="440" w:lineRule="exact"/>
        <w:ind w:firstLine="535" w:firstLineChars="255"/>
        <w:rPr>
          <w:rFonts w:hint="eastAsia" w:ascii="宋体" w:hAnsi="宋体" w:eastAsia="宋体" w:cs="宋体"/>
          <w:color w:val="auto"/>
          <w:szCs w:val="21"/>
          <w:highlight w:val="none"/>
          <w:lang w:bidi="ar-SA"/>
        </w:rPr>
      </w:pPr>
      <w:bookmarkStart w:id="77" w:name="_Toc469495736"/>
      <w:bookmarkStart w:id="78" w:name="_Toc362983805"/>
      <w:r>
        <w:rPr>
          <w:rFonts w:hint="eastAsia" w:ascii="宋体" w:hAnsi="宋体" w:eastAsia="宋体" w:cs="宋体"/>
          <w:color w:val="auto"/>
          <w:szCs w:val="21"/>
          <w:highlight w:val="none"/>
          <w:lang w:val="en-US" w:eastAsia="zh-CN" w:bidi="ar-SA"/>
        </w:rPr>
        <w:t>10.1</w:t>
      </w:r>
      <w:r>
        <w:rPr>
          <w:rFonts w:hint="eastAsia" w:ascii="宋体" w:hAnsi="宋体" w:eastAsia="宋体" w:cs="宋体"/>
          <w:color w:val="auto"/>
          <w:szCs w:val="21"/>
          <w:highlight w:val="none"/>
          <w:lang w:bidi="ar-SA"/>
        </w:rPr>
        <w:t>评标委员会按招标文件中规定的评标方法和标准，对资格性检查和符合性检查合格的投标文件进行商务和技术评估、综合比较与评价。</w:t>
      </w:r>
    </w:p>
    <w:p>
      <w:pPr>
        <w:shd w:val="clear" w:color="auto" w:fill="auto"/>
        <w:spacing w:line="440" w:lineRule="exact"/>
        <w:ind w:firstLine="539"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val="en-US" w:eastAsia="zh-CN" w:bidi="ar-SA"/>
        </w:rPr>
        <w:t>10.2</w:t>
      </w:r>
      <w:r>
        <w:rPr>
          <w:rFonts w:hint="eastAsia" w:ascii="宋体" w:hAnsi="宋体" w:eastAsia="宋体" w:cs="宋体"/>
          <w:color w:val="auto"/>
          <w:szCs w:val="21"/>
          <w:highlight w:val="none"/>
          <w:lang w:bidi="ar-SA"/>
        </w:rPr>
        <w:t>评标委员会根据商务和技术评估的结果，采用综合评分法，分别对投标文件的商务、技术、价格等内容进行打分。其中，商务评估、技术评估、价格评估的评分权值（详见附件1）。</w:t>
      </w:r>
    </w:p>
    <w:p>
      <w:pPr>
        <w:shd w:val="clear" w:color="auto" w:fill="auto"/>
        <w:spacing w:line="440" w:lineRule="exact"/>
        <w:ind w:firstLine="539" w:firstLineChars="257"/>
        <w:rPr>
          <w:rFonts w:hint="eastAsia" w:ascii="宋体" w:hAnsi="宋体" w:eastAsia="宋体" w:cs="宋体"/>
          <w:bCs/>
          <w:color w:val="auto"/>
          <w:szCs w:val="21"/>
          <w:highlight w:val="none"/>
          <w:lang w:bidi="ar-SA"/>
        </w:rPr>
      </w:pPr>
      <w:r>
        <w:rPr>
          <w:rFonts w:hint="eastAsia" w:ascii="宋体" w:hAnsi="宋体" w:eastAsia="宋体" w:cs="宋体"/>
          <w:color w:val="auto"/>
          <w:szCs w:val="21"/>
          <w:highlight w:val="none"/>
          <w:lang w:val="en-US" w:eastAsia="zh-CN" w:bidi="ar-SA"/>
        </w:rPr>
        <w:t>10.</w:t>
      </w:r>
      <w:r>
        <w:rPr>
          <w:rFonts w:hint="eastAsia" w:ascii="宋体" w:hAnsi="宋体" w:eastAsia="宋体" w:cs="宋体"/>
          <w:bCs/>
          <w:color w:val="auto"/>
          <w:szCs w:val="21"/>
          <w:highlight w:val="none"/>
          <w:lang w:val="en-US" w:eastAsia="zh-CN" w:bidi="ar-SA"/>
        </w:rPr>
        <w:t>2.1</w:t>
      </w:r>
      <w:r>
        <w:rPr>
          <w:rFonts w:hint="eastAsia" w:ascii="宋体" w:hAnsi="宋体" w:eastAsia="宋体" w:cs="宋体"/>
          <w:bCs/>
          <w:color w:val="auto"/>
          <w:szCs w:val="21"/>
          <w:highlight w:val="none"/>
          <w:lang w:bidi="ar-SA"/>
        </w:rPr>
        <w:t>评委打分办法</w:t>
      </w:r>
    </w:p>
    <w:p>
      <w:pPr>
        <w:shd w:val="clear" w:color="auto" w:fill="auto"/>
        <w:spacing w:line="440" w:lineRule="exact"/>
        <w:ind w:firstLine="539" w:firstLineChars="257"/>
        <w:rPr>
          <w:rFonts w:hint="eastAsia" w:ascii="宋体" w:hAnsi="宋体" w:eastAsia="宋体" w:cs="宋体"/>
          <w:color w:val="auto"/>
          <w:szCs w:val="21"/>
          <w:highlight w:val="none"/>
          <w:lang w:bidi="ar-SA"/>
        </w:rPr>
      </w:pPr>
      <w:r>
        <w:rPr>
          <w:rFonts w:hint="eastAsia" w:ascii="宋体" w:hAnsi="宋体" w:eastAsia="宋体" w:cs="宋体"/>
          <w:bCs/>
          <w:color w:val="auto"/>
          <w:szCs w:val="21"/>
          <w:highlight w:val="none"/>
          <w:lang w:bidi="ar-SA"/>
        </w:rPr>
        <w:t>（1）</w:t>
      </w:r>
      <w:r>
        <w:rPr>
          <w:rFonts w:hint="eastAsia" w:ascii="宋体" w:hAnsi="宋体" w:eastAsia="宋体" w:cs="宋体"/>
          <w:color w:val="auto"/>
          <w:szCs w:val="21"/>
          <w:highlight w:val="none"/>
          <w:lang w:bidi="ar-SA"/>
        </w:rPr>
        <w:t>参加评分的评委应尽力体现客观、实事求是，避免学派偏见和个人偏好。</w:t>
      </w:r>
    </w:p>
    <w:p>
      <w:pPr>
        <w:shd w:val="clear" w:color="auto" w:fill="auto"/>
        <w:spacing w:line="440" w:lineRule="exact"/>
        <w:ind w:firstLine="539"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（2）衡量、对比的依据，应以招标文件、投标文件、提供的正式试验数据、质询澄清中的文字为准，口头回答和收集的资料只作为参考。</w:t>
      </w:r>
    </w:p>
    <w:p>
      <w:pPr>
        <w:shd w:val="clear" w:color="auto" w:fill="auto"/>
        <w:spacing w:line="440" w:lineRule="exact"/>
        <w:ind w:firstLine="539"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（3）评分主要是为比较各投标人的价格、商务和技术综合排序。</w:t>
      </w:r>
    </w:p>
    <w:p>
      <w:pPr>
        <w:shd w:val="clear" w:color="auto" w:fill="auto"/>
        <w:spacing w:line="440" w:lineRule="exact"/>
        <w:ind w:firstLine="539"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（4）评委打分采取记名形式。</w:t>
      </w:r>
    </w:p>
    <w:p>
      <w:pPr>
        <w:shd w:val="clear" w:color="auto" w:fill="auto"/>
        <w:spacing w:line="440" w:lineRule="exact"/>
        <w:ind w:firstLine="539"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（5）各评委根据提供的技术打分表独立自主打分，任何人不得要求评委统一打分或统一确定等次顺序。</w:t>
      </w:r>
    </w:p>
    <w:p>
      <w:pPr>
        <w:shd w:val="clear" w:color="auto" w:fill="auto"/>
        <w:spacing w:line="440" w:lineRule="exact"/>
        <w:ind w:firstLine="539"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（6）对打分表中的每项条款，各评委应根据投标文件、澄清材料、招标文件要求，按满足的程度给投标人打分。</w:t>
      </w:r>
    </w:p>
    <w:p>
      <w:pPr>
        <w:shd w:val="clear" w:color="auto" w:fill="auto"/>
        <w:spacing w:line="440" w:lineRule="exact"/>
        <w:ind w:firstLine="539"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（7）评分程序</w:t>
      </w:r>
    </w:p>
    <w:p>
      <w:pPr>
        <w:shd w:val="clear" w:color="auto" w:fill="auto"/>
        <w:spacing w:line="440" w:lineRule="exact"/>
        <w:ind w:firstLine="539"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1)就投标人的投标文件对照整理出商务、技术评标因素对比表、偏差表，并在经过校核的基础上逐项打分。</w:t>
      </w:r>
    </w:p>
    <w:p>
      <w:pPr>
        <w:shd w:val="clear" w:color="auto" w:fill="auto"/>
        <w:spacing w:line="440" w:lineRule="exact"/>
        <w:ind w:firstLine="539"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2)各评委独立完成打分后，将评分表交给代理机构，由代理机构组织进行分数统计。</w:t>
      </w:r>
    </w:p>
    <w:p>
      <w:pPr>
        <w:shd w:val="clear" w:color="auto" w:fill="auto"/>
        <w:spacing w:line="440" w:lineRule="exact"/>
        <w:ind w:firstLine="539"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3)最终汇总表中各投标人得分应为评委打分的算术平均值。</w:t>
      </w:r>
    </w:p>
    <w:p>
      <w:pPr>
        <w:numPr>
          <w:ilvl w:val="0"/>
          <w:numId w:val="0"/>
        </w:numPr>
        <w:shd w:val="clear" w:color="auto" w:fill="auto"/>
        <w:spacing w:line="500" w:lineRule="exact"/>
        <w:ind w:firstLine="420" w:firstLineChars="200"/>
        <w:jc w:val="left"/>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（8）评分标准和细则（综合评分法评分标准）</w:t>
      </w:r>
    </w:p>
    <w:tbl>
      <w:tblPr>
        <w:tblStyle w:val="47"/>
        <w:tblW w:w="101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0"/>
        <w:gridCol w:w="2182"/>
        <w:gridCol w:w="6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850" w:type="dxa"/>
            <w:noWrap w:val="0"/>
            <w:vAlign w:val="center"/>
          </w:tcPr>
          <w:p>
            <w:pPr>
              <w:keepNext w:val="0"/>
              <w:keepLines w:val="0"/>
              <w:suppressLineNumbers w:val="0"/>
              <w:spacing w:before="0" w:beforeAutospacing="0" w:after="0" w:afterAutospacing="0" w:line="440" w:lineRule="exact"/>
              <w:ind w:left="0" w:right="0"/>
              <w:jc w:val="center"/>
              <w:rPr>
                <w:rFonts w:hint="default" w:ascii="仿宋" w:hAnsi="仿宋" w:eastAsia="仿宋" w:cs="仿宋"/>
                <w:b/>
                <w:bCs/>
                <w:color w:val="auto"/>
                <w:sz w:val="24"/>
                <w:szCs w:val="24"/>
                <w:lang w:eastAsia="zh-CN" w:bidi="ar-SA"/>
              </w:rPr>
            </w:pPr>
            <w:r>
              <w:rPr>
                <w:rFonts w:hint="eastAsia" w:ascii="仿宋" w:hAnsi="仿宋" w:eastAsia="仿宋" w:cs="仿宋"/>
                <w:b/>
                <w:bCs/>
                <w:color w:val="auto"/>
                <w:sz w:val="24"/>
                <w:szCs w:val="24"/>
                <w:lang w:eastAsia="zh-CN" w:bidi="ar-SA"/>
              </w:rPr>
              <w:t>评分因素</w:t>
            </w:r>
          </w:p>
        </w:tc>
        <w:tc>
          <w:tcPr>
            <w:tcW w:w="2182" w:type="dxa"/>
            <w:noWrap w:val="0"/>
            <w:vAlign w:val="center"/>
          </w:tcPr>
          <w:p>
            <w:pPr>
              <w:keepNext w:val="0"/>
              <w:keepLines w:val="0"/>
              <w:suppressLineNumbers w:val="0"/>
              <w:spacing w:before="0" w:beforeAutospacing="0" w:after="0" w:afterAutospacing="0" w:line="440" w:lineRule="exact"/>
              <w:ind w:left="0" w:right="0"/>
              <w:jc w:val="center"/>
              <w:rPr>
                <w:rFonts w:hint="default" w:ascii="仿宋" w:hAnsi="仿宋" w:eastAsia="仿宋" w:cs="仿宋"/>
                <w:b/>
                <w:bCs/>
                <w:color w:val="auto"/>
                <w:sz w:val="24"/>
                <w:szCs w:val="24"/>
                <w:lang w:eastAsia="zh-CN" w:bidi="ar-SA"/>
              </w:rPr>
            </w:pPr>
            <w:r>
              <w:rPr>
                <w:rFonts w:hint="eastAsia" w:ascii="仿宋" w:hAnsi="仿宋" w:eastAsia="仿宋" w:cs="仿宋"/>
                <w:b/>
                <w:bCs/>
                <w:color w:val="auto"/>
                <w:sz w:val="24"/>
                <w:szCs w:val="24"/>
                <w:lang w:eastAsia="zh-CN" w:bidi="ar-SA"/>
              </w:rPr>
              <w:t>分值</w:t>
            </w:r>
          </w:p>
        </w:tc>
        <w:tc>
          <w:tcPr>
            <w:tcW w:w="6098" w:type="dxa"/>
            <w:noWrap w:val="0"/>
            <w:vAlign w:val="center"/>
          </w:tcPr>
          <w:p>
            <w:pPr>
              <w:keepNext w:val="0"/>
              <w:keepLines w:val="0"/>
              <w:suppressLineNumbers w:val="0"/>
              <w:spacing w:before="0" w:beforeAutospacing="0" w:after="0" w:afterAutospacing="0" w:line="440" w:lineRule="exact"/>
              <w:ind w:left="0" w:right="0"/>
              <w:jc w:val="center"/>
              <w:rPr>
                <w:rFonts w:hint="default" w:ascii="仿宋" w:hAnsi="仿宋" w:eastAsia="仿宋" w:cs="仿宋"/>
                <w:b/>
                <w:bCs/>
                <w:color w:val="auto"/>
                <w:sz w:val="24"/>
                <w:szCs w:val="24"/>
                <w:lang w:eastAsia="zh-CN" w:bidi="ar-SA"/>
              </w:rPr>
            </w:pPr>
            <w:r>
              <w:rPr>
                <w:rFonts w:hint="eastAsia" w:ascii="仿宋" w:hAnsi="仿宋" w:eastAsia="仿宋" w:cs="仿宋"/>
                <w:b/>
                <w:bCs/>
                <w:color w:val="auto"/>
                <w:sz w:val="24"/>
                <w:szCs w:val="24"/>
                <w:lang w:eastAsia="zh-CN" w:bidi="ar-S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jc w:val="center"/>
        </w:trPr>
        <w:tc>
          <w:tcPr>
            <w:tcW w:w="1850" w:type="dxa"/>
            <w:noWrap w:val="0"/>
            <w:vAlign w:val="center"/>
          </w:tcPr>
          <w:p>
            <w:pPr>
              <w:keepNext w:val="0"/>
              <w:keepLines w:val="0"/>
              <w:suppressLineNumbers w:val="0"/>
              <w:spacing w:before="0" w:beforeAutospacing="0" w:after="0" w:afterAutospacing="0" w:line="440" w:lineRule="exact"/>
              <w:ind w:left="0" w:right="0"/>
              <w:jc w:val="center"/>
              <w:rPr>
                <w:rFonts w:hint="default" w:ascii="仿宋" w:hAnsi="仿宋" w:eastAsia="仿宋" w:cs="仿宋"/>
                <w:color w:val="auto"/>
                <w:sz w:val="24"/>
                <w:szCs w:val="24"/>
                <w:highlight w:val="none"/>
                <w:lang w:eastAsia="zh-CN" w:bidi="ar-SA"/>
              </w:rPr>
            </w:pPr>
            <w:r>
              <w:rPr>
                <w:rFonts w:hint="eastAsia" w:ascii="仿宋" w:hAnsi="仿宋" w:eastAsia="仿宋" w:cs="仿宋"/>
                <w:color w:val="auto"/>
                <w:sz w:val="24"/>
                <w:szCs w:val="24"/>
                <w:highlight w:val="none"/>
                <w:lang w:eastAsia="zh-CN" w:bidi="ar-SA"/>
              </w:rPr>
              <w:t>报价得分</w:t>
            </w:r>
          </w:p>
          <w:p>
            <w:pPr>
              <w:keepNext w:val="0"/>
              <w:keepLines w:val="0"/>
              <w:suppressLineNumbers w:val="0"/>
              <w:spacing w:before="0" w:beforeAutospacing="0" w:after="0" w:afterAutospacing="0" w:line="440" w:lineRule="exact"/>
              <w:ind w:left="0" w:right="0"/>
              <w:jc w:val="center"/>
              <w:rPr>
                <w:rFonts w:hint="default" w:ascii="仿宋" w:hAnsi="仿宋" w:eastAsia="仿宋" w:cs="仿宋"/>
                <w:color w:val="auto"/>
                <w:sz w:val="24"/>
                <w:szCs w:val="24"/>
                <w:highlight w:val="none"/>
                <w:lang w:eastAsia="zh-CN" w:bidi="ar-SA"/>
              </w:rPr>
            </w:pPr>
            <w:r>
              <w:rPr>
                <w:rFonts w:hint="eastAsia" w:ascii="仿宋" w:hAnsi="仿宋" w:eastAsia="仿宋" w:cs="仿宋"/>
                <w:color w:val="auto"/>
                <w:sz w:val="24"/>
                <w:szCs w:val="24"/>
                <w:highlight w:val="none"/>
                <w:lang w:eastAsia="zh-CN" w:bidi="ar-SA"/>
              </w:rPr>
              <w:t>（</w:t>
            </w:r>
            <w:r>
              <w:rPr>
                <w:rFonts w:hint="eastAsia" w:ascii="仿宋" w:hAnsi="仿宋" w:eastAsia="仿宋" w:cs="仿宋"/>
                <w:color w:val="auto"/>
                <w:sz w:val="24"/>
                <w:szCs w:val="24"/>
                <w:highlight w:val="none"/>
                <w:lang w:val="en-US" w:eastAsia="zh-CN" w:bidi="ar-SA"/>
              </w:rPr>
              <w:t>30</w:t>
            </w:r>
            <w:r>
              <w:rPr>
                <w:rFonts w:hint="eastAsia" w:ascii="仿宋" w:hAnsi="仿宋" w:eastAsia="仿宋" w:cs="仿宋"/>
                <w:color w:val="auto"/>
                <w:sz w:val="24"/>
                <w:szCs w:val="24"/>
                <w:highlight w:val="none"/>
                <w:lang w:eastAsia="zh-CN" w:bidi="ar-SA"/>
              </w:rPr>
              <w:t>分）</w:t>
            </w:r>
          </w:p>
        </w:tc>
        <w:tc>
          <w:tcPr>
            <w:tcW w:w="2182" w:type="dxa"/>
            <w:noWrap w:val="0"/>
            <w:vAlign w:val="center"/>
          </w:tcPr>
          <w:p>
            <w:pPr>
              <w:keepNext w:val="0"/>
              <w:keepLines w:val="0"/>
              <w:suppressLineNumbers w:val="0"/>
              <w:spacing w:before="0" w:beforeAutospacing="0" w:after="0" w:afterAutospacing="0" w:line="440" w:lineRule="exact"/>
              <w:ind w:left="0" w:right="0"/>
              <w:jc w:val="center"/>
              <w:rPr>
                <w:rFonts w:hint="default" w:ascii="仿宋" w:hAnsi="仿宋" w:eastAsia="仿宋" w:cs="仿宋"/>
                <w:color w:val="auto"/>
                <w:sz w:val="24"/>
                <w:szCs w:val="24"/>
                <w:highlight w:val="none"/>
                <w:lang w:eastAsia="zh-CN" w:bidi="ar-SA"/>
              </w:rPr>
            </w:pPr>
            <w:r>
              <w:rPr>
                <w:rFonts w:hint="eastAsia" w:ascii="仿宋" w:hAnsi="仿宋" w:eastAsia="仿宋" w:cs="仿宋"/>
                <w:color w:val="auto"/>
                <w:sz w:val="24"/>
                <w:szCs w:val="24"/>
                <w:highlight w:val="none"/>
                <w:lang w:val="en-US" w:eastAsia="zh-CN" w:bidi="ar-SA"/>
              </w:rPr>
              <w:t>30</w:t>
            </w:r>
            <w:r>
              <w:rPr>
                <w:rFonts w:hint="eastAsia" w:ascii="仿宋" w:hAnsi="仿宋" w:eastAsia="仿宋" w:cs="仿宋"/>
                <w:color w:val="auto"/>
                <w:sz w:val="24"/>
                <w:szCs w:val="24"/>
                <w:highlight w:val="none"/>
                <w:lang w:eastAsia="zh-CN" w:bidi="ar-SA"/>
              </w:rPr>
              <w:t>分</w:t>
            </w:r>
          </w:p>
        </w:tc>
        <w:tc>
          <w:tcPr>
            <w:tcW w:w="6098" w:type="dxa"/>
            <w:noWrap w:val="0"/>
            <w:vAlign w:val="top"/>
          </w:tcPr>
          <w:p>
            <w:pPr>
              <w:keepNext w:val="0"/>
              <w:keepLines w:val="0"/>
              <w:suppressLineNumbers w:val="0"/>
              <w:spacing w:before="0" w:beforeAutospacing="0" w:after="0" w:afterAutospacing="0" w:line="440" w:lineRule="exact"/>
              <w:ind w:left="0" w:right="0"/>
              <w:rPr>
                <w:rFonts w:hint="default" w:ascii="仿宋" w:hAnsi="仿宋" w:eastAsia="仿宋" w:cs="仿宋"/>
                <w:color w:val="auto"/>
                <w:sz w:val="24"/>
                <w:szCs w:val="24"/>
                <w:highlight w:val="none"/>
                <w:lang w:eastAsia="zh-CN" w:bidi="ar-SA"/>
              </w:rPr>
            </w:pPr>
            <w:r>
              <w:rPr>
                <w:rFonts w:hint="eastAsia" w:ascii="仿宋" w:hAnsi="仿宋" w:eastAsia="仿宋" w:cs="仿宋"/>
                <w:color w:val="auto"/>
                <w:sz w:val="24"/>
                <w:szCs w:val="24"/>
                <w:highlight w:val="none"/>
                <w:lang w:eastAsia="zh-CN" w:bidi="ar-SA"/>
              </w:rPr>
              <w:t>价格分应当采用低价优先法计算，满足招标文件要求且报价最低的为评审基准价，价格得分=（评审基准价/投标报价）×价格权值*100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jc w:val="center"/>
        </w:trPr>
        <w:tc>
          <w:tcPr>
            <w:tcW w:w="1850" w:type="dxa"/>
            <w:vMerge w:val="restart"/>
            <w:noWrap w:val="0"/>
            <w:vAlign w:val="center"/>
          </w:tcPr>
          <w:p>
            <w:pPr>
              <w:keepNext w:val="0"/>
              <w:keepLines w:val="0"/>
              <w:suppressLineNumbers w:val="0"/>
              <w:spacing w:before="0" w:beforeAutospacing="0" w:after="0" w:afterAutospacing="0" w:line="440" w:lineRule="exact"/>
              <w:ind w:left="0" w:right="0"/>
              <w:jc w:val="center"/>
              <w:rPr>
                <w:rFonts w:hint="default" w:ascii="仿宋" w:hAnsi="仿宋" w:eastAsia="仿宋" w:cs="仿宋"/>
                <w:color w:val="auto"/>
                <w:sz w:val="24"/>
                <w:szCs w:val="24"/>
                <w:highlight w:val="none"/>
                <w:lang w:eastAsia="zh-CN" w:bidi="ar-SA"/>
              </w:rPr>
            </w:pPr>
            <w:r>
              <w:rPr>
                <w:rFonts w:hint="eastAsia" w:ascii="仿宋" w:hAnsi="仿宋" w:eastAsia="仿宋" w:cs="仿宋"/>
                <w:color w:val="auto"/>
                <w:sz w:val="24"/>
                <w:szCs w:val="24"/>
                <w:highlight w:val="none"/>
                <w:lang w:eastAsia="zh-CN" w:bidi="ar-SA"/>
              </w:rPr>
              <w:t>商务技术部分</w:t>
            </w:r>
          </w:p>
          <w:p>
            <w:pPr>
              <w:keepNext w:val="0"/>
              <w:keepLines w:val="0"/>
              <w:suppressLineNumbers w:val="0"/>
              <w:spacing w:before="0" w:beforeAutospacing="0" w:after="0" w:afterAutospacing="0" w:line="440" w:lineRule="exact"/>
              <w:ind w:left="0" w:right="0"/>
              <w:jc w:val="center"/>
              <w:rPr>
                <w:rFonts w:hint="default" w:ascii="仿宋" w:hAnsi="仿宋" w:eastAsia="仿宋" w:cs="仿宋"/>
                <w:color w:val="auto"/>
                <w:sz w:val="24"/>
                <w:szCs w:val="24"/>
                <w:highlight w:val="none"/>
                <w:lang w:eastAsia="zh-CN" w:bidi="ar-SA"/>
              </w:rPr>
            </w:pPr>
            <w:r>
              <w:rPr>
                <w:rFonts w:hint="eastAsia" w:ascii="仿宋" w:hAnsi="仿宋" w:eastAsia="仿宋" w:cs="仿宋"/>
                <w:color w:val="auto"/>
                <w:sz w:val="24"/>
                <w:szCs w:val="24"/>
                <w:highlight w:val="none"/>
                <w:lang w:eastAsia="zh-CN" w:bidi="ar-SA"/>
              </w:rPr>
              <w:t>（</w:t>
            </w:r>
            <w:r>
              <w:rPr>
                <w:rFonts w:hint="eastAsia" w:ascii="仿宋" w:hAnsi="仿宋" w:eastAsia="仿宋" w:cs="仿宋"/>
                <w:color w:val="auto"/>
                <w:sz w:val="24"/>
                <w:szCs w:val="24"/>
                <w:highlight w:val="none"/>
                <w:lang w:val="en-US" w:eastAsia="zh-CN" w:bidi="ar-SA"/>
              </w:rPr>
              <w:t>70</w:t>
            </w:r>
            <w:r>
              <w:rPr>
                <w:rFonts w:hint="eastAsia" w:ascii="仿宋" w:hAnsi="仿宋" w:eastAsia="仿宋" w:cs="仿宋"/>
                <w:color w:val="auto"/>
                <w:sz w:val="24"/>
                <w:szCs w:val="24"/>
                <w:highlight w:val="none"/>
                <w:lang w:eastAsia="zh-CN" w:bidi="ar-SA"/>
              </w:rPr>
              <w:t>分）</w:t>
            </w:r>
          </w:p>
          <w:p>
            <w:pPr>
              <w:keepNext w:val="0"/>
              <w:keepLines w:val="0"/>
              <w:suppressLineNumbers w:val="0"/>
              <w:spacing w:before="0" w:beforeAutospacing="0" w:after="0" w:afterAutospacing="0" w:line="440" w:lineRule="exact"/>
              <w:ind w:left="0" w:right="0" w:firstLine="616" w:firstLineChars="257"/>
              <w:jc w:val="center"/>
              <w:rPr>
                <w:rFonts w:hint="default" w:ascii="仿宋" w:hAnsi="仿宋" w:eastAsia="仿宋" w:cs="仿宋"/>
                <w:color w:val="auto"/>
                <w:sz w:val="24"/>
                <w:szCs w:val="24"/>
                <w:highlight w:val="none"/>
                <w:lang w:eastAsia="zh-CN" w:bidi="ar-SA"/>
              </w:rPr>
            </w:pPr>
          </w:p>
          <w:p>
            <w:pPr>
              <w:keepNext w:val="0"/>
              <w:keepLines w:val="0"/>
              <w:suppressLineNumbers w:val="0"/>
              <w:spacing w:before="0" w:beforeAutospacing="0" w:after="0" w:afterAutospacing="0" w:line="440" w:lineRule="exact"/>
              <w:ind w:left="0" w:right="0" w:firstLine="616" w:firstLineChars="257"/>
              <w:jc w:val="center"/>
              <w:rPr>
                <w:rFonts w:hint="default" w:ascii="仿宋" w:hAnsi="仿宋" w:eastAsia="仿宋" w:cs="仿宋"/>
                <w:color w:val="auto"/>
                <w:sz w:val="24"/>
                <w:szCs w:val="24"/>
                <w:highlight w:val="none"/>
                <w:lang w:eastAsia="zh-CN" w:bidi="ar-SA"/>
              </w:rPr>
            </w:pPr>
          </w:p>
        </w:tc>
        <w:tc>
          <w:tcPr>
            <w:tcW w:w="2182" w:type="dxa"/>
            <w:noWrap w:val="0"/>
            <w:vAlign w:val="center"/>
          </w:tcPr>
          <w:p>
            <w:pPr>
              <w:keepNext w:val="0"/>
              <w:keepLines w:val="0"/>
              <w:suppressLineNumbers w:val="0"/>
              <w:spacing w:before="0" w:beforeAutospacing="0" w:after="0" w:afterAutospacing="0" w:line="440" w:lineRule="exact"/>
              <w:ind w:left="0" w:right="0"/>
              <w:rPr>
                <w:rFonts w:hint="default" w:ascii="仿宋" w:hAnsi="仿宋" w:eastAsia="仿宋" w:cs="仿宋"/>
                <w:color w:val="auto"/>
                <w:sz w:val="24"/>
                <w:szCs w:val="24"/>
                <w:highlight w:val="none"/>
                <w:lang w:val="zh-CN" w:eastAsia="zh-CN" w:bidi="ar-SA"/>
              </w:rPr>
            </w:pPr>
            <w:r>
              <w:rPr>
                <w:rFonts w:hint="eastAsia" w:ascii="仿宋" w:hAnsi="仿宋" w:eastAsia="仿宋" w:cs="仿宋"/>
                <w:color w:val="auto"/>
                <w:sz w:val="24"/>
                <w:szCs w:val="24"/>
                <w:highlight w:val="none"/>
                <w:lang w:val="zh-CN" w:eastAsia="zh-CN" w:bidi="ar-SA"/>
              </w:rPr>
              <w:t>技术指标、参数响应情况</w:t>
            </w:r>
          </w:p>
          <w:p>
            <w:pPr>
              <w:keepNext w:val="0"/>
              <w:keepLines w:val="0"/>
              <w:suppressLineNumbers w:val="0"/>
              <w:spacing w:before="0" w:beforeAutospacing="0" w:after="0" w:afterAutospacing="0" w:line="440" w:lineRule="exact"/>
              <w:ind w:left="0" w:right="0"/>
              <w:rPr>
                <w:rFonts w:hint="default" w:ascii="仿宋" w:hAnsi="仿宋" w:eastAsia="仿宋" w:cs="仿宋"/>
                <w:color w:val="auto"/>
                <w:sz w:val="24"/>
                <w:szCs w:val="24"/>
                <w:highlight w:val="none"/>
                <w:lang w:eastAsia="zh-CN" w:bidi="ar-SA"/>
              </w:rPr>
            </w:pPr>
            <w:r>
              <w:rPr>
                <w:rFonts w:hint="eastAsia" w:ascii="仿宋" w:hAnsi="仿宋" w:eastAsia="仿宋" w:cs="仿宋"/>
                <w:color w:val="auto"/>
                <w:sz w:val="24"/>
                <w:szCs w:val="24"/>
                <w:highlight w:val="none"/>
                <w:lang w:eastAsia="zh-CN" w:bidi="ar-SA"/>
              </w:rPr>
              <w:t>（</w:t>
            </w:r>
            <w:r>
              <w:rPr>
                <w:rFonts w:hint="eastAsia" w:ascii="仿宋" w:hAnsi="仿宋" w:eastAsia="仿宋" w:cs="仿宋"/>
                <w:color w:val="auto"/>
                <w:sz w:val="24"/>
                <w:szCs w:val="24"/>
                <w:highlight w:val="none"/>
                <w:lang w:val="en-US" w:eastAsia="zh-CN" w:bidi="ar-SA"/>
              </w:rPr>
              <w:t>30</w:t>
            </w:r>
            <w:r>
              <w:rPr>
                <w:rFonts w:hint="eastAsia" w:ascii="仿宋" w:hAnsi="仿宋" w:eastAsia="仿宋" w:cs="仿宋"/>
                <w:color w:val="auto"/>
                <w:sz w:val="24"/>
                <w:szCs w:val="24"/>
                <w:highlight w:val="none"/>
                <w:lang w:eastAsia="zh-CN" w:bidi="ar-SA"/>
              </w:rPr>
              <w:t>分）</w:t>
            </w:r>
          </w:p>
        </w:tc>
        <w:tc>
          <w:tcPr>
            <w:tcW w:w="6098" w:type="dxa"/>
            <w:noWrap w:val="0"/>
            <w:vAlign w:val="top"/>
          </w:tcPr>
          <w:p>
            <w:pPr>
              <w:keepNext w:val="0"/>
              <w:keepLines w:val="0"/>
              <w:suppressLineNumbers w:val="0"/>
              <w:spacing w:before="0" w:beforeAutospacing="0" w:after="0" w:afterAutospacing="0" w:line="440" w:lineRule="exact"/>
              <w:ind w:left="0" w:right="0"/>
              <w:rPr>
                <w:rFonts w:hint="eastAsia" w:ascii="仿宋" w:hAnsi="仿宋" w:eastAsia="仿宋" w:cs="仿宋"/>
                <w:color w:val="auto"/>
                <w:sz w:val="24"/>
                <w:szCs w:val="24"/>
                <w:highlight w:val="none"/>
                <w:lang w:eastAsia="zh-CN" w:bidi="ar-SA"/>
              </w:rPr>
            </w:pPr>
            <w:r>
              <w:rPr>
                <w:rFonts w:hint="eastAsia" w:ascii="仿宋" w:hAnsi="仿宋" w:eastAsia="仿宋" w:cs="仿宋"/>
                <w:color w:val="auto"/>
                <w:sz w:val="24"/>
                <w:szCs w:val="24"/>
                <w:highlight w:val="none"/>
                <w:lang w:eastAsia="zh-CN" w:bidi="ar-SA"/>
              </w:rPr>
              <w:t>以招标文件的技术参数要求为基准，提供详细技术偏离表。根据所投产品的配置与性能指标的响应程度打分：</w:t>
            </w:r>
          </w:p>
          <w:p>
            <w:pPr>
              <w:keepNext w:val="0"/>
              <w:keepLines w:val="0"/>
              <w:suppressLineNumbers w:val="0"/>
              <w:spacing w:before="0" w:beforeAutospacing="0" w:after="0" w:afterAutospacing="0" w:line="440" w:lineRule="exact"/>
              <w:ind w:left="0" w:right="0"/>
              <w:rPr>
                <w:rFonts w:hint="eastAsia" w:ascii="仿宋" w:hAnsi="仿宋" w:eastAsia="仿宋" w:cs="仿宋"/>
                <w:color w:val="auto"/>
                <w:sz w:val="24"/>
                <w:szCs w:val="24"/>
                <w:highlight w:val="none"/>
                <w:lang w:eastAsia="zh-CN" w:bidi="ar-SA"/>
              </w:rPr>
            </w:pPr>
            <w:r>
              <w:rPr>
                <w:rFonts w:hint="eastAsia" w:ascii="仿宋" w:hAnsi="仿宋" w:eastAsia="仿宋" w:cs="仿宋"/>
                <w:color w:val="auto"/>
                <w:sz w:val="24"/>
                <w:szCs w:val="24"/>
                <w:highlight w:val="none"/>
                <w:lang w:eastAsia="zh-CN" w:bidi="ar-SA"/>
              </w:rPr>
              <w:t>所投产品技术参数全部满足的得</w:t>
            </w:r>
            <w:r>
              <w:rPr>
                <w:rFonts w:hint="eastAsia" w:ascii="仿宋" w:hAnsi="仿宋" w:eastAsia="仿宋" w:cs="仿宋"/>
                <w:color w:val="auto"/>
                <w:sz w:val="24"/>
                <w:szCs w:val="24"/>
                <w:highlight w:val="none"/>
                <w:lang w:val="en-US" w:eastAsia="zh-CN" w:bidi="ar-SA"/>
              </w:rPr>
              <w:t>30</w:t>
            </w:r>
            <w:r>
              <w:rPr>
                <w:rFonts w:hint="eastAsia" w:ascii="仿宋" w:hAnsi="仿宋" w:eastAsia="仿宋" w:cs="仿宋"/>
                <w:color w:val="auto"/>
                <w:sz w:val="24"/>
                <w:szCs w:val="24"/>
                <w:highlight w:val="none"/>
                <w:lang w:eastAsia="zh-CN" w:bidi="ar-SA"/>
              </w:rPr>
              <w:t>分；</w:t>
            </w:r>
          </w:p>
          <w:p>
            <w:pPr>
              <w:keepNext w:val="0"/>
              <w:keepLines w:val="0"/>
              <w:suppressLineNumbers w:val="0"/>
              <w:spacing w:before="0" w:beforeAutospacing="0" w:after="0" w:afterAutospacing="0" w:line="440" w:lineRule="exact"/>
              <w:ind w:left="0" w:right="0"/>
              <w:rPr>
                <w:rFonts w:hint="default" w:ascii="仿宋" w:hAnsi="仿宋" w:eastAsia="仿宋" w:cs="仿宋"/>
                <w:color w:val="auto"/>
                <w:sz w:val="24"/>
                <w:szCs w:val="24"/>
                <w:highlight w:val="none"/>
                <w:lang w:eastAsia="zh-CN" w:bidi="ar-SA"/>
              </w:rPr>
            </w:pPr>
            <w:r>
              <w:rPr>
                <w:rFonts w:hint="eastAsia" w:ascii="仿宋" w:hAnsi="仿宋" w:eastAsia="仿宋" w:cs="仿宋"/>
                <w:color w:val="auto"/>
                <w:sz w:val="24"/>
                <w:szCs w:val="24"/>
                <w:highlight w:val="none"/>
                <w:lang w:val="en-US" w:eastAsia="zh-CN" w:bidi="ar-SA"/>
              </w:rPr>
              <w:t xml:space="preserve">2、★参数为重要参数，每负偏离一项扣1分，扣完为止；非★参数为普通参数每负偏离一项扣0.5分，扣完为止。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8" w:hRule="atLeast"/>
          <w:jc w:val="center"/>
        </w:trPr>
        <w:tc>
          <w:tcPr>
            <w:tcW w:w="1850" w:type="dxa"/>
            <w:vMerge w:val="continue"/>
            <w:noWrap w:val="0"/>
            <w:vAlign w:val="center"/>
          </w:tcPr>
          <w:p>
            <w:pPr>
              <w:keepNext w:val="0"/>
              <w:keepLines w:val="0"/>
              <w:suppressLineNumbers w:val="0"/>
              <w:spacing w:before="0" w:beforeAutospacing="0" w:after="0" w:afterAutospacing="0" w:line="440" w:lineRule="exact"/>
              <w:ind w:left="0" w:right="0" w:firstLine="616" w:firstLineChars="257"/>
              <w:jc w:val="center"/>
              <w:rPr>
                <w:rFonts w:hint="default" w:ascii="仿宋" w:hAnsi="仿宋" w:eastAsia="仿宋" w:cs="仿宋"/>
                <w:color w:val="auto"/>
                <w:sz w:val="24"/>
                <w:szCs w:val="24"/>
                <w:highlight w:val="none"/>
                <w:lang w:eastAsia="zh-CN" w:bidi="ar-SA"/>
              </w:rPr>
            </w:pPr>
          </w:p>
        </w:tc>
        <w:tc>
          <w:tcPr>
            <w:tcW w:w="2182" w:type="dxa"/>
            <w:noWrap w:val="0"/>
            <w:vAlign w:val="center"/>
          </w:tcPr>
          <w:p>
            <w:pPr>
              <w:keepNext w:val="0"/>
              <w:keepLines w:val="0"/>
              <w:suppressLineNumbers w:val="0"/>
              <w:spacing w:before="0" w:beforeAutospacing="0" w:after="0" w:afterAutospacing="0" w:line="440" w:lineRule="exact"/>
              <w:ind w:left="0" w:right="0"/>
              <w:rPr>
                <w:rFonts w:hint="default"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项目实施方案</w:t>
            </w:r>
            <w:r>
              <w:rPr>
                <w:rFonts w:hint="eastAsia" w:ascii="仿宋" w:hAnsi="仿宋" w:eastAsia="仿宋" w:cs="仿宋"/>
                <w:color w:val="auto"/>
                <w:sz w:val="24"/>
                <w:szCs w:val="24"/>
                <w:highlight w:val="none"/>
                <w:lang w:eastAsia="zh-CN" w:bidi="ar-SA"/>
              </w:rPr>
              <w:t>（</w:t>
            </w:r>
            <w:r>
              <w:rPr>
                <w:rFonts w:hint="eastAsia" w:ascii="仿宋" w:hAnsi="仿宋" w:eastAsia="仿宋" w:cs="仿宋"/>
                <w:color w:val="auto"/>
                <w:sz w:val="24"/>
                <w:szCs w:val="24"/>
                <w:highlight w:val="none"/>
                <w:lang w:val="en-US" w:eastAsia="zh-CN" w:bidi="ar-SA"/>
              </w:rPr>
              <w:t>21分）</w:t>
            </w:r>
          </w:p>
        </w:tc>
        <w:tc>
          <w:tcPr>
            <w:tcW w:w="6098" w:type="dxa"/>
            <w:noWrap w:val="0"/>
            <w:vAlign w:val="top"/>
          </w:tcPr>
          <w:p>
            <w:pPr>
              <w:keepNext w:val="0"/>
              <w:keepLines w:val="0"/>
              <w:suppressLineNumbers w:val="0"/>
              <w:spacing w:before="0" w:beforeAutospacing="0" w:after="0" w:afterAutospacing="0" w:line="440" w:lineRule="exact"/>
              <w:ind w:left="0" w:right="0"/>
              <w:rPr>
                <w:rFonts w:hint="eastAsia" w:ascii="仿宋" w:hAnsi="仿宋" w:eastAsia="仿宋" w:cs="仿宋"/>
                <w:color w:val="auto"/>
                <w:sz w:val="24"/>
                <w:szCs w:val="24"/>
                <w:highlight w:val="none"/>
                <w:lang w:eastAsia="zh-CN" w:bidi="ar-SA"/>
              </w:rPr>
            </w:pPr>
            <w:r>
              <w:rPr>
                <w:rFonts w:hint="eastAsia" w:ascii="仿宋" w:hAnsi="仿宋" w:eastAsia="仿宋" w:cs="仿宋"/>
                <w:color w:val="auto"/>
                <w:sz w:val="24"/>
                <w:szCs w:val="24"/>
                <w:highlight w:val="none"/>
                <w:lang w:eastAsia="zh-CN" w:bidi="ar-SA"/>
              </w:rPr>
              <w:t>供应商提供的实施方案包括但不限于：①备货计划方案 ②项目管理制度③人员配置④产品验收方案⑤运输方案 ⑥安装、安全控制方案及环境保护管理体系与措施；⑦应急方案。以上内容为专门针对本项目编制，符合本项目实际情况，能够保障项目顺利实施的得</w:t>
            </w:r>
            <w:r>
              <w:rPr>
                <w:rFonts w:hint="eastAsia" w:ascii="仿宋" w:hAnsi="仿宋" w:eastAsia="仿宋" w:cs="仿宋"/>
                <w:color w:val="auto"/>
                <w:sz w:val="24"/>
                <w:szCs w:val="24"/>
                <w:highlight w:val="none"/>
                <w:lang w:val="en-US" w:eastAsia="zh-CN" w:bidi="ar-SA"/>
              </w:rPr>
              <w:t>21</w:t>
            </w:r>
            <w:r>
              <w:rPr>
                <w:rFonts w:hint="eastAsia" w:ascii="仿宋" w:hAnsi="仿宋" w:eastAsia="仿宋" w:cs="仿宋"/>
                <w:color w:val="auto"/>
                <w:sz w:val="24"/>
                <w:szCs w:val="24"/>
                <w:highlight w:val="none"/>
                <w:lang w:eastAsia="zh-CN" w:bidi="ar-SA"/>
              </w:rPr>
              <w:t>分，每缺少一项内容扣</w:t>
            </w:r>
            <w:r>
              <w:rPr>
                <w:rFonts w:hint="eastAsia" w:ascii="仿宋" w:hAnsi="仿宋" w:eastAsia="仿宋" w:cs="仿宋"/>
                <w:color w:val="auto"/>
                <w:sz w:val="24"/>
                <w:szCs w:val="24"/>
                <w:highlight w:val="none"/>
                <w:lang w:val="en-US" w:eastAsia="zh-CN" w:bidi="ar-SA"/>
              </w:rPr>
              <w:t>3</w:t>
            </w:r>
            <w:r>
              <w:rPr>
                <w:rFonts w:hint="eastAsia" w:ascii="仿宋" w:hAnsi="仿宋" w:eastAsia="仿宋" w:cs="仿宋"/>
                <w:color w:val="auto"/>
                <w:sz w:val="24"/>
                <w:szCs w:val="24"/>
                <w:highlight w:val="none"/>
                <w:lang w:eastAsia="zh-CN" w:bidi="ar-SA"/>
              </w:rPr>
              <w:t>分；每有一项内容不完整或不符合实际情况的扣</w:t>
            </w:r>
            <w:r>
              <w:rPr>
                <w:rFonts w:hint="eastAsia" w:ascii="仿宋" w:hAnsi="仿宋" w:eastAsia="仿宋" w:cs="仿宋"/>
                <w:color w:val="auto"/>
                <w:sz w:val="24"/>
                <w:szCs w:val="24"/>
                <w:highlight w:val="none"/>
                <w:lang w:val="en-US" w:eastAsia="zh-CN" w:bidi="ar-SA"/>
              </w:rPr>
              <w:t>2</w:t>
            </w:r>
            <w:r>
              <w:rPr>
                <w:rFonts w:hint="eastAsia" w:ascii="仿宋" w:hAnsi="仿宋" w:eastAsia="仿宋" w:cs="仿宋"/>
                <w:color w:val="auto"/>
                <w:sz w:val="24"/>
                <w:szCs w:val="24"/>
                <w:highlight w:val="none"/>
                <w:lang w:eastAsia="zh-CN" w:bidi="ar-SA"/>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1850" w:type="dxa"/>
            <w:vMerge w:val="continue"/>
            <w:noWrap w:val="0"/>
            <w:vAlign w:val="center"/>
          </w:tcPr>
          <w:p>
            <w:pPr>
              <w:keepNext w:val="0"/>
              <w:keepLines w:val="0"/>
              <w:suppressLineNumbers w:val="0"/>
              <w:spacing w:before="0" w:beforeAutospacing="0" w:after="0" w:afterAutospacing="0" w:line="440" w:lineRule="exact"/>
              <w:ind w:left="0" w:right="0" w:firstLine="616" w:firstLineChars="257"/>
              <w:jc w:val="center"/>
              <w:rPr>
                <w:rFonts w:hint="default" w:ascii="仿宋" w:hAnsi="仿宋" w:eastAsia="仿宋" w:cs="仿宋"/>
                <w:color w:val="auto"/>
                <w:sz w:val="24"/>
                <w:szCs w:val="24"/>
                <w:highlight w:val="none"/>
                <w:lang w:eastAsia="zh-CN" w:bidi="ar-SA"/>
              </w:rPr>
            </w:pPr>
          </w:p>
        </w:tc>
        <w:tc>
          <w:tcPr>
            <w:tcW w:w="2182"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 w:hAnsi="仿宋" w:eastAsia="仿宋" w:cs="仿宋"/>
                <w:color w:val="auto"/>
                <w:sz w:val="24"/>
                <w:szCs w:val="24"/>
                <w:highlight w:val="none"/>
                <w:lang w:eastAsia="zh-CN" w:bidi="ar-SA"/>
              </w:rPr>
            </w:pPr>
            <w:r>
              <w:rPr>
                <w:rFonts w:hint="eastAsia" w:ascii="仿宋" w:hAnsi="仿宋" w:eastAsia="仿宋" w:cs="仿宋"/>
                <w:color w:val="auto"/>
                <w:sz w:val="24"/>
                <w:szCs w:val="24"/>
                <w:highlight w:val="none"/>
                <w:lang w:eastAsia="zh-CN" w:bidi="ar-SA"/>
              </w:rPr>
              <w:t>类似业绩</w:t>
            </w:r>
          </w:p>
          <w:p>
            <w:pPr>
              <w:keepNext w:val="0"/>
              <w:keepLines w:val="0"/>
              <w:suppressLineNumbers w:val="0"/>
              <w:spacing w:before="0" w:beforeAutospacing="0" w:after="0" w:afterAutospacing="0" w:line="440" w:lineRule="exact"/>
              <w:ind w:left="0" w:right="0"/>
              <w:jc w:val="center"/>
              <w:rPr>
                <w:rFonts w:hint="eastAsia" w:ascii="仿宋" w:hAnsi="仿宋" w:eastAsia="仿宋" w:cs="仿宋"/>
                <w:color w:val="auto"/>
                <w:sz w:val="24"/>
                <w:szCs w:val="24"/>
                <w:highlight w:val="none"/>
                <w:lang w:eastAsia="zh-CN" w:bidi="ar-SA"/>
              </w:rPr>
            </w:pPr>
            <w:r>
              <w:rPr>
                <w:rFonts w:hint="eastAsia" w:ascii="仿宋" w:hAnsi="仿宋" w:eastAsia="仿宋" w:cs="仿宋"/>
                <w:color w:val="auto"/>
                <w:sz w:val="24"/>
                <w:szCs w:val="24"/>
                <w:highlight w:val="none"/>
                <w:lang w:eastAsia="zh-CN" w:bidi="ar-SA"/>
              </w:rPr>
              <w:t>（</w:t>
            </w:r>
            <w:r>
              <w:rPr>
                <w:rFonts w:hint="eastAsia" w:ascii="仿宋" w:hAnsi="仿宋" w:eastAsia="仿宋" w:cs="仿宋"/>
                <w:color w:val="auto"/>
                <w:sz w:val="24"/>
                <w:szCs w:val="24"/>
                <w:highlight w:val="none"/>
                <w:lang w:val="en-US" w:eastAsia="zh-CN" w:bidi="ar-SA"/>
              </w:rPr>
              <w:t>4分</w:t>
            </w:r>
            <w:r>
              <w:rPr>
                <w:rFonts w:hint="eastAsia" w:ascii="仿宋" w:hAnsi="仿宋" w:eastAsia="仿宋" w:cs="仿宋"/>
                <w:color w:val="auto"/>
                <w:sz w:val="24"/>
                <w:szCs w:val="24"/>
                <w:highlight w:val="none"/>
                <w:lang w:eastAsia="zh-CN" w:bidi="ar-SA"/>
              </w:rPr>
              <w:t>）</w:t>
            </w:r>
          </w:p>
        </w:tc>
        <w:tc>
          <w:tcPr>
            <w:tcW w:w="6098" w:type="dxa"/>
            <w:noWrap w:val="0"/>
            <w:vAlign w:val="top"/>
          </w:tcPr>
          <w:p>
            <w:pPr>
              <w:keepNext w:val="0"/>
              <w:keepLines w:val="0"/>
              <w:suppressLineNumbers w:val="0"/>
              <w:spacing w:before="0" w:beforeAutospacing="0" w:after="0" w:afterAutospacing="0" w:line="440" w:lineRule="exact"/>
              <w:ind w:left="0" w:right="0"/>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eastAsia="zh-CN" w:bidi="ar-SA"/>
              </w:rPr>
              <w:t>提供近三年类似业绩，每提供1项业绩得</w:t>
            </w:r>
            <w:r>
              <w:rPr>
                <w:rFonts w:hint="eastAsia" w:ascii="仿宋" w:hAnsi="仿宋" w:eastAsia="仿宋" w:cs="仿宋"/>
                <w:color w:val="auto"/>
                <w:sz w:val="24"/>
                <w:szCs w:val="24"/>
                <w:highlight w:val="none"/>
                <w:lang w:val="en-US" w:eastAsia="zh-CN" w:bidi="ar-SA"/>
              </w:rPr>
              <w:t>2</w:t>
            </w:r>
            <w:r>
              <w:rPr>
                <w:rFonts w:hint="eastAsia" w:ascii="仿宋" w:hAnsi="仿宋" w:eastAsia="仿宋" w:cs="仿宋"/>
                <w:color w:val="auto"/>
                <w:sz w:val="24"/>
                <w:szCs w:val="24"/>
                <w:highlight w:val="none"/>
                <w:lang w:eastAsia="zh-CN" w:bidi="ar-SA"/>
              </w:rPr>
              <w:t>分，最多得</w:t>
            </w:r>
            <w:r>
              <w:rPr>
                <w:rFonts w:hint="eastAsia" w:ascii="仿宋" w:hAnsi="仿宋" w:eastAsia="仿宋" w:cs="仿宋"/>
                <w:color w:val="auto"/>
                <w:sz w:val="24"/>
                <w:szCs w:val="24"/>
                <w:highlight w:val="none"/>
                <w:lang w:val="en-US" w:eastAsia="zh-CN" w:bidi="ar-SA"/>
              </w:rPr>
              <w:t>4</w:t>
            </w:r>
            <w:r>
              <w:rPr>
                <w:rFonts w:hint="eastAsia" w:ascii="仿宋" w:hAnsi="仿宋" w:eastAsia="仿宋" w:cs="仿宋"/>
                <w:color w:val="auto"/>
                <w:sz w:val="24"/>
                <w:szCs w:val="24"/>
                <w:highlight w:val="none"/>
                <w:lang w:eastAsia="zh-CN" w:bidi="ar-SA"/>
              </w:rPr>
              <w:t>分。(需提供中标通知书或合同，不提供不得分）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5" w:hRule="atLeast"/>
          <w:jc w:val="center"/>
        </w:trPr>
        <w:tc>
          <w:tcPr>
            <w:tcW w:w="1850" w:type="dxa"/>
            <w:vMerge w:val="continue"/>
            <w:noWrap w:val="0"/>
            <w:vAlign w:val="center"/>
          </w:tcPr>
          <w:p>
            <w:pPr>
              <w:keepNext w:val="0"/>
              <w:keepLines w:val="0"/>
              <w:suppressLineNumbers w:val="0"/>
              <w:spacing w:before="0" w:beforeAutospacing="0" w:after="0" w:afterAutospacing="0" w:line="440" w:lineRule="exact"/>
              <w:ind w:left="0" w:right="0" w:firstLine="616" w:firstLineChars="257"/>
              <w:rPr>
                <w:rFonts w:hint="default" w:ascii="仿宋" w:hAnsi="仿宋" w:eastAsia="仿宋" w:cs="仿宋"/>
                <w:color w:val="auto"/>
                <w:sz w:val="24"/>
                <w:szCs w:val="24"/>
                <w:highlight w:val="none"/>
                <w:lang w:eastAsia="zh-CN" w:bidi="ar-SA"/>
              </w:rPr>
            </w:pPr>
          </w:p>
        </w:tc>
        <w:tc>
          <w:tcPr>
            <w:tcW w:w="2182" w:type="dxa"/>
            <w:noWrap w:val="0"/>
            <w:vAlign w:val="center"/>
          </w:tcPr>
          <w:p>
            <w:pPr>
              <w:keepNext w:val="0"/>
              <w:keepLines w:val="0"/>
              <w:suppressLineNumbers w:val="0"/>
              <w:spacing w:before="0" w:beforeAutospacing="0" w:after="0" w:afterAutospacing="0" w:line="440" w:lineRule="exact"/>
              <w:ind w:left="0" w:right="0"/>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售后服务及培训方案</w:t>
            </w:r>
          </w:p>
          <w:p>
            <w:pPr>
              <w:keepNext w:val="0"/>
              <w:keepLines w:val="0"/>
              <w:suppressLineNumbers w:val="0"/>
              <w:spacing w:before="0" w:beforeAutospacing="0" w:after="0" w:afterAutospacing="0" w:line="440" w:lineRule="exact"/>
              <w:ind w:left="0" w:right="0"/>
              <w:rPr>
                <w:rFonts w:hint="eastAsia" w:ascii="仿宋" w:hAnsi="仿宋" w:eastAsia="仿宋" w:cs="仿宋"/>
                <w:color w:val="auto"/>
                <w:sz w:val="24"/>
                <w:szCs w:val="24"/>
                <w:highlight w:val="none"/>
                <w:lang w:eastAsia="zh-CN" w:bidi="ar-SA"/>
              </w:rPr>
            </w:pPr>
            <w:r>
              <w:rPr>
                <w:rFonts w:hint="eastAsia" w:ascii="仿宋" w:hAnsi="仿宋" w:eastAsia="仿宋" w:cs="仿宋"/>
                <w:color w:val="auto"/>
                <w:sz w:val="24"/>
                <w:szCs w:val="24"/>
                <w:highlight w:val="none"/>
                <w:lang w:val="en-US" w:eastAsia="zh-CN" w:bidi="ar-SA"/>
              </w:rPr>
              <w:t>（15分）</w:t>
            </w:r>
          </w:p>
        </w:tc>
        <w:tc>
          <w:tcPr>
            <w:tcW w:w="6098" w:type="dxa"/>
            <w:noWrap w:val="0"/>
            <w:vAlign w:val="top"/>
          </w:tcPr>
          <w:p>
            <w:pPr>
              <w:keepNext w:val="0"/>
              <w:keepLines w:val="0"/>
              <w:suppressLineNumbers w:val="0"/>
              <w:spacing w:before="0" w:beforeAutospacing="0" w:after="0" w:afterAutospacing="0" w:line="440" w:lineRule="exact"/>
              <w:ind w:left="0" w:right="0"/>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各供应商应提供详细的售后服务方案、服务体系、服务范围以及故障解决方案、响应时间、应急处理方案、专业技术人员保障、售后服务电话等。评标委员会将根据各供应商提供的资料，从全面性、可操作性等进行打分。</w:t>
            </w:r>
          </w:p>
          <w:p>
            <w:pPr>
              <w:keepNext w:val="0"/>
              <w:keepLines w:val="0"/>
              <w:suppressLineNumbers w:val="0"/>
              <w:spacing w:before="0" w:beforeAutospacing="0" w:after="0" w:afterAutospacing="0" w:line="440" w:lineRule="exact"/>
              <w:ind w:left="0" w:right="0"/>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1、总体售后服务方案计划及服务时效：优的得8分；一般4分；不提供不得分。</w:t>
            </w:r>
          </w:p>
          <w:p>
            <w:pPr>
              <w:keepNext w:val="0"/>
              <w:keepLines w:val="0"/>
              <w:suppressLineNumbers w:val="0"/>
              <w:spacing w:before="0" w:beforeAutospacing="0" w:after="0" w:afterAutospacing="0" w:line="440" w:lineRule="exact"/>
              <w:ind w:left="0" w:right="0"/>
              <w:rPr>
                <w:rFonts w:hint="eastAsia" w:ascii="仿宋" w:hAnsi="仿宋" w:eastAsia="仿宋" w:cs="仿宋"/>
                <w:color w:val="auto"/>
                <w:sz w:val="24"/>
                <w:szCs w:val="24"/>
                <w:highlight w:val="none"/>
                <w:lang w:eastAsia="zh-CN" w:bidi="ar-SA"/>
              </w:rPr>
            </w:pPr>
            <w:r>
              <w:rPr>
                <w:rFonts w:hint="eastAsia" w:ascii="仿宋" w:hAnsi="仿宋" w:eastAsia="仿宋" w:cs="仿宋"/>
                <w:color w:val="auto"/>
                <w:sz w:val="24"/>
                <w:szCs w:val="24"/>
                <w:highlight w:val="none"/>
                <w:lang w:val="en-US" w:eastAsia="zh-CN" w:bidi="ar-SA"/>
              </w:rPr>
              <w:t>2、培训方案及进度安排关键控制点设置合理，便于操作和控制；培训方案及进度安排分工明确，职责分工清晰，能够保证培训的高质量和按计划完成：优的得7分；一般3分；不提供不得分。</w:t>
            </w:r>
          </w:p>
        </w:tc>
      </w:tr>
    </w:tbl>
    <w:p>
      <w:pPr>
        <w:rPr>
          <w:rFonts w:hint="eastAsia" w:ascii="宋体" w:hAnsi="宋体" w:eastAsia="宋体" w:cs="宋体"/>
          <w:color w:val="auto"/>
          <w:szCs w:val="21"/>
          <w:highlight w:val="none"/>
          <w:lang w:bidi="ar-SA"/>
        </w:rPr>
      </w:pPr>
    </w:p>
    <w:p>
      <w:pPr>
        <w:pStyle w:val="125"/>
        <w:shd w:val="clear" w:color="auto" w:fill="auto"/>
        <w:tabs>
          <w:tab w:val="left" w:pos="1701"/>
        </w:tabs>
        <w:spacing w:line="440" w:lineRule="exact"/>
        <w:ind w:left="0" w:firstLine="539"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val="en-US" w:eastAsia="zh-CN" w:bidi="ar-SA"/>
        </w:rPr>
        <w:t>10.2.2</w:t>
      </w:r>
      <w:r>
        <w:rPr>
          <w:rFonts w:hint="eastAsia" w:ascii="宋体" w:hAnsi="宋体" w:eastAsia="宋体" w:cs="宋体"/>
          <w:color w:val="auto"/>
          <w:szCs w:val="21"/>
          <w:highlight w:val="none"/>
          <w:lang w:bidi="ar-SA"/>
        </w:rPr>
        <w:t>价格评分方法</w:t>
      </w:r>
    </w:p>
    <w:p>
      <w:pPr>
        <w:shd w:val="clear" w:color="auto" w:fill="auto"/>
        <w:spacing w:line="440" w:lineRule="exact"/>
        <w:ind w:firstLine="539" w:firstLineChars="257"/>
        <w:jc w:val="left"/>
        <w:rPr>
          <w:rFonts w:hint="eastAsia" w:ascii="宋体" w:hAnsi="宋体" w:eastAsia="宋体" w:cs="宋体"/>
          <w:color w:val="auto"/>
          <w:szCs w:val="21"/>
          <w:highlight w:val="none"/>
          <w:lang w:eastAsia="zh-CN" w:bidi="ar-SA"/>
        </w:rPr>
      </w:pPr>
      <w:r>
        <w:rPr>
          <w:rFonts w:hint="eastAsia" w:ascii="宋体" w:hAnsi="宋体" w:eastAsia="宋体" w:cs="宋体"/>
          <w:color w:val="auto"/>
          <w:szCs w:val="21"/>
          <w:highlight w:val="none"/>
          <w:lang w:bidi="ar-SA"/>
        </w:rPr>
        <w:t>满足招标文件技术要求且投标价格最低的投标报价为评标基准价，其价格分为满分。其他投标人的价格分别按照下列公式计算： 投标报价得分=（评标基准价/投标报价）×价格权重</w:t>
      </w:r>
      <w:r>
        <w:rPr>
          <w:rFonts w:hint="eastAsia" w:ascii="宋体" w:hAnsi="宋体" w:eastAsia="宋体" w:cs="宋体"/>
          <w:color w:val="auto"/>
          <w:szCs w:val="21"/>
          <w:highlight w:val="none"/>
          <w:lang w:eastAsia="zh-CN" w:bidi="ar-SA"/>
        </w:rPr>
        <w:t>。</w:t>
      </w:r>
    </w:p>
    <w:p>
      <w:pPr>
        <w:shd w:val="clear" w:color="auto" w:fill="auto"/>
        <w:spacing w:before="156" w:beforeLines="50" w:line="400" w:lineRule="exact"/>
        <w:jc w:val="center"/>
        <w:outlineLvl w:val="1"/>
        <w:rPr>
          <w:rFonts w:hint="eastAsia" w:ascii="宋体"/>
          <w:b/>
          <w:color w:val="auto"/>
          <w:sz w:val="24"/>
          <w:highlight w:val="none"/>
        </w:rPr>
      </w:pPr>
      <w:r>
        <w:rPr>
          <w:rFonts w:hint="eastAsia" w:ascii="宋体"/>
          <w:b/>
          <w:color w:val="auto"/>
          <w:sz w:val="24"/>
          <w:highlight w:val="none"/>
        </w:rPr>
        <w:t>五  推荐中标候选人</w:t>
      </w:r>
      <w:bookmarkEnd w:id="77"/>
      <w:bookmarkEnd w:id="78"/>
    </w:p>
    <w:p>
      <w:pPr>
        <w:shd w:val="clear" w:color="auto" w:fill="auto"/>
        <w:snapToGrid w:val="0"/>
        <w:spacing w:line="400" w:lineRule="exact"/>
        <w:ind w:firstLine="420" w:firstLineChars="200"/>
        <w:rPr>
          <w:rFonts w:hint="eastAsia" w:ascii="宋体"/>
          <w:color w:val="auto"/>
          <w:szCs w:val="21"/>
          <w:highlight w:val="none"/>
        </w:rPr>
      </w:pPr>
      <w:r>
        <w:rPr>
          <w:rFonts w:hint="eastAsia" w:ascii="宋体"/>
          <w:color w:val="auto"/>
          <w:szCs w:val="21"/>
          <w:highlight w:val="none"/>
          <w:lang w:val="en-US" w:eastAsia="zh-CN"/>
        </w:rPr>
        <w:t>11.1</w:t>
      </w:r>
      <w:r>
        <w:rPr>
          <w:rFonts w:hint="eastAsia" w:ascii="宋体" w:hAnsi="宋体"/>
          <w:color w:val="auto"/>
          <w:szCs w:val="21"/>
          <w:highlight w:val="none"/>
        </w:rPr>
        <w:t>评标委员会推荐</w:t>
      </w:r>
      <w:r>
        <w:rPr>
          <w:rFonts w:hint="eastAsia" w:ascii="宋体" w:hAnsi="宋体"/>
          <w:color w:val="auto"/>
          <w:szCs w:val="21"/>
          <w:highlight w:val="none"/>
          <w:lang w:val="en-US" w:eastAsia="zh-CN"/>
        </w:rPr>
        <w:t>3</w:t>
      </w:r>
      <w:r>
        <w:rPr>
          <w:rFonts w:hint="eastAsia" w:ascii="宋体" w:hAnsi="宋体"/>
          <w:color w:val="auto"/>
          <w:szCs w:val="21"/>
          <w:highlight w:val="none"/>
        </w:rPr>
        <w:t>名中标候选人，并标明排序。</w:t>
      </w:r>
    </w:p>
    <w:p>
      <w:pPr>
        <w:shd w:val="clear" w:color="auto" w:fill="auto"/>
        <w:spacing w:line="400" w:lineRule="exact"/>
        <w:ind w:firstLine="411" w:firstLineChars="196"/>
        <w:rPr>
          <w:rFonts w:hint="eastAsia" w:ascii="宋体" w:hAnsi="宋体"/>
          <w:color w:val="auto"/>
          <w:szCs w:val="21"/>
          <w:highlight w:val="none"/>
        </w:rPr>
      </w:pPr>
      <w:r>
        <w:rPr>
          <w:rFonts w:hint="eastAsia" w:ascii="宋体" w:hAnsi="宋体"/>
          <w:color w:val="auto"/>
          <w:szCs w:val="21"/>
          <w:highlight w:val="none"/>
          <w:lang w:val="en-US" w:eastAsia="zh-CN"/>
        </w:rPr>
        <w:t>11.2</w:t>
      </w:r>
      <w:r>
        <w:rPr>
          <w:rFonts w:hint="eastAsia" w:ascii="宋体" w:hAnsi="宋体"/>
          <w:color w:val="auto"/>
          <w:szCs w:val="21"/>
          <w:highlight w:val="none"/>
        </w:rPr>
        <w:t>如出现报价相同情况，则由招标人现场抽签确定中标候选人排名顺序。</w:t>
      </w:r>
    </w:p>
    <w:bookmarkEnd w:id="72"/>
    <w:p>
      <w:pPr>
        <w:shd w:val="clear" w:color="auto" w:fill="auto"/>
        <w:snapToGrid w:val="0"/>
        <w:spacing w:line="400" w:lineRule="exact"/>
        <w:ind w:firstLine="420" w:firstLineChars="200"/>
        <w:rPr>
          <w:rFonts w:hint="eastAsia" w:ascii="宋体" w:hAnsi="宋体"/>
          <w:b/>
          <w:color w:val="auto"/>
          <w:szCs w:val="21"/>
          <w:highlight w:val="none"/>
        </w:rPr>
      </w:pPr>
      <w:r>
        <w:rPr>
          <w:rFonts w:hint="eastAsia" w:ascii="宋体" w:hAnsi="宋体"/>
          <w:b/>
          <w:color w:val="auto"/>
          <w:szCs w:val="21"/>
          <w:highlight w:val="none"/>
          <w:lang w:val="en-US" w:eastAsia="zh-CN"/>
        </w:rPr>
        <w:t>12.</w:t>
      </w:r>
      <w:r>
        <w:rPr>
          <w:rFonts w:hint="eastAsia" w:ascii="宋体" w:hAnsi="宋体"/>
          <w:b/>
          <w:color w:val="auto"/>
          <w:szCs w:val="21"/>
          <w:highlight w:val="none"/>
        </w:rPr>
        <w:t>无效投标条款</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.1投标文件有下列情形之一的,其投标文件拒收:</w:t>
      </w:r>
    </w:p>
    <w:p>
      <w:pPr>
        <w:shd w:val="clear" w:color="auto" w:fill="auto"/>
        <w:snapToGrid w:val="0"/>
        <w:spacing w:line="400" w:lineRule="exact"/>
        <w:rPr>
          <w:rFonts w:hint="eastAsia" w:ascii="宋体" w:hAnsi="宋体" w:cs="宋体"/>
          <w:b/>
          <w:bCs/>
          <w:color w:val="auto"/>
          <w:szCs w:val="21"/>
          <w:highlight w:val="none"/>
        </w:rPr>
      </w:pPr>
      <w:r>
        <w:rPr>
          <w:rFonts w:hint="eastAsia" w:ascii="宋体" w:hAnsi="宋体" w:cs="宋体"/>
          <w:color w:val="auto"/>
          <w:szCs w:val="21"/>
          <w:highlight w:val="none"/>
        </w:rPr>
        <w:t xml:space="preserve">   </w:t>
      </w:r>
      <w:r>
        <w:rPr>
          <w:rFonts w:hint="eastAsia" w:ascii="宋体" w:hAnsi="宋体" w:cs="宋体"/>
          <w:b/>
          <w:bCs/>
          <w:color w:val="auto"/>
          <w:szCs w:val="21"/>
          <w:highlight w:val="none"/>
        </w:rPr>
        <w:t xml:space="preserve"> (1) 未在开标截止时间前通过网上招标投标系统递交有效电子投标文件的，开标系统不予接收。</w:t>
      </w:r>
    </w:p>
    <w:p>
      <w:pPr>
        <w:shd w:val="clear" w:color="auto" w:fill="auto"/>
        <w:snapToGrid w:val="0"/>
        <w:spacing w:line="400" w:lineRule="exact"/>
        <w:ind w:firstLine="420"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（2）</w:t>
      </w:r>
      <w:r>
        <w:rPr>
          <w:rFonts w:hint="eastAsia" w:ascii="宋体" w:hAnsi="宋体"/>
          <w:b/>
          <w:color w:val="auto"/>
          <w:szCs w:val="21"/>
          <w:highlight w:val="none"/>
        </w:rPr>
        <w:t>所有投标人应在规定时间里完成投标文件的解密工作</w:t>
      </w:r>
      <w:r>
        <w:rPr>
          <w:rFonts w:hint="eastAsia" w:ascii="宋体" w:hAnsi="宋体"/>
          <w:b/>
          <w:bCs/>
          <w:color w:val="auto"/>
          <w:szCs w:val="21"/>
          <w:highlight w:val="none"/>
        </w:rPr>
        <w:t>【投标人</w:t>
      </w:r>
      <w:r>
        <w:rPr>
          <w:rFonts w:hint="eastAsia" w:ascii="宋体" w:hAnsi="宋体"/>
          <w:b/>
          <w:bCs/>
          <w:color w:val="auto"/>
          <w:szCs w:val="21"/>
          <w:highlight w:val="none"/>
          <w:lang w:eastAsia="zh-CN"/>
        </w:rPr>
        <w:t>使用</w:t>
      </w:r>
      <w:r>
        <w:rPr>
          <w:rFonts w:hint="eastAsia" w:ascii="宋体" w:hAnsi="宋体"/>
          <w:b/>
          <w:bCs/>
          <w:color w:val="auto"/>
          <w:szCs w:val="21"/>
          <w:highlight w:val="none"/>
        </w:rPr>
        <w:t>其有效加密锁（CA锁）</w:t>
      </w:r>
      <w:r>
        <w:rPr>
          <w:rFonts w:hint="eastAsia" w:ascii="宋体" w:hAnsi="宋体"/>
          <w:b/>
          <w:bCs/>
          <w:color w:val="auto"/>
          <w:szCs w:val="21"/>
          <w:highlight w:val="none"/>
          <w:lang w:eastAsia="zh-CN"/>
        </w:rPr>
        <w:t>进行</w:t>
      </w:r>
      <w:r>
        <w:rPr>
          <w:rFonts w:hint="eastAsia" w:ascii="宋体" w:hAnsi="宋体"/>
          <w:b/>
          <w:bCs/>
          <w:color w:val="auto"/>
          <w:szCs w:val="21"/>
          <w:highlight w:val="none"/>
        </w:rPr>
        <w:t>解密（因投标人原因未能提供有效CA锁对其投标文件进行解密的，其投标文件按无效标处理），以网上招投标系统解密倒计时为准】</w:t>
      </w:r>
      <w:r>
        <w:rPr>
          <w:rFonts w:hint="eastAsia" w:ascii="宋体" w:hAnsi="宋体"/>
          <w:b/>
          <w:color w:val="auto"/>
          <w:szCs w:val="21"/>
          <w:highlight w:val="none"/>
        </w:rPr>
        <w:t>，因系统原因未能成功解密的投标文件，可导入</w:t>
      </w:r>
      <w:r>
        <w:rPr>
          <w:rFonts w:hint="eastAsia" w:ascii="宋体" w:hAnsi="宋体"/>
          <w:b/>
          <w:color w:val="auto"/>
          <w:szCs w:val="21"/>
          <w:highlight w:val="none"/>
          <w:lang w:eastAsia="zh-CN"/>
        </w:rPr>
        <w:t>备份投标文件</w:t>
      </w:r>
      <w:r>
        <w:rPr>
          <w:rFonts w:hint="eastAsia" w:ascii="宋体" w:hAnsi="宋体"/>
          <w:b/>
          <w:color w:val="auto"/>
          <w:szCs w:val="21"/>
          <w:highlight w:val="none"/>
        </w:rPr>
        <w:t>。</w:t>
      </w:r>
      <w:r>
        <w:rPr>
          <w:rFonts w:hint="eastAsia" w:ascii="宋体" w:hAnsi="宋体"/>
          <w:b/>
          <w:color w:val="auto"/>
          <w:szCs w:val="21"/>
          <w:highlight w:val="none"/>
          <w:lang w:eastAsia="zh-CN"/>
        </w:rPr>
        <w:t>备份投标文件</w:t>
      </w:r>
      <w:r>
        <w:rPr>
          <w:rFonts w:hint="eastAsia" w:ascii="宋体" w:hAnsi="宋体"/>
          <w:b/>
          <w:color w:val="auto"/>
          <w:szCs w:val="21"/>
          <w:highlight w:val="none"/>
        </w:rPr>
        <w:t>也无法导入的，则投标文件被否决。</w:t>
      </w:r>
    </w:p>
    <w:p>
      <w:pPr>
        <w:shd w:val="clear" w:color="auto" w:fill="auto"/>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.2投标人有下列情形之一的,资格审查后其投标作无效投标处理：</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(1)法定代表人参加开标会议未携带有效的法定代表人身份证明原件和本人身份证的；委托代理人参加开标会议未携带有效的法定代表人授权书和本人身份证；</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(2)投标人为本项目提供招标代理服务的；</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(3)投标人与在本项目代理机构存在相互任职或工作的；</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(4)投标保证金未按规定要求缴纳的；</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b/>
          <w:bCs/>
          <w:color w:val="auto"/>
          <w:szCs w:val="21"/>
          <w:highlight w:val="none"/>
        </w:rPr>
        <w:t>评标专家无法查看并检验电子标书中相关资料的；</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(6)投标人超出营业范围投标的；</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(7)联合体投标未提交联合体协议的；</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(8)被暂停营业的；</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(9)被暂停或取消投标资格的；</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(10)财产被接管或冻结的；</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(11)投标人单位负责人为同一人或者存在控股、管理关系的不同单位的；</w:t>
      </w:r>
    </w:p>
    <w:p>
      <w:pPr>
        <w:shd w:val="clear" w:color="auto" w:fill="auto"/>
        <w:snapToGrid w:val="0"/>
        <w:spacing w:line="400" w:lineRule="exact"/>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（12）投标人基本资格条件和特定资格条件中有一项及以上不符合要求的；</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（13）投标人使用相同的MAC地址进行报名的；</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（14）其它情形，经评标委员会委提出按无效投标处理，并经公共资源交易监督部门核准的；</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（15）投标人使用相同IP地址报名的，一经发现，监管部门将进一步核实，查实后按串通投标处理；</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w:t>
      </w:r>
      <w:r>
        <w:rPr>
          <w:rFonts w:hint="eastAsia" w:ascii="宋体" w:hAnsi="宋体" w:cs="宋体"/>
          <w:color w:val="auto"/>
          <w:szCs w:val="21"/>
          <w:highlight w:val="none"/>
          <w:lang w:eastAsia="zh-CN"/>
        </w:rPr>
        <w:t>采购文件</w:t>
      </w:r>
      <w:r>
        <w:rPr>
          <w:rFonts w:hint="eastAsia" w:ascii="宋体" w:hAnsi="宋体" w:cs="宋体"/>
          <w:color w:val="auto"/>
          <w:szCs w:val="21"/>
          <w:highlight w:val="none"/>
        </w:rPr>
        <w:t>规定的其它无效投标情形。</w:t>
      </w:r>
    </w:p>
    <w:p>
      <w:pPr>
        <w:shd w:val="clear" w:color="auto" w:fill="auto"/>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.3 投标人有下列情形之一的,符合性审查后其投标按无效投标处理：</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eastAsia="宋体" w:cs="宋体"/>
          <w:color w:val="auto"/>
          <w:szCs w:val="21"/>
          <w:highlight w:val="none"/>
        </w:rPr>
        <w:t xml:space="preserve">(1) </w:t>
      </w:r>
      <w:r>
        <w:rPr>
          <w:rFonts w:hint="eastAsia" w:ascii="宋体" w:hAnsi="宋体" w:cs="宋体"/>
          <w:color w:val="auto"/>
          <w:szCs w:val="21"/>
          <w:highlight w:val="none"/>
        </w:rPr>
        <w:t>投标文件签字、盖章不全，经评标委员会一致认定对开评标内容有实质性影响并经监督部门核准的；</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)未按规定的格式填写，实质性内容不全或关键字迹模糊、无法辨认; 经监督部门核准的；</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(4)同一投标人提交两个以上不同的投标文件或者投标报价，但</w:t>
      </w:r>
      <w:r>
        <w:rPr>
          <w:rFonts w:hint="eastAsia" w:ascii="宋体" w:hAnsi="宋体" w:cs="宋体"/>
          <w:color w:val="auto"/>
          <w:szCs w:val="21"/>
          <w:highlight w:val="none"/>
          <w:lang w:eastAsia="zh-CN"/>
        </w:rPr>
        <w:t>采购文件</w:t>
      </w:r>
      <w:r>
        <w:rPr>
          <w:rFonts w:hint="eastAsia" w:ascii="宋体" w:hAnsi="宋体" w:cs="宋体"/>
          <w:color w:val="auto"/>
          <w:szCs w:val="21"/>
          <w:highlight w:val="none"/>
        </w:rPr>
        <w:t>规定提交备选方案的除外；</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)投标文件没有对</w:t>
      </w:r>
      <w:r>
        <w:rPr>
          <w:rFonts w:hint="eastAsia" w:ascii="宋体" w:hAnsi="宋体" w:cs="宋体"/>
          <w:color w:val="auto"/>
          <w:szCs w:val="21"/>
          <w:highlight w:val="none"/>
          <w:lang w:eastAsia="zh-CN"/>
        </w:rPr>
        <w:t>采购文件</w:t>
      </w:r>
      <w:r>
        <w:rPr>
          <w:rFonts w:hint="eastAsia" w:ascii="宋体" w:hAnsi="宋体" w:cs="宋体"/>
          <w:color w:val="auto"/>
          <w:szCs w:val="21"/>
          <w:highlight w:val="none"/>
        </w:rPr>
        <w:t>的实质性要求和条件作出响应;</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)投标报价超出规定的投标限价或公布的采购预算的；注：投标人的投标报价各项单价均不得高于招标文件给定的单价最高限价，否则，其投标文件将按无效投标处理。</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)不按评标委员会要求澄清、说明或补正的，或者评标委员会根据</w:t>
      </w:r>
      <w:r>
        <w:rPr>
          <w:rFonts w:hint="eastAsia" w:ascii="宋体" w:hAnsi="宋体" w:cs="宋体"/>
          <w:color w:val="auto"/>
          <w:szCs w:val="21"/>
          <w:highlight w:val="none"/>
          <w:lang w:eastAsia="zh-CN"/>
        </w:rPr>
        <w:t>采购文件</w:t>
      </w:r>
      <w:r>
        <w:rPr>
          <w:rFonts w:hint="eastAsia" w:ascii="宋体" w:hAnsi="宋体" w:cs="宋体"/>
          <w:color w:val="auto"/>
          <w:szCs w:val="21"/>
          <w:highlight w:val="none"/>
        </w:rPr>
        <w:t>的规定对</w:t>
      </w:r>
      <w:r>
        <w:rPr>
          <w:rFonts w:hint="eastAsia" w:ascii="宋体" w:hAnsi="宋体" w:cs="宋体"/>
          <w:color w:val="auto"/>
          <w:szCs w:val="21"/>
          <w:highlight w:val="none"/>
          <w:lang w:eastAsia="zh-CN"/>
        </w:rPr>
        <w:t>采购文件</w:t>
      </w:r>
      <w:r>
        <w:rPr>
          <w:rFonts w:hint="eastAsia" w:ascii="宋体" w:hAnsi="宋体" w:cs="宋体"/>
          <w:color w:val="auto"/>
          <w:szCs w:val="21"/>
          <w:highlight w:val="none"/>
        </w:rPr>
        <w:t>的计算错误进行修正后，投标人不接受修正的投标报价的。</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）其它情形，经评标委员会委提出按无效投标处理，并经公共资源交易监督部门核准的；</w:t>
      </w:r>
    </w:p>
    <w:p>
      <w:pPr>
        <w:widowControl/>
        <w:shd w:val="clear" w:color="auto" w:fill="auto"/>
        <w:spacing w:line="500" w:lineRule="exact"/>
        <w:ind w:firstLine="420" w:firstLineChars="200"/>
        <w:jc w:val="left"/>
        <w:rPr>
          <w:rFonts w:ascii="Tahoma" w:hAnsi="Tahoma" w:eastAsia="Tahoma" w:cs="Tahoma"/>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w:t>
      </w:r>
      <w:r>
        <w:rPr>
          <w:rFonts w:ascii="Tahoma" w:hAnsi="Tahoma" w:eastAsia="Tahoma" w:cs="Tahoma"/>
          <w:color w:val="auto"/>
          <w:kern w:val="0"/>
          <w:szCs w:val="21"/>
          <w:highlight w:val="none"/>
          <w:shd w:val="clear" w:color="auto" w:fill="FFFFFF"/>
          <w:lang w:bidi="ar"/>
        </w:rPr>
        <w:t>未按照招标文件的规定提交投标保证金的；</w:t>
      </w:r>
    </w:p>
    <w:p>
      <w:pPr>
        <w:widowControl/>
        <w:shd w:val="clear" w:color="auto" w:fill="auto"/>
        <w:spacing w:line="500" w:lineRule="exact"/>
        <w:ind w:firstLine="420" w:firstLineChars="200"/>
        <w:jc w:val="left"/>
        <w:rPr>
          <w:rFonts w:ascii="Tahoma" w:hAnsi="Tahoma" w:eastAsia="Tahoma" w:cs="Tahoma"/>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w:t>
      </w:r>
      <w:r>
        <w:rPr>
          <w:rFonts w:ascii="Tahoma" w:hAnsi="Tahoma" w:eastAsia="Tahoma" w:cs="Tahoma"/>
          <w:color w:val="auto"/>
          <w:kern w:val="0"/>
          <w:szCs w:val="21"/>
          <w:highlight w:val="none"/>
          <w:shd w:val="clear" w:color="auto" w:fill="FFFFFF"/>
          <w:lang w:bidi="ar"/>
        </w:rPr>
        <w:t>投标文件含有采购人不能接受的附加条件的;</w:t>
      </w:r>
    </w:p>
    <w:p>
      <w:pPr>
        <w:shd w:val="clear" w:color="auto" w:fill="auto"/>
        <w:tabs>
          <w:tab w:val="left" w:pos="1123"/>
        </w:tabs>
        <w:snapToGrid w:val="0"/>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w:t>
      </w:r>
      <w:r>
        <w:rPr>
          <w:rFonts w:hint="eastAsia" w:ascii="宋体" w:hAnsi="宋体" w:cs="宋体"/>
          <w:color w:val="auto"/>
          <w:szCs w:val="21"/>
          <w:highlight w:val="none"/>
          <w:lang w:eastAsia="zh-CN"/>
        </w:rPr>
        <w:t>采购文件</w:t>
      </w:r>
      <w:r>
        <w:rPr>
          <w:rFonts w:hint="eastAsia" w:ascii="宋体" w:hAnsi="宋体" w:cs="宋体"/>
          <w:color w:val="auto"/>
          <w:szCs w:val="21"/>
          <w:highlight w:val="none"/>
        </w:rPr>
        <w:t>规定的其它无效投标情形。</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.4 投标人有下列情形之一的, 详细评审后其投标按无效投标处理：</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(1)投标产品不符合必须强制执行的国家标准的；</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(2)投标人有串通投标、弄虚作假、行贿等违法行为；</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(3)投标文件含有违反国家法律、法规的内容，或附有招标人不能接受的条件的；</w:t>
      </w:r>
    </w:p>
    <w:p>
      <w:pPr>
        <w:shd w:val="clear" w:color="auto" w:fill="auto"/>
        <w:spacing w:line="360" w:lineRule="auto"/>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（4）在同一项目（或同一标段）中有多个投标人有效投标报价接近最高限价，且评标委员会认为报价出现异常的，可以宣布其投标无效；</w:t>
      </w:r>
    </w:p>
    <w:p>
      <w:pPr>
        <w:shd w:val="clear" w:color="auto" w:fill="auto"/>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报价明显低于其他投标人，且不能证明报价合理性的投标无效</w:t>
      </w:r>
      <w:r>
        <w:rPr>
          <w:rFonts w:hint="eastAsia" w:ascii="宋体" w:hAnsi="宋体" w:cs="宋体"/>
          <w:color w:val="auto"/>
          <w:szCs w:val="21"/>
          <w:highlight w:val="none"/>
        </w:rPr>
        <w:t>；</w:t>
      </w:r>
    </w:p>
    <w:p>
      <w:pPr>
        <w:shd w:val="clear" w:color="auto" w:fill="auto"/>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（6）</w:t>
      </w:r>
      <w:r>
        <w:rPr>
          <w:rFonts w:ascii="宋体" w:hAnsi="宋体" w:cs="宋体"/>
          <w:color w:val="auto"/>
          <w:szCs w:val="21"/>
          <w:highlight w:val="none"/>
        </w:rPr>
        <w:t>拒不确认评标委员会评审修正的投标无效</w:t>
      </w:r>
      <w:r>
        <w:rPr>
          <w:rFonts w:hint="eastAsia" w:ascii="宋体" w:hAnsi="宋体" w:cs="宋体"/>
          <w:color w:val="auto"/>
          <w:szCs w:val="21"/>
          <w:highlight w:val="none"/>
        </w:rPr>
        <w:t>；</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（7）其它情形，经评标委员会委提出按无效投标处理，并经公共资源交易监督部门核准的；</w:t>
      </w:r>
    </w:p>
    <w:p>
      <w:pPr>
        <w:shd w:val="clear" w:color="auto" w:fill="auto"/>
        <w:snapToGrid w:val="0"/>
        <w:spacing w:line="400" w:lineRule="exact"/>
        <w:ind w:firstLine="420" w:firstLineChars="200"/>
        <w:rPr>
          <w:rFonts w:hint="eastAsia" w:ascii="宋体"/>
          <w:color w:val="auto"/>
          <w:szCs w:val="21"/>
          <w:highlight w:val="none"/>
        </w:rPr>
      </w:pPr>
      <w:r>
        <w:rPr>
          <w:rFonts w:hint="eastAsia" w:ascii="宋体" w:hAnsi="宋体" w:cs="宋体"/>
          <w:color w:val="auto"/>
          <w:szCs w:val="21"/>
          <w:highlight w:val="none"/>
        </w:rPr>
        <w:t>（8）</w:t>
      </w:r>
      <w:r>
        <w:rPr>
          <w:rFonts w:hint="eastAsia" w:ascii="宋体" w:hAnsi="宋体" w:cs="宋体"/>
          <w:color w:val="auto"/>
          <w:szCs w:val="21"/>
          <w:highlight w:val="none"/>
          <w:lang w:eastAsia="zh-CN"/>
        </w:rPr>
        <w:t>采购文件</w:t>
      </w:r>
      <w:r>
        <w:rPr>
          <w:rFonts w:hint="eastAsia" w:ascii="宋体" w:hAnsi="宋体" w:cs="宋体"/>
          <w:color w:val="auto"/>
          <w:szCs w:val="21"/>
          <w:highlight w:val="none"/>
        </w:rPr>
        <w:t>规定的其它无效投标情形。</w:t>
      </w:r>
    </w:p>
    <w:p>
      <w:pPr>
        <w:pageBreakBefore/>
        <w:shd w:val="clear" w:color="auto" w:fill="auto"/>
        <w:spacing w:line="360" w:lineRule="auto"/>
        <w:jc w:val="center"/>
        <w:outlineLvl w:val="9"/>
        <w:rPr>
          <w:rFonts w:hint="eastAsia" w:ascii="宋体"/>
          <w:b/>
          <w:color w:val="auto"/>
          <w:sz w:val="32"/>
          <w:szCs w:val="32"/>
          <w:highlight w:val="none"/>
        </w:rPr>
        <w:sectPr>
          <w:headerReference r:id="rId5" w:type="default"/>
          <w:footerReference r:id="rId6" w:type="default"/>
          <w:pgSz w:w="11906" w:h="16838"/>
          <w:pgMar w:top="1440" w:right="1080" w:bottom="1440" w:left="1080" w:header="851" w:footer="992" w:gutter="0"/>
          <w:pgNumType w:fmt="decimalFullWidth"/>
          <w:cols w:space="720" w:num="1"/>
          <w:docGrid w:type="linesAndChars" w:linePitch="312" w:charSpace="0"/>
        </w:sectPr>
      </w:pPr>
      <w:bookmarkStart w:id="79" w:name="_Toc469495737"/>
      <w:bookmarkStart w:id="80" w:name="OLE_LINK4"/>
    </w:p>
    <w:bookmarkEnd w:id="73"/>
    <w:bookmarkEnd w:id="79"/>
    <w:p>
      <w:pPr>
        <w:pageBreakBefore/>
        <w:spacing w:line="360" w:lineRule="auto"/>
        <w:ind w:firstLine="1938" w:firstLineChars="600"/>
        <w:outlineLvl w:val="0"/>
        <w:rPr>
          <w:rFonts w:hint="eastAsia" w:ascii="宋体"/>
          <w:bCs/>
          <w:sz w:val="32"/>
          <w:szCs w:val="32"/>
          <w:highlight w:val="none"/>
        </w:rPr>
      </w:pPr>
      <w:bookmarkStart w:id="81" w:name="_Toc17051"/>
      <w:bookmarkStart w:id="82" w:name="_Toc11215"/>
      <w:r>
        <w:rPr>
          <w:rFonts w:hint="eastAsia" w:ascii="宋体"/>
          <w:b/>
          <w:sz w:val="32"/>
          <w:szCs w:val="32"/>
          <w:highlight w:val="none"/>
        </w:rPr>
        <w:t>第四章  采购内容及技术要求</w:t>
      </w:r>
      <w:bookmarkEnd w:id="81"/>
      <w:bookmarkEnd w:id="82"/>
    </w:p>
    <w:p>
      <w:pPr>
        <w:spacing w:line="40" w:lineRule="atLeast"/>
        <w:jc w:val="center"/>
        <w:rPr>
          <w:rFonts w:hint="eastAsia" w:ascii="黑体" w:eastAsia="黑体"/>
          <w:b/>
          <w:color w:val="auto"/>
          <w:sz w:val="44"/>
          <w:szCs w:val="44"/>
          <w:highlight w:val="none"/>
          <w:u w:val="single"/>
        </w:rPr>
      </w:pPr>
      <w:r>
        <w:rPr>
          <w:rFonts w:hint="eastAsia" w:ascii="黑体" w:eastAsia="黑体"/>
          <w:b/>
          <w:color w:val="auto"/>
          <w:sz w:val="44"/>
          <w:szCs w:val="44"/>
          <w:highlight w:val="none"/>
          <w:u w:val="single"/>
        </w:rPr>
        <w:t>技   术   参   数</w:t>
      </w:r>
    </w:p>
    <w:p>
      <w:pPr>
        <w:spacing w:line="40" w:lineRule="atLeast"/>
        <w:jc w:val="center"/>
        <w:rPr>
          <w:rFonts w:hint="eastAsia" w:ascii="黑体" w:eastAsia="黑体"/>
          <w:b/>
          <w:color w:val="auto"/>
          <w:sz w:val="44"/>
          <w:szCs w:val="44"/>
          <w:highlight w:val="none"/>
          <w:u w:val="single"/>
        </w:rPr>
      </w:pPr>
    </w:p>
    <w:tbl>
      <w:tblPr>
        <w:tblStyle w:val="48"/>
        <w:tblW w:w="0" w:type="auto"/>
        <w:tblInd w:w="-4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6"/>
        <w:gridCol w:w="3421"/>
        <w:gridCol w:w="916"/>
        <w:gridCol w:w="2670"/>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69" w:type="dxa"/>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3505" w:type="dxa"/>
            <w:noWrap w:val="0"/>
            <w:vAlign w:val="top"/>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设备名称</w:t>
            </w:r>
          </w:p>
        </w:tc>
        <w:tc>
          <w:tcPr>
            <w:tcW w:w="930" w:type="dxa"/>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数量</w:t>
            </w:r>
          </w:p>
        </w:tc>
        <w:tc>
          <w:tcPr>
            <w:tcW w:w="2733" w:type="dxa"/>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采购标的对应的中小企业划分所属行业</w:t>
            </w:r>
          </w:p>
        </w:tc>
        <w:tc>
          <w:tcPr>
            <w:tcW w:w="755" w:type="dxa"/>
            <w:noWrap w:val="0"/>
            <w:vAlign w:val="top"/>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3505" w:type="dxa"/>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全自动酶免仪</w:t>
            </w:r>
          </w:p>
        </w:tc>
        <w:tc>
          <w:tcPr>
            <w:tcW w:w="930" w:type="dxa"/>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2733" w:type="dxa"/>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工业</w:t>
            </w:r>
          </w:p>
        </w:tc>
        <w:tc>
          <w:tcPr>
            <w:tcW w:w="755" w:type="dxa"/>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3505" w:type="dxa"/>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全自动生化分析仪</w:t>
            </w:r>
          </w:p>
        </w:tc>
        <w:tc>
          <w:tcPr>
            <w:tcW w:w="930" w:type="dxa"/>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2733" w:type="dxa"/>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工业</w:t>
            </w:r>
          </w:p>
        </w:tc>
        <w:tc>
          <w:tcPr>
            <w:tcW w:w="755" w:type="dxa"/>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269" w:type="dxa"/>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3505" w:type="dxa"/>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医用低温保存箱</w:t>
            </w:r>
          </w:p>
        </w:tc>
        <w:tc>
          <w:tcPr>
            <w:tcW w:w="930" w:type="dxa"/>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2733" w:type="dxa"/>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工业</w:t>
            </w:r>
          </w:p>
        </w:tc>
        <w:tc>
          <w:tcPr>
            <w:tcW w:w="755" w:type="dxa"/>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3505" w:type="dxa"/>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医用冷藏箱</w:t>
            </w:r>
          </w:p>
        </w:tc>
        <w:tc>
          <w:tcPr>
            <w:tcW w:w="930" w:type="dxa"/>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2733" w:type="dxa"/>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工业</w:t>
            </w:r>
          </w:p>
        </w:tc>
        <w:tc>
          <w:tcPr>
            <w:tcW w:w="755" w:type="dxa"/>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3505" w:type="dxa"/>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落地式低温自动脱帽离心机</w:t>
            </w:r>
          </w:p>
        </w:tc>
        <w:tc>
          <w:tcPr>
            <w:tcW w:w="930" w:type="dxa"/>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2733" w:type="dxa"/>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工业</w:t>
            </w:r>
          </w:p>
        </w:tc>
        <w:tc>
          <w:tcPr>
            <w:tcW w:w="755" w:type="dxa"/>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3505" w:type="dxa"/>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真空</w:t>
            </w:r>
            <w:r>
              <w:rPr>
                <w:rFonts w:hint="eastAsia" w:ascii="宋体" w:hAnsi="宋体" w:eastAsia="宋体" w:cs="宋体"/>
                <w:color w:val="auto"/>
                <w:sz w:val="21"/>
                <w:szCs w:val="21"/>
                <w:highlight w:val="none"/>
              </w:rPr>
              <w:t>采血管自动脱盖机</w:t>
            </w:r>
          </w:p>
        </w:tc>
        <w:tc>
          <w:tcPr>
            <w:tcW w:w="930" w:type="dxa"/>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2733" w:type="dxa"/>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工业</w:t>
            </w:r>
          </w:p>
        </w:tc>
        <w:tc>
          <w:tcPr>
            <w:tcW w:w="755" w:type="dxa"/>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4" w:type="dxa"/>
            <w:gridSpan w:val="2"/>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合计</w:t>
            </w:r>
          </w:p>
        </w:tc>
        <w:tc>
          <w:tcPr>
            <w:tcW w:w="4418" w:type="dxa"/>
            <w:gridSpan w:val="3"/>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bl>
    <w:p>
      <w:pPr>
        <w:spacing w:line="40" w:lineRule="atLeast"/>
        <w:jc w:val="center"/>
        <w:rPr>
          <w:rFonts w:hint="eastAsia" w:ascii="黑体" w:eastAsia="黑体"/>
          <w:b/>
          <w:color w:val="auto"/>
          <w:sz w:val="44"/>
          <w:szCs w:val="44"/>
          <w:highlight w:val="none"/>
          <w:u w:val="single"/>
        </w:rPr>
      </w:pPr>
    </w:p>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全自动酶免仪</w:t>
      </w:r>
    </w:p>
    <w:tbl>
      <w:tblPr>
        <w:tblStyle w:val="47"/>
        <w:tblW w:w="0" w:type="auto"/>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939"/>
        <w:gridCol w:w="7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0" w:type="auto"/>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0" w:type="auto"/>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用途：</w:t>
            </w:r>
          </w:p>
        </w:tc>
        <w:tc>
          <w:tcPr>
            <w:tcW w:w="0" w:type="auto"/>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全自动完成ELISA实验，包括标本分配、试剂加注、振荡、孵育、洗板、判读。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0" w:type="auto"/>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0" w:type="auto"/>
            <w:gridSpan w:val="2"/>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机械臂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0" w:type="auto"/>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2.1</w:t>
            </w:r>
          </w:p>
        </w:tc>
        <w:tc>
          <w:tcPr>
            <w:tcW w:w="0" w:type="auto"/>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机械臂：</w:t>
            </w:r>
          </w:p>
        </w:tc>
        <w:tc>
          <w:tcPr>
            <w:tcW w:w="0" w:type="auto"/>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独立的机械臂≥2个。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0" w:type="auto"/>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0" w:type="auto"/>
            <w:gridSpan w:val="2"/>
            <w:noWrap w:val="0"/>
            <w:vAlign w:val="top"/>
          </w:tcPr>
          <w:p>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加样模块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0" w:type="auto"/>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3.1</w:t>
            </w:r>
          </w:p>
        </w:tc>
        <w:tc>
          <w:tcPr>
            <w:tcW w:w="0" w:type="auto"/>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加样通道：</w:t>
            </w:r>
          </w:p>
        </w:tc>
        <w:tc>
          <w:tcPr>
            <w:tcW w:w="0" w:type="auto"/>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加样通道≥</w:t>
            </w:r>
            <w:r>
              <w:rPr>
                <w:rFonts w:hint="eastAsia" w:ascii="宋体" w:hAnsi="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个</w:t>
            </w:r>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均使用</w:t>
            </w:r>
            <w:r>
              <w:rPr>
                <w:rFonts w:hint="eastAsia" w:ascii="宋体" w:hAnsi="宋体" w:eastAsia="宋体" w:cs="宋体"/>
                <w:color w:val="auto"/>
                <w:sz w:val="21"/>
                <w:szCs w:val="21"/>
                <w:highlight w:val="none"/>
              </w:rPr>
              <w:t>一次性加样针，</w:t>
            </w:r>
            <w:r>
              <w:rPr>
                <w:rFonts w:hint="eastAsia" w:ascii="宋体" w:hAnsi="宋体" w:eastAsia="宋体" w:cs="宋体"/>
                <w:color w:val="auto"/>
                <w:kern w:val="0"/>
                <w:sz w:val="21"/>
                <w:szCs w:val="21"/>
                <w:highlight w:val="none"/>
              </w:rPr>
              <w:t>气动置换加样原理；</w:t>
            </w:r>
            <w:r>
              <w:rPr>
                <w:rFonts w:hint="eastAsia" w:ascii="宋体" w:hAnsi="宋体" w:eastAsia="宋体" w:cs="宋体"/>
                <w:color w:val="auto"/>
                <w:sz w:val="21"/>
                <w:szCs w:val="21"/>
                <w:highlight w:val="none"/>
              </w:rPr>
              <w:t>工作中</w:t>
            </w:r>
            <w:r>
              <w:rPr>
                <w:rFonts w:hint="eastAsia" w:ascii="宋体" w:hAnsi="宋体" w:eastAsia="宋体" w:cs="宋体"/>
                <w:color w:val="auto"/>
                <w:kern w:val="0"/>
                <w:sz w:val="21"/>
                <w:szCs w:val="21"/>
                <w:highlight w:val="none"/>
              </w:rPr>
              <w:t>任意</w:t>
            </w:r>
            <w:r>
              <w:rPr>
                <w:rFonts w:hint="eastAsia" w:ascii="宋体" w:hAnsi="宋体" w:eastAsia="宋体" w:cs="宋体"/>
                <w:color w:val="auto"/>
                <w:sz w:val="21"/>
                <w:szCs w:val="21"/>
                <w:highlight w:val="none"/>
              </w:rPr>
              <w:t>两加样通道可分开间距≥300mm。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0" w:type="auto"/>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3.2</w:t>
            </w:r>
          </w:p>
        </w:tc>
        <w:tc>
          <w:tcPr>
            <w:tcW w:w="0" w:type="auto"/>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加样针</w:t>
            </w:r>
          </w:p>
        </w:tc>
        <w:tc>
          <w:tcPr>
            <w:tcW w:w="0" w:type="auto"/>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加样针容量≥1000ul，使用的一次性加样针，避免交叉污染，杜绝使用钢针</w:t>
            </w:r>
            <w:r>
              <w:rPr>
                <w:rFonts w:hint="eastAsia" w:ascii="宋体" w:hAnsi="宋体" w:eastAsia="宋体" w:cs="宋体"/>
                <w:color w:val="auto"/>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0" w:type="auto"/>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3.3</w:t>
            </w:r>
          </w:p>
        </w:tc>
        <w:tc>
          <w:tcPr>
            <w:tcW w:w="0" w:type="auto"/>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液体探测：</w:t>
            </w:r>
          </w:p>
        </w:tc>
        <w:tc>
          <w:tcPr>
            <w:tcW w:w="0" w:type="auto"/>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具有液面和凝块探测、报警功能，压力感应式探测原理。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0" w:type="auto"/>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w:t>
            </w:r>
          </w:p>
        </w:tc>
        <w:tc>
          <w:tcPr>
            <w:tcW w:w="0" w:type="auto"/>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加样范围：</w:t>
            </w:r>
          </w:p>
        </w:tc>
        <w:tc>
          <w:tcPr>
            <w:tcW w:w="0" w:type="auto"/>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100</w:t>
            </w:r>
            <w:r>
              <w:rPr>
                <w:rFonts w:hint="eastAsia" w:ascii="宋体" w:hAnsi="宋体" w:eastAsia="宋体" w:cs="宋体"/>
                <w:color w:val="auto"/>
                <w:kern w:val="0"/>
                <w:sz w:val="21"/>
                <w:szCs w:val="21"/>
                <w:highlight w:val="none"/>
              </w:rPr>
              <w:t>-1000ul。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0" w:type="auto"/>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3.5</w:t>
            </w:r>
          </w:p>
        </w:tc>
        <w:tc>
          <w:tcPr>
            <w:tcW w:w="0" w:type="auto"/>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加样精度：</w:t>
            </w:r>
          </w:p>
        </w:tc>
        <w:tc>
          <w:tcPr>
            <w:tcW w:w="0" w:type="auto"/>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精度（CV）≤</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%，准确度±</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w:t>
            </w:r>
          </w:p>
          <w:p>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0" w:type="auto"/>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lang w:val="en-US" w:eastAsia="zh-CN"/>
              </w:rPr>
              <w:t>6</w:t>
            </w:r>
          </w:p>
        </w:tc>
        <w:tc>
          <w:tcPr>
            <w:tcW w:w="0" w:type="auto"/>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标本位</w:t>
            </w:r>
          </w:p>
        </w:tc>
        <w:tc>
          <w:tcPr>
            <w:tcW w:w="0" w:type="auto"/>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0" w:type="auto"/>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lang w:val="en-US" w:eastAsia="zh-CN"/>
              </w:rPr>
              <w:t>7</w:t>
            </w:r>
          </w:p>
        </w:tc>
        <w:tc>
          <w:tcPr>
            <w:tcW w:w="0" w:type="auto"/>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加样微板位：</w:t>
            </w:r>
          </w:p>
        </w:tc>
        <w:tc>
          <w:tcPr>
            <w:tcW w:w="0" w:type="auto"/>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≥10个加样微板位。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0" w:type="auto"/>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0" w:type="auto"/>
            <w:gridSpan w:val="2"/>
            <w:noWrap w:val="0"/>
            <w:vAlign w:val="top"/>
          </w:tcPr>
          <w:p>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试剂位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0" w:type="auto"/>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4.1</w:t>
            </w:r>
          </w:p>
        </w:tc>
        <w:tc>
          <w:tcPr>
            <w:tcW w:w="0" w:type="auto"/>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通用试剂位：</w:t>
            </w:r>
          </w:p>
        </w:tc>
        <w:tc>
          <w:tcPr>
            <w:tcW w:w="0" w:type="auto"/>
            <w:noWrap w:val="0"/>
            <w:vAlign w:val="center"/>
          </w:tcPr>
          <w:p>
            <w:pPr>
              <w:keepNext w:val="0"/>
              <w:keepLines w:val="0"/>
              <w:widowControl/>
              <w:suppressLineNumbers w:val="0"/>
              <w:spacing w:before="0" w:beforeAutospacing="0" w:after="0" w:afterAutospacing="0"/>
              <w:ind w:left="0" w:right="0"/>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rPr>
              <w:t>≥24个试剂槽。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0" w:type="auto"/>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w:t>
            </w:r>
          </w:p>
        </w:tc>
        <w:tc>
          <w:tcPr>
            <w:tcW w:w="0" w:type="auto"/>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专用试剂位：</w:t>
            </w:r>
          </w:p>
        </w:tc>
        <w:tc>
          <w:tcPr>
            <w:tcW w:w="0" w:type="auto"/>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专用试剂位≥40个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0" w:type="auto"/>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4.3</w:t>
            </w:r>
          </w:p>
        </w:tc>
        <w:tc>
          <w:tcPr>
            <w:tcW w:w="0" w:type="auto"/>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试剂自动识别：</w:t>
            </w:r>
          </w:p>
        </w:tc>
        <w:tc>
          <w:tcPr>
            <w:tcW w:w="0" w:type="auto"/>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每个试剂盒内置不同规格磁感应装置，可在实验进行中动态更换试剂盒位置，无需按固定的位置摆放</w:t>
            </w:r>
            <w:r>
              <w:rPr>
                <w:rFonts w:hint="eastAsia" w:ascii="宋体" w:hAnsi="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0" w:type="auto"/>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0" w:type="auto"/>
            <w:gridSpan w:val="2"/>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微板传输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0" w:type="auto"/>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w:t>
            </w:r>
          </w:p>
        </w:tc>
        <w:tc>
          <w:tcPr>
            <w:tcW w:w="0" w:type="auto"/>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微板传输方式：</w:t>
            </w:r>
          </w:p>
        </w:tc>
        <w:tc>
          <w:tcPr>
            <w:tcW w:w="0" w:type="auto"/>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采用机械抓手压力感应系统实时监测抓板状态，提高微板转移效率。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0" w:type="auto"/>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0" w:type="auto"/>
            <w:gridSpan w:val="2"/>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孵育器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0" w:type="auto"/>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w:t>
            </w:r>
          </w:p>
        </w:tc>
        <w:tc>
          <w:tcPr>
            <w:tcW w:w="0" w:type="auto"/>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恒温孵育器：</w:t>
            </w:r>
          </w:p>
        </w:tc>
        <w:tc>
          <w:tcPr>
            <w:tcW w:w="0" w:type="auto"/>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密闭的塔式结构恒温孵育器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0" w:type="auto"/>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w:t>
            </w:r>
          </w:p>
        </w:tc>
        <w:tc>
          <w:tcPr>
            <w:tcW w:w="0" w:type="auto"/>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室温孵育器：</w:t>
            </w:r>
          </w:p>
        </w:tc>
        <w:tc>
          <w:tcPr>
            <w:tcW w:w="0" w:type="auto"/>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密闭的塔式结构室温孵育器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0" w:type="auto"/>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0" w:type="auto"/>
            <w:gridSpan w:val="2"/>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洗板模块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0" w:type="auto"/>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7.1</w:t>
            </w:r>
          </w:p>
        </w:tc>
        <w:tc>
          <w:tcPr>
            <w:tcW w:w="0" w:type="auto"/>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洗板机：</w:t>
            </w:r>
          </w:p>
        </w:tc>
        <w:tc>
          <w:tcPr>
            <w:tcW w:w="0" w:type="auto"/>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≥3台独立的洗板机，洗板头16通道</w:t>
            </w:r>
          </w:p>
          <w:p>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清洗残留液量≤</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ul/孔</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7.2</w:t>
            </w:r>
          </w:p>
        </w:tc>
        <w:tc>
          <w:tcPr>
            <w:tcW w:w="0" w:type="auto"/>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洗板方式：</w:t>
            </w:r>
          </w:p>
        </w:tc>
        <w:tc>
          <w:tcPr>
            <w:tcW w:w="0" w:type="auto"/>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程序控制洗板排数，清洗次数0-9可调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0" w:type="auto"/>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7.3</w:t>
            </w:r>
          </w:p>
        </w:tc>
        <w:tc>
          <w:tcPr>
            <w:tcW w:w="0" w:type="auto"/>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模块独立：</w:t>
            </w:r>
          </w:p>
        </w:tc>
        <w:tc>
          <w:tcPr>
            <w:tcW w:w="0" w:type="auto"/>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洗板头采用挂式安装，可以不借助任何工具灵活卸载，方便处理堵孔等问题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0" w:type="auto"/>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0" w:type="auto"/>
            <w:gridSpan w:val="2"/>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酶标仪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0" w:type="auto"/>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8.1</w:t>
            </w:r>
          </w:p>
        </w:tc>
        <w:tc>
          <w:tcPr>
            <w:tcW w:w="0" w:type="auto"/>
            <w:noWrap w:val="0"/>
            <w:vAlign w:val="top"/>
          </w:tcPr>
          <w:p>
            <w:pPr>
              <w:keepNext w:val="0"/>
              <w:keepLines w:val="0"/>
              <w:widowControl/>
              <w:suppressLineNumbers w:val="0"/>
              <w:spacing w:before="0" w:beforeAutospacing="0" w:after="0" w:afterAutospacing="0"/>
              <w:ind w:left="0" w:leftChars="0" w:right="0" w:right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测量方式：</w:t>
            </w:r>
          </w:p>
        </w:tc>
        <w:tc>
          <w:tcPr>
            <w:tcW w:w="0" w:type="auto"/>
            <w:noWrap w:val="0"/>
            <w:vAlign w:val="center"/>
          </w:tcPr>
          <w:p>
            <w:pPr>
              <w:keepNext w:val="0"/>
              <w:keepLines w:val="0"/>
              <w:widowControl/>
              <w:suppressLineNumbers w:val="0"/>
              <w:spacing w:before="0" w:beforeAutospacing="0" w:after="0" w:afterAutospacing="0"/>
              <w:ind w:left="0" w:leftChars="0" w:right="0" w:right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≥8个测量通道，单、双波长。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0" w:type="auto"/>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8.2  </w:t>
            </w:r>
          </w:p>
        </w:tc>
        <w:tc>
          <w:tcPr>
            <w:tcW w:w="0" w:type="auto"/>
            <w:noWrap w:val="0"/>
            <w:vAlign w:val="top"/>
          </w:tcPr>
          <w:p>
            <w:pPr>
              <w:keepNext w:val="0"/>
              <w:keepLines w:val="0"/>
              <w:widowControl/>
              <w:suppressLineNumbers w:val="0"/>
              <w:spacing w:before="0" w:beforeAutospacing="0" w:after="0" w:afterAutospacing="0"/>
              <w:ind w:left="0" w:leftChars="0" w:right="0" w:right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滤光片：</w:t>
            </w:r>
          </w:p>
        </w:tc>
        <w:tc>
          <w:tcPr>
            <w:tcW w:w="0" w:type="auto"/>
            <w:noWrap w:val="0"/>
            <w:vAlign w:val="center"/>
          </w:tcPr>
          <w:p>
            <w:pPr>
              <w:keepNext w:val="0"/>
              <w:keepLines w:val="0"/>
              <w:widowControl/>
              <w:suppressLineNumbers w:val="0"/>
              <w:spacing w:before="0" w:beforeAutospacing="0" w:after="0" w:afterAutospacing="0"/>
              <w:ind w:left="0" w:leftChars="0" w:right="0" w:right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配置405nm、450nm、492nm、630nm</w:t>
            </w:r>
            <w:r>
              <w:rPr>
                <w:rFonts w:hint="eastAsia" w:ascii="宋体" w:hAnsi="宋体" w:eastAsia="宋体" w:cs="宋体"/>
                <w:color w:val="auto"/>
                <w:kern w:val="0"/>
                <w:sz w:val="21"/>
                <w:szCs w:val="21"/>
                <w:highlight w:val="none"/>
                <w:lang w:val="en-US" w:eastAsia="zh-CN"/>
              </w:rPr>
              <w:t>等</w:t>
            </w:r>
            <w:r>
              <w:rPr>
                <w:rFonts w:hint="eastAsia" w:ascii="宋体" w:hAnsi="宋体" w:eastAsia="宋体" w:cs="宋体"/>
                <w:color w:val="auto"/>
                <w:kern w:val="0"/>
                <w:sz w:val="21"/>
                <w:szCs w:val="21"/>
                <w:highlight w:val="none"/>
              </w:rPr>
              <w:t>滤光片。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0" w:type="auto"/>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rPr>
              <w:t>.</w:t>
            </w:r>
          </w:p>
        </w:tc>
        <w:tc>
          <w:tcPr>
            <w:tcW w:w="0" w:type="auto"/>
            <w:gridSpan w:val="2"/>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0" w:type="auto"/>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rPr>
              <w:t>.1</w:t>
            </w:r>
          </w:p>
        </w:tc>
        <w:tc>
          <w:tcPr>
            <w:tcW w:w="0" w:type="auto"/>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运行环境：</w:t>
            </w:r>
          </w:p>
        </w:tc>
        <w:tc>
          <w:tcPr>
            <w:tcW w:w="0" w:type="auto"/>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全中文操作软件，能在Windows </w:t>
            </w:r>
            <w:r>
              <w:rPr>
                <w:rFonts w:hint="eastAsia" w:ascii="宋体" w:hAnsi="宋体" w:cs="宋体"/>
                <w:color w:val="auto"/>
                <w:sz w:val="21"/>
                <w:szCs w:val="21"/>
                <w:highlight w:val="none"/>
                <w:lang w:val="en-US" w:eastAsia="zh-CN"/>
              </w:rPr>
              <w:t>系统</w:t>
            </w:r>
            <w:r>
              <w:rPr>
                <w:rFonts w:hint="eastAsia" w:ascii="宋体" w:hAnsi="宋体" w:eastAsia="宋体" w:cs="宋体"/>
                <w:color w:val="auto"/>
                <w:sz w:val="21"/>
                <w:szCs w:val="21"/>
                <w:highlight w:val="none"/>
              </w:rPr>
              <w:t>上的操作系统运行。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0" w:type="auto"/>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rPr>
              <w:t>.2</w:t>
            </w:r>
          </w:p>
        </w:tc>
        <w:tc>
          <w:tcPr>
            <w:tcW w:w="0" w:type="auto"/>
            <w:noWrap w:val="0"/>
            <w:vAlign w:val="top"/>
          </w:tcPr>
          <w:p>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系统连接：</w:t>
            </w:r>
          </w:p>
        </w:tc>
        <w:tc>
          <w:tcPr>
            <w:tcW w:w="0" w:type="auto"/>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操作软件能与实验室管理系统（Lis系统）连接，可实现双向通讯。</w:t>
            </w:r>
            <w:r>
              <w:rPr>
                <w:rFonts w:hint="eastAsia" w:ascii="宋体" w:hAnsi="宋体" w:eastAsia="宋体" w:cs="宋体"/>
                <w:color w:val="auto"/>
                <w:kern w:val="0"/>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0" w:type="auto"/>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3</w:t>
            </w:r>
          </w:p>
        </w:tc>
        <w:tc>
          <w:tcPr>
            <w:tcW w:w="0" w:type="auto"/>
            <w:noWrap w:val="0"/>
            <w:vAlign w:val="top"/>
          </w:tcPr>
          <w:p>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1"/>
                <w:szCs w:val="21"/>
                <w:highlight w:val="none"/>
              </w:rPr>
            </w:pPr>
            <w:r>
              <w:rPr>
                <w:rFonts w:hint="eastAsia" w:ascii="宋体" w:hAnsi="宋体" w:cs="宋体"/>
                <w:color w:val="auto"/>
                <w:sz w:val="21"/>
                <w:szCs w:val="21"/>
                <w:highlight w:val="none"/>
                <w:lang w:val="en-US" w:eastAsia="zh-CN"/>
              </w:rPr>
              <w:t>双</w:t>
            </w:r>
            <w:r>
              <w:rPr>
                <w:rFonts w:hint="eastAsia" w:ascii="宋体" w:hAnsi="宋体" w:eastAsia="宋体" w:cs="宋体"/>
                <w:color w:val="auto"/>
                <w:sz w:val="21"/>
                <w:szCs w:val="21"/>
                <w:highlight w:val="none"/>
              </w:rPr>
              <w:t>孔复查功能：</w:t>
            </w:r>
          </w:p>
        </w:tc>
        <w:tc>
          <w:tcPr>
            <w:tcW w:w="0" w:type="auto"/>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可实现同一批上机标本每个标本检测项目自定义，可实现双孔复查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0" w:type="auto"/>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rPr>
              <w:t>.</w:t>
            </w:r>
          </w:p>
        </w:tc>
        <w:tc>
          <w:tcPr>
            <w:tcW w:w="0" w:type="auto"/>
            <w:gridSpan w:val="2"/>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0" w:type="auto"/>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rPr>
              <w:t>.1</w:t>
            </w:r>
          </w:p>
        </w:tc>
        <w:tc>
          <w:tcPr>
            <w:tcW w:w="0" w:type="auto"/>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电脑：</w:t>
            </w:r>
          </w:p>
        </w:tc>
        <w:tc>
          <w:tcPr>
            <w:tcW w:w="0" w:type="auto"/>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工控电脑一台。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0" w:type="auto"/>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rPr>
              <w:t>.2</w:t>
            </w:r>
          </w:p>
        </w:tc>
        <w:tc>
          <w:tcPr>
            <w:tcW w:w="0" w:type="auto"/>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工作环境：</w:t>
            </w:r>
          </w:p>
        </w:tc>
        <w:tc>
          <w:tcPr>
            <w:tcW w:w="0" w:type="auto"/>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温度15℃-32℃；湿度30%-80%。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0" w:type="auto"/>
            <w:noWrap w:val="0"/>
            <w:vAlign w:val="center"/>
          </w:tcPr>
          <w:p>
            <w:pPr>
              <w:keepNext w:val="0"/>
              <w:keepLines w:val="0"/>
              <w:widowControl/>
              <w:suppressLineNumbers w:val="0"/>
              <w:spacing w:before="0" w:beforeAutospacing="0" w:after="0" w:afterAutospacing="0"/>
              <w:ind w:left="0" w:right="0"/>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11</w:t>
            </w:r>
          </w:p>
        </w:tc>
        <w:tc>
          <w:tcPr>
            <w:tcW w:w="0" w:type="auto"/>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0" w:type="auto"/>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0" w:type="auto"/>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val="en-US" w:eastAsia="zh-CN"/>
              </w:rPr>
              <w:t>.1</w:t>
            </w:r>
          </w:p>
        </w:tc>
        <w:tc>
          <w:tcPr>
            <w:tcW w:w="0" w:type="auto"/>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★系统连接</w:t>
            </w:r>
          </w:p>
        </w:tc>
        <w:tc>
          <w:tcPr>
            <w:tcW w:w="0" w:type="auto"/>
            <w:noWrap w:val="0"/>
            <w:vAlign w:val="center"/>
          </w:tcPr>
          <w:p>
            <w:pPr>
              <w:keepNext w:val="0"/>
              <w:keepLines w:val="0"/>
              <w:numPr>
                <w:ilvl w:val="0"/>
                <w:numId w:val="8"/>
              </w:numPr>
              <w:suppressLineNumbers w:val="0"/>
              <w:spacing w:before="0" w:beforeAutospacing="0" w:after="0" w:afterAutospacing="0" w:line="360" w:lineRule="auto"/>
              <w:ind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操作软件能与实验室管理系统（Lis系统）连接，</w:t>
            </w:r>
            <w:r>
              <w:rPr>
                <w:rFonts w:hint="eastAsia" w:ascii="宋体" w:hAnsi="宋体" w:eastAsia="宋体" w:cs="宋体"/>
                <w:color w:val="auto"/>
                <w:sz w:val="21"/>
                <w:szCs w:val="21"/>
                <w:highlight w:val="none"/>
                <w:lang w:val="en-US" w:eastAsia="zh-CN"/>
              </w:rPr>
              <w:t>承担联网费用，</w:t>
            </w:r>
            <w:r>
              <w:rPr>
                <w:rFonts w:hint="eastAsia" w:ascii="宋体" w:hAnsi="宋体" w:eastAsia="宋体" w:cs="宋体"/>
                <w:color w:val="auto"/>
                <w:sz w:val="21"/>
                <w:szCs w:val="21"/>
                <w:highlight w:val="none"/>
              </w:rPr>
              <w:t>可实现双向通讯</w:t>
            </w:r>
            <w:r>
              <w:rPr>
                <w:rFonts w:hint="eastAsia" w:ascii="宋体" w:hAnsi="宋体" w:eastAsia="宋体" w:cs="宋体"/>
                <w:color w:val="auto"/>
                <w:sz w:val="21"/>
                <w:szCs w:val="21"/>
                <w:highlight w:val="none"/>
                <w:lang w:eastAsia="zh-CN"/>
              </w:rPr>
              <w:t>。</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0" w:type="auto"/>
            <w:shd w:val="clear" w:color="auto" w:fill="auto"/>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val="en-US" w:eastAsia="zh-CN"/>
              </w:rPr>
              <w:t>.2</w:t>
            </w:r>
          </w:p>
        </w:tc>
        <w:tc>
          <w:tcPr>
            <w:tcW w:w="0" w:type="auto"/>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p>
        </w:tc>
        <w:tc>
          <w:tcPr>
            <w:tcW w:w="0" w:type="auto"/>
            <w:shd w:val="clear" w:color="auto" w:fill="FFFFFF"/>
            <w:noWrap w:val="0"/>
            <w:vAlign w:val="center"/>
          </w:tcPr>
          <w:p>
            <w:pPr>
              <w:keepNext w:val="0"/>
              <w:keepLines w:val="0"/>
              <w:numPr>
                <w:ilvl w:val="0"/>
                <w:numId w:val="8"/>
              </w:numPr>
              <w:suppressLineNumbers w:val="0"/>
              <w:spacing w:before="0" w:beforeAutospacing="0" w:after="0" w:afterAutospacing="0" w:line="360" w:lineRule="auto"/>
              <w:ind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具备与血站信息化管理系统联网的端口，酶免检测结果自动传输到血站检验平台数据库，并与委托检测方（喀什血站）检验数据库有条件互通，实现远程数据交换，献血标本检验结果判定顺畅，承担血站检验相关配套应用软件费用。</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0" w:type="auto"/>
            <w:noWrap w:val="0"/>
            <w:vAlign w:val="center"/>
          </w:tcPr>
          <w:p>
            <w:pPr>
              <w:keepNext w:val="0"/>
              <w:keepLines w:val="0"/>
              <w:widowControl/>
              <w:suppressLineNumbers w:val="0"/>
              <w:spacing w:before="0" w:beforeAutospacing="0" w:after="0" w:afterAutospacing="0"/>
              <w:ind w:left="0" w:right="0"/>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11.3</w:t>
            </w:r>
          </w:p>
        </w:tc>
        <w:tc>
          <w:tcPr>
            <w:tcW w:w="0" w:type="auto"/>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其他</w:t>
            </w:r>
          </w:p>
        </w:tc>
        <w:tc>
          <w:tcPr>
            <w:tcW w:w="0" w:type="auto"/>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酶免实验室建设：操作工作台、UPS(</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三千瓦，蓄电不少于2小时电路改造）与酶免相配套的电脑、打印机、全自动生化仪下水道的改造等</w:t>
            </w:r>
          </w:p>
        </w:tc>
      </w:tr>
    </w:tbl>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hint="eastAsia" w:ascii="宋体" w:hAnsi="宋体" w:eastAsia="宋体" w:cs="宋体"/>
          <w:b/>
          <w:bCs/>
          <w:color w:val="auto"/>
          <w:sz w:val="30"/>
          <w:szCs w:val="30"/>
          <w:highlight w:val="none"/>
        </w:rPr>
      </w:pPr>
    </w:p>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hint="eastAsia" w:ascii="宋体" w:hAnsi="宋体" w:eastAsia="宋体" w:cs="宋体"/>
          <w:color w:val="auto"/>
          <w:sz w:val="30"/>
          <w:szCs w:val="30"/>
          <w:highlight w:val="none"/>
        </w:rPr>
      </w:pPr>
      <w:r>
        <w:rPr>
          <w:rFonts w:hint="eastAsia" w:ascii="宋体" w:hAnsi="宋体" w:eastAsia="宋体" w:cs="宋体"/>
          <w:b/>
          <w:bCs/>
          <w:color w:val="auto"/>
          <w:sz w:val="30"/>
          <w:szCs w:val="30"/>
          <w:highlight w:val="none"/>
        </w:rPr>
        <w:t>全自动生化分析仪技术参数</w:t>
      </w:r>
    </w:p>
    <w:p>
      <w:pPr>
        <w:widowControl/>
        <w:numPr>
          <w:ilvl w:val="0"/>
          <w:numId w:val="9"/>
        </w:numPr>
        <w:pBdr>
          <w:top w:val="none" w:color="auto" w:sz="0" w:space="0"/>
          <w:left w:val="none" w:color="auto" w:sz="0" w:space="0"/>
          <w:bottom w:val="none" w:color="auto" w:sz="0" w:space="0"/>
          <w:right w:val="none" w:color="auto" w:sz="0" w:space="0"/>
          <w:between w:val="none" w:color="auto" w:sz="0" w:space="0"/>
        </w:pBdr>
        <w:spacing w:line="360" w:lineRule="auto"/>
        <w:ind w:left="42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仪器类型：随机任取、分立式全自动生化分析仪</w:t>
      </w:r>
    </w:p>
    <w:p>
      <w:pPr>
        <w:widowControl/>
        <w:numPr>
          <w:ilvl w:val="0"/>
          <w:numId w:val="9"/>
        </w:numPr>
        <w:pBdr>
          <w:top w:val="none" w:color="auto" w:sz="0" w:space="0"/>
          <w:left w:val="none" w:color="auto" w:sz="0" w:space="0"/>
          <w:bottom w:val="none" w:color="auto" w:sz="0" w:space="0"/>
          <w:right w:val="none" w:color="auto" w:sz="0" w:space="0"/>
          <w:between w:val="none" w:color="auto" w:sz="0" w:space="0"/>
        </w:pBdr>
        <w:spacing w:line="360" w:lineRule="auto"/>
        <w:ind w:left="42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分析速度：比色恒速</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00</w:t>
      </w:r>
      <w:r>
        <w:rPr>
          <w:rFonts w:hint="eastAsia" w:ascii="宋体" w:hAnsi="宋体" w:eastAsia="宋体" w:cs="宋体"/>
          <w:color w:val="auto"/>
          <w:sz w:val="21"/>
          <w:szCs w:val="21"/>
          <w:highlight w:val="none"/>
        </w:rPr>
        <w:t>T/H，选配ISE速度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en-US" w:eastAsia="zh-CN"/>
        </w:rPr>
        <w:t>00</w:t>
      </w:r>
      <w:r>
        <w:rPr>
          <w:rFonts w:hint="eastAsia" w:ascii="宋体" w:hAnsi="宋体" w:eastAsia="宋体" w:cs="宋体"/>
          <w:color w:val="auto"/>
          <w:sz w:val="21"/>
          <w:szCs w:val="21"/>
          <w:highlight w:val="none"/>
        </w:rPr>
        <w:t xml:space="preserve">T/H </w:t>
      </w:r>
    </w:p>
    <w:p>
      <w:pPr>
        <w:widowControl/>
        <w:numPr>
          <w:ilvl w:val="0"/>
          <w:numId w:val="9"/>
        </w:numPr>
        <w:pBdr>
          <w:top w:val="none" w:color="auto" w:sz="0" w:space="0"/>
          <w:left w:val="none" w:color="auto" w:sz="0" w:space="0"/>
          <w:bottom w:val="none" w:color="auto" w:sz="0" w:space="0"/>
          <w:right w:val="none" w:color="auto" w:sz="0" w:space="0"/>
          <w:between w:val="none" w:color="auto" w:sz="0" w:space="0"/>
        </w:pBdr>
        <w:spacing w:line="360" w:lineRule="auto"/>
        <w:ind w:left="42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最大可同时分析项目：</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sz w:val="21"/>
          <w:szCs w:val="21"/>
          <w:highlight w:val="none"/>
        </w:rPr>
        <w:t>9</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个</w:t>
      </w:r>
    </w:p>
    <w:p>
      <w:pPr>
        <w:widowControl/>
        <w:numPr>
          <w:ilvl w:val="0"/>
          <w:numId w:val="9"/>
        </w:numPr>
        <w:pBdr>
          <w:top w:val="none" w:color="auto" w:sz="0" w:space="0"/>
          <w:left w:val="none" w:color="auto" w:sz="0" w:space="0"/>
          <w:bottom w:val="none" w:color="auto" w:sz="0" w:space="0"/>
          <w:right w:val="none" w:color="auto" w:sz="0" w:space="0"/>
          <w:between w:val="none" w:color="auto" w:sz="0" w:space="0"/>
        </w:pBdr>
        <w:spacing w:line="360" w:lineRule="auto"/>
        <w:ind w:left="42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样本位：</w:t>
      </w:r>
      <w:r>
        <w:rPr>
          <w:rFonts w:hint="eastAsia" w:ascii="宋体" w:hAnsi="宋体" w:eastAsia="宋体" w:cs="宋体"/>
          <w:color w:val="auto"/>
          <w:kern w:val="0"/>
          <w:sz w:val="21"/>
          <w:szCs w:val="21"/>
          <w:highlight w:val="none"/>
          <w:lang w:eastAsia="zh-CN"/>
        </w:rPr>
        <w:t>≥</w:t>
      </w:r>
      <w:r>
        <w:rPr>
          <w:rFonts w:hint="eastAsia" w:ascii="宋体" w:hAnsi="宋体" w:cs="宋体"/>
          <w:color w:val="auto"/>
          <w:sz w:val="21"/>
          <w:szCs w:val="21"/>
          <w:highlight w:val="none"/>
          <w:lang w:val="en-US" w:eastAsia="zh-CN"/>
        </w:rPr>
        <w:t>90</w:t>
      </w:r>
      <w:r>
        <w:rPr>
          <w:rFonts w:hint="eastAsia" w:ascii="宋体" w:hAnsi="宋体" w:eastAsia="宋体" w:cs="宋体"/>
          <w:color w:val="auto"/>
          <w:sz w:val="21"/>
          <w:szCs w:val="21"/>
          <w:highlight w:val="none"/>
        </w:rPr>
        <w:t>个</w:t>
      </w:r>
    </w:p>
    <w:p>
      <w:pPr>
        <w:widowControl/>
        <w:numPr>
          <w:ilvl w:val="0"/>
          <w:numId w:val="9"/>
        </w:numPr>
        <w:pBdr>
          <w:top w:val="none" w:color="auto" w:sz="0" w:space="0"/>
          <w:left w:val="none" w:color="auto" w:sz="0" w:space="0"/>
          <w:bottom w:val="none" w:color="auto" w:sz="0" w:space="0"/>
          <w:right w:val="none" w:color="auto" w:sz="0" w:space="0"/>
          <w:between w:val="none" w:color="auto" w:sz="0" w:space="0"/>
        </w:pBdr>
        <w:spacing w:line="360" w:lineRule="auto"/>
        <w:ind w:left="42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样本量：1μL～</w:t>
      </w:r>
      <w:r>
        <w:rPr>
          <w:rFonts w:hint="eastAsia" w:ascii="宋体" w:hAnsi="宋体" w:cs="宋体"/>
          <w:color w:val="auto"/>
          <w:kern w:val="0"/>
          <w:sz w:val="21"/>
          <w:szCs w:val="21"/>
          <w:highlight w:val="none"/>
          <w:lang w:val="en-US" w:eastAsia="zh-CN"/>
        </w:rPr>
        <w:t>70</w:t>
      </w:r>
      <w:r>
        <w:rPr>
          <w:rFonts w:hint="eastAsia" w:ascii="宋体" w:hAnsi="宋体" w:eastAsia="宋体" w:cs="宋体"/>
          <w:color w:val="auto"/>
          <w:kern w:val="0"/>
          <w:sz w:val="21"/>
          <w:szCs w:val="21"/>
          <w:highlight w:val="none"/>
        </w:rPr>
        <w:t>uL</w:t>
      </w:r>
      <w:r>
        <w:rPr>
          <w:rFonts w:hint="eastAsia" w:ascii="宋体" w:hAnsi="宋体" w:eastAsia="宋体" w:cs="宋体"/>
          <w:color w:val="auto"/>
          <w:sz w:val="21"/>
          <w:szCs w:val="21"/>
          <w:highlight w:val="none"/>
        </w:rPr>
        <w:t>， 0.1µl步进。</w:t>
      </w:r>
    </w:p>
    <w:p>
      <w:pPr>
        <w:widowControl/>
        <w:numPr>
          <w:ilvl w:val="0"/>
          <w:numId w:val="9"/>
        </w:numPr>
        <w:pBdr>
          <w:top w:val="none" w:color="auto" w:sz="0" w:space="0"/>
          <w:left w:val="none" w:color="auto" w:sz="0" w:space="0"/>
          <w:bottom w:val="none" w:color="auto" w:sz="0" w:space="0"/>
          <w:right w:val="none" w:color="auto" w:sz="0" w:space="0"/>
          <w:between w:val="none" w:color="auto" w:sz="0" w:space="0"/>
        </w:pBdr>
        <w:spacing w:line="360" w:lineRule="auto"/>
        <w:ind w:left="42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试剂位：</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个</w:t>
      </w:r>
    </w:p>
    <w:p>
      <w:pPr>
        <w:widowControl/>
        <w:numPr>
          <w:ilvl w:val="0"/>
          <w:numId w:val="9"/>
        </w:numPr>
        <w:pBdr>
          <w:top w:val="none" w:color="auto" w:sz="0" w:space="0"/>
          <w:left w:val="none" w:color="auto" w:sz="0" w:space="0"/>
          <w:bottom w:val="none" w:color="auto" w:sz="0" w:space="0"/>
          <w:right w:val="none" w:color="auto" w:sz="0" w:space="0"/>
          <w:between w:val="none" w:color="auto" w:sz="0" w:space="0"/>
        </w:pBdr>
        <w:spacing w:line="360" w:lineRule="auto"/>
        <w:ind w:left="42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试剂盘制冷温度：2～8℃</w:t>
      </w:r>
    </w:p>
    <w:p>
      <w:pPr>
        <w:widowControl/>
        <w:numPr>
          <w:ilvl w:val="0"/>
          <w:numId w:val="9"/>
        </w:numPr>
        <w:pBdr>
          <w:top w:val="none" w:color="auto" w:sz="0" w:space="0"/>
          <w:left w:val="none" w:color="auto" w:sz="0" w:space="0"/>
          <w:bottom w:val="none" w:color="auto" w:sz="0" w:space="0"/>
          <w:right w:val="none" w:color="auto" w:sz="0" w:space="0"/>
          <w:between w:val="none" w:color="auto" w:sz="0" w:space="0"/>
        </w:pBdr>
        <w:spacing w:line="360" w:lineRule="auto"/>
        <w:ind w:left="42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试剂量：10μL～</w:t>
      </w:r>
      <w:r>
        <w:rPr>
          <w:rFonts w:hint="eastAsia" w:ascii="宋体" w:hAnsi="宋体" w:cs="宋体"/>
          <w:color w:val="auto"/>
          <w:kern w:val="0"/>
          <w:sz w:val="21"/>
          <w:szCs w:val="21"/>
          <w:highlight w:val="none"/>
          <w:lang w:val="en-US" w:eastAsia="zh-CN"/>
        </w:rPr>
        <w:t>35</w:t>
      </w:r>
      <w:r>
        <w:rPr>
          <w:rFonts w:hint="eastAsia" w:ascii="宋体" w:hAnsi="宋体" w:eastAsia="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rPr>
        <w:t>uL</w:t>
      </w:r>
      <w:r>
        <w:rPr>
          <w:rFonts w:hint="eastAsia" w:ascii="宋体" w:hAnsi="宋体" w:eastAsia="宋体" w:cs="宋体"/>
          <w:color w:val="auto"/>
          <w:sz w:val="21"/>
          <w:szCs w:val="21"/>
          <w:highlight w:val="none"/>
        </w:rPr>
        <w:t>， 0.5µl步进。</w:t>
      </w:r>
    </w:p>
    <w:p>
      <w:pPr>
        <w:widowControl/>
        <w:numPr>
          <w:ilvl w:val="0"/>
          <w:numId w:val="9"/>
        </w:numPr>
        <w:pBdr>
          <w:top w:val="none" w:color="auto" w:sz="0" w:space="0"/>
          <w:left w:val="none" w:color="auto" w:sz="0" w:space="0"/>
          <w:bottom w:val="none" w:color="auto" w:sz="0" w:space="0"/>
          <w:right w:val="none" w:color="auto" w:sz="0" w:space="0"/>
          <w:between w:val="none" w:color="auto" w:sz="0" w:space="0"/>
        </w:pBdr>
        <w:spacing w:line="360" w:lineRule="auto"/>
        <w:ind w:left="42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搅拌杆：</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sz w:val="21"/>
          <w:szCs w:val="21"/>
          <w:highlight w:val="none"/>
        </w:rPr>
        <w:t>2个</w:t>
      </w:r>
    </w:p>
    <w:p>
      <w:pPr>
        <w:widowControl/>
        <w:numPr>
          <w:ilvl w:val="0"/>
          <w:numId w:val="9"/>
        </w:numPr>
        <w:pBdr>
          <w:top w:val="none" w:color="auto" w:sz="0" w:space="0"/>
          <w:left w:val="none" w:color="auto" w:sz="0" w:space="0"/>
          <w:bottom w:val="none" w:color="auto" w:sz="0" w:space="0"/>
          <w:right w:val="none" w:color="auto" w:sz="0" w:space="0"/>
          <w:between w:val="none" w:color="auto" w:sz="0" w:space="0"/>
        </w:pBdr>
        <w:spacing w:line="360" w:lineRule="auto"/>
        <w:ind w:left="42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反应体积： 100µl</w:t>
      </w: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val="en-US" w:eastAsia="zh-CN"/>
        </w:rPr>
        <w:t>50</w:t>
      </w:r>
      <w:r>
        <w:rPr>
          <w:rFonts w:hint="eastAsia" w:ascii="宋体" w:hAnsi="宋体" w:eastAsia="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rPr>
        <w:t>uL</w:t>
      </w:r>
      <w:r>
        <w:rPr>
          <w:rFonts w:hint="eastAsia" w:ascii="宋体" w:hAnsi="宋体" w:eastAsia="宋体" w:cs="宋体"/>
          <w:color w:val="auto"/>
          <w:sz w:val="21"/>
          <w:szCs w:val="21"/>
          <w:highlight w:val="none"/>
        </w:rPr>
        <w:t>；</w:t>
      </w:r>
    </w:p>
    <w:p>
      <w:pPr>
        <w:widowControl/>
        <w:numPr>
          <w:ilvl w:val="0"/>
          <w:numId w:val="9"/>
        </w:numPr>
        <w:pBdr>
          <w:top w:val="none" w:color="auto" w:sz="0" w:space="0"/>
          <w:left w:val="none" w:color="auto" w:sz="0" w:space="0"/>
          <w:bottom w:val="none" w:color="auto" w:sz="0" w:space="0"/>
          <w:right w:val="none" w:color="auto" w:sz="0" w:space="0"/>
          <w:between w:val="none" w:color="auto" w:sz="0" w:space="0"/>
        </w:pBdr>
        <w:spacing w:line="360" w:lineRule="auto"/>
        <w:ind w:left="42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波长：340～800nm ,</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sz w:val="21"/>
          <w:szCs w:val="21"/>
          <w:highlight w:val="none"/>
        </w:rPr>
        <w:t>12个波长</w:t>
      </w:r>
    </w:p>
    <w:p>
      <w:pPr>
        <w:widowControl/>
        <w:numPr>
          <w:ilvl w:val="0"/>
          <w:numId w:val="9"/>
        </w:numPr>
        <w:pBdr>
          <w:top w:val="none" w:color="auto" w:sz="0" w:space="0"/>
          <w:left w:val="none" w:color="auto" w:sz="0" w:space="0"/>
          <w:bottom w:val="none" w:color="auto" w:sz="0" w:space="0"/>
          <w:right w:val="none" w:color="auto" w:sz="0" w:space="0"/>
          <w:between w:val="none" w:color="auto" w:sz="0" w:space="0"/>
        </w:pBdr>
        <w:spacing w:line="360" w:lineRule="auto"/>
        <w:ind w:left="42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吸光度线性范围：0～3.5 Abs</w:t>
      </w:r>
    </w:p>
    <w:p>
      <w:pPr>
        <w:widowControl/>
        <w:numPr>
          <w:ilvl w:val="0"/>
          <w:numId w:val="9"/>
        </w:numPr>
        <w:pBdr>
          <w:top w:val="none" w:color="auto" w:sz="0" w:space="0"/>
          <w:left w:val="none" w:color="auto" w:sz="0" w:space="0"/>
          <w:bottom w:val="none" w:color="auto" w:sz="0" w:space="0"/>
          <w:right w:val="none" w:color="auto" w:sz="0" w:space="0"/>
          <w:between w:val="none" w:color="auto" w:sz="0" w:space="0"/>
        </w:pBdr>
        <w:spacing w:line="360" w:lineRule="auto"/>
        <w:ind w:left="42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样品携带污染率：不大于0.05%</w:t>
      </w:r>
    </w:p>
    <w:p>
      <w:pPr>
        <w:widowControl/>
        <w:numPr>
          <w:ilvl w:val="0"/>
          <w:numId w:val="9"/>
        </w:numPr>
        <w:pBdr>
          <w:top w:val="none" w:color="auto" w:sz="0" w:space="0"/>
          <w:left w:val="none" w:color="auto" w:sz="0" w:space="0"/>
          <w:bottom w:val="none" w:color="auto" w:sz="0" w:space="0"/>
          <w:right w:val="none" w:color="auto" w:sz="0" w:space="0"/>
          <w:between w:val="none" w:color="auto" w:sz="0" w:space="0"/>
        </w:pBdr>
        <w:spacing w:line="360" w:lineRule="auto"/>
        <w:ind w:left="42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具有酶线性拓展功能</w:t>
      </w:r>
    </w:p>
    <w:p>
      <w:pPr>
        <w:widowControl/>
        <w:numPr>
          <w:ilvl w:val="0"/>
          <w:numId w:val="9"/>
        </w:numPr>
        <w:pBdr>
          <w:top w:val="none" w:color="auto" w:sz="0" w:space="0"/>
          <w:left w:val="none" w:color="auto" w:sz="0" w:space="0"/>
          <w:bottom w:val="none" w:color="auto" w:sz="0" w:space="0"/>
          <w:right w:val="none" w:color="auto" w:sz="0" w:space="0"/>
          <w:between w:val="none" w:color="auto" w:sz="0" w:space="0"/>
        </w:pBdr>
        <w:spacing w:line="360" w:lineRule="auto"/>
        <w:ind w:left="42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操作系统：全中文操作界面</w:t>
      </w:r>
    </w:p>
    <w:p>
      <w:pPr>
        <w:widowControl/>
        <w:numPr>
          <w:ilvl w:val="0"/>
          <w:numId w:val="9"/>
        </w:numPr>
        <w:pBdr>
          <w:top w:val="none" w:color="auto" w:sz="0" w:space="0"/>
          <w:left w:val="none" w:color="auto" w:sz="0" w:space="0"/>
          <w:bottom w:val="none" w:color="auto" w:sz="0" w:space="0"/>
          <w:right w:val="none" w:color="auto" w:sz="0" w:space="0"/>
          <w:between w:val="none" w:color="auto" w:sz="0" w:space="0"/>
        </w:pBdr>
        <w:spacing w:line="360" w:lineRule="auto"/>
        <w:ind w:left="42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电脑要求：CPU 2.6G及以上，硬盘 160G及以上，内存 2G及以上</w:t>
      </w:r>
    </w:p>
    <w:p>
      <w:pPr>
        <w:widowControl/>
        <w:numPr>
          <w:ilvl w:val="0"/>
          <w:numId w:val="9"/>
        </w:numPr>
        <w:pBdr>
          <w:top w:val="none" w:color="auto" w:sz="0" w:space="0"/>
          <w:left w:val="none" w:color="auto" w:sz="0" w:space="0"/>
          <w:bottom w:val="none" w:color="auto" w:sz="0" w:space="0"/>
          <w:right w:val="none" w:color="auto" w:sz="0" w:space="0"/>
          <w:between w:val="none" w:color="auto" w:sz="0" w:space="0"/>
        </w:pBdr>
        <w:spacing w:line="360" w:lineRule="auto"/>
        <w:ind w:left="42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具备与血站信息化管理系统联网的端口，承担联网费用，实现生化检测结果自动传输到血站检验平台数据库。</w:t>
      </w:r>
    </w:p>
    <w:p>
      <w:pPr>
        <w:widowControl/>
        <w:numPr>
          <w:ilvl w:val="0"/>
          <w:numId w:val="0"/>
        </w:numPr>
        <w:pBdr>
          <w:top w:val="none" w:color="auto" w:sz="0" w:space="0"/>
          <w:left w:val="none" w:color="auto" w:sz="0" w:space="0"/>
          <w:bottom w:val="none" w:color="auto" w:sz="0" w:space="0"/>
          <w:right w:val="none" w:color="auto" w:sz="0" w:space="0"/>
          <w:between w:val="none" w:color="auto" w:sz="0" w:space="0"/>
        </w:pBdr>
        <w:spacing w:line="360" w:lineRule="auto"/>
        <w:ind w:lef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18.全自动纯水机：每小时不少于80升水</w:t>
      </w:r>
    </w:p>
    <w:p>
      <w:pPr>
        <w:widowControl/>
        <w:numPr>
          <w:ilvl w:val="0"/>
          <w:numId w:val="0"/>
        </w:numPr>
        <w:pBdr>
          <w:top w:val="none" w:color="auto" w:sz="0" w:space="0"/>
          <w:left w:val="none" w:color="auto" w:sz="0" w:space="0"/>
          <w:bottom w:val="none" w:color="auto" w:sz="0" w:space="0"/>
          <w:right w:val="none" w:color="auto" w:sz="0" w:space="0"/>
          <w:between w:val="none" w:color="auto" w:sz="0" w:space="0"/>
        </w:pBd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 xml:space="preserve">     </w:t>
      </w:r>
    </w:p>
    <w:p>
      <w:pPr>
        <w:widowControl/>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30"/>
          <w:szCs w:val="30"/>
          <w:highlight w:val="none"/>
          <w:lang w:val="en-US" w:eastAsia="zh-CN"/>
        </w:rPr>
        <w:t>医用低温保存箱</w:t>
      </w:r>
    </w:p>
    <w:p>
      <w:pPr>
        <w:spacing w:line="30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一、主要指标</w:t>
      </w:r>
    </w:p>
    <w:p>
      <w:pPr>
        <w:numPr>
          <w:ilvl w:val="0"/>
          <w:numId w:val="10"/>
        </w:numPr>
        <w:spacing w:line="30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温度范围：-20℃~-</w:t>
      </w:r>
      <w:r>
        <w:rPr>
          <w:rFonts w:hint="eastAsia" w:ascii="宋体" w:hAnsi="宋体" w:eastAsia="宋体" w:cs="宋体"/>
          <w:color w:val="auto"/>
          <w:sz w:val="21"/>
          <w:szCs w:val="21"/>
          <w:highlight w:val="none"/>
          <w:lang w:val="en-US" w:eastAsia="zh-CN"/>
        </w:rPr>
        <w:t>40</w:t>
      </w:r>
      <w:r>
        <w:rPr>
          <w:rFonts w:hint="eastAsia" w:ascii="宋体" w:hAnsi="宋体" w:eastAsia="宋体" w:cs="宋体"/>
          <w:color w:val="auto"/>
          <w:sz w:val="21"/>
          <w:szCs w:val="21"/>
          <w:highlight w:val="none"/>
        </w:rPr>
        <w:t>℃。</w:t>
      </w:r>
    </w:p>
    <w:p>
      <w:pPr>
        <w:numPr>
          <w:ilvl w:val="0"/>
          <w:numId w:val="10"/>
        </w:numPr>
        <w:spacing w:line="300" w:lineRule="auto"/>
        <w:rPr>
          <w:rFonts w:hint="eastAsia" w:ascii="宋体" w:hAnsi="宋体" w:eastAsia="宋体" w:cs="宋体"/>
          <w:color w:val="auto"/>
          <w:sz w:val="21"/>
          <w:szCs w:val="21"/>
          <w:highlight w:val="none"/>
        </w:rPr>
      </w:pPr>
      <w:bookmarkStart w:id="83" w:name="_Hlk77837371"/>
      <w:r>
        <w:rPr>
          <w:rFonts w:hint="eastAsia" w:ascii="宋体" w:hAnsi="宋体" w:eastAsia="宋体" w:cs="宋体"/>
          <w:color w:val="auto"/>
          <w:sz w:val="21"/>
          <w:szCs w:val="21"/>
          <w:highlight w:val="none"/>
        </w:rPr>
        <w:t>大屏幕数字温度显示，便于观察。</w:t>
      </w:r>
    </w:p>
    <w:bookmarkEnd w:id="83"/>
    <w:p>
      <w:pPr>
        <w:numPr>
          <w:ilvl w:val="0"/>
          <w:numId w:val="10"/>
        </w:numPr>
        <w:spacing w:line="30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有效容积：</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50</w:t>
      </w:r>
      <w:r>
        <w:rPr>
          <w:rFonts w:hint="eastAsia" w:ascii="宋体" w:hAnsi="宋体" w:eastAsia="宋体" w:cs="宋体"/>
          <w:color w:val="auto"/>
          <w:sz w:val="21"/>
          <w:szCs w:val="21"/>
          <w:highlight w:val="none"/>
        </w:rPr>
        <w:t>L。</w:t>
      </w:r>
    </w:p>
    <w:p>
      <w:pPr>
        <w:numPr>
          <w:ilvl w:val="0"/>
          <w:numId w:val="10"/>
        </w:numPr>
        <w:spacing w:line="30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外箱尺寸(W×D×H)：616×770×1806mm。</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200</w:t>
      </w:r>
      <w:r>
        <w:rPr>
          <w:rFonts w:hint="eastAsia" w:ascii="宋体" w:hAnsi="宋体" w:eastAsia="宋体" w:cs="宋体"/>
          <w:color w:val="auto"/>
          <w:kern w:val="0"/>
          <w:sz w:val="21"/>
          <w:szCs w:val="21"/>
          <w:highlight w:val="none"/>
        </w:rPr>
        <w:t>mm</w:t>
      </w:r>
      <w:r>
        <w:rPr>
          <w:rFonts w:hint="eastAsia" w:ascii="宋体" w:hAnsi="宋体" w:eastAsia="宋体" w:cs="宋体"/>
          <w:color w:val="auto"/>
          <w:kern w:val="0"/>
          <w:sz w:val="21"/>
          <w:szCs w:val="21"/>
          <w:highlight w:val="none"/>
          <w:lang w:eastAsia="zh-CN"/>
        </w:rPr>
        <w:t>）</w:t>
      </w:r>
    </w:p>
    <w:p>
      <w:pPr>
        <w:numPr>
          <w:ilvl w:val="0"/>
          <w:numId w:val="10"/>
        </w:numPr>
        <w:spacing w:line="30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内箱尺寸(W×D×H)：</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sz w:val="21"/>
          <w:szCs w:val="21"/>
          <w:highlight w:val="none"/>
        </w:rPr>
        <w:t>472×614×1262mm。</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200</w:t>
      </w:r>
      <w:r>
        <w:rPr>
          <w:rFonts w:hint="eastAsia" w:ascii="宋体" w:hAnsi="宋体" w:eastAsia="宋体" w:cs="宋体"/>
          <w:color w:val="auto"/>
          <w:kern w:val="0"/>
          <w:sz w:val="21"/>
          <w:szCs w:val="21"/>
          <w:highlight w:val="none"/>
        </w:rPr>
        <w:t>mm</w:t>
      </w:r>
      <w:r>
        <w:rPr>
          <w:rFonts w:hint="eastAsia" w:ascii="宋体" w:hAnsi="宋体" w:eastAsia="宋体" w:cs="宋体"/>
          <w:color w:val="auto"/>
          <w:kern w:val="0"/>
          <w:sz w:val="21"/>
          <w:szCs w:val="21"/>
          <w:highlight w:val="none"/>
          <w:lang w:eastAsia="zh-CN"/>
        </w:rPr>
        <w:t>）</w:t>
      </w:r>
    </w:p>
    <w:p>
      <w:pPr>
        <w:numPr>
          <w:ilvl w:val="0"/>
          <w:numId w:val="10"/>
        </w:numPr>
        <w:spacing w:line="30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净重：128kg</w:t>
      </w:r>
      <w:r>
        <w:rPr>
          <w:rFonts w:hint="eastAsia" w:ascii="宋体" w:hAnsi="宋体" w:cs="宋体"/>
          <w:color w:val="auto"/>
          <w:sz w:val="21"/>
          <w:szCs w:val="21"/>
          <w:highlight w:val="none"/>
          <w:lang w:eastAsia="zh-CN"/>
        </w:rPr>
        <w:t>（</w:t>
      </w:r>
      <w:r>
        <w:rPr>
          <w:rFonts w:hint="eastAsia" w:ascii="宋体" w:hAnsi="宋体" w:eastAsia="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10</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w:t>
      </w:r>
    </w:p>
    <w:p>
      <w:pPr>
        <w:numPr>
          <w:ilvl w:val="0"/>
          <w:numId w:val="10"/>
        </w:numPr>
        <w:spacing w:line="30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外门1扇(附带锁扣，可配挂锁)。</w:t>
      </w:r>
    </w:p>
    <w:p>
      <w:pPr>
        <w:numPr>
          <w:ilvl w:val="0"/>
          <w:numId w:val="10"/>
        </w:numPr>
        <w:spacing w:line="30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原装进口压缩机，性能稳定。</w:t>
      </w:r>
    </w:p>
    <w:p>
      <w:pPr>
        <w:numPr>
          <w:ilvl w:val="0"/>
          <w:numId w:val="10"/>
        </w:numPr>
        <w:spacing w:line="30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两</w:t>
      </w:r>
      <w:r>
        <w:rPr>
          <w:rFonts w:hint="eastAsia" w:ascii="宋体" w:hAnsi="宋体" w:eastAsia="宋体" w:cs="宋体"/>
          <w:color w:val="auto"/>
          <w:sz w:val="21"/>
          <w:szCs w:val="21"/>
          <w:highlight w:val="none"/>
        </w:rPr>
        <w:t>种报警方式(声音蜂鸣报警、灯光闪烁报警)，三种报警模式(高低温报警、断电报警、传感器故障报警)。</w:t>
      </w:r>
    </w:p>
    <w:p>
      <w:pPr>
        <w:numPr>
          <w:ilvl w:val="0"/>
          <w:numId w:val="10"/>
        </w:numPr>
        <w:spacing w:line="30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安全门锁设计，防止随意开启，可追加普通挂锁，可保护箱内物品安全。</w:t>
      </w:r>
    </w:p>
    <w:p>
      <w:pPr>
        <w:numPr>
          <w:ilvl w:val="0"/>
          <w:numId w:val="10"/>
        </w:numPr>
        <w:spacing w:line="30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标准配置：钥匙1套，除霜铲1个</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说明书1本。</w:t>
      </w:r>
    </w:p>
    <w:p>
      <w:pPr>
        <w:numPr>
          <w:ilvl w:val="0"/>
          <w:numId w:val="10"/>
        </w:numPr>
        <w:spacing w:line="30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电源(V/Hz)：单相220V/50H。</w:t>
      </w:r>
    </w:p>
    <w:p>
      <w:pPr>
        <w:numPr>
          <w:ilvl w:val="0"/>
          <w:numId w:val="10"/>
        </w:numPr>
        <w:spacing w:line="300" w:lineRule="auto"/>
        <w:rPr>
          <w:rFonts w:hint="eastAsia" w:ascii="宋体" w:hAnsi="宋体" w:eastAsia="宋体" w:cs="宋体"/>
          <w:color w:val="auto"/>
          <w:sz w:val="21"/>
          <w:szCs w:val="21"/>
          <w:highlight w:val="none"/>
        </w:rPr>
      </w:pPr>
      <w:bookmarkStart w:id="84" w:name="_Hlk77837276"/>
      <w:r>
        <w:rPr>
          <w:rFonts w:hint="eastAsia" w:ascii="宋体" w:hAnsi="宋体" w:eastAsia="宋体" w:cs="宋体"/>
          <w:color w:val="auto"/>
          <w:sz w:val="21"/>
          <w:szCs w:val="21"/>
          <w:highlight w:val="none"/>
        </w:rPr>
        <w:t>电脑板温控；数字式温度显示。</w:t>
      </w:r>
    </w:p>
    <w:p>
      <w:pPr>
        <w:numPr>
          <w:ilvl w:val="0"/>
          <w:numId w:val="10"/>
        </w:numPr>
        <w:spacing w:line="30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配备脚轮以及止动底角各2个。</w:t>
      </w:r>
    </w:p>
    <w:bookmarkEnd w:id="84"/>
    <w:p>
      <w:pPr>
        <w:numPr>
          <w:ilvl w:val="0"/>
          <w:numId w:val="10"/>
        </w:numPr>
        <w:spacing w:line="30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检测孔</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sz w:val="21"/>
          <w:szCs w:val="21"/>
          <w:highlight w:val="none"/>
        </w:rPr>
        <w:t>1个。</w:t>
      </w:r>
    </w:p>
    <w:p>
      <w:pPr>
        <w:jc w:val="center"/>
        <w:rPr>
          <w:rFonts w:hint="eastAsia" w:ascii="宋体" w:hAnsi="宋体" w:eastAsia="宋体" w:cs="宋体"/>
          <w:b/>
          <w:bCs/>
          <w:color w:val="auto"/>
          <w:sz w:val="30"/>
          <w:szCs w:val="30"/>
          <w:highlight w:val="none"/>
          <w:lang w:val="en-US" w:eastAsia="zh-CN"/>
        </w:rPr>
      </w:pPr>
    </w:p>
    <w:p>
      <w:pPr>
        <w:jc w:val="center"/>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t>医用冷藏箱</w:t>
      </w:r>
    </w:p>
    <w:p>
      <w:pPr>
        <w:spacing w:line="30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一、主要指标</w:t>
      </w:r>
    </w:p>
    <w:p>
      <w:pPr>
        <w:numPr>
          <w:ilvl w:val="0"/>
          <w:numId w:val="11"/>
        </w:numPr>
        <w:spacing w:line="300" w:lineRule="auto"/>
        <w:ind w:left="42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微电脑控制，数字温度显示，调整增量为0.1℃，实现2~8℃冷藏柜的温度控制</w:t>
      </w:r>
      <w:r>
        <w:rPr>
          <w:rFonts w:hint="eastAsia" w:ascii="宋体" w:hAnsi="宋体" w:eastAsia="宋体" w:cs="宋体"/>
          <w:b/>
          <w:bCs/>
          <w:color w:val="auto"/>
          <w:sz w:val="21"/>
          <w:szCs w:val="21"/>
          <w:highlight w:val="none"/>
        </w:rPr>
        <w:t>。</w:t>
      </w:r>
    </w:p>
    <w:p>
      <w:pPr>
        <w:numPr>
          <w:ilvl w:val="0"/>
          <w:numId w:val="11"/>
        </w:numPr>
        <w:spacing w:line="300" w:lineRule="auto"/>
        <w:ind w:left="42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有效容积：≥10</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0L。</w:t>
      </w:r>
    </w:p>
    <w:p>
      <w:pPr>
        <w:numPr>
          <w:ilvl w:val="0"/>
          <w:numId w:val="11"/>
        </w:numPr>
        <w:spacing w:line="300" w:lineRule="auto"/>
        <w:ind w:left="42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外箱尺寸(W×D×H)：≥1210×811×1990mm。</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200</w:t>
      </w:r>
      <w:r>
        <w:rPr>
          <w:rFonts w:hint="eastAsia" w:ascii="宋体" w:hAnsi="宋体" w:eastAsia="宋体" w:cs="宋体"/>
          <w:color w:val="auto"/>
          <w:kern w:val="0"/>
          <w:sz w:val="21"/>
          <w:szCs w:val="21"/>
          <w:highlight w:val="none"/>
        </w:rPr>
        <w:t>mm</w:t>
      </w:r>
      <w:r>
        <w:rPr>
          <w:rFonts w:hint="eastAsia" w:ascii="宋体" w:hAnsi="宋体" w:eastAsia="宋体" w:cs="宋体"/>
          <w:color w:val="auto"/>
          <w:kern w:val="0"/>
          <w:sz w:val="21"/>
          <w:szCs w:val="21"/>
          <w:highlight w:val="none"/>
          <w:lang w:eastAsia="zh-CN"/>
        </w:rPr>
        <w:t>）</w:t>
      </w:r>
    </w:p>
    <w:p>
      <w:pPr>
        <w:numPr>
          <w:ilvl w:val="0"/>
          <w:numId w:val="11"/>
        </w:numPr>
        <w:spacing w:line="300" w:lineRule="auto"/>
        <w:ind w:left="42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内箱尺寸(W×D×H)：≥1074×682×1514mm。</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200</w:t>
      </w:r>
      <w:r>
        <w:rPr>
          <w:rFonts w:hint="eastAsia" w:ascii="宋体" w:hAnsi="宋体" w:eastAsia="宋体" w:cs="宋体"/>
          <w:color w:val="auto"/>
          <w:kern w:val="0"/>
          <w:sz w:val="21"/>
          <w:szCs w:val="21"/>
          <w:highlight w:val="none"/>
        </w:rPr>
        <w:t>mm</w:t>
      </w:r>
      <w:r>
        <w:rPr>
          <w:rFonts w:hint="eastAsia" w:ascii="宋体" w:hAnsi="宋体" w:eastAsia="宋体" w:cs="宋体"/>
          <w:color w:val="auto"/>
          <w:kern w:val="0"/>
          <w:sz w:val="21"/>
          <w:szCs w:val="21"/>
          <w:highlight w:val="none"/>
          <w:lang w:eastAsia="zh-CN"/>
        </w:rPr>
        <w:t>）</w:t>
      </w:r>
    </w:p>
    <w:p>
      <w:pPr>
        <w:pStyle w:val="100"/>
        <w:numPr>
          <w:ilvl w:val="0"/>
          <w:numId w:val="11"/>
        </w:numPr>
        <w:ind w:left="42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检测孔2个。</w:t>
      </w:r>
    </w:p>
    <w:p>
      <w:pPr>
        <w:numPr>
          <w:ilvl w:val="0"/>
          <w:numId w:val="11"/>
        </w:numPr>
        <w:spacing w:line="300" w:lineRule="auto"/>
        <w:ind w:left="425" w:leftChars="0" w:hanging="425" w:firstLineChars="0"/>
        <w:rPr>
          <w:rFonts w:hint="eastAsia" w:ascii="宋体" w:hAnsi="宋体" w:eastAsia="宋体" w:cs="宋体"/>
          <w:color w:val="auto"/>
          <w:sz w:val="21"/>
          <w:szCs w:val="21"/>
          <w:highlight w:val="none"/>
        </w:rPr>
      </w:pPr>
      <w:bookmarkStart w:id="85" w:name="_Hlk77747980"/>
      <w:r>
        <w:rPr>
          <w:rFonts w:hint="eastAsia" w:ascii="宋体" w:hAnsi="宋体" w:eastAsia="宋体" w:cs="宋体"/>
          <w:color w:val="auto"/>
          <w:sz w:val="21"/>
          <w:szCs w:val="21"/>
          <w:highlight w:val="none"/>
        </w:rPr>
        <w:t>配备紧凑式脚轮设计以及止动支撑底角。</w:t>
      </w:r>
    </w:p>
    <w:bookmarkEnd w:id="85"/>
    <w:p>
      <w:pPr>
        <w:numPr>
          <w:ilvl w:val="0"/>
          <w:numId w:val="11"/>
        </w:numPr>
        <w:spacing w:line="300" w:lineRule="auto"/>
        <w:ind w:left="42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电源(V/Hz)：单相220V/50Hz</w:t>
      </w:r>
      <w:bookmarkStart w:id="86" w:name="_Hlk77774883"/>
      <w:r>
        <w:rPr>
          <w:rFonts w:hint="eastAsia" w:ascii="宋体" w:hAnsi="宋体" w:eastAsia="宋体" w:cs="宋体"/>
          <w:color w:val="auto"/>
          <w:sz w:val="21"/>
          <w:szCs w:val="21"/>
          <w:highlight w:val="none"/>
        </w:rPr>
        <w:t>。</w:t>
      </w:r>
    </w:p>
    <w:p>
      <w:pPr>
        <w:numPr>
          <w:ilvl w:val="0"/>
          <w:numId w:val="11"/>
        </w:numPr>
        <w:spacing w:line="300" w:lineRule="auto"/>
        <w:ind w:left="425" w:leftChars="0" w:hanging="425" w:firstLineChars="0"/>
        <w:rPr>
          <w:rFonts w:hint="eastAsia" w:ascii="宋体" w:hAnsi="宋体" w:eastAsia="宋体" w:cs="宋体"/>
          <w:color w:val="auto"/>
          <w:sz w:val="21"/>
          <w:szCs w:val="21"/>
          <w:highlight w:val="none"/>
        </w:rPr>
      </w:pPr>
      <w:bookmarkStart w:id="87" w:name="_Hlk78206845"/>
      <w:r>
        <w:rPr>
          <w:rFonts w:hint="eastAsia" w:ascii="宋体" w:hAnsi="宋体" w:eastAsia="宋体" w:cs="宋体"/>
          <w:color w:val="auto"/>
          <w:sz w:val="21"/>
          <w:szCs w:val="21"/>
          <w:highlight w:val="none"/>
        </w:rPr>
        <w:t>原装进口压缩机。带有1个进口品牌直流冷凝风机，冷却效果好，且噪音低</w:t>
      </w:r>
      <w:bookmarkEnd w:id="87"/>
      <w:r>
        <w:rPr>
          <w:rFonts w:hint="eastAsia" w:ascii="宋体" w:hAnsi="宋体" w:eastAsia="宋体" w:cs="宋体"/>
          <w:color w:val="auto"/>
          <w:sz w:val="21"/>
          <w:szCs w:val="21"/>
          <w:highlight w:val="none"/>
        </w:rPr>
        <w:t>。</w:t>
      </w:r>
    </w:p>
    <w:bookmarkEnd w:id="86"/>
    <w:p>
      <w:pPr>
        <w:numPr>
          <w:ilvl w:val="0"/>
          <w:numId w:val="11"/>
        </w:numPr>
        <w:spacing w:line="300" w:lineRule="auto"/>
        <w:ind w:left="42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外门2扇。</w:t>
      </w:r>
    </w:p>
    <w:p>
      <w:pPr>
        <w:numPr>
          <w:ilvl w:val="0"/>
          <w:numId w:val="11"/>
        </w:numPr>
        <w:spacing w:line="300" w:lineRule="auto"/>
        <w:ind w:left="425" w:leftChars="0" w:hanging="425" w:firstLineChars="0"/>
        <w:rPr>
          <w:rFonts w:hint="eastAsia" w:ascii="宋体" w:hAnsi="宋体" w:eastAsia="宋体" w:cs="宋体"/>
          <w:color w:val="auto"/>
          <w:sz w:val="21"/>
          <w:szCs w:val="21"/>
          <w:highlight w:val="none"/>
        </w:rPr>
      </w:pPr>
      <w:bookmarkStart w:id="88" w:name="_Hlk77748619"/>
      <w:bookmarkStart w:id="89" w:name="_Hlk77776654"/>
      <w:r>
        <w:rPr>
          <w:rFonts w:hint="eastAsia" w:ascii="宋体" w:hAnsi="宋体" w:eastAsia="宋体" w:cs="宋体"/>
          <w:color w:val="auto"/>
          <w:sz w:val="21"/>
          <w:szCs w:val="21"/>
          <w:highlight w:val="none"/>
        </w:rPr>
        <w:t>带有485接口，可外接网线，MODBUS通信输出温度数据(选配)；设备运行状态及箱内温度可使用USB数据接口导出。</w:t>
      </w:r>
    </w:p>
    <w:bookmarkEnd w:id="88"/>
    <w:p>
      <w:pPr>
        <w:numPr>
          <w:ilvl w:val="0"/>
          <w:numId w:val="11"/>
        </w:numPr>
        <w:spacing w:line="300" w:lineRule="auto"/>
        <w:ind w:left="425" w:leftChars="0" w:hanging="425" w:firstLineChars="0"/>
        <w:rPr>
          <w:rFonts w:hint="eastAsia" w:ascii="宋体" w:hAnsi="宋体" w:eastAsia="宋体" w:cs="宋体"/>
          <w:color w:val="auto"/>
          <w:sz w:val="21"/>
          <w:szCs w:val="21"/>
          <w:highlight w:val="none"/>
        </w:rPr>
      </w:pPr>
      <w:bookmarkStart w:id="90" w:name="_Hlk40776244"/>
      <w:bookmarkStart w:id="91" w:name="_Hlk77748627"/>
      <w:r>
        <w:rPr>
          <w:rFonts w:hint="eastAsia" w:ascii="宋体" w:hAnsi="宋体" w:eastAsia="宋体" w:cs="宋体"/>
          <w:color w:val="auto"/>
          <w:sz w:val="21"/>
          <w:szCs w:val="21"/>
          <w:highlight w:val="none"/>
        </w:rPr>
        <w:t>安全装置：</w:t>
      </w:r>
      <w:bookmarkEnd w:id="90"/>
      <w:r>
        <w:rPr>
          <w:rFonts w:hint="eastAsia" w:ascii="宋体" w:hAnsi="宋体" w:eastAsia="宋体" w:cs="宋体"/>
          <w:color w:val="auto"/>
          <w:sz w:val="21"/>
          <w:szCs w:val="21"/>
          <w:highlight w:val="none"/>
        </w:rPr>
        <w:t>多种故障报警，包括高低温报警、门开报警、断电报警、传感器异常报警、电池</w:t>
      </w:r>
      <w:r>
        <w:rPr>
          <w:rFonts w:hint="eastAsia" w:ascii="宋体" w:hAnsi="宋体" w:cs="宋体"/>
          <w:color w:val="auto"/>
          <w:sz w:val="21"/>
          <w:szCs w:val="21"/>
          <w:highlight w:val="none"/>
          <w:lang w:val="en-US" w:eastAsia="zh-CN"/>
        </w:rPr>
        <w:t>电量低</w:t>
      </w:r>
      <w:r>
        <w:rPr>
          <w:rFonts w:hint="eastAsia" w:ascii="宋体" w:hAnsi="宋体" w:eastAsia="宋体" w:cs="宋体"/>
          <w:color w:val="auto"/>
          <w:sz w:val="21"/>
          <w:szCs w:val="21"/>
          <w:highlight w:val="none"/>
        </w:rPr>
        <w:t>报警。</w:t>
      </w:r>
    </w:p>
    <w:bookmarkEnd w:id="89"/>
    <w:bookmarkEnd w:id="91"/>
    <w:p>
      <w:pPr>
        <w:numPr>
          <w:ilvl w:val="0"/>
          <w:numId w:val="11"/>
        </w:numPr>
        <w:spacing w:line="300" w:lineRule="auto"/>
        <w:ind w:left="42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标准配置：说明书1本，LED灯1个、钥匙</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套、网架≥6层12个。</w:t>
      </w:r>
    </w:p>
    <w:p>
      <w:pPr>
        <w:pStyle w:val="42"/>
        <w:shd w:val="clear" w:color="auto" w:fill="FFFFFF"/>
        <w:spacing w:before="0" w:beforeAutospacing="0" w:after="0" w:afterAutospacing="0" w:line="360" w:lineRule="atLeast"/>
        <w:jc w:val="center"/>
        <w:rPr>
          <w:rStyle w:val="50"/>
          <w:rFonts w:hint="eastAsia" w:ascii="宋体" w:hAnsi="宋体" w:eastAsia="宋体" w:cs="宋体"/>
          <w:b/>
          <w:bCs w:val="0"/>
          <w:color w:val="auto"/>
          <w:sz w:val="21"/>
          <w:szCs w:val="21"/>
          <w:highlight w:val="none"/>
          <w:lang w:val="en-US" w:eastAsia="zh-CN"/>
        </w:rPr>
      </w:pPr>
    </w:p>
    <w:p>
      <w:pPr>
        <w:pStyle w:val="42"/>
        <w:shd w:val="clear" w:color="auto" w:fill="FFFFFF"/>
        <w:spacing w:before="0" w:beforeAutospacing="0" w:after="0" w:afterAutospacing="0" w:line="360" w:lineRule="atLeast"/>
        <w:jc w:val="center"/>
        <w:rPr>
          <w:rFonts w:hint="eastAsia" w:ascii="宋体" w:hAnsi="宋体" w:eastAsia="宋体" w:cs="宋体"/>
          <w:b/>
          <w:bCs/>
          <w:color w:val="auto"/>
          <w:sz w:val="21"/>
          <w:szCs w:val="21"/>
          <w:highlight w:val="none"/>
        </w:rPr>
      </w:pPr>
      <w:r>
        <w:rPr>
          <w:rStyle w:val="50"/>
          <w:rFonts w:hint="eastAsia" w:ascii="宋体" w:hAnsi="宋体" w:eastAsia="宋体" w:cs="宋体"/>
          <w:b/>
          <w:bCs w:val="0"/>
          <w:color w:val="auto"/>
          <w:sz w:val="30"/>
          <w:szCs w:val="30"/>
          <w:highlight w:val="none"/>
          <w:lang w:val="en-US" w:eastAsia="zh-CN"/>
        </w:rPr>
        <w:t>落地式低温自动脱帽</w:t>
      </w:r>
      <w:r>
        <w:rPr>
          <w:rStyle w:val="50"/>
          <w:rFonts w:hint="eastAsia" w:ascii="宋体" w:hAnsi="宋体" w:eastAsia="宋体" w:cs="宋体"/>
          <w:b/>
          <w:bCs w:val="0"/>
          <w:color w:val="auto"/>
          <w:sz w:val="30"/>
          <w:szCs w:val="30"/>
          <w:highlight w:val="none"/>
        </w:rPr>
        <w:t>离心机</w:t>
      </w:r>
      <w:r>
        <w:rPr>
          <w:rFonts w:hint="eastAsia" w:ascii="宋体" w:hAnsi="宋体" w:eastAsia="宋体" w:cs="宋体"/>
          <w:b/>
          <w:bCs/>
          <w:color w:val="auto"/>
          <w:sz w:val="21"/>
          <w:szCs w:val="21"/>
          <w:highlight w:val="none"/>
        </w:rPr>
        <w:t> </w:t>
      </w:r>
    </w:p>
    <w:p>
      <w:pPr>
        <w:pStyle w:val="42"/>
        <w:shd w:val="clear" w:color="auto" w:fill="FFFFFF"/>
        <w:spacing w:before="0" w:beforeAutospacing="0" w:after="0" w:afterAutospacing="0" w:line="360" w:lineRule="atLeast"/>
        <w:jc w:val="center"/>
        <w:rPr>
          <w:rFonts w:hint="eastAsia" w:ascii="宋体" w:hAnsi="宋体" w:eastAsia="宋体" w:cs="宋体"/>
          <w:b/>
          <w:bCs/>
          <w:color w:val="auto"/>
          <w:sz w:val="21"/>
          <w:szCs w:val="21"/>
          <w:highlight w:val="none"/>
        </w:rPr>
      </w:pPr>
    </w:p>
    <w:p>
      <w:pPr>
        <w:numPr>
          <w:ilvl w:val="0"/>
          <w:numId w:val="0"/>
        </w:numPr>
        <w:ind w:leftChars="0"/>
        <w:rPr>
          <w:rFonts w:hint="eastAsia"/>
          <w:color w:val="auto"/>
          <w:highlight w:val="none"/>
        </w:rPr>
      </w:pPr>
      <w:r>
        <w:rPr>
          <w:rFonts w:hint="eastAsia"/>
          <w:color w:val="auto"/>
          <w:highlight w:val="none"/>
        </w:rPr>
        <w:t>1.最高转速：4200r/min</w:t>
      </w:r>
    </w:p>
    <w:p>
      <w:pPr>
        <w:numPr>
          <w:ilvl w:val="0"/>
          <w:numId w:val="0"/>
        </w:numPr>
        <w:ind w:leftChars="0"/>
        <w:rPr>
          <w:rFonts w:hint="eastAsia"/>
          <w:color w:val="auto"/>
          <w:highlight w:val="none"/>
        </w:rPr>
      </w:pPr>
      <w:r>
        <w:rPr>
          <w:rFonts w:hint="eastAsia"/>
          <w:color w:val="auto"/>
          <w:highlight w:val="none"/>
        </w:rPr>
        <w:t>2.最大相对离心力：3950×g</w:t>
      </w:r>
    </w:p>
    <w:p>
      <w:pPr>
        <w:numPr>
          <w:ilvl w:val="0"/>
          <w:numId w:val="0"/>
        </w:numPr>
        <w:ind w:leftChars="0"/>
        <w:rPr>
          <w:rFonts w:hint="eastAsia"/>
          <w:color w:val="auto"/>
          <w:highlight w:val="none"/>
        </w:rPr>
      </w:pPr>
      <w:r>
        <w:rPr>
          <w:rFonts w:hint="eastAsia"/>
          <w:color w:val="auto"/>
          <w:highlight w:val="none"/>
        </w:rPr>
        <w:t>3.温度设置范围:-20℃-40℃</w:t>
      </w:r>
    </w:p>
    <w:p>
      <w:pPr>
        <w:numPr>
          <w:ilvl w:val="0"/>
          <w:numId w:val="0"/>
        </w:numPr>
        <w:ind w:leftChars="0"/>
        <w:rPr>
          <w:rFonts w:hint="eastAsia"/>
          <w:color w:val="auto"/>
          <w:highlight w:val="none"/>
        </w:rPr>
      </w:pPr>
      <w:r>
        <w:rPr>
          <w:rFonts w:hint="eastAsia"/>
          <w:color w:val="auto"/>
          <w:highlight w:val="none"/>
        </w:rPr>
        <w:t>4.显示类型：LCD液晶显示</w:t>
      </w:r>
    </w:p>
    <w:p>
      <w:pPr>
        <w:numPr>
          <w:ilvl w:val="0"/>
          <w:numId w:val="0"/>
        </w:numPr>
        <w:ind w:leftChars="0"/>
        <w:rPr>
          <w:rFonts w:hint="eastAsia"/>
          <w:color w:val="auto"/>
          <w:highlight w:val="none"/>
        </w:rPr>
      </w:pPr>
      <w:r>
        <w:rPr>
          <w:rFonts w:hint="eastAsia"/>
          <w:color w:val="auto"/>
          <w:highlight w:val="none"/>
        </w:rPr>
        <w:t>5.时间控制：1min-99min</w:t>
      </w:r>
    </w:p>
    <w:p>
      <w:pPr>
        <w:numPr>
          <w:ilvl w:val="0"/>
          <w:numId w:val="0"/>
        </w:numPr>
        <w:ind w:leftChars="0"/>
        <w:rPr>
          <w:rFonts w:hint="eastAsia"/>
          <w:color w:val="auto"/>
          <w:highlight w:val="none"/>
        </w:rPr>
      </w:pPr>
      <w:r>
        <w:rPr>
          <w:rFonts w:hint="eastAsia"/>
          <w:color w:val="auto"/>
          <w:highlight w:val="none"/>
        </w:rPr>
        <w:t>6.电机功率：1.8KW</w:t>
      </w:r>
    </w:p>
    <w:p>
      <w:pPr>
        <w:numPr>
          <w:ilvl w:val="0"/>
          <w:numId w:val="0"/>
        </w:numPr>
        <w:ind w:leftChars="0"/>
        <w:rPr>
          <w:rFonts w:hint="eastAsia"/>
          <w:color w:val="auto"/>
          <w:highlight w:val="none"/>
        </w:rPr>
      </w:pPr>
      <w:r>
        <w:rPr>
          <w:rFonts w:hint="eastAsia"/>
          <w:color w:val="auto"/>
          <w:highlight w:val="none"/>
        </w:rPr>
        <w:t>7.转速精度：±10r/min</w:t>
      </w:r>
    </w:p>
    <w:p>
      <w:pPr>
        <w:numPr>
          <w:ilvl w:val="0"/>
          <w:numId w:val="0"/>
        </w:numPr>
        <w:ind w:leftChars="0"/>
        <w:rPr>
          <w:rFonts w:hint="eastAsia"/>
          <w:color w:val="auto"/>
          <w:highlight w:val="none"/>
        </w:rPr>
      </w:pPr>
      <w:r>
        <w:rPr>
          <w:rFonts w:hint="eastAsia"/>
          <w:color w:val="auto"/>
          <w:highlight w:val="none"/>
        </w:rPr>
        <w:t>8.温度精度: ±1℃</w:t>
      </w:r>
    </w:p>
    <w:p>
      <w:pPr>
        <w:numPr>
          <w:ilvl w:val="0"/>
          <w:numId w:val="0"/>
        </w:numPr>
        <w:ind w:leftChars="0"/>
        <w:rPr>
          <w:rFonts w:hint="eastAsia"/>
          <w:color w:val="auto"/>
          <w:highlight w:val="none"/>
        </w:rPr>
      </w:pPr>
      <w:r>
        <w:rPr>
          <w:rFonts w:hint="eastAsia"/>
          <w:color w:val="auto"/>
          <w:highlight w:val="none"/>
        </w:rPr>
        <w:t>9.噪音：≤65 dB(A)</w:t>
      </w:r>
    </w:p>
    <w:p>
      <w:pPr>
        <w:numPr>
          <w:ilvl w:val="0"/>
          <w:numId w:val="0"/>
        </w:numPr>
        <w:ind w:leftChars="0"/>
        <w:rPr>
          <w:rFonts w:hint="eastAsia"/>
          <w:color w:val="auto"/>
          <w:highlight w:val="none"/>
        </w:rPr>
      </w:pPr>
      <w:r>
        <w:rPr>
          <w:rFonts w:hint="eastAsia"/>
          <w:color w:val="auto"/>
          <w:highlight w:val="none"/>
        </w:rPr>
        <w:t>10.电源：AC220V  50Hz </w:t>
      </w:r>
    </w:p>
    <w:p>
      <w:pPr>
        <w:numPr>
          <w:ilvl w:val="0"/>
          <w:numId w:val="0"/>
        </w:numPr>
        <w:ind w:leftChars="0"/>
        <w:rPr>
          <w:rFonts w:hint="eastAsia"/>
          <w:color w:val="auto"/>
          <w:highlight w:val="none"/>
        </w:rPr>
      </w:pPr>
      <w:r>
        <w:rPr>
          <w:rFonts w:hint="eastAsia"/>
          <w:color w:val="auto"/>
          <w:highlight w:val="none"/>
        </w:rPr>
        <w:t>11.外形尺寸：680×620×840(L × W × H) mm</w:t>
      </w:r>
    </w:p>
    <w:p>
      <w:pPr>
        <w:numPr>
          <w:ilvl w:val="0"/>
          <w:numId w:val="0"/>
        </w:numPr>
        <w:ind w:leftChars="0"/>
        <w:rPr>
          <w:color w:val="auto"/>
          <w:highlight w:val="none"/>
        </w:rPr>
      </w:pPr>
      <w:r>
        <w:rPr>
          <w:rFonts w:hint="eastAsia"/>
          <w:color w:val="auto"/>
          <w:highlight w:val="none"/>
        </w:rPr>
        <w:t>12.重量：165Kg（可浮动）</w:t>
      </w:r>
    </w:p>
    <w:p>
      <w:pPr>
        <w:rPr>
          <w:rFonts w:hint="eastAsia" w:ascii="宋体" w:hAnsi="宋体" w:eastAsia="宋体" w:cs="宋体"/>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ind w:firstLine="2424" w:firstLineChars="800"/>
        <w:jc w:val="both"/>
        <w:textAlignment w:val="auto"/>
        <w:rPr>
          <w:rFonts w:hint="eastAsia" w:ascii="宋体" w:hAnsi="宋体" w:eastAsia="宋体" w:cs="宋体"/>
          <w:b/>
          <w:color w:val="auto"/>
          <w:sz w:val="30"/>
          <w:highlight w:val="none"/>
        </w:rPr>
      </w:pPr>
      <w:bookmarkStart w:id="92" w:name="_Toc332371230"/>
      <w:r>
        <w:rPr>
          <w:rFonts w:hint="eastAsia" w:ascii="宋体" w:hAnsi="宋体" w:eastAsia="宋体" w:cs="宋体"/>
          <w:b/>
          <w:color w:val="auto"/>
          <w:sz w:val="30"/>
          <w:highlight w:val="none"/>
          <w:lang w:eastAsia="zh-CN"/>
        </w:rPr>
        <w:t>真空</w:t>
      </w:r>
      <w:r>
        <w:rPr>
          <w:rFonts w:hint="eastAsia" w:ascii="宋体" w:hAnsi="宋体" w:eastAsia="宋体" w:cs="宋体"/>
          <w:b/>
          <w:color w:val="auto"/>
          <w:sz w:val="30"/>
          <w:highlight w:val="none"/>
        </w:rPr>
        <w:t>采血管自动脱盖机技术参数表</w:t>
      </w:r>
      <w:bookmarkEnd w:id="92"/>
    </w:p>
    <w:p>
      <w:pPr>
        <w:bidi w:val="0"/>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工作条件：AC 220V（±10%） 50Hz</w:t>
      </w:r>
    </w:p>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操作：</w:t>
      </w:r>
      <w:r>
        <w:rPr>
          <w:rFonts w:hint="eastAsia" w:ascii="宋体" w:hAnsi="宋体" w:eastAsia="宋体" w:cs="宋体"/>
          <w:color w:val="auto"/>
          <w:sz w:val="21"/>
          <w:szCs w:val="21"/>
          <w:highlight w:val="none"/>
        </w:rPr>
        <w:tab/>
      </w:r>
    </w:p>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一键式操作，全自动检测，脱盖，能够实现无人值守自动运行。</w:t>
      </w:r>
      <w:r>
        <w:rPr>
          <w:rFonts w:hint="eastAsia" w:ascii="宋体" w:hAnsi="宋体" w:eastAsia="宋体" w:cs="宋体"/>
          <w:color w:val="auto"/>
          <w:sz w:val="21"/>
          <w:szCs w:val="21"/>
          <w:highlight w:val="none"/>
        </w:rPr>
        <w:tab/>
      </w:r>
    </w:p>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断电记忆功能，可实现重启后继续完成未完成的作业任务。</w:t>
      </w:r>
      <w:r>
        <w:rPr>
          <w:rFonts w:hint="eastAsia" w:ascii="宋体" w:hAnsi="宋体" w:eastAsia="宋体" w:cs="宋体"/>
          <w:color w:val="auto"/>
          <w:sz w:val="21"/>
          <w:szCs w:val="21"/>
          <w:highlight w:val="none"/>
        </w:rPr>
        <w:tab/>
      </w:r>
    </w:p>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LCD显示屏，界面直观友好。</w:t>
      </w:r>
      <w:r>
        <w:rPr>
          <w:rFonts w:hint="eastAsia" w:ascii="宋体" w:hAnsi="宋体" w:eastAsia="宋体" w:cs="宋体"/>
          <w:color w:val="auto"/>
          <w:sz w:val="21"/>
          <w:szCs w:val="21"/>
          <w:highlight w:val="none"/>
        </w:rPr>
        <w:tab/>
      </w:r>
    </w:p>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效率</w:t>
      </w:r>
      <w:r>
        <w:rPr>
          <w:rFonts w:hint="eastAsia" w:ascii="宋体" w:hAnsi="宋体" w:eastAsia="宋体" w:cs="宋体"/>
          <w:color w:val="auto"/>
          <w:sz w:val="21"/>
          <w:szCs w:val="21"/>
          <w:highlight w:val="none"/>
        </w:rPr>
        <w:tab/>
      </w:r>
    </w:p>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脱盖处理速度≥ 1500个/小时，整排脱盖。</w:t>
      </w:r>
      <w:r>
        <w:rPr>
          <w:rFonts w:hint="eastAsia" w:ascii="宋体" w:hAnsi="宋体" w:eastAsia="宋体" w:cs="宋体"/>
          <w:color w:val="auto"/>
          <w:sz w:val="21"/>
          <w:szCs w:val="21"/>
          <w:highlight w:val="none"/>
        </w:rPr>
        <w:tab/>
      </w:r>
    </w:p>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多个试管架可同时上机</w:t>
      </w:r>
      <w:r>
        <w:rPr>
          <w:rFonts w:hint="eastAsia" w:ascii="宋体" w:hAnsi="宋体" w:eastAsia="宋体" w:cs="宋体"/>
          <w:color w:val="auto"/>
          <w:sz w:val="21"/>
          <w:szCs w:val="21"/>
          <w:highlight w:val="none"/>
        </w:rPr>
        <w:tab/>
      </w:r>
    </w:p>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安全</w:t>
      </w:r>
      <w:r>
        <w:rPr>
          <w:rFonts w:hint="eastAsia" w:ascii="宋体" w:hAnsi="宋体" w:eastAsia="宋体" w:cs="宋体"/>
          <w:color w:val="auto"/>
          <w:sz w:val="21"/>
          <w:szCs w:val="21"/>
          <w:highlight w:val="none"/>
        </w:rPr>
        <w:tab/>
      </w:r>
    </w:p>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采用纯电动的驱动方式，柔性夹持脱盖，微振动，避免对标本离心干扰，保障标本安全。</w:t>
      </w:r>
    </w:p>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漏电保护功能；</w:t>
      </w:r>
      <w:r>
        <w:rPr>
          <w:rFonts w:hint="eastAsia" w:ascii="宋体" w:hAnsi="宋体" w:eastAsia="宋体" w:cs="宋体"/>
          <w:color w:val="auto"/>
          <w:sz w:val="21"/>
          <w:szCs w:val="21"/>
          <w:highlight w:val="none"/>
        </w:rPr>
        <w:tab/>
      </w:r>
    </w:p>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隔离保护。</w:t>
      </w:r>
      <w:r>
        <w:rPr>
          <w:rFonts w:hint="eastAsia" w:ascii="宋体" w:hAnsi="宋体" w:eastAsia="宋体" w:cs="宋体"/>
          <w:color w:val="auto"/>
          <w:sz w:val="21"/>
          <w:szCs w:val="21"/>
          <w:highlight w:val="none"/>
        </w:rPr>
        <w:tab/>
      </w:r>
    </w:p>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兼容性</w:t>
      </w:r>
      <w:r>
        <w:rPr>
          <w:rFonts w:hint="eastAsia" w:ascii="宋体" w:hAnsi="宋体" w:eastAsia="宋体" w:cs="宋体"/>
          <w:color w:val="auto"/>
          <w:sz w:val="21"/>
          <w:szCs w:val="21"/>
          <w:highlight w:val="none"/>
        </w:rPr>
        <w:tab/>
      </w:r>
    </w:p>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兼容75</w:t>
      </w:r>
      <w:r>
        <w:rPr>
          <w:rFonts w:hint="eastAsia" w:ascii="宋体" w:hAnsi="宋体" w:cs="宋体"/>
          <w:color w:val="auto"/>
          <w:sz w:val="21"/>
          <w:szCs w:val="21"/>
          <w:highlight w:val="none"/>
          <w:lang w:val="en-US" w:eastAsia="zh-CN"/>
        </w:rPr>
        <w:t>和</w:t>
      </w:r>
      <w:r>
        <w:rPr>
          <w:rFonts w:hint="eastAsia" w:ascii="宋体" w:hAnsi="宋体" w:eastAsia="宋体" w:cs="宋体"/>
          <w:color w:val="auto"/>
          <w:sz w:val="21"/>
          <w:szCs w:val="21"/>
          <w:highlight w:val="none"/>
        </w:rPr>
        <w:t>100mm</w:t>
      </w:r>
      <w:r>
        <w:rPr>
          <w:rFonts w:hint="eastAsia" w:ascii="宋体" w:hAnsi="宋体" w:eastAsia="宋体" w:cs="宋体"/>
          <w:color w:val="auto"/>
          <w:sz w:val="21"/>
          <w:szCs w:val="21"/>
          <w:highlight w:val="none"/>
          <w:lang w:val="en-US" w:eastAsia="zh-CN"/>
        </w:rPr>
        <w:t>等</w:t>
      </w:r>
      <w:r>
        <w:rPr>
          <w:rFonts w:hint="eastAsia" w:ascii="宋体" w:hAnsi="宋体" w:eastAsia="宋体" w:cs="宋体"/>
          <w:color w:val="auto"/>
          <w:sz w:val="21"/>
          <w:szCs w:val="21"/>
          <w:highlight w:val="none"/>
        </w:rPr>
        <w:t>采血管，并进行自动识别，同一个试管架上可同时放置75/100mm</w:t>
      </w:r>
      <w:r>
        <w:rPr>
          <w:rFonts w:hint="eastAsia" w:ascii="宋体" w:hAnsi="宋体" w:eastAsia="宋体" w:cs="宋体"/>
          <w:color w:val="auto"/>
          <w:sz w:val="21"/>
          <w:szCs w:val="21"/>
          <w:highlight w:val="none"/>
          <w:lang w:val="en-US" w:eastAsia="zh-CN"/>
        </w:rPr>
        <w:t>等</w:t>
      </w:r>
      <w:r>
        <w:rPr>
          <w:rFonts w:hint="eastAsia" w:ascii="宋体" w:hAnsi="宋体" w:eastAsia="宋体" w:cs="宋体"/>
          <w:color w:val="auto"/>
          <w:sz w:val="21"/>
          <w:szCs w:val="21"/>
          <w:highlight w:val="none"/>
        </w:rPr>
        <w:t>采血管。</w:t>
      </w:r>
    </w:p>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兼容市场上主流采血管品牌。</w:t>
      </w:r>
      <w:r>
        <w:rPr>
          <w:rFonts w:hint="eastAsia" w:ascii="宋体" w:hAnsi="宋体" w:eastAsia="宋体" w:cs="宋体"/>
          <w:color w:val="auto"/>
          <w:sz w:val="21"/>
          <w:szCs w:val="21"/>
          <w:highlight w:val="none"/>
        </w:rPr>
        <w:tab/>
      </w:r>
    </w:p>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兼容玻璃管和塑料采血管。</w:t>
      </w:r>
      <w:r>
        <w:rPr>
          <w:rFonts w:hint="eastAsia" w:ascii="宋体" w:hAnsi="宋体" w:eastAsia="宋体" w:cs="宋体"/>
          <w:color w:val="auto"/>
          <w:sz w:val="21"/>
          <w:szCs w:val="21"/>
          <w:highlight w:val="none"/>
        </w:rPr>
        <w:tab/>
      </w:r>
    </w:p>
    <w:p>
      <w:pPr>
        <w:numPr>
          <w:ilvl w:val="0"/>
          <w:numId w:val="0"/>
        </w:num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试管架能够用作实验室常用试管架，每架可放置</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40个标本。</w:t>
      </w:r>
    </w:p>
    <w:p>
      <w:pPr>
        <w:numPr>
          <w:ilvl w:val="0"/>
          <w:numId w:val="0"/>
        </w:numPr>
        <w:rPr>
          <w:rFonts w:hint="eastAsia" w:ascii="宋体" w:hAnsi="宋体" w:eastAsia="宋体" w:cs="宋体"/>
          <w:b w:val="0"/>
          <w:bCs w:val="0"/>
          <w:sz w:val="21"/>
          <w:szCs w:val="21"/>
          <w:highlight w:val="none"/>
          <w:lang w:val="en-US" w:eastAsia="zh-CN"/>
        </w:rPr>
      </w:pPr>
    </w:p>
    <w:p>
      <w:pPr>
        <w:pStyle w:val="20"/>
        <w:rPr>
          <w:rFonts w:hint="eastAsia" w:ascii="仿宋" w:hAnsi="仿宋" w:eastAsia="仿宋" w:cs="仿宋"/>
          <w:kern w:val="0"/>
          <w:sz w:val="24"/>
          <w:szCs w:val="24"/>
          <w:highlight w:val="none"/>
          <w:lang w:val="en-US" w:eastAsia="zh-CN" w:bidi="ar"/>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商务要求：</w:t>
      </w:r>
    </w:p>
    <w:p>
      <w:pPr>
        <w:keepNext w:val="0"/>
        <w:keepLines w:val="0"/>
        <w:pageBreakBefore w:val="0"/>
        <w:widowControl w:val="0"/>
        <w:numPr>
          <w:ilvl w:val="0"/>
          <w:numId w:val="12"/>
        </w:numPr>
        <w:kinsoku/>
        <w:wordWrap/>
        <w:overflowPunct/>
        <w:topLinePunct w:val="0"/>
        <w:autoSpaceDE/>
        <w:autoSpaceDN/>
        <w:bidi w:val="0"/>
        <w:adjustRightInd/>
        <w:snapToGrid/>
        <w:spacing w:line="460" w:lineRule="exact"/>
        <w:ind w:firstLine="426" w:firstLineChars="200"/>
        <w:textAlignment w:val="auto"/>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实施（供货）期 ：</w:t>
      </w:r>
      <w:r>
        <w:rPr>
          <w:rFonts w:hint="eastAsia" w:ascii="仿宋" w:hAnsi="仿宋" w:eastAsia="仿宋" w:cs="仿宋"/>
          <w:color w:val="auto"/>
          <w:highlight w:val="none"/>
          <w:lang w:eastAsia="zh-CN"/>
        </w:rPr>
        <w:t>签订合同后</w:t>
      </w:r>
      <w:r>
        <w:rPr>
          <w:rFonts w:hint="eastAsia" w:ascii="仿宋" w:hAnsi="仿宋" w:eastAsia="仿宋" w:cs="仿宋"/>
          <w:color w:val="auto"/>
          <w:highlight w:val="none"/>
          <w:lang w:val="en-US" w:eastAsia="zh-CN"/>
        </w:rPr>
        <w:t>15天</w:t>
      </w:r>
      <w:r>
        <w:rPr>
          <w:rFonts w:hint="eastAsia" w:ascii="仿宋" w:hAnsi="仿宋" w:eastAsia="仿宋" w:cs="仿宋"/>
          <w:color w:val="auto"/>
          <w:highlight w:val="none"/>
          <w:lang w:eastAsia="zh-CN"/>
        </w:rPr>
        <w:t>内供货、安装、调试、培训完毕；</w:t>
      </w:r>
    </w:p>
    <w:p>
      <w:pPr>
        <w:keepNext w:val="0"/>
        <w:keepLines w:val="0"/>
        <w:pageBreakBefore w:val="0"/>
        <w:widowControl w:val="0"/>
        <w:kinsoku/>
        <w:wordWrap/>
        <w:overflowPunct/>
        <w:topLinePunct w:val="0"/>
        <w:autoSpaceDE/>
        <w:autoSpaceDN/>
        <w:bidi w:val="0"/>
        <w:adjustRightInd/>
        <w:snapToGrid/>
        <w:spacing w:line="460" w:lineRule="exact"/>
        <w:ind w:left="426" w:leftChars="200"/>
        <w:textAlignment w:val="auto"/>
        <w:rPr>
          <w:rFonts w:ascii="仿宋" w:hAnsi="仿宋" w:eastAsia="仿宋" w:cs="仿宋"/>
          <w:color w:val="auto"/>
          <w:highlight w:val="none"/>
          <w:lang w:eastAsia="zh-CN"/>
        </w:rPr>
      </w:pPr>
      <w:r>
        <w:rPr>
          <w:rFonts w:hint="eastAsia" w:ascii="仿宋" w:hAnsi="仿宋" w:eastAsia="仿宋" w:cs="仿宋"/>
          <w:b/>
          <w:bCs/>
          <w:color w:val="auto"/>
          <w:highlight w:val="none"/>
          <w:lang w:eastAsia="zh-CN"/>
        </w:rPr>
        <w:t>（二）实施（交货）地点</w:t>
      </w:r>
      <w:r>
        <w:rPr>
          <w:rFonts w:hint="eastAsia" w:ascii="仿宋" w:hAnsi="仿宋" w:eastAsia="仿宋" w:cs="仿宋"/>
          <w:color w:val="auto"/>
          <w:highlight w:val="none"/>
          <w:lang w:eastAsia="zh-CN"/>
        </w:rPr>
        <w:t xml:space="preserve"> ：甲方指定地点</w:t>
      </w:r>
    </w:p>
    <w:p>
      <w:pPr>
        <w:keepNext w:val="0"/>
        <w:keepLines w:val="0"/>
        <w:pageBreakBefore w:val="0"/>
        <w:widowControl w:val="0"/>
        <w:kinsoku/>
        <w:wordWrap/>
        <w:overflowPunct/>
        <w:topLinePunct w:val="0"/>
        <w:autoSpaceDE/>
        <w:autoSpaceDN/>
        <w:bidi w:val="0"/>
        <w:adjustRightInd/>
        <w:snapToGrid/>
        <w:spacing w:line="460" w:lineRule="exact"/>
        <w:ind w:firstLine="426" w:firstLineChars="200"/>
        <w:textAlignment w:val="auto"/>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（三）报价要求</w:t>
      </w:r>
    </w:p>
    <w:p>
      <w:pPr>
        <w:keepNext w:val="0"/>
        <w:keepLines w:val="0"/>
        <w:pageBreakBefore w:val="0"/>
        <w:widowControl w:val="0"/>
        <w:kinsoku/>
        <w:wordWrap/>
        <w:overflowPunct/>
        <w:topLinePunct w:val="0"/>
        <w:autoSpaceDE/>
        <w:autoSpaceDN/>
        <w:bidi w:val="0"/>
        <w:adjustRightInd/>
        <w:snapToGrid/>
        <w:spacing w:line="460" w:lineRule="exact"/>
        <w:ind w:firstLine="426"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本次报价为人民币报价，投标报价应包括：货物本身价格、保险费用、培训费、养护费、包装费、运输费用、二次搬运费、装卸费、损耗、税金费用、自检费、人工费、其他配件费及验收合格前和质保期内发生的一切费用、应当提供的伴随服务/售后服务费用。</w:t>
      </w:r>
    </w:p>
    <w:p>
      <w:pPr>
        <w:keepNext w:val="0"/>
        <w:keepLines w:val="0"/>
        <w:pageBreakBefore w:val="0"/>
        <w:widowControl w:val="0"/>
        <w:kinsoku/>
        <w:wordWrap/>
        <w:overflowPunct/>
        <w:topLinePunct w:val="0"/>
        <w:autoSpaceDE/>
        <w:autoSpaceDN/>
        <w:bidi w:val="0"/>
        <w:adjustRightInd/>
        <w:snapToGrid/>
        <w:spacing w:line="460" w:lineRule="exact"/>
        <w:ind w:firstLine="426" w:firstLineChars="200"/>
        <w:textAlignment w:val="auto"/>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（四）质保要求</w:t>
      </w:r>
    </w:p>
    <w:p>
      <w:pPr>
        <w:keepNext w:val="0"/>
        <w:keepLines w:val="0"/>
        <w:pageBreakBefore w:val="0"/>
        <w:widowControl w:val="0"/>
        <w:kinsoku/>
        <w:wordWrap/>
        <w:overflowPunct/>
        <w:topLinePunct w:val="0"/>
        <w:autoSpaceDE/>
        <w:autoSpaceDN/>
        <w:bidi w:val="0"/>
        <w:adjustRightInd/>
        <w:snapToGrid/>
        <w:spacing w:line="460" w:lineRule="exact"/>
        <w:ind w:firstLine="639" w:firstLineChars="3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1、本项目设备质保期为3年。</w:t>
      </w:r>
    </w:p>
    <w:p>
      <w:pPr>
        <w:keepNext w:val="0"/>
        <w:keepLines w:val="0"/>
        <w:pageBreakBefore w:val="0"/>
        <w:widowControl w:val="0"/>
        <w:kinsoku/>
        <w:wordWrap/>
        <w:overflowPunct/>
        <w:topLinePunct w:val="0"/>
        <w:autoSpaceDE/>
        <w:autoSpaceDN/>
        <w:bidi w:val="0"/>
        <w:adjustRightInd/>
        <w:snapToGrid/>
        <w:spacing w:line="460" w:lineRule="exact"/>
        <w:ind w:firstLine="426" w:firstLineChars="200"/>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  2、乙方应保证所提供的货物是全新、未使用过的原装合格正品，并完全符合国家标准和行业的相关标准。</w:t>
      </w:r>
    </w:p>
    <w:p>
      <w:pPr>
        <w:keepNext w:val="0"/>
        <w:keepLines w:val="0"/>
        <w:pageBreakBefore w:val="0"/>
        <w:widowControl w:val="0"/>
        <w:kinsoku/>
        <w:wordWrap/>
        <w:overflowPunct/>
        <w:topLinePunct w:val="0"/>
        <w:autoSpaceDE/>
        <w:autoSpaceDN/>
        <w:bidi w:val="0"/>
        <w:adjustRightInd/>
        <w:snapToGrid/>
        <w:spacing w:line="460" w:lineRule="exact"/>
        <w:ind w:firstLine="213" w:firstLineChars="100"/>
        <w:textAlignment w:val="auto"/>
        <w:rPr>
          <w:rFonts w:ascii="仿宋" w:hAnsi="仿宋" w:eastAsia="仿宋" w:cs="仿宋"/>
          <w:b/>
          <w:bCs/>
          <w:color w:val="auto"/>
          <w:lang w:eastAsia="zh-CN"/>
        </w:rPr>
      </w:pPr>
      <w:r>
        <w:rPr>
          <w:rFonts w:hint="eastAsia" w:ascii="仿宋" w:hAnsi="仿宋" w:eastAsia="仿宋" w:cs="仿宋"/>
          <w:b/>
          <w:bCs/>
          <w:color w:val="auto"/>
          <w:highlight w:val="none"/>
          <w:lang w:eastAsia="zh-CN"/>
        </w:rPr>
        <w:t>（五）售后服务、理赔、</w:t>
      </w:r>
      <w:r>
        <w:rPr>
          <w:rFonts w:hint="eastAsia" w:ascii="仿宋" w:hAnsi="仿宋" w:eastAsia="仿宋" w:cs="仿宋"/>
          <w:b/>
          <w:bCs/>
          <w:color w:val="auto"/>
          <w:lang w:eastAsia="zh-CN"/>
        </w:rPr>
        <w:t>质量技术及验收保证的承诺</w:t>
      </w:r>
    </w:p>
    <w:p>
      <w:pPr>
        <w:keepNext w:val="0"/>
        <w:keepLines w:val="0"/>
        <w:pageBreakBefore w:val="0"/>
        <w:widowControl w:val="0"/>
        <w:kinsoku/>
        <w:wordWrap/>
        <w:overflowPunct/>
        <w:topLinePunct w:val="0"/>
        <w:autoSpaceDE/>
        <w:autoSpaceDN/>
        <w:bidi w:val="0"/>
        <w:adjustRightInd/>
        <w:snapToGrid/>
        <w:spacing w:line="460" w:lineRule="exact"/>
        <w:ind w:firstLine="426" w:firstLineChars="200"/>
        <w:textAlignment w:val="auto"/>
        <w:rPr>
          <w:rFonts w:ascii="仿宋" w:hAnsi="仿宋" w:eastAsia="仿宋" w:cs="仿宋"/>
          <w:color w:val="auto"/>
          <w:lang w:eastAsia="zh-CN"/>
        </w:rPr>
      </w:pPr>
      <w:r>
        <w:rPr>
          <w:rFonts w:hint="eastAsia" w:ascii="仿宋" w:hAnsi="仿宋" w:eastAsia="仿宋" w:cs="仿宋"/>
          <w:color w:val="auto"/>
          <w:lang w:eastAsia="zh-CN"/>
        </w:rPr>
        <w:t>1、售后服务</w:t>
      </w:r>
    </w:p>
    <w:p>
      <w:pPr>
        <w:keepNext w:val="0"/>
        <w:keepLines w:val="0"/>
        <w:pageBreakBefore w:val="0"/>
        <w:widowControl w:val="0"/>
        <w:kinsoku/>
        <w:wordWrap/>
        <w:overflowPunct/>
        <w:topLinePunct w:val="0"/>
        <w:autoSpaceDE/>
        <w:autoSpaceDN/>
        <w:bidi w:val="0"/>
        <w:adjustRightInd/>
        <w:snapToGrid/>
        <w:spacing w:line="460" w:lineRule="exact"/>
        <w:ind w:firstLine="426" w:firstLineChars="200"/>
        <w:textAlignment w:val="auto"/>
        <w:rPr>
          <w:rFonts w:ascii="仿宋" w:hAnsi="仿宋" w:eastAsia="仿宋" w:cs="仿宋"/>
          <w:color w:val="auto"/>
          <w:lang w:eastAsia="zh-CN"/>
        </w:rPr>
      </w:pPr>
      <w:r>
        <w:rPr>
          <w:rFonts w:hint="eastAsia" w:ascii="仿宋" w:hAnsi="仿宋" w:eastAsia="仿宋" w:cs="仿宋"/>
          <w:color w:val="auto"/>
          <w:lang w:eastAsia="zh-CN"/>
        </w:rPr>
        <w:t>1.1产品质量：在合同期内，甲方正常使用乙方所供产品而出现质量问题时，乙方负责。产品使用：甲方在使用乙方所供产品中出现问题需乙方解决时，乙方应无偿解决（退换货）。</w:t>
      </w:r>
    </w:p>
    <w:p>
      <w:pPr>
        <w:keepNext w:val="0"/>
        <w:keepLines w:val="0"/>
        <w:pageBreakBefore w:val="0"/>
        <w:widowControl w:val="0"/>
        <w:kinsoku/>
        <w:wordWrap/>
        <w:overflowPunct/>
        <w:topLinePunct w:val="0"/>
        <w:autoSpaceDE/>
        <w:autoSpaceDN/>
        <w:bidi w:val="0"/>
        <w:adjustRightInd/>
        <w:snapToGrid/>
        <w:spacing w:line="460" w:lineRule="exact"/>
        <w:ind w:firstLine="426" w:firstLineChars="200"/>
        <w:textAlignment w:val="auto"/>
        <w:rPr>
          <w:rFonts w:ascii="仿宋" w:hAnsi="仿宋" w:eastAsia="仿宋" w:cs="仿宋"/>
          <w:color w:val="auto"/>
          <w:lang w:eastAsia="zh-CN"/>
        </w:rPr>
      </w:pPr>
      <w:r>
        <w:rPr>
          <w:rFonts w:hint="eastAsia" w:ascii="仿宋" w:hAnsi="仿宋" w:eastAsia="仿宋" w:cs="仿宋"/>
          <w:color w:val="auto"/>
          <w:lang w:eastAsia="zh-CN"/>
        </w:rPr>
        <w:t>1.2质保期内，当采购人遇到使用及技术问题电话咨询不能解决的，须在</w:t>
      </w:r>
      <w:r>
        <w:rPr>
          <w:rFonts w:hint="eastAsia" w:ascii="仿宋" w:hAnsi="仿宋" w:eastAsia="仿宋" w:cs="仿宋"/>
          <w:color w:val="auto"/>
          <w:lang w:val="en-US" w:eastAsia="zh-CN"/>
        </w:rPr>
        <w:t>8</w:t>
      </w:r>
      <w:r>
        <w:rPr>
          <w:rFonts w:hint="eastAsia" w:ascii="仿宋" w:hAnsi="仿宋" w:eastAsia="仿宋" w:cs="仿宋"/>
          <w:color w:val="auto"/>
          <w:lang w:eastAsia="zh-CN"/>
        </w:rPr>
        <w:t xml:space="preserve">小时内到达现场进行处理。    </w:t>
      </w:r>
    </w:p>
    <w:p>
      <w:pPr>
        <w:keepNext w:val="0"/>
        <w:keepLines w:val="0"/>
        <w:pageBreakBefore w:val="0"/>
        <w:widowControl w:val="0"/>
        <w:kinsoku/>
        <w:wordWrap/>
        <w:overflowPunct/>
        <w:topLinePunct w:val="0"/>
        <w:autoSpaceDE/>
        <w:autoSpaceDN/>
        <w:bidi w:val="0"/>
        <w:adjustRightInd/>
        <w:snapToGrid/>
        <w:spacing w:line="460" w:lineRule="exact"/>
        <w:ind w:firstLine="426" w:firstLineChars="200"/>
        <w:textAlignment w:val="auto"/>
        <w:rPr>
          <w:rFonts w:ascii="仿宋" w:hAnsi="仿宋" w:eastAsia="仿宋" w:cs="仿宋"/>
          <w:b w:val="0"/>
          <w:bCs w:val="0"/>
          <w:color w:val="auto"/>
          <w:lang w:eastAsia="zh-CN"/>
        </w:rPr>
      </w:pPr>
      <w:r>
        <w:rPr>
          <w:rFonts w:hint="eastAsia" w:ascii="仿宋" w:hAnsi="仿宋" w:eastAsia="仿宋" w:cs="仿宋"/>
          <w:b w:val="0"/>
          <w:bCs w:val="0"/>
          <w:color w:val="auto"/>
          <w:lang w:eastAsia="zh-CN"/>
        </w:rPr>
        <w:t>1.3质保期内，设备出现故障，须在4小时内响应，</w:t>
      </w:r>
      <w:r>
        <w:rPr>
          <w:rFonts w:hint="eastAsia" w:ascii="仿宋" w:hAnsi="仿宋" w:eastAsia="仿宋" w:cs="仿宋"/>
          <w:b w:val="0"/>
          <w:bCs w:val="0"/>
          <w:color w:val="auto"/>
          <w:lang w:val="en-US" w:eastAsia="zh-CN"/>
        </w:rPr>
        <w:t>48</w:t>
      </w:r>
      <w:r>
        <w:rPr>
          <w:rFonts w:hint="eastAsia" w:ascii="仿宋" w:hAnsi="仿宋" w:eastAsia="仿宋" w:cs="仿宋"/>
          <w:b w:val="0"/>
          <w:bCs w:val="0"/>
          <w:color w:val="auto"/>
          <w:lang w:eastAsia="zh-CN"/>
        </w:rPr>
        <w:t>小时内到达现场，一般故障8小时内修复，较大故障24小时内解决问题。每年提供不少于</w:t>
      </w:r>
      <w:r>
        <w:rPr>
          <w:rFonts w:hint="eastAsia" w:ascii="仿宋" w:hAnsi="仿宋" w:eastAsia="仿宋" w:cs="仿宋"/>
          <w:b w:val="0"/>
          <w:bCs w:val="0"/>
          <w:color w:val="auto"/>
          <w:lang w:val="en-US" w:eastAsia="zh-CN"/>
        </w:rPr>
        <w:t>2</w:t>
      </w:r>
      <w:r>
        <w:rPr>
          <w:rFonts w:hint="eastAsia" w:ascii="仿宋" w:hAnsi="仿宋" w:eastAsia="仿宋" w:cs="仿宋"/>
          <w:b w:val="0"/>
          <w:bCs w:val="0"/>
          <w:color w:val="auto"/>
          <w:lang w:eastAsia="zh-CN"/>
        </w:rPr>
        <w:t>次回访。</w:t>
      </w:r>
    </w:p>
    <w:p>
      <w:pPr>
        <w:keepNext w:val="0"/>
        <w:keepLines w:val="0"/>
        <w:pageBreakBefore w:val="0"/>
        <w:widowControl w:val="0"/>
        <w:kinsoku/>
        <w:wordWrap/>
        <w:overflowPunct/>
        <w:topLinePunct w:val="0"/>
        <w:autoSpaceDE/>
        <w:autoSpaceDN/>
        <w:bidi w:val="0"/>
        <w:adjustRightInd/>
        <w:snapToGrid/>
        <w:spacing w:line="460" w:lineRule="exact"/>
        <w:ind w:firstLine="426" w:firstLineChars="200"/>
        <w:textAlignment w:val="auto"/>
        <w:rPr>
          <w:rFonts w:ascii="仿宋" w:hAnsi="仿宋" w:eastAsia="仿宋" w:cs="仿宋"/>
          <w:color w:val="auto"/>
          <w:lang w:eastAsia="zh-CN"/>
        </w:rPr>
      </w:pPr>
      <w:r>
        <w:rPr>
          <w:rFonts w:hint="eastAsia" w:ascii="仿宋" w:hAnsi="仿宋" w:eastAsia="仿宋" w:cs="仿宋"/>
          <w:color w:val="auto"/>
          <w:lang w:eastAsia="zh-CN"/>
        </w:rPr>
        <w:t>2、交货时应提供以下技术或培训资料（如涉及）</w:t>
      </w:r>
    </w:p>
    <w:p>
      <w:pPr>
        <w:keepNext w:val="0"/>
        <w:keepLines w:val="0"/>
        <w:pageBreakBefore w:val="0"/>
        <w:widowControl w:val="0"/>
        <w:kinsoku/>
        <w:wordWrap/>
        <w:overflowPunct/>
        <w:topLinePunct w:val="0"/>
        <w:autoSpaceDE/>
        <w:autoSpaceDN/>
        <w:bidi w:val="0"/>
        <w:adjustRightInd/>
        <w:snapToGrid/>
        <w:spacing w:line="460" w:lineRule="exact"/>
        <w:ind w:firstLine="426" w:firstLineChars="200"/>
        <w:textAlignment w:val="auto"/>
        <w:rPr>
          <w:rFonts w:ascii="仿宋" w:hAnsi="仿宋" w:eastAsia="仿宋" w:cs="仿宋"/>
          <w:color w:val="auto"/>
          <w:lang w:eastAsia="zh-CN"/>
        </w:rPr>
      </w:pPr>
      <w:r>
        <w:rPr>
          <w:rFonts w:hint="eastAsia" w:ascii="仿宋" w:hAnsi="仿宋" w:eastAsia="仿宋" w:cs="仿宋"/>
          <w:color w:val="auto"/>
          <w:lang w:eastAsia="zh-CN"/>
        </w:rPr>
        <w:t>2.1原产地证明书(由制造厂签发)；</w:t>
      </w:r>
    </w:p>
    <w:p>
      <w:pPr>
        <w:keepNext w:val="0"/>
        <w:keepLines w:val="0"/>
        <w:pageBreakBefore w:val="0"/>
        <w:widowControl w:val="0"/>
        <w:kinsoku/>
        <w:wordWrap/>
        <w:overflowPunct/>
        <w:topLinePunct w:val="0"/>
        <w:autoSpaceDE/>
        <w:autoSpaceDN/>
        <w:bidi w:val="0"/>
        <w:adjustRightInd/>
        <w:snapToGrid/>
        <w:spacing w:line="460" w:lineRule="exact"/>
        <w:ind w:firstLine="426" w:firstLineChars="200"/>
        <w:textAlignment w:val="auto"/>
        <w:rPr>
          <w:rFonts w:ascii="仿宋" w:hAnsi="仿宋" w:eastAsia="仿宋" w:cs="仿宋"/>
          <w:color w:val="auto"/>
          <w:lang w:eastAsia="zh-CN"/>
        </w:rPr>
      </w:pPr>
      <w:r>
        <w:rPr>
          <w:rFonts w:hint="eastAsia" w:ascii="仿宋" w:hAnsi="仿宋" w:eastAsia="仿宋" w:cs="仿宋"/>
          <w:color w:val="auto"/>
          <w:lang w:eastAsia="zh-CN"/>
        </w:rPr>
        <w:t>2.2提供主机及配套设备的安装图纸及说明；</w:t>
      </w:r>
    </w:p>
    <w:p>
      <w:pPr>
        <w:keepNext w:val="0"/>
        <w:keepLines w:val="0"/>
        <w:pageBreakBefore w:val="0"/>
        <w:widowControl w:val="0"/>
        <w:kinsoku/>
        <w:wordWrap/>
        <w:overflowPunct/>
        <w:topLinePunct w:val="0"/>
        <w:autoSpaceDE/>
        <w:autoSpaceDN/>
        <w:bidi w:val="0"/>
        <w:adjustRightInd/>
        <w:snapToGrid/>
        <w:spacing w:line="460" w:lineRule="exact"/>
        <w:ind w:firstLine="426" w:firstLineChars="200"/>
        <w:textAlignment w:val="auto"/>
        <w:rPr>
          <w:rFonts w:ascii="仿宋" w:hAnsi="仿宋" w:eastAsia="仿宋" w:cs="仿宋"/>
          <w:color w:val="auto"/>
          <w:lang w:eastAsia="zh-CN"/>
        </w:rPr>
      </w:pPr>
      <w:r>
        <w:rPr>
          <w:rFonts w:hint="eastAsia" w:ascii="仿宋" w:hAnsi="仿宋" w:eastAsia="仿宋" w:cs="仿宋"/>
          <w:color w:val="auto"/>
          <w:lang w:eastAsia="zh-CN"/>
        </w:rPr>
        <w:t>2.3提供主机及配套设备使用说明书、维护手册；</w:t>
      </w:r>
    </w:p>
    <w:p>
      <w:pPr>
        <w:keepNext w:val="0"/>
        <w:keepLines w:val="0"/>
        <w:pageBreakBefore w:val="0"/>
        <w:widowControl w:val="0"/>
        <w:kinsoku/>
        <w:wordWrap/>
        <w:overflowPunct/>
        <w:topLinePunct w:val="0"/>
        <w:autoSpaceDE/>
        <w:autoSpaceDN/>
        <w:bidi w:val="0"/>
        <w:adjustRightInd/>
        <w:snapToGrid/>
        <w:spacing w:line="460" w:lineRule="exact"/>
        <w:ind w:firstLine="426" w:firstLineChars="200"/>
        <w:textAlignment w:val="auto"/>
        <w:rPr>
          <w:rFonts w:ascii="仿宋" w:hAnsi="仿宋" w:eastAsia="仿宋" w:cs="仿宋"/>
          <w:color w:val="auto"/>
          <w:lang w:eastAsia="zh-CN"/>
        </w:rPr>
      </w:pPr>
      <w:r>
        <w:rPr>
          <w:rFonts w:hint="eastAsia" w:ascii="仿宋" w:hAnsi="仿宋" w:eastAsia="仿宋" w:cs="仿宋"/>
          <w:color w:val="auto"/>
          <w:lang w:eastAsia="zh-CN"/>
        </w:rPr>
        <w:t>2.4备件手册、零件及易损件的图纸及相关资料；</w:t>
      </w:r>
    </w:p>
    <w:p>
      <w:pPr>
        <w:keepNext w:val="0"/>
        <w:keepLines w:val="0"/>
        <w:pageBreakBefore w:val="0"/>
        <w:widowControl w:val="0"/>
        <w:kinsoku/>
        <w:wordWrap/>
        <w:overflowPunct/>
        <w:topLinePunct w:val="0"/>
        <w:autoSpaceDE/>
        <w:autoSpaceDN/>
        <w:bidi w:val="0"/>
        <w:adjustRightInd/>
        <w:snapToGrid/>
        <w:spacing w:line="460" w:lineRule="exact"/>
        <w:ind w:firstLine="426" w:firstLineChars="200"/>
        <w:textAlignment w:val="auto"/>
        <w:rPr>
          <w:rFonts w:ascii="仿宋" w:hAnsi="仿宋" w:eastAsia="仿宋" w:cs="仿宋"/>
          <w:color w:val="auto"/>
          <w:lang w:eastAsia="zh-CN"/>
        </w:rPr>
      </w:pPr>
      <w:r>
        <w:rPr>
          <w:rFonts w:hint="eastAsia" w:ascii="仿宋" w:hAnsi="仿宋" w:eastAsia="仿宋" w:cs="仿宋"/>
          <w:color w:val="auto"/>
          <w:lang w:eastAsia="zh-CN"/>
        </w:rPr>
        <w:t>2.5其它相关技术资料。</w:t>
      </w:r>
    </w:p>
    <w:p>
      <w:pPr>
        <w:keepNext w:val="0"/>
        <w:keepLines w:val="0"/>
        <w:pageBreakBefore w:val="0"/>
        <w:widowControl w:val="0"/>
        <w:kinsoku/>
        <w:wordWrap/>
        <w:overflowPunct/>
        <w:topLinePunct w:val="0"/>
        <w:autoSpaceDE/>
        <w:autoSpaceDN/>
        <w:bidi w:val="0"/>
        <w:adjustRightInd/>
        <w:snapToGrid/>
        <w:spacing w:line="460" w:lineRule="exact"/>
        <w:ind w:firstLine="426"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3、设备到场后，供应商需至少派1名工程师现场指导安装调试。</w:t>
      </w:r>
    </w:p>
    <w:p>
      <w:pPr>
        <w:keepNext w:val="0"/>
        <w:keepLines w:val="0"/>
        <w:pageBreakBefore w:val="0"/>
        <w:widowControl w:val="0"/>
        <w:kinsoku/>
        <w:wordWrap/>
        <w:overflowPunct/>
        <w:topLinePunct w:val="0"/>
        <w:autoSpaceDE/>
        <w:autoSpaceDN/>
        <w:bidi w:val="0"/>
        <w:adjustRightInd/>
        <w:snapToGrid/>
        <w:spacing w:line="460" w:lineRule="exact"/>
        <w:ind w:firstLine="426" w:firstLineChars="200"/>
        <w:textAlignment w:val="auto"/>
        <w:rPr>
          <w:rFonts w:ascii="仿宋" w:hAnsi="仿宋" w:eastAsia="仿宋" w:cs="仿宋"/>
          <w:color w:val="auto"/>
          <w:lang w:eastAsia="zh-CN"/>
        </w:rPr>
      </w:pPr>
      <w:r>
        <w:rPr>
          <w:rFonts w:hint="eastAsia" w:ascii="仿宋" w:hAnsi="仿宋" w:eastAsia="仿宋" w:cs="仿宋"/>
          <w:color w:val="auto"/>
          <w:lang w:eastAsia="zh-CN"/>
        </w:rPr>
        <w:t>4、在质保期内，如果供应商的产品技术升级，供应商应及时通知采购人，如采购人有相应要求，供应商应对采购人购买的产品进行升级服务。</w:t>
      </w:r>
    </w:p>
    <w:p>
      <w:pPr>
        <w:keepNext w:val="0"/>
        <w:keepLines w:val="0"/>
        <w:pageBreakBefore w:val="0"/>
        <w:widowControl w:val="0"/>
        <w:kinsoku/>
        <w:wordWrap/>
        <w:overflowPunct/>
        <w:topLinePunct w:val="0"/>
        <w:autoSpaceDE/>
        <w:autoSpaceDN/>
        <w:bidi w:val="0"/>
        <w:adjustRightInd/>
        <w:snapToGrid/>
        <w:spacing w:line="460" w:lineRule="exact"/>
        <w:ind w:firstLine="426" w:firstLineChars="200"/>
        <w:textAlignment w:val="auto"/>
        <w:rPr>
          <w:rFonts w:ascii="仿宋" w:hAnsi="仿宋" w:eastAsia="仿宋" w:cs="仿宋"/>
          <w:color w:val="auto"/>
          <w:lang w:eastAsia="zh-CN"/>
        </w:rPr>
      </w:pPr>
      <w:r>
        <w:rPr>
          <w:rFonts w:hint="eastAsia" w:ascii="仿宋" w:hAnsi="仿宋" w:eastAsia="仿宋" w:cs="仿宋"/>
          <w:color w:val="auto"/>
          <w:lang w:eastAsia="zh-CN"/>
        </w:rPr>
        <w:t>5、质保期过后，供应商应同样提供免费电话咨询服务，并应承诺提供该产品上门维护服务。</w:t>
      </w:r>
    </w:p>
    <w:p>
      <w:pPr>
        <w:keepNext w:val="0"/>
        <w:keepLines w:val="0"/>
        <w:pageBreakBefore w:val="0"/>
        <w:widowControl w:val="0"/>
        <w:kinsoku/>
        <w:wordWrap/>
        <w:overflowPunct/>
        <w:topLinePunct w:val="0"/>
        <w:autoSpaceDE/>
        <w:autoSpaceDN/>
        <w:bidi w:val="0"/>
        <w:adjustRightInd/>
        <w:snapToGrid/>
        <w:spacing w:line="460" w:lineRule="exact"/>
        <w:ind w:firstLine="426" w:firstLineChars="200"/>
        <w:textAlignment w:val="auto"/>
        <w:rPr>
          <w:rFonts w:ascii="仿宋" w:hAnsi="仿宋" w:eastAsia="仿宋" w:cs="仿宋"/>
          <w:b/>
          <w:bCs/>
          <w:color w:val="auto"/>
          <w:lang w:eastAsia="zh-CN"/>
        </w:rPr>
      </w:pPr>
      <w:r>
        <w:rPr>
          <w:rFonts w:hint="eastAsia" w:ascii="仿宋" w:hAnsi="仿宋" w:eastAsia="仿宋" w:cs="仿宋"/>
          <w:b/>
          <w:bCs/>
          <w:color w:val="auto"/>
          <w:lang w:eastAsia="zh-CN"/>
        </w:rPr>
        <w:t>（六）验收</w:t>
      </w:r>
    </w:p>
    <w:p>
      <w:pPr>
        <w:keepNext w:val="0"/>
        <w:keepLines w:val="0"/>
        <w:pageBreakBefore w:val="0"/>
        <w:widowControl w:val="0"/>
        <w:kinsoku/>
        <w:wordWrap/>
        <w:overflowPunct/>
        <w:topLinePunct w:val="0"/>
        <w:autoSpaceDE/>
        <w:autoSpaceDN/>
        <w:bidi w:val="0"/>
        <w:adjustRightInd/>
        <w:snapToGrid/>
        <w:spacing w:line="460" w:lineRule="exact"/>
        <w:ind w:firstLine="426" w:firstLineChars="200"/>
        <w:textAlignment w:val="auto"/>
        <w:rPr>
          <w:rFonts w:ascii="仿宋" w:hAnsi="仿宋" w:eastAsia="仿宋" w:cs="仿宋"/>
          <w:color w:val="auto"/>
          <w:lang w:eastAsia="zh-CN"/>
        </w:rPr>
      </w:pPr>
      <w:r>
        <w:rPr>
          <w:rFonts w:hint="eastAsia" w:ascii="仿宋" w:hAnsi="仿宋" w:eastAsia="仿宋" w:cs="仿宋"/>
          <w:color w:val="auto"/>
          <w:lang w:eastAsia="zh-CN"/>
        </w:rPr>
        <w:t>1、供应商提供的产品为全新未使用且符合相关法律法规要求的合格产品；</w:t>
      </w:r>
    </w:p>
    <w:p>
      <w:pPr>
        <w:keepNext w:val="0"/>
        <w:keepLines w:val="0"/>
        <w:pageBreakBefore w:val="0"/>
        <w:widowControl w:val="0"/>
        <w:kinsoku/>
        <w:wordWrap/>
        <w:overflowPunct/>
        <w:topLinePunct w:val="0"/>
        <w:autoSpaceDE/>
        <w:autoSpaceDN/>
        <w:bidi w:val="0"/>
        <w:adjustRightInd/>
        <w:snapToGrid/>
        <w:spacing w:line="460" w:lineRule="exact"/>
        <w:ind w:firstLine="426" w:firstLineChars="200"/>
        <w:textAlignment w:val="auto"/>
        <w:rPr>
          <w:rFonts w:hint="eastAsia" w:ascii="仿宋" w:hAnsi="仿宋" w:eastAsia="仿宋" w:cs="仿宋"/>
          <w:color w:val="auto"/>
          <w:lang w:eastAsia="zh-CN"/>
        </w:rPr>
      </w:pPr>
      <w:r>
        <w:rPr>
          <w:rFonts w:hint="eastAsia" w:ascii="仿宋" w:hAnsi="仿宋" w:eastAsia="仿宋" w:cs="仿宋"/>
          <w:color w:val="auto"/>
          <w:lang w:eastAsia="zh-CN"/>
        </w:rPr>
        <w:t>2、供应商提供的产品型号、规格等特性需与投标文件、合同规定内容完全一致，且满足采购方提出的采购需求。</w:t>
      </w:r>
    </w:p>
    <w:p>
      <w:pPr>
        <w:keepNext w:val="0"/>
        <w:keepLines w:val="0"/>
        <w:pageBreakBefore w:val="0"/>
        <w:widowControl w:val="0"/>
        <w:kinsoku/>
        <w:wordWrap/>
        <w:overflowPunct/>
        <w:topLinePunct w:val="0"/>
        <w:autoSpaceDE/>
        <w:autoSpaceDN/>
        <w:bidi w:val="0"/>
        <w:adjustRightInd/>
        <w:snapToGrid/>
        <w:spacing w:line="460" w:lineRule="exact"/>
        <w:ind w:firstLine="426" w:firstLineChars="200"/>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3、货物验收时，供应商向采购人提供生产厂家出具的验收报告、合格证、厂家资格证件等相关文件。</w:t>
      </w:r>
    </w:p>
    <w:p>
      <w:pPr>
        <w:keepNext w:val="0"/>
        <w:keepLines w:val="0"/>
        <w:pageBreakBefore w:val="0"/>
        <w:widowControl w:val="0"/>
        <w:kinsoku/>
        <w:wordWrap/>
        <w:overflowPunct/>
        <w:topLinePunct w:val="0"/>
        <w:autoSpaceDE/>
        <w:autoSpaceDN/>
        <w:bidi w:val="0"/>
        <w:adjustRightInd/>
        <w:snapToGrid/>
        <w:spacing w:line="460" w:lineRule="exact"/>
        <w:ind w:firstLine="426" w:firstLineChars="200"/>
        <w:textAlignment w:val="auto"/>
        <w:rPr>
          <w:rFonts w:ascii="仿宋" w:hAnsi="仿宋" w:eastAsia="仿宋" w:cs="仿宋"/>
          <w:color w:val="auto"/>
          <w:lang w:eastAsia="zh-CN"/>
        </w:rPr>
      </w:pPr>
      <w:r>
        <w:rPr>
          <w:rFonts w:hint="eastAsia" w:ascii="仿宋" w:hAnsi="仿宋" w:eastAsia="仿宋" w:cs="仿宋"/>
          <w:color w:val="auto"/>
          <w:lang w:val="en-US" w:eastAsia="zh-CN"/>
        </w:rPr>
        <w:t>4</w:t>
      </w:r>
      <w:r>
        <w:rPr>
          <w:rFonts w:hint="eastAsia" w:ascii="仿宋" w:hAnsi="仿宋" w:eastAsia="仿宋" w:cs="仿宋"/>
          <w:color w:val="auto"/>
          <w:lang w:eastAsia="zh-CN"/>
        </w:rPr>
        <w:t>、供应商提供的产品需经采购人验收小组验收，进行试验检测，按照技术要求逐项进行测试，测试结果应满足相关要求，试验通过并满足要求为验收合格。</w:t>
      </w:r>
    </w:p>
    <w:p>
      <w:pPr>
        <w:keepNext w:val="0"/>
        <w:keepLines w:val="0"/>
        <w:pageBreakBefore w:val="0"/>
        <w:widowControl w:val="0"/>
        <w:kinsoku/>
        <w:wordWrap/>
        <w:overflowPunct/>
        <w:topLinePunct w:val="0"/>
        <w:autoSpaceDE/>
        <w:autoSpaceDN/>
        <w:bidi w:val="0"/>
        <w:adjustRightInd/>
        <w:snapToGrid/>
        <w:spacing w:line="460" w:lineRule="exact"/>
        <w:ind w:firstLine="312" w:firstLineChars="147"/>
        <w:textAlignment w:val="auto"/>
        <w:rPr>
          <w:rFonts w:ascii="仿宋" w:hAnsi="仿宋" w:eastAsia="仿宋" w:cs="仿宋"/>
          <w:b/>
          <w:bCs/>
          <w:color w:val="auto"/>
          <w:lang w:eastAsia="zh-CN"/>
        </w:rPr>
      </w:pPr>
      <w:r>
        <w:rPr>
          <w:rFonts w:hint="eastAsia" w:ascii="仿宋" w:hAnsi="仿宋" w:eastAsia="仿宋" w:cs="仿宋"/>
          <w:b/>
          <w:bCs/>
          <w:color w:val="auto"/>
          <w:lang w:eastAsia="zh-CN"/>
        </w:rPr>
        <w:t>（七）付款方式</w:t>
      </w:r>
    </w:p>
    <w:p>
      <w:pPr>
        <w:keepNext w:val="0"/>
        <w:keepLines w:val="0"/>
        <w:pageBreakBefore w:val="0"/>
        <w:widowControl w:val="0"/>
        <w:kinsoku/>
        <w:wordWrap/>
        <w:overflowPunct/>
        <w:topLinePunct w:val="0"/>
        <w:autoSpaceDE/>
        <w:autoSpaceDN/>
        <w:bidi w:val="0"/>
        <w:adjustRightInd/>
        <w:snapToGrid/>
        <w:spacing w:line="460" w:lineRule="exact"/>
        <w:ind w:firstLine="426" w:firstLineChars="200"/>
        <w:textAlignment w:val="auto"/>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按甲方收到乙方提供的设备并由乙方安装调试完成、进行了相关验收和人员培训合格后且正常使用，甲方向乙方支付合同款总额的80%，半年后性能验收通过后支付合同款总额的20%。（以实际签订合同为准）</w:t>
      </w:r>
    </w:p>
    <w:p>
      <w:pPr>
        <w:keepNext w:val="0"/>
        <w:keepLines w:val="0"/>
        <w:pageBreakBefore w:val="0"/>
        <w:widowControl w:val="0"/>
        <w:kinsoku/>
        <w:wordWrap/>
        <w:overflowPunct/>
        <w:topLinePunct w:val="0"/>
        <w:autoSpaceDE/>
        <w:autoSpaceDN/>
        <w:bidi w:val="0"/>
        <w:adjustRightInd/>
        <w:snapToGrid/>
        <w:spacing w:line="460" w:lineRule="exact"/>
        <w:ind w:firstLine="426" w:firstLineChars="200"/>
        <w:textAlignment w:val="auto"/>
        <w:rPr>
          <w:rFonts w:ascii="仿宋" w:hAnsi="仿宋" w:eastAsia="仿宋" w:cs="仿宋"/>
          <w:b/>
          <w:bCs/>
          <w:color w:val="auto"/>
          <w:lang w:eastAsia="zh-CN"/>
        </w:rPr>
      </w:pPr>
      <w:r>
        <w:rPr>
          <w:rFonts w:hint="eastAsia" w:ascii="仿宋" w:hAnsi="仿宋" w:eastAsia="仿宋" w:cs="仿宋"/>
          <w:b/>
          <w:bCs/>
          <w:color w:val="auto"/>
          <w:lang w:eastAsia="zh-CN"/>
        </w:rPr>
        <w:t>（八）知识产权</w:t>
      </w:r>
    </w:p>
    <w:p>
      <w:pPr>
        <w:keepNext w:val="0"/>
        <w:keepLines w:val="0"/>
        <w:pageBreakBefore w:val="0"/>
        <w:widowControl w:val="0"/>
        <w:kinsoku/>
        <w:wordWrap/>
        <w:overflowPunct/>
        <w:topLinePunct w:val="0"/>
        <w:autoSpaceDE/>
        <w:autoSpaceDN/>
        <w:bidi w:val="0"/>
        <w:adjustRightInd/>
        <w:snapToGrid/>
        <w:spacing w:line="460" w:lineRule="exact"/>
        <w:ind w:firstLine="426" w:firstLineChars="200"/>
        <w:textAlignment w:val="auto"/>
        <w:rPr>
          <w:rFonts w:ascii="仿宋" w:hAnsi="仿宋" w:eastAsia="仿宋" w:cs="仿宋"/>
          <w:color w:val="auto"/>
          <w:lang w:eastAsia="zh-CN"/>
        </w:rPr>
      </w:pPr>
      <w:r>
        <w:rPr>
          <w:rFonts w:hint="eastAsia" w:ascii="仿宋" w:hAnsi="仿宋" w:eastAsia="仿宋" w:cs="仿宋"/>
          <w:color w:val="auto"/>
          <w:lang w:eastAsia="zh-CN"/>
        </w:rPr>
        <w:t>采购人在中华人民共和国境内使用供应商提供的货物及服务时免受第三方提出的侵犯其专利权或其它知识产权的起诉。如果第三方提出侵权指控，中标人应承担由此而引起的一切法律责任和费用。</w:t>
      </w:r>
    </w:p>
    <w:p>
      <w:pPr>
        <w:keepNext w:val="0"/>
        <w:keepLines w:val="0"/>
        <w:pageBreakBefore w:val="0"/>
        <w:widowControl w:val="0"/>
        <w:kinsoku/>
        <w:wordWrap/>
        <w:overflowPunct/>
        <w:topLinePunct w:val="0"/>
        <w:autoSpaceDE/>
        <w:autoSpaceDN/>
        <w:bidi w:val="0"/>
        <w:adjustRightInd/>
        <w:snapToGrid/>
        <w:spacing w:line="460" w:lineRule="exact"/>
        <w:ind w:firstLine="426" w:firstLineChars="200"/>
        <w:textAlignment w:val="auto"/>
        <w:rPr>
          <w:rFonts w:ascii="仿宋" w:hAnsi="仿宋" w:eastAsia="仿宋" w:cs="仿宋"/>
          <w:b/>
          <w:bCs/>
          <w:color w:val="auto"/>
          <w:lang w:eastAsia="zh-CN"/>
        </w:rPr>
      </w:pPr>
      <w:bookmarkStart w:id="93" w:name="_Toc7598"/>
      <w:bookmarkStart w:id="94" w:name="_Toc20832"/>
      <w:bookmarkStart w:id="95" w:name="_Toc12239"/>
      <w:bookmarkStart w:id="96" w:name="_Toc12840_WPSOffice_Level1"/>
      <w:bookmarkStart w:id="97" w:name="_Toc439255252"/>
      <w:bookmarkStart w:id="98" w:name="_Toc267320054"/>
      <w:r>
        <w:rPr>
          <w:rFonts w:hint="eastAsia" w:ascii="仿宋" w:hAnsi="仿宋" w:eastAsia="仿宋" w:cs="仿宋"/>
          <w:b/>
          <w:bCs/>
          <w:color w:val="auto"/>
          <w:lang w:eastAsia="zh-CN"/>
        </w:rPr>
        <w:t>（九）其他</w:t>
      </w:r>
      <w:bookmarkEnd w:id="93"/>
      <w:bookmarkEnd w:id="94"/>
      <w:bookmarkEnd w:id="95"/>
    </w:p>
    <w:bookmarkEnd w:id="96"/>
    <w:bookmarkEnd w:id="97"/>
    <w:bookmarkEnd w:id="98"/>
    <w:p>
      <w:pPr>
        <w:keepNext w:val="0"/>
        <w:keepLines w:val="0"/>
        <w:pageBreakBefore w:val="0"/>
        <w:widowControl w:val="0"/>
        <w:kinsoku/>
        <w:wordWrap/>
        <w:overflowPunct/>
        <w:topLinePunct w:val="0"/>
        <w:autoSpaceDE/>
        <w:autoSpaceDN/>
        <w:bidi w:val="0"/>
        <w:adjustRightInd/>
        <w:snapToGrid/>
        <w:spacing w:line="460" w:lineRule="exact"/>
        <w:ind w:firstLine="426" w:firstLineChars="200"/>
        <w:textAlignment w:val="auto"/>
        <w:rPr>
          <w:rFonts w:ascii="仿宋" w:hAnsi="仿宋" w:eastAsia="仿宋" w:cs="仿宋"/>
          <w:color w:val="auto"/>
          <w:lang w:eastAsia="zh-CN"/>
        </w:rPr>
      </w:pPr>
      <w:r>
        <w:rPr>
          <w:rFonts w:hint="eastAsia" w:ascii="仿宋" w:hAnsi="仿宋" w:eastAsia="仿宋" w:cs="仿宋"/>
          <w:color w:val="auto"/>
          <w:lang w:eastAsia="zh-CN"/>
        </w:rPr>
        <w:t>1、供应商必须在投标文件中对以上条款和服务承诺明确列出，承诺内容必须达到本篇及招标文件其他条款的要求。</w:t>
      </w:r>
    </w:p>
    <w:p>
      <w:pPr>
        <w:keepNext w:val="0"/>
        <w:keepLines w:val="0"/>
        <w:pageBreakBefore w:val="0"/>
        <w:widowControl w:val="0"/>
        <w:kinsoku/>
        <w:wordWrap/>
        <w:overflowPunct/>
        <w:topLinePunct w:val="0"/>
        <w:autoSpaceDE/>
        <w:autoSpaceDN/>
        <w:bidi w:val="0"/>
        <w:adjustRightInd/>
        <w:snapToGrid/>
        <w:spacing w:line="460" w:lineRule="exact"/>
        <w:ind w:firstLine="426" w:firstLineChars="200"/>
        <w:textAlignment w:val="auto"/>
        <w:rPr>
          <w:rFonts w:ascii="仿宋" w:hAnsi="仿宋" w:eastAsia="仿宋" w:cs="仿宋"/>
          <w:color w:val="auto"/>
          <w:lang w:eastAsia="zh-CN"/>
        </w:rPr>
      </w:pPr>
      <w:r>
        <w:rPr>
          <w:rFonts w:hint="eastAsia" w:ascii="仿宋" w:hAnsi="仿宋" w:eastAsia="仿宋" w:cs="仿宋"/>
          <w:color w:val="auto"/>
          <w:lang w:eastAsia="zh-CN"/>
        </w:rPr>
        <w:t>2、中标人与采购人签订《协议》后，须与用户方签订《货物采购供应合同》（包括供货范围、需求数量、单价等），明确具体供货数量、供货时间、送达地点等内容。</w:t>
      </w:r>
    </w:p>
    <w:p>
      <w:pPr>
        <w:keepNext w:val="0"/>
        <w:keepLines w:val="0"/>
        <w:pageBreakBefore w:val="0"/>
        <w:widowControl w:val="0"/>
        <w:kinsoku/>
        <w:wordWrap/>
        <w:overflowPunct/>
        <w:topLinePunct w:val="0"/>
        <w:autoSpaceDE/>
        <w:autoSpaceDN/>
        <w:bidi w:val="0"/>
        <w:adjustRightInd/>
        <w:snapToGrid/>
        <w:spacing w:line="460" w:lineRule="exact"/>
        <w:ind w:firstLine="426" w:firstLineChars="200"/>
        <w:textAlignment w:val="auto"/>
        <w:rPr>
          <w:rFonts w:ascii="仿宋" w:hAnsi="仿宋" w:eastAsia="仿宋" w:cs="仿宋"/>
          <w:color w:val="auto"/>
          <w:lang w:eastAsia="zh-CN"/>
        </w:rPr>
      </w:pPr>
      <w:r>
        <w:rPr>
          <w:rFonts w:hint="eastAsia" w:ascii="仿宋" w:hAnsi="仿宋" w:eastAsia="仿宋" w:cs="仿宋"/>
          <w:color w:val="auto"/>
          <w:lang w:eastAsia="zh-CN"/>
        </w:rPr>
        <w:t>3、其他未尽事宜由供需双方在采购合同中详细约定。</w:t>
      </w:r>
    </w:p>
    <w:p>
      <w:pPr>
        <w:keepNext w:val="0"/>
        <w:keepLines w:val="0"/>
        <w:pageBreakBefore w:val="0"/>
        <w:widowControl w:val="0"/>
        <w:kinsoku/>
        <w:wordWrap/>
        <w:overflowPunct/>
        <w:topLinePunct w:val="0"/>
        <w:autoSpaceDE/>
        <w:autoSpaceDN/>
        <w:bidi w:val="0"/>
        <w:adjustRightInd/>
        <w:snapToGrid/>
        <w:spacing w:line="460" w:lineRule="exact"/>
        <w:ind w:firstLine="426" w:firstLineChars="200"/>
        <w:textAlignment w:val="auto"/>
        <w:rPr>
          <w:rFonts w:ascii="仿宋" w:hAnsi="仿宋" w:eastAsia="仿宋" w:cs="仿宋"/>
          <w:color w:val="auto"/>
          <w:lang w:eastAsia="zh-CN"/>
        </w:rPr>
      </w:pPr>
      <w:r>
        <w:rPr>
          <w:rFonts w:hint="eastAsia" w:ascii="仿宋" w:hAnsi="仿宋" w:eastAsia="仿宋" w:cs="仿宋"/>
          <w:color w:val="auto"/>
          <w:lang w:eastAsia="zh-CN"/>
        </w:rPr>
        <w:t>4、 若供应商不能按招标文件规定的交货期正常交货，采购方有权终止采购合同，并将相关情况上报给采购计划主管部门，取消其中标资格。</w:t>
      </w:r>
    </w:p>
    <w:p>
      <w:pPr>
        <w:keepNext w:val="0"/>
        <w:keepLines w:val="0"/>
        <w:pageBreakBefore w:val="0"/>
        <w:widowControl w:val="0"/>
        <w:kinsoku/>
        <w:wordWrap/>
        <w:overflowPunct/>
        <w:topLinePunct w:val="0"/>
        <w:autoSpaceDE/>
        <w:autoSpaceDN/>
        <w:bidi w:val="0"/>
        <w:adjustRightInd/>
        <w:snapToGrid/>
        <w:spacing w:line="460" w:lineRule="exact"/>
        <w:ind w:firstLine="426" w:firstLineChars="200"/>
        <w:textAlignment w:val="auto"/>
        <w:rPr>
          <w:rFonts w:ascii="仿宋" w:hAnsi="仿宋" w:eastAsia="仿宋" w:cs="仿宋"/>
          <w:b/>
          <w:color w:val="auto"/>
          <w:sz w:val="30"/>
          <w:szCs w:val="30"/>
          <w:lang w:eastAsia="zh-CN"/>
        </w:rPr>
      </w:pPr>
      <w:r>
        <w:rPr>
          <w:rFonts w:hint="eastAsia" w:ascii="仿宋" w:hAnsi="仿宋" w:eastAsia="仿宋" w:cs="仿宋"/>
          <w:color w:val="auto"/>
          <w:lang w:eastAsia="zh-CN"/>
        </w:rPr>
        <w:t>5、</w:t>
      </w:r>
      <w:r>
        <w:rPr>
          <w:rFonts w:hint="eastAsia" w:ascii="仿宋" w:hAnsi="仿宋" w:eastAsia="仿宋" w:cs="仿宋"/>
          <w:color w:val="auto"/>
          <w:kern w:val="2"/>
          <w:lang w:eastAsia="zh-CN" w:bidi="ar-SA"/>
        </w:rPr>
        <w:t>其他未尽事宜由供需双方在采购合同中详细约定。</w:t>
      </w:r>
    </w:p>
    <w:p>
      <w:pPr>
        <w:shd w:val="clear" w:color="auto" w:fill="auto"/>
        <w:spacing w:line="440" w:lineRule="exact"/>
        <w:ind w:firstLine="213" w:firstLineChars="100"/>
        <w:jc w:val="left"/>
        <w:rPr>
          <w:rFonts w:hint="eastAsia" w:ascii="宋体" w:hAnsi="Times New Roman" w:eastAsia="宋体" w:cs="Times New Roman"/>
          <w:color w:val="auto"/>
          <w:szCs w:val="21"/>
          <w:highlight w:val="none"/>
        </w:rPr>
        <w:sectPr>
          <w:headerReference r:id="rId7" w:type="default"/>
          <w:footerReference r:id="rId8" w:type="default"/>
          <w:pgSz w:w="11905" w:h="16838"/>
          <w:pgMar w:top="1440" w:right="1797" w:bottom="1440" w:left="1797" w:header="850" w:footer="992" w:gutter="0"/>
          <w:pgBorders w:offsetFrom="page">
            <w:top w:val="none" w:sz="0" w:space="0"/>
            <w:left w:val="none" w:sz="0" w:space="0"/>
            <w:bottom w:val="none" w:sz="0" w:space="0"/>
            <w:right w:val="none" w:sz="0" w:space="0"/>
          </w:pgBorders>
          <w:pgNumType w:fmt="decimalFullWidth"/>
          <w:cols w:space="720" w:num="1"/>
          <w:rtlGutter w:val="0"/>
          <w:docGrid w:type="linesAndChars" w:linePitch="325" w:charSpace="635"/>
        </w:sectPr>
      </w:pPr>
    </w:p>
    <w:bookmarkEnd w:id="80"/>
    <w:p>
      <w:pPr>
        <w:keepNext w:val="0"/>
        <w:keepLines w:val="0"/>
        <w:pageBreakBefore w:val="0"/>
        <w:widowControl w:val="0"/>
        <w:numPr>
          <w:ilvl w:val="0"/>
          <w:numId w:val="13"/>
        </w:numPr>
        <w:kinsoku/>
        <w:wordWrap/>
        <w:overflowPunct/>
        <w:topLinePunct w:val="0"/>
        <w:autoSpaceDE/>
        <w:autoSpaceDN/>
        <w:bidi w:val="0"/>
        <w:adjustRightInd/>
        <w:snapToGrid/>
        <w:spacing w:line="480" w:lineRule="exact"/>
        <w:jc w:val="center"/>
        <w:textAlignment w:val="auto"/>
        <w:outlineLvl w:val="0"/>
        <w:rPr>
          <w:rFonts w:hint="eastAsia" w:ascii="宋体"/>
          <w:b/>
          <w:color w:val="auto"/>
          <w:sz w:val="30"/>
          <w:szCs w:val="30"/>
          <w:highlight w:val="none"/>
        </w:rPr>
      </w:pPr>
      <w:bookmarkStart w:id="99" w:name="_Toc469495740"/>
      <w:r>
        <w:rPr>
          <w:rFonts w:hint="eastAsia" w:ascii="宋体"/>
          <w:b/>
          <w:color w:val="auto"/>
          <w:sz w:val="30"/>
          <w:szCs w:val="30"/>
          <w:highlight w:val="none"/>
        </w:rPr>
        <w:t xml:space="preserve"> </w:t>
      </w:r>
      <w:bookmarkStart w:id="100" w:name="_Toc6273"/>
      <w:r>
        <w:rPr>
          <w:rFonts w:hint="eastAsia" w:ascii="宋体"/>
          <w:b/>
          <w:color w:val="auto"/>
          <w:sz w:val="30"/>
          <w:szCs w:val="30"/>
          <w:highlight w:val="none"/>
        </w:rPr>
        <w:t>合同条款及格式</w:t>
      </w:r>
      <w:bookmarkEnd w:id="99"/>
      <w:bookmarkEnd w:id="100"/>
      <w:bookmarkStart w:id="101" w:name="_Toc20669"/>
    </w:p>
    <w:bookmarkEnd w:id="101"/>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outlineLvl w:val="1"/>
        <w:rPr>
          <w:rFonts w:hint="eastAsia" w:ascii="宋体" w:hAnsi="宋体" w:eastAsia="宋体" w:cs="宋体"/>
          <w:color w:val="auto"/>
          <w:szCs w:val="21"/>
          <w:highlight w:val="none"/>
        </w:rPr>
      </w:pPr>
      <w:bookmarkStart w:id="102" w:name="_Toc15193"/>
      <w:bookmarkStart w:id="103" w:name="_Toc469495743"/>
      <w:r>
        <w:rPr>
          <w:rFonts w:hint="eastAsia" w:ascii="宋体" w:hAnsi="宋体" w:eastAsia="宋体" w:cs="宋体"/>
          <w:color w:val="auto"/>
          <w:szCs w:val="21"/>
          <w:highlight w:val="none"/>
        </w:rPr>
        <w:t>（本合同为合同样稿，最终稿由供需双方协商后确定）</w:t>
      </w:r>
      <w:bookmarkEnd w:id="102"/>
    </w:p>
    <w:p>
      <w:pPr>
        <w:widowControl/>
        <w:numPr>
          <w:ilvl w:val="0"/>
          <w:numId w:val="14"/>
        </w:numPr>
        <w:shd w:val="clear" w:color="auto" w:fill="auto"/>
        <w:spacing w:line="600" w:lineRule="exact"/>
        <w:jc w:val="center"/>
        <w:textAlignment w:val="baseline"/>
        <w:outlineLvl w:val="1"/>
        <w:rPr>
          <w:rFonts w:hint="eastAsia" w:ascii="黑体" w:eastAsia="黑体"/>
          <w:b/>
          <w:color w:val="auto"/>
          <w:sz w:val="30"/>
          <w:szCs w:val="30"/>
          <w:highlight w:val="none"/>
        </w:rPr>
      </w:pPr>
      <w:r>
        <w:rPr>
          <w:rFonts w:hint="eastAsia" w:ascii="宋体"/>
          <w:b/>
          <w:color w:val="auto"/>
          <w:sz w:val="30"/>
          <w:szCs w:val="30"/>
          <w:highlight w:val="none"/>
        </w:rPr>
        <w:t xml:space="preserve"> </w:t>
      </w:r>
      <w:bookmarkStart w:id="104" w:name="_Toc31337"/>
      <w:r>
        <w:rPr>
          <w:rFonts w:hint="eastAsia" w:ascii="宋体"/>
          <w:b/>
          <w:color w:val="auto"/>
          <w:sz w:val="30"/>
          <w:szCs w:val="30"/>
          <w:highlight w:val="none"/>
        </w:rPr>
        <w:t>合同协议书</w:t>
      </w:r>
      <w:bookmarkEnd w:id="104"/>
    </w:p>
    <w:p>
      <w:pPr>
        <w:shd w:val="clear" w:color="auto" w:fill="auto"/>
        <w:spacing w:line="360" w:lineRule="auto"/>
        <w:ind w:firstLine="1799" w:firstLineChars="845"/>
        <w:rPr>
          <w:rFonts w:hint="eastAsia" w:ascii="宋体"/>
          <w:color w:val="auto"/>
          <w:sz w:val="24"/>
          <w:highlight w:val="none"/>
        </w:rPr>
      </w:pPr>
      <w:r>
        <w:rPr>
          <w:rFonts w:hint="eastAsia" w:ascii="宋体" w:hAnsi="宋体" w:eastAsia="宋体" w:cs="宋体"/>
          <w:color w:val="auto"/>
          <w:szCs w:val="21"/>
          <w:highlight w:val="none"/>
        </w:rPr>
        <w:t xml:space="preserve">合同名称 </w:t>
      </w:r>
      <w:r>
        <w:rPr>
          <w:rFonts w:hint="eastAsia" w:ascii="宋体"/>
          <w:b/>
          <w:color w:val="auto"/>
          <w:sz w:val="24"/>
          <w:highlight w:val="none"/>
        </w:rPr>
        <w:t xml:space="preserve">  </w:t>
      </w:r>
      <w:r>
        <w:rPr>
          <w:rFonts w:hint="eastAsia" w:ascii="宋体"/>
          <w:color w:val="auto"/>
          <w:sz w:val="24"/>
          <w:highlight w:val="none"/>
        </w:rPr>
        <w:t xml:space="preserve">        </w:t>
      </w:r>
      <w:r>
        <w:rPr>
          <w:rFonts w:hint="eastAsia" w:ascii="宋体"/>
          <w:color w:val="auto"/>
          <w:sz w:val="24"/>
          <w:highlight w:val="none"/>
          <w:lang w:val="en-US" w:eastAsia="zh-CN"/>
        </w:rPr>
        <w:t xml:space="preserve">           </w:t>
      </w:r>
      <w:r>
        <w:rPr>
          <w:rFonts w:hint="eastAsia" w:ascii="宋体"/>
          <w:color w:val="auto"/>
          <w:sz w:val="24"/>
          <w:highlight w:val="none"/>
        </w:rPr>
        <w:t xml:space="preserve">  编号</w:t>
      </w:r>
    </w:p>
    <w:p>
      <w:pPr>
        <w:shd w:val="clear" w:color="auto" w:fill="auto"/>
        <w:spacing w:line="420" w:lineRule="exact"/>
        <w:ind w:firstLine="426" w:firstLineChars="200"/>
        <w:rPr>
          <w:rFonts w:hint="eastAsia" w:ascii="宋体" w:cs="宋体"/>
          <w:color w:val="auto"/>
          <w:szCs w:val="21"/>
          <w:highlight w:val="none"/>
        </w:rPr>
      </w:pPr>
      <w:bookmarkStart w:id="105" w:name="_Toc152045610"/>
      <w:bookmarkStart w:id="106" w:name="_Toc144974578"/>
      <w:bookmarkStart w:id="107" w:name="_Toc296602498"/>
      <w:bookmarkStart w:id="108" w:name="_Toc246996253"/>
      <w:bookmarkStart w:id="109" w:name="_Toc152042388"/>
      <w:bookmarkStart w:id="110" w:name="_Toc246996996"/>
      <w:bookmarkStart w:id="111" w:name="_Toc247085768"/>
      <w:bookmarkStart w:id="112" w:name="_Toc179632628"/>
      <w:r>
        <w:rPr>
          <w:rFonts w:hint="eastAsia" w:ascii="宋体" w:cs="宋体"/>
          <w:color w:val="auto"/>
          <w:szCs w:val="21"/>
          <w:highlight w:val="none"/>
          <w:lang w:eastAsia="zh-CN"/>
        </w:rPr>
        <w:t>甲</w:t>
      </w:r>
      <w:r>
        <w:rPr>
          <w:rFonts w:hint="eastAsia" w:ascii="宋体" w:cs="宋体"/>
          <w:color w:val="auto"/>
          <w:szCs w:val="21"/>
          <w:highlight w:val="none"/>
        </w:rPr>
        <w:t xml:space="preserve">    方：                                   </w:t>
      </w:r>
      <w:r>
        <w:rPr>
          <w:rFonts w:hint="eastAsia" w:ascii="宋体" w:cs="宋体"/>
          <w:color w:val="auto"/>
          <w:szCs w:val="21"/>
          <w:highlight w:val="none"/>
          <w:lang w:eastAsia="zh-CN"/>
        </w:rPr>
        <w:t>乙</w:t>
      </w:r>
      <w:r>
        <w:rPr>
          <w:rFonts w:hint="eastAsia" w:ascii="宋体" w:cs="宋体"/>
          <w:color w:val="auto"/>
          <w:szCs w:val="21"/>
          <w:highlight w:val="none"/>
        </w:rPr>
        <w:t xml:space="preserve">    方：</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电    话：                                   电    话：</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住    所：                                   住    所：</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u w:val="single"/>
        </w:rPr>
        <w:t>（买方）</w:t>
      </w:r>
      <w:r>
        <w:rPr>
          <w:rFonts w:hint="eastAsia" w:ascii="宋体" w:cs="宋体"/>
          <w:color w:val="auto"/>
          <w:szCs w:val="21"/>
          <w:highlight w:val="none"/>
        </w:rPr>
        <w:t>的</w:t>
      </w:r>
      <w:r>
        <w:rPr>
          <w:rFonts w:hint="eastAsia" w:ascii="宋体" w:cs="宋体"/>
          <w:color w:val="auto"/>
          <w:szCs w:val="21"/>
          <w:highlight w:val="none"/>
          <w:u w:val="single"/>
        </w:rPr>
        <w:t>（项目名称）</w:t>
      </w:r>
      <w:r>
        <w:rPr>
          <w:rFonts w:hint="eastAsia" w:ascii="宋体" w:cs="宋体"/>
          <w:color w:val="auto"/>
          <w:szCs w:val="21"/>
          <w:highlight w:val="none"/>
        </w:rPr>
        <w:t>中所需</w:t>
      </w:r>
      <w:r>
        <w:rPr>
          <w:rFonts w:hint="eastAsia" w:ascii="宋体" w:cs="宋体"/>
          <w:color w:val="auto"/>
          <w:szCs w:val="21"/>
          <w:highlight w:val="none"/>
          <w:u w:val="single"/>
        </w:rPr>
        <w:t>（产品名称）</w:t>
      </w:r>
      <w:r>
        <w:rPr>
          <w:rFonts w:hint="eastAsia" w:ascii="宋体" w:cs="宋体"/>
          <w:color w:val="auto"/>
          <w:szCs w:val="21"/>
          <w:highlight w:val="none"/>
        </w:rPr>
        <w:t xml:space="preserve"> 经公开招标，确定</w:t>
      </w:r>
      <w:r>
        <w:rPr>
          <w:rFonts w:hint="eastAsia" w:ascii="宋体" w:cs="宋体"/>
          <w:color w:val="auto"/>
          <w:szCs w:val="21"/>
          <w:highlight w:val="none"/>
          <w:u w:val="single"/>
        </w:rPr>
        <w:t>（卖方）</w:t>
      </w:r>
      <w:r>
        <w:rPr>
          <w:rFonts w:hint="eastAsia" w:ascii="宋体" w:cs="宋体"/>
          <w:color w:val="auto"/>
          <w:szCs w:val="21"/>
          <w:highlight w:val="none"/>
        </w:rPr>
        <w:t>为中标人。按照中华人民共和国合同法的规定，买卖双方同意按照下述的条款和条件，签署本合同。</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1、本合同文件</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下列每一文件均应作为合同的组成部分进行阅读和解释：</w:t>
      </w:r>
    </w:p>
    <w:p>
      <w:pPr>
        <w:numPr>
          <w:ilvl w:val="0"/>
          <w:numId w:val="15"/>
        </w:numPr>
        <w:shd w:val="clear" w:color="auto" w:fill="auto"/>
        <w:spacing w:line="420" w:lineRule="exact"/>
        <w:ind w:firstLine="426" w:firstLineChars="200"/>
        <w:rPr>
          <w:rFonts w:hint="eastAsia" w:ascii="宋体" w:cs="宋体"/>
          <w:color w:val="auto"/>
          <w:szCs w:val="21"/>
          <w:highlight w:val="none"/>
          <w:lang w:eastAsia="zh-CN"/>
        </w:rPr>
      </w:pPr>
      <w:r>
        <w:rPr>
          <w:rFonts w:hint="eastAsia" w:ascii="宋体" w:cs="宋体"/>
          <w:color w:val="auto"/>
          <w:szCs w:val="21"/>
          <w:highlight w:val="none"/>
          <w:lang w:eastAsia="zh-CN"/>
        </w:rPr>
        <w:t>采购文件</w:t>
      </w:r>
    </w:p>
    <w:p>
      <w:pPr>
        <w:numPr>
          <w:ilvl w:val="0"/>
          <w:numId w:val="15"/>
        </w:numPr>
        <w:shd w:val="clear" w:color="auto" w:fill="auto"/>
        <w:spacing w:line="420" w:lineRule="exact"/>
        <w:ind w:left="0" w:leftChars="0" w:firstLine="426" w:firstLineChars="200"/>
        <w:rPr>
          <w:rFonts w:hint="eastAsia" w:ascii="宋体" w:cs="宋体"/>
          <w:color w:val="auto"/>
          <w:szCs w:val="21"/>
          <w:highlight w:val="none"/>
        </w:rPr>
      </w:pPr>
      <w:r>
        <w:rPr>
          <w:rFonts w:hint="eastAsia" w:ascii="宋体" w:cs="宋体"/>
          <w:color w:val="auto"/>
          <w:szCs w:val="21"/>
          <w:highlight w:val="none"/>
        </w:rPr>
        <w:t>投标文件</w:t>
      </w:r>
    </w:p>
    <w:p>
      <w:pPr>
        <w:numPr>
          <w:ilvl w:val="0"/>
          <w:numId w:val="0"/>
        </w:numPr>
        <w:shd w:val="clear" w:color="auto" w:fill="auto"/>
        <w:spacing w:line="420" w:lineRule="exact"/>
        <w:ind w:leftChars="200"/>
        <w:rPr>
          <w:rFonts w:hint="eastAsia" w:ascii="宋体" w:cs="宋体"/>
          <w:color w:val="auto"/>
          <w:szCs w:val="21"/>
          <w:highlight w:val="none"/>
        </w:rPr>
      </w:pPr>
      <w:r>
        <w:rPr>
          <w:rFonts w:hint="eastAsia" w:ascii="宋体" w:cs="宋体"/>
          <w:color w:val="auto"/>
          <w:szCs w:val="21"/>
          <w:highlight w:val="none"/>
        </w:rPr>
        <w:t>（3）</w:t>
      </w:r>
      <w:r>
        <w:rPr>
          <w:rFonts w:hint="eastAsia" w:ascii="宋体" w:cs="宋体"/>
          <w:color w:val="auto"/>
          <w:szCs w:val="21"/>
          <w:highlight w:val="none"/>
          <w:lang w:eastAsia="zh-CN"/>
        </w:rPr>
        <w:t>成交</w:t>
      </w:r>
      <w:r>
        <w:rPr>
          <w:rFonts w:hint="eastAsia" w:ascii="宋体" w:cs="宋体"/>
          <w:color w:val="auto"/>
          <w:szCs w:val="21"/>
          <w:highlight w:val="none"/>
        </w:rPr>
        <w:t>通知书</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（4）经双方确认进入合同的其它文件、补充条款或说明</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2、采购标的、数量、质量要求</w:t>
      </w:r>
    </w:p>
    <w:p>
      <w:pPr>
        <w:shd w:val="clear" w:color="auto" w:fill="auto"/>
        <w:autoSpaceDN w:val="0"/>
        <w:spacing w:line="240" w:lineRule="atLeast"/>
        <w:ind w:firstLine="426" w:firstLineChars="200"/>
        <w:rPr>
          <w:rFonts w:hint="eastAsia" w:ascii="宋体" w:hAnsi="宋体" w:eastAsia="宋体" w:cs="Times New Roman"/>
          <w:bCs/>
          <w:color w:val="auto"/>
          <w:szCs w:val="21"/>
          <w:highlight w:val="none"/>
          <w:lang w:val="en-US" w:eastAsia="zh-CN"/>
        </w:rPr>
      </w:pPr>
      <w:r>
        <w:rPr>
          <w:rFonts w:hint="eastAsia" w:ascii="宋体" w:cs="宋体"/>
          <w:color w:val="auto"/>
          <w:szCs w:val="21"/>
          <w:highlight w:val="none"/>
        </w:rPr>
        <w:t>3、</w:t>
      </w:r>
      <w:r>
        <w:rPr>
          <w:rFonts w:hint="eastAsia" w:ascii="宋体" w:hAnsi="宋体" w:eastAsia="宋体" w:cs="Times New Roman"/>
          <w:bCs/>
          <w:color w:val="auto"/>
          <w:szCs w:val="21"/>
          <w:highlight w:val="none"/>
          <w:lang w:val="en-US" w:eastAsia="zh-CN"/>
        </w:rPr>
        <w:t>合同价款及付款方式</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3.1合同价款：总额为￥   元(大写：     )。</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3.2支付方式和期限：</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3.3发票要求：甲方向乙方支付项目款之前，乙方按照正规等额开具增值税发票。</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3.4 汇款方式：甲方通过银行电汇的方式将款项支付至乙方指定账户：</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乙方账户信息：</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账号：</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户名：</w:t>
      </w:r>
    </w:p>
    <w:p>
      <w:pPr>
        <w:shd w:val="clear" w:color="auto" w:fill="auto"/>
        <w:spacing w:line="360" w:lineRule="auto"/>
        <w:ind w:firstLine="426" w:firstLineChars="200"/>
        <w:rPr>
          <w:rFonts w:hint="eastAsia" w:ascii="宋体" w:cs="宋体"/>
          <w:color w:val="auto"/>
          <w:szCs w:val="21"/>
          <w:highlight w:val="none"/>
        </w:rPr>
      </w:pPr>
      <w:r>
        <w:rPr>
          <w:rFonts w:hint="eastAsia" w:ascii="宋体" w:hAnsi="宋体" w:eastAsia="宋体" w:cs="Times New Roman"/>
          <w:bCs/>
          <w:color w:val="auto"/>
          <w:szCs w:val="21"/>
          <w:highlight w:val="none"/>
          <w:lang w:val="en-US" w:eastAsia="zh-CN"/>
        </w:rPr>
        <w:t>开户行：</w:t>
      </w:r>
    </w:p>
    <w:p>
      <w:pPr>
        <w:shd w:val="clear" w:color="auto" w:fill="auto"/>
        <w:spacing w:line="360" w:lineRule="auto"/>
        <w:ind w:firstLine="426" w:firstLineChars="200"/>
        <w:rPr>
          <w:rFonts w:hint="eastAsia" w:ascii="宋体"/>
          <w:color w:val="auto"/>
          <w:szCs w:val="21"/>
          <w:highlight w:val="none"/>
        </w:rPr>
      </w:pPr>
      <w:r>
        <w:rPr>
          <w:rFonts w:hint="eastAsia" w:ascii="宋体" w:cs="宋体"/>
          <w:color w:val="auto"/>
          <w:szCs w:val="21"/>
          <w:highlight w:val="none"/>
          <w:lang w:val="en-US" w:eastAsia="zh-CN"/>
        </w:rPr>
        <w:t>4</w:t>
      </w:r>
      <w:r>
        <w:rPr>
          <w:rFonts w:hint="eastAsia" w:ascii="宋体" w:cs="宋体"/>
          <w:color w:val="auto"/>
          <w:szCs w:val="21"/>
          <w:highlight w:val="none"/>
        </w:rPr>
        <w:t>、</w:t>
      </w:r>
      <w:r>
        <w:rPr>
          <w:rFonts w:hint="eastAsia" w:ascii="宋体"/>
          <w:color w:val="auto"/>
          <w:szCs w:val="21"/>
          <w:highlight w:val="none"/>
        </w:rPr>
        <w:t>合同供货（服务）期限及地点和方式</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cs="宋体"/>
          <w:color w:val="auto"/>
          <w:szCs w:val="21"/>
          <w:highlight w:val="none"/>
        </w:rPr>
      </w:pPr>
      <w:r>
        <w:rPr>
          <w:rFonts w:hint="eastAsia" w:ascii="宋体" w:cs="宋体"/>
          <w:color w:val="auto"/>
          <w:szCs w:val="21"/>
          <w:highlight w:val="none"/>
          <w:lang w:val="en-US" w:eastAsia="zh-CN"/>
        </w:rPr>
        <w:t>5</w:t>
      </w:r>
      <w:r>
        <w:rPr>
          <w:rFonts w:hint="eastAsia" w:ascii="宋体" w:cs="宋体"/>
          <w:color w:val="auto"/>
          <w:szCs w:val="21"/>
          <w:highlight w:val="none"/>
        </w:rPr>
        <w:t>、违约责任</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本合同生效后，甲乙双方均应当全面履行合同义务。任何一方违约，均应当按照约定承担违约责任。其中：</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5.1 甲方逾期付款责任</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 xml:space="preserve">5.1.1 甲方逾期付款在（15）日内的，每逾期一日，甲方应当向乙方支付逾期应付款项1‰的违约金，但违约金额不得超过合同总价款的10%。 </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5.1.2 逾期付款超过（30）日的，视为甲方不履行，乙方有权要求甲方继续履行或解除合同。</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（注：乙方要求继续履行合同，应该在履行期限届满后30日内提出，甲方应当继续履行合同，并向乙方支付相当于合同价款的3%违约金。乙方要求解除合同，甲方应当向乙支付等额合同价款的10%的违约金。）</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5.2.乙方逾期履约或不履约责任</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5.2.1 乙方不履行合同约定的义务，甲方有权要求乙方继续履行或解除合同。</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（注：甲方要求继续履行合同，应该在履行期限届满后30日内提出，乙方应当继续履行合同，并向甲方支付相当于合同价款的3%违约金。甲方要求解除合同，乙方应当向甲方支付等额合同价款的10%的违约金。）</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5.3 服务质量瑕疵责任</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如因乙方人为因素导致甲方数据损坏、丢失或造成其他损失的，乙方应当赔偿因乙方原因给甲方造成的直接损失。</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5.4 违反保密义务责任</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任何一方违反本合同所约定的保密义务，违约方应当赔偿给对方造成的直接损失。涉及触犯国家法律法规的承担相应的法律责任。</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5.5其他违约责任</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驻场服务人员如收到客户投诉（须书面文件）超过2次以上，乙方负责更换驻场服务人员。如乙方在12个月以内更换人员超过3次，甲方有权终止合同。</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5.6 如果乙方未能按甲方提出的要求保障视联网视频会议或未按《克州党委政法委视联网会议设备及系统平台和其他软硬件设备运维表》内容提供运维保障服务，则甲方在支付乙方费用时扣除相应运维保障服务费用。</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6、 不可抗力</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6.1 本合同所称不可抗力，是指地震、台风、严重水灾、火灾、战争等不可抗力的影响而不能执行合同时，履行合同的期限应予以延长，则延长的期限应相当于不可抗力所影响的时间。不可抗力系指买卖双方在签订合同期内所不能预见的，并且它的发生及其后果无法避免和无法克服的影响。</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6.2 因不可抗力不能履行合同的，根据不可抗力的影响，受影响方部分或全部免除责任，但法律另有规定的除外。</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7、 保密责任</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7.1保密内容：本合同的内容、本合同双方因协商，签署和履行本合同而知晓的对方单位与公共安全的信息或获得的对方的单位与公共安全的资料。</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7.2保密义务：</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7.2.1乙方工作人员必须学习有关保密法律法规制度，知悉应当承担的保密义务和法律责任。乙方庄重承诺：</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7.2.2认真遵守国家保密法律、法规和规章制度，履行保密义务；</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7.2.3不提供虚假的个人信息，自愿接受保密审查；</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7.2.4不违规记录、存储、复制、传播未经甲方允许的秘密信息；</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7.2.5不把涉密计算机、涉密存储设备接入互联网及其他非涉密公共信息网络；</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7.2.6不在涉密计算机和非涉密计算机之间交叉使用移动存储介质；</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7.2.7不以任何方式泄露所接触和知悉的甲方数据及国家秘密；</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7.2.8未经甲方审查批准，不擅自发表涉及未公开工作内容的文章、著述。违反上述承诺，自愿承担相关责任和处罚。</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7.2.9如有必要，甲方有权要求乙方返还或销毁（返还、销毁均指不能做任何形式的保存）相关资料。</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8、 合同终止</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8.1 任何一方提前解除本合同的，需提前30天书面通知另一方，本合同另有规定的除外。</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8.2如甲方因自身原因提前解除本合同的，应依据约定的标准先付清乙方已提供服务的费用。</w:t>
      </w:r>
    </w:p>
    <w:p>
      <w:pPr>
        <w:shd w:val="clear" w:color="auto" w:fill="auto"/>
        <w:spacing w:line="420" w:lineRule="exact"/>
        <w:ind w:firstLine="426" w:firstLineChars="200"/>
        <w:rPr>
          <w:rFonts w:hint="eastAsia" w:ascii="宋体" w:cs="宋体"/>
          <w:color w:val="auto"/>
          <w:szCs w:val="21"/>
          <w:highlight w:val="none"/>
        </w:rPr>
      </w:pPr>
      <w:r>
        <w:rPr>
          <w:rFonts w:hint="eastAsia" w:ascii="宋体" w:hAnsi="宋体" w:eastAsia="宋体" w:cs="Times New Roman"/>
          <w:bCs/>
          <w:color w:val="auto"/>
          <w:szCs w:val="21"/>
          <w:highlight w:val="none"/>
          <w:lang w:val="en-US" w:eastAsia="zh-CN"/>
        </w:rPr>
        <w:t>8.3如因乙方原因提前解除本合同的，则甲方无需支付解除合同之后的未提供服务的费用。</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26" w:firstLineChars="200"/>
        <w:jc w:val="left"/>
        <w:textAlignment w:val="auto"/>
        <w:rPr>
          <w:rFonts w:hint="eastAsia" w:ascii="宋体" w:cs="宋体"/>
          <w:color w:val="auto"/>
          <w:szCs w:val="21"/>
          <w:highlight w:val="none"/>
          <w:lang w:val="en-US" w:eastAsia="zh-CN"/>
        </w:rPr>
      </w:pPr>
      <w:r>
        <w:rPr>
          <w:rFonts w:hint="eastAsia" w:ascii="宋体" w:cs="宋体"/>
          <w:color w:val="auto"/>
          <w:szCs w:val="21"/>
          <w:highlight w:val="none"/>
          <w:lang w:val="en-US" w:eastAsia="zh-CN"/>
        </w:rPr>
        <w:t>9、合同生效及其它</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9.1 在本合同履行中,若发生争议,双方应本着友好协商的原则先协商解决，协商不成的，任意一方均可向甲方所在地有管辖权的人民法院提起诉讼解决。</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9.2 本合同自双方法定代表人或授权代表人签字并加盖公章或合同章后生效。本合同一式肆份，甲乙双方各执贰份，具有同等法律效力。</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9.3 本合同未尽事宜，经双方协商后签订补充协议说明（具有同等法律效益）。</w:t>
      </w:r>
    </w:p>
    <w:p>
      <w:pPr>
        <w:pStyle w:val="21"/>
        <w:shd w:val="clear" w:color="auto" w:fill="auto"/>
        <w:spacing w:after="0" w:line="420" w:lineRule="exact"/>
        <w:ind w:left="0" w:leftChars="0" w:firstLine="486"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lang w:eastAsia="zh-CN"/>
        </w:rPr>
        <w:t>甲</w:t>
      </w:r>
      <w:r>
        <w:rPr>
          <w:rFonts w:hint="eastAsia" w:ascii="宋体" w:cs="宋体"/>
          <w:color w:val="auto"/>
          <w:kern w:val="0"/>
          <w:szCs w:val="21"/>
          <w:highlight w:val="none"/>
          <w:u w:val="none" w:color="000000"/>
        </w:rPr>
        <w:t xml:space="preserve">  方：                          </w:t>
      </w:r>
      <w:r>
        <w:rPr>
          <w:rFonts w:hint="eastAsia" w:ascii="宋体" w:cs="宋体"/>
          <w:color w:val="auto"/>
          <w:kern w:val="0"/>
          <w:szCs w:val="21"/>
          <w:highlight w:val="none"/>
          <w:u w:val="none" w:color="000000"/>
          <w:lang w:eastAsia="zh-CN"/>
        </w:rPr>
        <w:t>乙</w:t>
      </w:r>
      <w:r>
        <w:rPr>
          <w:rFonts w:hint="eastAsia" w:ascii="宋体" w:cs="宋体"/>
          <w:color w:val="auto"/>
          <w:kern w:val="0"/>
          <w:szCs w:val="21"/>
          <w:highlight w:val="none"/>
          <w:u w:val="none" w:color="000000"/>
        </w:rPr>
        <w:t xml:space="preserve">  方：</w:t>
      </w:r>
    </w:p>
    <w:p>
      <w:pPr>
        <w:pStyle w:val="21"/>
        <w:shd w:val="clear" w:color="auto" w:fill="auto"/>
        <w:spacing w:after="0" w:line="420" w:lineRule="exact"/>
        <w:ind w:left="0" w:leftChars="0" w:firstLine="486"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名  称：（盖章）                  名  称：（盖章）</w:t>
      </w:r>
    </w:p>
    <w:p>
      <w:pPr>
        <w:pStyle w:val="21"/>
        <w:shd w:val="clear" w:color="auto" w:fill="auto"/>
        <w:spacing w:after="0" w:line="420" w:lineRule="exact"/>
        <w:ind w:left="0" w:leftChars="0" w:firstLine="486"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法定代表人（或委托代理人）：      法定代表人（或委托代理人）：</w:t>
      </w:r>
    </w:p>
    <w:p>
      <w:pPr>
        <w:pStyle w:val="21"/>
        <w:shd w:val="clear" w:color="auto" w:fill="auto"/>
        <w:spacing w:after="0" w:line="420" w:lineRule="exact"/>
        <w:ind w:left="0" w:leftChars="0" w:firstLine="486"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（签字）                        （签字）</w:t>
      </w:r>
    </w:p>
    <w:p>
      <w:pPr>
        <w:pStyle w:val="21"/>
        <w:shd w:val="clear" w:color="auto" w:fill="auto"/>
        <w:spacing w:after="0" w:line="420" w:lineRule="exact"/>
        <w:ind w:left="0" w:leftChars="0" w:firstLine="486"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地    址：                        地    址：</w:t>
      </w:r>
    </w:p>
    <w:p>
      <w:pPr>
        <w:pStyle w:val="21"/>
        <w:shd w:val="clear" w:color="auto" w:fill="auto"/>
        <w:spacing w:after="0" w:line="420" w:lineRule="exact"/>
        <w:ind w:left="0" w:leftChars="0" w:firstLine="486"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邮政编码：                        邮政编码：</w:t>
      </w:r>
    </w:p>
    <w:p>
      <w:pPr>
        <w:pStyle w:val="21"/>
        <w:shd w:val="clear" w:color="auto" w:fill="auto"/>
        <w:spacing w:after="0" w:line="420" w:lineRule="exact"/>
        <w:ind w:left="0" w:leftChars="0" w:firstLine="486"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电    话：                        电    话：</w:t>
      </w:r>
    </w:p>
    <w:p>
      <w:pPr>
        <w:pStyle w:val="21"/>
        <w:shd w:val="clear" w:color="auto" w:fill="auto"/>
        <w:spacing w:after="0" w:line="420" w:lineRule="exact"/>
        <w:ind w:left="0" w:leftChars="0" w:firstLine="486"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开户银行：                        开户银行：</w:t>
      </w:r>
    </w:p>
    <w:p>
      <w:pPr>
        <w:pStyle w:val="21"/>
        <w:shd w:val="clear" w:color="auto" w:fill="auto"/>
        <w:spacing w:after="0" w:line="420" w:lineRule="exact"/>
        <w:ind w:left="0" w:leftChars="0" w:firstLine="486"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帐    号：                        帐    号：</w:t>
      </w:r>
    </w:p>
    <w:p>
      <w:pPr>
        <w:shd w:val="clear" w:color="auto" w:fill="auto"/>
        <w:spacing w:line="600" w:lineRule="exact"/>
        <w:jc w:val="center"/>
        <w:outlineLvl w:val="1"/>
        <w:rPr>
          <w:rFonts w:hint="eastAsia" w:ascii="黑体" w:eastAsia="黑体"/>
          <w:b/>
          <w:color w:val="auto"/>
          <w:sz w:val="30"/>
          <w:szCs w:val="30"/>
          <w:highlight w:val="none"/>
        </w:rPr>
      </w:pPr>
      <w:r>
        <w:rPr>
          <w:rFonts w:hint="eastAsia" w:ascii="黑体" w:eastAsia="黑体"/>
          <w:b/>
          <w:color w:val="auto"/>
          <w:sz w:val="30"/>
          <w:szCs w:val="30"/>
          <w:highlight w:val="none"/>
        </w:rPr>
        <w:br w:type="page"/>
      </w:r>
      <w:bookmarkStart w:id="113" w:name="_Toc16530"/>
      <w:r>
        <w:rPr>
          <w:rFonts w:hint="eastAsia" w:ascii="黑体" w:eastAsia="黑体"/>
          <w:b/>
          <w:color w:val="auto"/>
          <w:sz w:val="30"/>
          <w:szCs w:val="30"/>
          <w:highlight w:val="none"/>
        </w:rPr>
        <w:t>二  合同条款</w:t>
      </w:r>
      <w:bookmarkEnd w:id="105"/>
      <w:bookmarkEnd w:id="106"/>
      <w:bookmarkEnd w:id="107"/>
      <w:bookmarkEnd w:id="108"/>
      <w:bookmarkEnd w:id="109"/>
      <w:bookmarkEnd w:id="110"/>
      <w:bookmarkEnd w:id="111"/>
      <w:bookmarkEnd w:id="112"/>
      <w:bookmarkEnd w:id="113"/>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一. 合同文件</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1、合同文件适用法律</w:t>
      </w:r>
    </w:p>
    <w:p>
      <w:pPr>
        <w:shd w:val="clear" w:color="auto" w:fill="auto"/>
        <w:spacing w:line="440" w:lineRule="exact"/>
        <w:ind w:firstLine="639" w:firstLineChars="300"/>
        <w:rPr>
          <w:rFonts w:hint="eastAsia" w:ascii="宋体" w:cs="宋体"/>
          <w:color w:val="auto"/>
          <w:szCs w:val="21"/>
          <w:highlight w:val="none"/>
        </w:rPr>
      </w:pPr>
      <w:r>
        <w:rPr>
          <w:rFonts w:hint="eastAsia" w:ascii="宋体" w:cs="宋体"/>
          <w:color w:val="auto"/>
          <w:szCs w:val="21"/>
          <w:highlight w:val="none"/>
        </w:rPr>
        <w:t>适用于合同文件的法律是中华人民共和国现行法律、法规及招标人所在地的地方性法规。</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2、合同文件组成和解释顺序</w:t>
      </w:r>
    </w:p>
    <w:p>
      <w:pPr>
        <w:shd w:val="clear" w:color="auto" w:fill="auto"/>
        <w:spacing w:line="440" w:lineRule="exact"/>
        <w:ind w:firstLine="532" w:firstLineChars="250"/>
        <w:rPr>
          <w:rFonts w:hint="eastAsia" w:ascii="宋体" w:cs="宋体"/>
          <w:color w:val="auto"/>
          <w:szCs w:val="21"/>
          <w:highlight w:val="none"/>
        </w:rPr>
      </w:pPr>
      <w:r>
        <w:rPr>
          <w:rFonts w:hint="eastAsia" w:ascii="宋体" w:cs="宋体"/>
          <w:color w:val="auto"/>
          <w:szCs w:val="21"/>
          <w:highlight w:val="none"/>
          <w:lang w:val="en-US" w:eastAsia="zh-CN"/>
        </w:rPr>
        <w:t xml:space="preserve"> </w:t>
      </w:r>
      <w:r>
        <w:rPr>
          <w:rFonts w:hint="eastAsia" w:ascii="宋体" w:cs="宋体"/>
          <w:color w:val="auto"/>
          <w:szCs w:val="21"/>
          <w:highlight w:val="none"/>
        </w:rPr>
        <w:t>合同文件的组成和解释顺序如下：</w:t>
      </w:r>
    </w:p>
    <w:p>
      <w:pPr>
        <w:shd w:val="clear" w:color="auto" w:fill="auto"/>
        <w:spacing w:line="440" w:lineRule="exact"/>
        <w:ind w:firstLine="532" w:firstLineChars="250"/>
        <w:rPr>
          <w:rFonts w:hint="eastAsia" w:ascii="宋体" w:cs="宋体"/>
          <w:color w:val="auto"/>
          <w:szCs w:val="21"/>
          <w:highlight w:val="none"/>
        </w:rPr>
      </w:pPr>
      <w:r>
        <w:rPr>
          <w:rFonts w:hint="eastAsia" w:ascii="宋体" w:cs="宋体"/>
          <w:color w:val="auto"/>
          <w:szCs w:val="21"/>
          <w:highlight w:val="none"/>
        </w:rPr>
        <w:t>&lt;1&gt;合同的主要条款；</w:t>
      </w:r>
    </w:p>
    <w:p>
      <w:pPr>
        <w:shd w:val="clear" w:color="auto" w:fill="auto"/>
        <w:spacing w:line="440" w:lineRule="exact"/>
        <w:ind w:firstLine="532" w:firstLineChars="250"/>
        <w:rPr>
          <w:rFonts w:hint="eastAsia" w:ascii="宋体" w:cs="宋体"/>
          <w:color w:val="auto"/>
          <w:szCs w:val="21"/>
          <w:highlight w:val="none"/>
        </w:rPr>
      </w:pPr>
      <w:r>
        <w:rPr>
          <w:rFonts w:hint="eastAsia" w:ascii="宋体" w:cs="宋体"/>
          <w:color w:val="auto"/>
          <w:szCs w:val="21"/>
          <w:highlight w:val="none"/>
        </w:rPr>
        <w:t>&lt;2&gt;合同的一般性条款；</w:t>
      </w:r>
    </w:p>
    <w:p>
      <w:pPr>
        <w:shd w:val="clear" w:color="auto" w:fill="auto"/>
        <w:spacing w:line="440" w:lineRule="exact"/>
        <w:ind w:firstLine="532" w:firstLineChars="250"/>
        <w:rPr>
          <w:rFonts w:hint="eastAsia" w:ascii="宋体" w:cs="宋体"/>
          <w:color w:val="auto"/>
          <w:szCs w:val="21"/>
          <w:highlight w:val="none"/>
        </w:rPr>
      </w:pPr>
      <w:r>
        <w:rPr>
          <w:rFonts w:hint="eastAsia" w:ascii="宋体" w:cs="宋体"/>
          <w:color w:val="auto"/>
          <w:szCs w:val="21"/>
          <w:highlight w:val="none"/>
        </w:rPr>
        <w:t>&lt;3&gt;洽商、变更等明确双方权利义务的纪要、协议；</w:t>
      </w:r>
    </w:p>
    <w:p>
      <w:pPr>
        <w:shd w:val="clear" w:color="auto" w:fill="auto"/>
        <w:spacing w:line="440" w:lineRule="exact"/>
        <w:ind w:firstLine="532" w:firstLineChars="250"/>
        <w:rPr>
          <w:rFonts w:hint="eastAsia" w:ascii="宋体" w:cs="宋体"/>
          <w:color w:val="auto"/>
          <w:szCs w:val="21"/>
          <w:highlight w:val="none"/>
        </w:rPr>
      </w:pPr>
      <w:r>
        <w:rPr>
          <w:rFonts w:hint="eastAsia" w:ascii="宋体" w:cs="宋体"/>
          <w:color w:val="auto"/>
          <w:szCs w:val="21"/>
          <w:highlight w:val="none"/>
        </w:rPr>
        <w:t>&lt;4&gt;中标通知书、投标文件和</w:t>
      </w:r>
      <w:r>
        <w:rPr>
          <w:rFonts w:hint="eastAsia" w:ascii="宋体" w:cs="宋体"/>
          <w:color w:val="auto"/>
          <w:szCs w:val="21"/>
          <w:highlight w:val="none"/>
          <w:lang w:eastAsia="zh-CN"/>
        </w:rPr>
        <w:t>采购文件</w:t>
      </w:r>
      <w:r>
        <w:rPr>
          <w:rFonts w:hint="eastAsia" w:ascii="宋体" w:cs="宋体"/>
          <w:color w:val="auto"/>
          <w:szCs w:val="21"/>
          <w:highlight w:val="none"/>
        </w:rPr>
        <w:t>；</w:t>
      </w:r>
    </w:p>
    <w:p>
      <w:pPr>
        <w:shd w:val="clear" w:color="auto" w:fill="auto"/>
        <w:spacing w:line="440" w:lineRule="exact"/>
        <w:ind w:firstLine="532" w:firstLineChars="250"/>
        <w:rPr>
          <w:rFonts w:hint="eastAsia" w:ascii="宋体" w:cs="宋体"/>
          <w:color w:val="auto"/>
          <w:szCs w:val="21"/>
          <w:highlight w:val="none"/>
        </w:rPr>
      </w:pPr>
      <w:r>
        <w:rPr>
          <w:rFonts w:hint="eastAsia" w:ascii="宋体" w:cs="宋体"/>
          <w:color w:val="auto"/>
          <w:szCs w:val="21"/>
          <w:highlight w:val="none"/>
        </w:rPr>
        <w:t>&lt;5&gt;有关图纸、标准、规范和其它有关技术资料、技术要求。</w:t>
      </w:r>
    </w:p>
    <w:p>
      <w:pPr>
        <w:shd w:val="clear" w:color="auto" w:fill="auto"/>
        <w:spacing w:line="440" w:lineRule="exact"/>
        <w:ind w:firstLine="532" w:firstLineChars="250"/>
        <w:rPr>
          <w:rFonts w:hint="eastAsia" w:ascii="宋体" w:cs="宋体"/>
          <w:color w:val="auto"/>
          <w:szCs w:val="21"/>
          <w:highlight w:val="none"/>
        </w:rPr>
      </w:pPr>
      <w:r>
        <w:rPr>
          <w:rFonts w:hint="eastAsia" w:ascii="宋体" w:cs="宋体"/>
          <w:color w:val="auto"/>
          <w:szCs w:val="21"/>
          <w:highlight w:val="none"/>
        </w:rPr>
        <w:t>&lt;6&gt;合同的主要条款的效力优于合同的一般性条款的效力。</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3、合同文件使用文字</w:t>
      </w:r>
    </w:p>
    <w:p>
      <w:pPr>
        <w:pStyle w:val="14"/>
        <w:shd w:val="clear" w:color="auto" w:fill="auto"/>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(1)合同文件使用中文书写、解释和说明。</w:t>
      </w:r>
    </w:p>
    <w:p>
      <w:pPr>
        <w:pStyle w:val="14"/>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 xml:space="preserve">(2)合同文件使用技术性条款约定的为国家标准和规范；国家没有相应标准、规范时，可使用行业标准、规范。非标货物应按约定的技术性条款的标准和规范。 </w:t>
      </w: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二. 标的物的一般条款</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4、完整物权</w:t>
      </w:r>
    </w:p>
    <w:p>
      <w:pPr>
        <w:shd w:val="clear" w:color="auto" w:fill="auto"/>
        <w:tabs>
          <w:tab w:val="left" w:pos="660"/>
        </w:tabs>
        <w:spacing w:line="440" w:lineRule="exact"/>
        <w:rPr>
          <w:rFonts w:hint="eastAsia" w:ascii="宋体" w:cs="宋体"/>
          <w:color w:val="auto"/>
          <w:szCs w:val="21"/>
          <w:highlight w:val="none"/>
        </w:rPr>
      </w:pPr>
      <w:r>
        <w:rPr>
          <w:rFonts w:hint="eastAsia" w:ascii="宋体" w:cs="宋体"/>
          <w:color w:val="auto"/>
          <w:szCs w:val="21"/>
          <w:highlight w:val="none"/>
        </w:rPr>
        <w:t xml:space="preserve"> </w:t>
      </w:r>
      <w:r>
        <w:rPr>
          <w:rFonts w:hint="eastAsia" w:ascii="宋体" w:cs="宋体"/>
          <w:color w:val="auto"/>
          <w:szCs w:val="21"/>
          <w:highlight w:val="none"/>
        </w:rPr>
        <w:tab/>
      </w:r>
      <w:r>
        <w:rPr>
          <w:rFonts w:hint="eastAsia" w:ascii="宋体" w:cs="宋体"/>
          <w:color w:val="auto"/>
          <w:szCs w:val="21"/>
          <w:highlight w:val="none"/>
        </w:rPr>
        <w:t>对于出卖的标的物，卖方应当拥有完整物权，并且卖方负有保证第三人不得向买方主张任何权利（包括知识产权）的义务。</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5、质量保证</w:t>
      </w:r>
    </w:p>
    <w:p>
      <w:pPr>
        <w:pStyle w:val="14"/>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卖方应保证所供标的物是全新的，未使用过的，并且是非长期积压的库存商品，完全符合合同规定的质量、规格和性能的要求，卖方应保证其提供的标的物在正确安装，正常使用和保养条件下，在其标称的使用寿命期内应具有满意的性能。在卖方承诺的质量保证期限内，卖方应对由于设计、工艺或材料的缺陷及伴随服务而造成的任何不足或故障负责。</w:t>
      </w:r>
    </w:p>
    <w:p>
      <w:pPr>
        <w:pStyle w:val="14"/>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根据买方按检验标准自己检验的结果或当地技监部门的检验结果，或者在质量保证期内，如果标的物的数量、质量或规格与合同不符或证实标的物是有缺陷的，包括潜在缺陷或使用不符合要求的材料等，买方应尽快以书面形式通知卖方并提出索赔。</w:t>
      </w:r>
    </w:p>
    <w:p>
      <w:pPr>
        <w:pStyle w:val="14"/>
        <w:shd w:val="clear" w:color="auto" w:fill="auto"/>
        <w:tabs>
          <w:tab w:val="left" w:pos="900"/>
        </w:tabs>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(3)除合同主要条款规定外，合同条款中标的物的质量保证期均自标的物通过最终验收之日起计算，且质量保证期按不低于国家标准和卖方承诺的高于国家标准的质保期（卖方有特殊要求的除外）。</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6、包装</w:t>
      </w:r>
    </w:p>
    <w:p>
      <w:pPr>
        <w:pStyle w:val="14"/>
        <w:shd w:val="clear" w:color="auto" w:fill="auto"/>
        <w:tabs>
          <w:tab w:val="left" w:pos="900"/>
        </w:tabs>
        <w:spacing w:line="440" w:lineRule="exact"/>
        <w:ind w:firstLine="478" w:firstLineChars="225"/>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卖方应当按照约定的包装方式交付标的物。对包装方式没有约定或者约定不明确的，应当按照双方补充协议约定的方式包装，或者按照通用的方式包装，没有通用方式的，应当采取足以保护标的物的包装方式。</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7、伴随服务</w:t>
      </w:r>
    </w:p>
    <w:p>
      <w:pPr>
        <w:pStyle w:val="14"/>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(1)卖方除应履行按期按量交付合格标的物的义务之外，还应提供下列服务：</w:t>
      </w:r>
    </w:p>
    <w:p>
      <w:pPr>
        <w:pStyle w:val="14"/>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&lt;1&gt;标的物的现场安装或指导安装、启动、调试、监督（如果必须安装、调试的话）；</w:t>
      </w:r>
    </w:p>
    <w:p>
      <w:pPr>
        <w:pStyle w:val="14"/>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&lt;2&gt;提供标的物组装和一般维修所必须的工具；</w:t>
      </w:r>
    </w:p>
    <w:p>
      <w:pPr>
        <w:pStyle w:val="14"/>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&lt;3&gt;在合同规定的期限内对所提供标的物实行运行监督、维修服务的前提条件是该服务并不能免除卖方在质量保证期内所承担的义务；</w:t>
      </w:r>
    </w:p>
    <w:p>
      <w:pPr>
        <w:pStyle w:val="14"/>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&lt;4&gt;对买方技术人员的技术指导或培训。</w:t>
      </w:r>
    </w:p>
    <w:p>
      <w:pPr>
        <w:pStyle w:val="14"/>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(2)除合同另有规定之外，伴随服务的费用均已含在合同价款中，买方不再另行进行支付。</w:t>
      </w: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三. 标的物的交付、检验和验收</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8、标的物的交付</w:t>
      </w:r>
    </w:p>
    <w:p>
      <w:pPr>
        <w:pStyle w:val="14"/>
        <w:shd w:val="clear" w:color="auto" w:fill="auto"/>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(1)标的物的所有权自标的物交付时转移。</w:t>
      </w:r>
    </w:p>
    <w:p>
      <w:pPr>
        <w:pStyle w:val="14"/>
        <w:shd w:val="clear" w:color="auto" w:fill="auto"/>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(2)卖方应当按照约定的期限和约定的地点交付符合</w:t>
      </w:r>
      <w:r>
        <w:rPr>
          <w:rFonts w:hint="eastAsia" w:ascii="宋体" w:cs="宋体"/>
          <w:color w:val="auto"/>
          <w:sz w:val="21"/>
          <w:szCs w:val="21"/>
          <w:highlight w:val="none"/>
          <w:u w:val="none" w:color="000000"/>
          <w:lang w:eastAsia="zh-CN"/>
        </w:rPr>
        <w:t>采购文件</w:t>
      </w:r>
      <w:r>
        <w:rPr>
          <w:rFonts w:hint="eastAsia" w:ascii="宋体" w:cs="宋体"/>
          <w:color w:val="auto"/>
          <w:sz w:val="21"/>
          <w:szCs w:val="21"/>
          <w:highlight w:val="none"/>
          <w:u w:val="none" w:color="000000"/>
        </w:rPr>
        <w:t>要求的标的物。</w:t>
      </w:r>
    </w:p>
    <w:p>
      <w:pPr>
        <w:pStyle w:val="14"/>
        <w:shd w:val="clear" w:color="auto" w:fill="auto"/>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(3)卖方应当按照约定或者交易习惯向招标人交付提取标的物单证以外的有关单证和资料。</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9、检验和验收</w:t>
      </w:r>
    </w:p>
    <w:p>
      <w:pPr>
        <w:pStyle w:val="14"/>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在交货时，卖方应配合买方对标的物的质量、规格、性能、数量等进行详细而全面的检验，并出具一份合格检验证明，合格检验证明作为验收的依据，但不能作为有关标的物质量、规格、数量或性能的最终检验结果。</w:t>
      </w:r>
    </w:p>
    <w:p>
      <w:pPr>
        <w:pStyle w:val="14"/>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(2)买方根据合同规定的内容和验收标准进行验收，经检验无误后出具验收合格证明，该证明作为最终付款所需文件的组成部分。</w:t>
      </w:r>
    </w:p>
    <w:p>
      <w:pPr>
        <w:pStyle w:val="14"/>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(3)验收期限自标的物交付之日起三十天内。特殊情况需延长的，双方应在合同条款中约定。</w:t>
      </w: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四. 对标的物提出异议的时间和办法</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 xml:space="preserve">10、对标的物提出异议的时间和办法 </w:t>
      </w:r>
    </w:p>
    <w:p>
      <w:pPr>
        <w:pStyle w:val="14"/>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(1)买方在验收过程中，应当于双方约定的检验期间内将标的物的数量或质量不符合约定的情形及处理方式以书面形式通知卖方。</w:t>
      </w:r>
    </w:p>
    <w:p>
      <w:pPr>
        <w:pStyle w:val="14"/>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(2)如买方在验收期满后既不出具验收合格证明又未提出书面异议的视为卖方所交标的物符合合同规定。</w:t>
      </w:r>
    </w:p>
    <w:p>
      <w:pPr>
        <w:pStyle w:val="14"/>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(3)卖方应在收到买方书面异议后七天内负责处理问题，否则将视为默认买方提出的异议和处理意见。</w:t>
      </w: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五. 合同价款和支付</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11、合同价款和支付</w:t>
      </w:r>
    </w:p>
    <w:p>
      <w:pPr>
        <w:pStyle w:val="14"/>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(1)本合同的结算货币为人民币，单位元。</w:t>
      </w:r>
    </w:p>
    <w:p>
      <w:pPr>
        <w:pStyle w:val="14"/>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(2)卖方应按照双方签订的合同规定交货并在合同主要条款规定的期限内持下列单据结算货款：</w:t>
      </w:r>
    </w:p>
    <w:p>
      <w:pPr>
        <w:pStyle w:val="14"/>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&lt;1&gt;合格的销售发票；</w:t>
      </w:r>
    </w:p>
    <w:p>
      <w:pPr>
        <w:pStyle w:val="14"/>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&lt;2&gt;买方盖章签收后的送货回单和验收合格证明。</w:t>
      </w:r>
    </w:p>
    <w:p>
      <w:pPr>
        <w:pStyle w:val="14"/>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(3)买方应按合同主要条款规定的期限和方式付款。</w:t>
      </w:r>
    </w:p>
    <w:p>
      <w:pPr>
        <w:pStyle w:val="14"/>
        <w:shd w:val="clear" w:color="auto" w:fill="auto"/>
        <w:tabs>
          <w:tab w:val="left" w:pos="540"/>
        </w:tabs>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(4)根据现行税法对买方征收的与本合同有关的一切税费均由买方承担；根据现行税法对卖方征收的与本合同有关的一切税费均由卖方承担。</w:t>
      </w: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六. 违约责任</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12、违约责任</w:t>
      </w:r>
    </w:p>
    <w:p>
      <w:pPr>
        <w:pStyle w:val="14"/>
        <w:shd w:val="clear" w:color="auto" w:fill="auto"/>
        <w:spacing w:line="440" w:lineRule="exact"/>
        <w:ind w:firstLine="478" w:firstLineChars="225"/>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合同一方不履行合同义务或者履行合同义务不符合约定的，应当承担继续履行、采取补救措施或者赔偿损失等违约责任。</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13、买方违约责任</w:t>
      </w:r>
    </w:p>
    <w:p>
      <w:pPr>
        <w:pStyle w:val="14"/>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(1)在合同生效后，买方要求退货的，应向卖方偿付合同总价款的5%，作为违约金，违约金不足以补偿损失的，卖方有权要求甲方补足。</w:t>
      </w:r>
    </w:p>
    <w:p>
      <w:pPr>
        <w:pStyle w:val="14"/>
        <w:shd w:val="clear" w:color="auto" w:fill="auto"/>
        <w:overflowPunct w:val="0"/>
        <w:spacing w:line="440" w:lineRule="exact"/>
        <w:ind w:right="-338" w:rightChars="-159"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(2)买方逾期付款的应按照逾期付款金额的每天万分之四支付逾期付款违约金。</w:t>
      </w:r>
    </w:p>
    <w:p>
      <w:pPr>
        <w:pStyle w:val="14"/>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(3)买方违反合同规定，拒绝接收卖方交付的符合</w:t>
      </w:r>
      <w:r>
        <w:rPr>
          <w:rFonts w:hint="eastAsia" w:ascii="宋体" w:cs="宋体"/>
          <w:color w:val="auto"/>
          <w:sz w:val="21"/>
          <w:szCs w:val="21"/>
          <w:highlight w:val="none"/>
          <w:u w:val="none" w:color="000000"/>
          <w:lang w:eastAsia="zh-CN"/>
        </w:rPr>
        <w:t>采购文件</w:t>
      </w:r>
      <w:r>
        <w:rPr>
          <w:rFonts w:hint="eastAsia" w:ascii="宋体" w:cs="宋体"/>
          <w:color w:val="auto"/>
          <w:sz w:val="21"/>
          <w:szCs w:val="21"/>
          <w:highlight w:val="none"/>
          <w:u w:val="none" w:color="000000"/>
        </w:rPr>
        <w:t>要求的合格标的物，应当承担卖方由此造成的损失。</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14、卖方违约责任</w:t>
      </w:r>
    </w:p>
    <w:p>
      <w:pPr>
        <w:pStyle w:val="14"/>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(1)卖方不能交货（逾期超过五天视为不能交货），或交货不合格从而影响买方按期正常使用的，应向买方偿付合同总价款5%的违约金，违约金不足以补偿损失的，买方有权要求卖方补足。</w:t>
      </w:r>
    </w:p>
    <w:p>
      <w:pPr>
        <w:pStyle w:val="14"/>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(2)卖方逾期交货的，应在发货前与买方和政府采购管理部门协商，买方仍需求的，卖方应立即发货并应按照逾期交货部分货款的每天万分之四支付逾期交货违约金，同时承担买方因此遭致的损失费用。</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15、不可抗力</w:t>
      </w:r>
    </w:p>
    <w:p>
      <w:pPr>
        <w:pStyle w:val="14"/>
        <w:shd w:val="clear" w:color="auto" w:fill="auto"/>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(1)因水灾、火灾、地震、战争等不可抗力不能履行合同的，根据不可抗力的影响，部分或者全部免除责任。但合同一方迟延履行后发生不可抗力的，不能免除责任。</w:t>
      </w:r>
    </w:p>
    <w:p>
      <w:pPr>
        <w:pStyle w:val="14"/>
        <w:shd w:val="clear" w:color="auto" w:fill="auto"/>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(2)合同一方因不可抗力不能履行合同的，应当及时通知对方，以减轻可能给对方造成的损失，并应当在合理期限内提供证明。</w:t>
      </w: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七. 索赔</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16、索赔</w:t>
      </w:r>
    </w:p>
    <w:p>
      <w:pPr>
        <w:pStyle w:val="14"/>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(1)买方有权根据当地产品质量检验机构或其它有权威部门出具的检验证书向卖方提出索赔。</w:t>
      </w:r>
    </w:p>
    <w:p>
      <w:pPr>
        <w:pStyle w:val="14"/>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(2)在本合同规定的检验期和质量保证期内，如果卖方对买方提出的索赔或差异有责任，则卖方应按买方同意的下列一种或多种方式解决索赔事宜：</w:t>
      </w:r>
    </w:p>
    <w:p>
      <w:pPr>
        <w:pStyle w:val="14"/>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&lt;1&gt;卖方同意退货，并按合同规定的货币将货款退还给买方，并承担由此发生的一切损失和费用，包括利息、银行手续费、运费、保险费、检验费、仓储费、装卸费以及为保护退回标的物所需的其它必要费用；</w:t>
      </w:r>
    </w:p>
    <w:p>
      <w:pPr>
        <w:pStyle w:val="14"/>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&lt;2&gt;根据标的物的低劣程度、损坏程度以及甲方遭受损失的数额，经双方协商确定降低标的物的价格；</w:t>
      </w:r>
    </w:p>
    <w:p>
      <w:pPr>
        <w:pStyle w:val="14"/>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3&gt;用符合规格、质量和性能要求的新零件、部件或标的物来更换有缺陷的部分或修补缺陷部分，卖方应承担一切费用和风险并负担买方所发生的一切直接费用。同时，卖方应按合同规定，相应延长修补或被更换部件或标的物的质量保证期。</w:t>
      </w:r>
    </w:p>
    <w:p>
      <w:pPr>
        <w:pStyle w:val="14"/>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如果在买方发出索赔通知后七天内，卖方未能答复，上述索赔应视为已被卖方接受。若卖方未在买方提出索赔通知后七天内或买方同意的更长时间内，按照合同规定的任何一种方法解决索赔事宜，买方将从未付款或卖方开具的履约保证金中扣回索赔金额，如果这些金额不足以补偿索赔金额，买方有权向卖方提出对不足部分的补偿。</w:t>
      </w:r>
    </w:p>
    <w:p>
      <w:pPr>
        <w:pStyle w:val="14"/>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(4)买方提出索赔的书面材料应报当地政府采购管理部门备案。卖方同意的索赔方案应报当地政府采购管理部门审核。</w:t>
      </w: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八. 履约保证金</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17、履约保证金</w:t>
      </w:r>
    </w:p>
    <w:p>
      <w:pPr>
        <w:pStyle w:val="14"/>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(1)卖方应在本合同签订时，按</w:t>
      </w:r>
      <w:r>
        <w:rPr>
          <w:rFonts w:hint="eastAsia" w:ascii="宋体" w:cs="宋体"/>
          <w:color w:val="auto"/>
          <w:sz w:val="21"/>
          <w:szCs w:val="21"/>
          <w:highlight w:val="none"/>
          <w:u w:val="none" w:color="000000"/>
          <w:lang w:eastAsia="zh-CN"/>
        </w:rPr>
        <w:t>采购文件</w:t>
      </w:r>
      <w:r>
        <w:rPr>
          <w:rFonts w:hint="eastAsia" w:ascii="宋体" w:cs="宋体"/>
          <w:color w:val="auto"/>
          <w:sz w:val="21"/>
          <w:szCs w:val="21"/>
          <w:highlight w:val="none"/>
          <w:u w:val="none" w:color="000000"/>
        </w:rPr>
        <w:t>的约定提供相应的履约保证金，保证金的有效期应不低于合同有效期。</w:t>
      </w:r>
    </w:p>
    <w:p>
      <w:pPr>
        <w:pStyle w:val="14"/>
        <w:shd w:val="clear" w:color="auto" w:fill="auto"/>
        <w:overflowPunct w:val="0"/>
        <w:spacing w:line="440" w:lineRule="exact"/>
        <w:ind w:right="-338" w:rightChars="-159"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(2)如果卖方未能履行合同规定的任何义务，买方有权从履约保证金中取得补偿。</w:t>
      </w:r>
    </w:p>
    <w:p>
      <w:pPr>
        <w:pStyle w:val="14"/>
        <w:shd w:val="clear" w:color="auto" w:fill="auto"/>
        <w:overflowPunct w:val="0"/>
        <w:spacing w:line="440" w:lineRule="exact"/>
        <w:ind w:right="-886" w:rightChars="-416"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(3)履约保证金（无息）将在卖方履行完合同义务，买方支付合同价款的五天内</w:t>
      </w:r>
    </w:p>
    <w:p>
      <w:pPr>
        <w:pStyle w:val="14"/>
        <w:shd w:val="clear" w:color="auto" w:fill="auto"/>
        <w:overflowPunct w:val="0"/>
        <w:spacing w:line="440" w:lineRule="exact"/>
        <w:ind w:right="-886" w:rightChars="-416" w:firstLine="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退回。</w:t>
      </w: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九. 合同的解除和转让</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18、合同的解除</w:t>
      </w:r>
    </w:p>
    <w:p>
      <w:pPr>
        <w:pStyle w:val="14"/>
        <w:shd w:val="clear" w:color="auto" w:fill="auto"/>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(1)买方和卖方协商一致，可以解除合同。</w:t>
      </w:r>
    </w:p>
    <w:p>
      <w:pPr>
        <w:pStyle w:val="14"/>
        <w:shd w:val="clear" w:color="auto" w:fill="auto"/>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(2)有下列情形之一，合同一方可以解除合同：</w:t>
      </w:r>
    </w:p>
    <w:p>
      <w:pPr>
        <w:pStyle w:val="14"/>
        <w:shd w:val="clear" w:color="auto" w:fill="auto"/>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&lt;1&gt;因不可抗力致使不能实现合同目的，未受不可抗力影响的一方有权解除合同；</w:t>
      </w:r>
    </w:p>
    <w:p>
      <w:pPr>
        <w:pStyle w:val="14"/>
        <w:shd w:val="clear" w:color="auto" w:fill="auto"/>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&lt;2&gt;因合同一方违约导致合同不能履行，另一方有权解除合同。</w:t>
      </w:r>
    </w:p>
    <w:p>
      <w:pPr>
        <w:pStyle w:val="14"/>
        <w:shd w:val="clear" w:color="auto" w:fill="auto"/>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(3)有权解除合同的一方，应当在违约事实或不可抗力发生之后三十天内书面通知对方以主张解除合同，合同在书面通知到达对方时解除。</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19、合同的转让</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合同的部分和全部都不得转让。</w:t>
      </w: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十. 合同的生效</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20、合同的生效</w:t>
      </w:r>
    </w:p>
    <w:p>
      <w:pPr>
        <w:shd w:val="clear" w:color="auto" w:fill="auto"/>
        <w:spacing w:line="440" w:lineRule="exact"/>
        <w:ind w:firstLine="589" w:firstLineChars="277"/>
        <w:rPr>
          <w:rFonts w:hint="eastAsia" w:ascii="宋体" w:cs="宋体"/>
          <w:color w:val="auto"/>
          <w:szCs w:val="21"/>
          <w:highlight w:val="none"/>
        </w:rPr>
      </w:pPr>
      <w:r>
        <w:rPr>
          <w:rFonts w:hint="eastAsia" w:ascii="宋体" w:cs="宋体"/>
          <w:color w:val="auto"/>
          <w:szCs w:val="21"/>
          <w:highlight w:val="none"/>
        </w:rPr>
        <w:t>本合同在双方签字盖章并在招标人收到中标人提交的履约保证金后，经招标采购管理部门备案后生效。</w:t>
      </w: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十一. 争议解决</w:t>
      </w:r>
    </w:p>
    <w:p>
      <w:pPr>
        <w:shd w:val="clear" w:color="auto" w:fill="auto"/>
        <w:spacing w:line="440" w:lineRule="exact"/>
        <w:ind w:firstLine="213" w:firstLineChars="100"/>
        <w:rPr>
          <w:rFonts w:hint="eastAsia" w:ascii="宋体" w:cs="宋体"/>
          <w:color w:val="auto"/>
          <w:szCs w:val="21"/>
          <w:highlight w:val="none"/>
        </w:rPr>
      </w:pPr>
      <w:r>
        <w:rPr>
          <w:rFonts w:hint="eastAsia" w:ascii="宋体" w:cs="宋体"/>
          <w:color w:val="auto"/>
          <w:szCs w:val="21"/>
          <w:highlight w:val="none"/>
        </w:rPr>
        <w:t>21、争议解决</w:t>
      </w:r>
    </w:p>
    <w:p>
      <w:pPr>
        <w:pStyle w:val="14"/>
        <w:shd w:val="clear" w:color="auto" w:fill="auto"/>
        <w:overflowPunct w:val="0"/>
        <w:spacing w:line="440" w:lineRule="exact"/>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 xml:space="preserve"> 买卖双方因合同发生争议，进行调解，协商不成，可选择：</w:t>
      </w:r>
    </w:p>
    <w:p>
      <w:pPr>
        <w:pStyle w:val="14"/>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(1)双方同时申请仲裁；</w:t>
      </w:r>
    </w:p>
    <w:p>
      <w:pPr>
        <w:pStyle w:val="14"/>
        <w:shd w:val="clear" w:color="auto" w:fill="auto"/>
        <w:tabs>
          <w:tab w:val="left" w:pos="900"/>
        </w:tabs>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(2)向买方所在地人民法院提起诉讼。</w:t>
      </w: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十二 .附则</w:t>
      </w:r>
    </w:p>
    <w:p>
      <w:pPr>
        <w:shd w:val="clear" w:color="auto" w:fill="auto"/>
        <w:spacing w:line="440" w:lineRule="exact"/>
        <w:ind w:firstLine="213" w:firstLineChars="100"/>
        <w:rPr>
          <w:rFonts w:hint="eastAsia" w:ascii="宋体" w:cs="宋体"/>
          <w:color w:val="auto"/>
          <w:szCs w:val="21"/>
          <w:highlight w:val="none"/>
        </w:rPr>
      </w:pPr>
      <w:r>
        <w:rPr>
          <w:rFonts w:hint="eastAsia" w:ascii="宋体" w:cs="宋体"/>
          <w:color w:val="auto"/>
          <w:szCs w:val="21"/>
          <w:highlight w:val="none"/>
        </w:rPr>
        <w:t>22、合同份数。</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本合同一式陆份，买卖双方各执二份，招标代理机构一份，招标采购管理部门一份。</w:t>
      </w:r>
    </w:p>
    <w:p>
      <w:pPr>
        <w:shd w:val="clear" w:color="auto" w:fill="auto"/>
        <w:spacing w:line="440" w:lineRule="exact"/>
        <w:ind w:firstLine="213" w:firstLineChars="100"/>
        <w:rPr>
          <w:rFonts w:hint="eastAsia" w:ascii="宋体" w:cs="宋体"/>
          <w:color w:val="auto"/>
          <w:szCs w:val="21"/>
          <w:highlight w:val="none"/>
        </w:rPr>
      </w:pPr>
      <w:r>
        <w:rPr>
          <w:rFonts w:hint="eastAsia" w:ascii="宋体" w:cs="宋体"/>
          <w:color w:val="auto"/>
          <w:szCs w:val="21"/>
          <w:highlight w:val="none"/>
        </w:rPr>
        <w:t>23、未尽事宜</w:t>
      </w:r>
    </w:p>
    <w:p>
      <w:pPr>
        <w:shd w:val="clear" w:color="auto" w:fill="auto"/>
        <w:spacing w:line="440" w:lineRule="exact"/>
        <w:ind w:firstLine="532" w:firstLineChars="250"/>
        <w:rPr>
          <w:rFonts w:hint="eastAsia" w:ascii="宋体" w:cs="宋体"/>
          <w:color w:val="auto"/>
          <w:szCs w:val="21"/>
          <w:highlight w:val="none"/>
        </w:rPr>
      </w:pPr>
      <w:r>
        <w:rPr>
          <w:rFonts w:hint="eastAsia" w:ascii="宋体" w:cs="宋体"/>
          <w:color w:val="auto"/>
          <w:szCs w:val="21"/>
          <w:highlight w:val="none"/>
        </w:rPr>
        <w:t>本合同未尽事宜应按《中华人民共和国政府采购法》、《中华人民共和国合同法》、《中华人民共和国产品质量法》之规定解释。</w:t>
      </w:r>
    </w:p>
    <w:p>
      <w:pPr>
        <w:shd w:val="clear" w:color="auto" w:fill="auto"/>
        <w:snapToGrid w:val="0"/>
        <w:spacing w:line="400" w:lineRule="exact"/>
        <w:ind w:firstLine="426" w:firstLineChars="200"/>
        <w:rPr>
          <w:rFonts w:hint="eastAsia" w:ascii="宋体" w:hAnsi="宋体" w:cs="宋体"/>
          <w:color w:val="auto"/>
          <w:szCs w:val="21"/>
          <w:highlight w:val="none"/>
        </w:rPr>
      </w:pPr>
    </w:p>
    <w:p>
      <w:pPr>
        <w:rPr>
          <w:rFonts w:hint="eastAsia" w:ascii="宋体" w:hAnsi="宋体" w:cs="宋体"/>
          <w:color w:val="auto"/>
          <w:szCs w:val="21"/>
          <w:highlight w:val="none"/>
        </w:rPr>
      </w:pPr>
      <w:r>
        <w:rPr>
          <w:rFonts w:hint="eastAsia" w:ascii="宋体" w:hAnsi="宋体" w:cs="宋体"/>
          <w:color w:val="auto"/>
          <w:szCs w:val="21"/>
          <w:highlight w:val="none"/>
        </w:rPr>
        <w:br w:type="page"/>
      </w:r>
    </w:p>
    <w:p>
      <w:pPr>
        <w:keepNext w:val="0"/>
        <w:keepLines w:val="0"/>
        <w:pageBreakBefore w:val="0"/>
        <w:widowControl w:val="0"/>
        <w:numPr>
          <w:ilvl w:val="0"/>
          <w:numId w:val="13"/>
        </w:numPr>
        <w:kinsoku/>
        <w:wordWrap/>
        <w:overflowPunct/>
        <w:topLinePunct w:val="0"/>
        <w:autoSpaceDE/>
        <w:autoSpaceDN/>
        <w:bidi w:val="0"/>
        <w:adjustRightInd/>
        <w:snapToGrid/>
        <w:spacing w:line="480" w:lineRule="exact"/>
        <w:jc w:val="center"/>
        <w:textAlignment w:val="auto"/>
        <w:outlineLvl w:val="0"/>
        <w:rPr>
          <w:rFonts w:hint="eastAsia" w:ascii="宋体" w:cs="Times New Roman"/>
          <w:b/>
          <w:color w:val="auto"/>
          <w:sz w:val="30"/>
          <w:szCs w:val="30"/>
          <w:highlight w:val="none"/>
        </w:rPr>
      </w:pPr>
      <w:bookmarkStart w:id="114" w:name="_Toc15366"/>
      <w:r>
        <w:rPr>
          <w:rFonts w:hint="eastAsia" w:ascii="宋体" w:cs="Times New Roman"/>
          <w:b/>
          <w:color w:val="auto"/>
          <w:sz w:val="30"/>
          <w:szCs w:val="30"/>
          <w:highlight w:val="none"/>
        </w:rPr>
        <w:t>投标文件格式</w:t>
      </w:r>
      <w:bookmarkEnd w:id="103"/>
      <w:bookmarkEnd w:id="114"/>
    </w:p>
    <w:p>
      <w:pPr>
        <w:shd w:val="clear" w:color="auto" w:fill="auto"/>
        <w:snapToGrid w:val="0"/>
        <w:spacing w:line="400" w:lineRule="exact"/>
        <w:ind w:firstLine="426" w:firstLineChars="200"/>
        <w:rPr>
          <w:rFonts w:hint="eastAsia" w:ascii="宋体" w:hAnsi="宋体" w:cs="宋体"/>
          <w:color w:val="auto"/>
          <w:szCs w:val="21"/>
          <w:highlight w:val="none"/>
        </w:rPr>
      </w:pPr>
      <w:bookmarkStart w:id="115" w:name="_Toc18694"/>
      <w:bookmarkStart w:id="116" w:name="_Toc8919"/>
      <w:bookmarkStart w:id="117" w:name="_Toc515647803"/>
      <w:bookmarkStart w:id="118" w:name="_Toc18974"/>
      <w:r>
        <w:rPr>
          <w:rFonts w:hint="eastAsia" w:ascii="宋体" w:hAnsi="宋体" w:cs="宋体"/>
          <w:color w:val="auto"/>
          <w:szCs w:val="21"/>
          <w:highlight w:val="none"/>
        </w:rPr>
        <w:t>第一部分 开标一览表及资格证明文件</w:t>
      </w:r>
      <w:bookmarkEnd w:id="115"/>
      <w:bookmarkEnd w:id="116"/>
      <w:bookmarkEnd w:id="117"/>
      <w:bookmarkEnd w:id="118"/>
    </w:p>
    <w:p>
      <w:pPr>
        <w:shd w:val="clear" w:color="auto" w:fill="auto"/>
        <w:snapToGrid w:val="0"/>
        <w:spacing w:line="400" w:lineRule="exact"/>
        <w:ind w:firstLine="426"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（1）开标一览表（见投标文件格式一）;</w:t>
      </w:r>
    </w:p>
    <w:p>
      <w:pPr>
        <w:shd w:val="clear" w:color="auto" w:fill="auto"/>
        <w:snapToGrid w:val="0"/>
        <w:spacing w:line="400" w:lineRule="exact"/>
        <w:ind w:firstLine="426"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（2）法人或者非法人组织的营业执照等证明文件复印件（须加盖本单位章）;</w:t>
      </w:r>
    </w:p>
    <w:p>
      <w:pPr>
        <w:shd w:val="clear" w:color="auto" w:fill="auto"/>
        <w:snapToGrid w:val="0"/>
        <w:spacing w:line="400" w:lineRule="exact"/>
        <w:ind w:firstLine="426"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（3）法定代表人资格证明书（见投标文件格式二）；</w:t>
      </w:r>
    </w:p>
    <w:p>
      <w:pPr>
        <w:shd w:val="clear" w:color="auto" w:fill="auto"/>
        <w:snapToGrid w:val="0"/>
        <w:spacing w:line="400" w:lineRule="exact"/>
        <w:ind w:firstLine="426"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（4）法定代表人授权委托书（见投标文件格式三）；</w:t>
      </w:r>
    </w:p>
    <w:p>
      <w:pPr>
        <w:shd w:val="clear" w:color="auto" w:fill="auto"/>
        <w:snapToGrid w:val="0"/>
        <w:spacing w:line="400" w:lineRule="exact"/>
        <w:ind w:firstLine="426"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（5）具有良好的商业信誉和健全的财务会计制度的证明文件；</w:t>
      </w:r>
    </w:p>
    <w:p>
      <w:pPr>
        <w:shd w:val="clear" w:color="auto" w:fill="auto"/>
        <w:snapToGrid w:val="0"/>
        <w:spacing w:line="400" w:lineRule="exact"/>
        <w:ind w:firstLine="426"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（6）投标保证金缴纳凭证；</w:t>
      </w:r>
    </w:p>
    <w:p>
      <w:pPr>
        <w:shd w:val="clear" w:color="auto" w:fill="auto"/>
        <w:snapToGrid w:val="0"/>
        <w:spacing w:line="400" w:lineRule="exact"/>
        <w:ind w:firstLine="426"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（7）投标企业须提供投标人（被授权在职人员）近6个月的社保证明；</w:t>
      </w:r>
    </w:p>
    <w:p>
      <w:pPr>
        <w:shd w:val="clear" w:color="auto" w:fill="auto"/>
        <w:snapToGrid w:val="0"/>
        <w:spacing w:line="400" w:lineRule="exact"/>
        <w:ind w:firstLine="426"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（8）参加政府采购活动前3年内在经营活动中没有重大违法记录的书面声明;</w:t>
      </w:r>
    </w:p>
    <w:p>
      <w:pPr>
        <w:shd w:val="clear" w:color="auto" w:fill="auto"/>
        <w:snapToGrid w:val="0"/>
        <w:spacing w:line="400" w:lineRule="exact"/>
        <w:ind w:firstLine="426"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（9）投标人须知资料表要求的其他资格证明文件;</w:t>
      </w:r>
    </w:p>
    <w:p>
      <w:pPr>
        <w:shd w:val="clear" w:color="auto" w:fill="auto"/>
        <w:snapToGrid w:val="0"/>
        <w:spacing w:line="400" w:lineRule="exact"/>
        <w:ind w:firstLine="426"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（10）诚信声明；</w:t>
      </w:r>
    </w:p>
    <w:p>
      <w:pPr>
        <w:shd w:val="clear" w:color="auto" w:fill="auto"/>
        <w:snapToGrid w:val="0"/>
        <w:spacing w:line="400" w:lineRule="exact"/>
        <w:ind w:firstLine="426" w:firstLineChars="200"/>
        <w:rPr>
          <w:rFonts w:hint="default" w:ascii="宋体" w:hAnsi="宋体" w:cs="宋体"/>
          <w:color w:val="auto"/>
          <w:szCs w:val="21"/>
          <w:highlight w:val="none"/>
          <w:lang w:val="en-US" w:eastAsia="zh-CN"/>
        </w:rPr>
      </w:pP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宋体" w:hAnsi="宋体" w:eastAsia="宋体" w:cs="宋体"/>
          <w:color w:val="auto"/>
          <w:sz w:val="24"/>
          <w:highlight w:val="none"/>
          <w:lang w:val="en-US" w:eastAsia="zh-CN"/>
        </w:rPr>
      </w:pPr>
    </w:p>
    <w:p>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pPr>
        <w:pStyle w:val="4"/>
        <w:numPr>
          <w:ilvl w:val="0"/>
          <w:numId w:val="0"/>
        </w:numPr>
        <w:shd w:val="clear" w:color="auto" w:fill="auto"/>
        <w:spacing w:before="0" w:line="240" w:lineRule="atLeast"/>
        <w:rPr>
          <w:rFonts w:hint="eastAsia" w:ascii="宋体" w:hAnsi="宋体" w:eastAsia="宋体" w:cs="宋体"/>
          <w:color w:val="auto"/>
          <w:sz w:val="24"/>
          <w:highlight w:val="none"/>
        </w:rPr>
      </w:pPr>
      <w:bookmarkStart w:id="119" w:name="_Toc515647804"/>
      <w:bookmarkStart w:id="120" w:name="_Toc16568"/>
      <w:bookmarkStart w:id="121" w:name="_Toc30524"/>
      <w:bookmarkStart w:id="122" w:name="_Toc19050"/>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开标一览表（投标文件格式一）</w:t>
      </w:r>
      <w:bookmarkEnd w:id="119"/>
      <w:bookmarkEnd w:id="120"/>
      <w:bookmarkEnd w:id="121"/>
      <w:bookmarkEnd w:id="122"/>
    </w:p>
    <w:p>
      <w:pPr>
        <w:pStyle w:val="25"/>
        <w:shd w:val="clear" w:color="auto" w:fill="auto"/>
        <w:tabs>
          <w:tab w:val="left" w:pos="5580"/>
        </w:tabs>
        <w:spacing w:line="240" w:lineRule="atLeast"/>
        <w:ind w:left="272" w:leftChars="128"/>
        <w:rPr>
          <w:rFonts w:hint="eastAsia" w:ascii="宋体" w:hAnsi="宋体" w:eastAsia="宋体" w:cs="宋体"/>
          <w:color w:val="auto"/>
          <w:sz w:val="24"/>
          <w:highlight w:val="none"/>
        </w:rPr>
      </w:pPr>
    </w:p>
    <w:p>
      <w:pPr>
        <w:pStyle w:val="14"/>
        <w:shd w:val="clear" w:color="auto" w:fill="auto"/>
        <w:tabs>
          <w:tab w:val="left" w:pos="5580"/>
        </w:tabs>
        <w:spacing w:line="240" w:lineRule="atLeast"/>
        <w:ind w:firstLine="3364" w:firstLineChars="927"/>
        <w:jc w:val="both"/>
        <w:rPr>
          <w:rFonts w:hint="eastAsia" w:ascii="宋体" w:hAnsi="宋体" w:eastAsia="宋体" w:cs="宋体"/>
          <w:color w:val="auto"/>
          <w:highlight w:val="none"/>
        </w:rPr>
      </w:pPr>
      <w:bookmarkStart w:id="123" w:name="_Hlt520356241"/>
      <w:bookmarkEnd w:id="123"/>
      <w:bookmarkStart w:id="124" w:name="_Toc494296984"/>
      <w:bookmarkStart w:id="125" w:name="_Ref467988698"/>
      <w:bookmarkStart w:id="126" w:name="_Toc480942349"/>
      <w:bookmarkStart w:id="127" w:name="_Toc520356217"/>
      <w:bookmarkStart w:id="128" w:name="_Toc216582813"/>
      <w:r>
        <w:rPr>
          <w:rFonts w:hint="eastAsia" w:ascii="宋体" w:hAnsi="宋体" w:eastAsia="宋体" w:cs="宋体"/>
          <w:b/>
          <w:color w:val="auto"/>
          <w:sz w:val="36"/>
          <w:szCs w:val="24"/>
          <w:highlight w:val="none"/>
        </w:rPr>
        <w:t>开标一览表</w:t>
      </w:r>
      <w:bookmarkEnd w:id="124"/>
    </w:p>
    <w:p>
      <w:pPr>
        <w:shd w:val="clear" w:color="auto" w:fill="auto"/>
        <w:adjustRightInd w:val="0"/>
        <w:snapToGrid w:val="0"/>
        <w:spacing w:line="50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招标项目名称： </w:t>
      </w:r>
      <w:r>
        <w:rPr>
          <w:rFonts w:hint="eastAsia" w:ascii="宋体" w:hAnsi="宋体" w:eastAsia="宋体" w:cs="宋体"/>
          <w:color w:val="auto"/>
          <w:szCs w:val="21"/>
          <w:highlight w:val="none"/>
          <w:u w:val="single"/>
        </w:rPr>
        <w:t xml:space="preserve">                         </w:t>
      </w:r>
    </w:p>
    <w:p>
      <w:pPr>
        <w:shd w:val="clear" w:color="auto" w:fill="auto"/>
        <w:adjustRightInd w:val="0"/>
        <w:snapToGrid w:val="0"/>
        <w:spacing w:line="500" w:lineRule="exact"/>
        <w:rPr>
          <w:rFonts w:hint="eastAsia" w:ascii="宋体" w:hAnsi="宋体" w:eastAsia="宋体" w:cs="宋体"/>
          <w:i/>
          <w:iCs/>
          <w:color w:val="auto"/>
          <w:szCs w:val="21"/>
          <w:highlight w:val="none"/>
        </w:rPr>
      </w:pPr>
      <w:r>
        <w:rPr>
          <w:rFonts w:hint="eastAsia" w:ascii="宋体" w:hAnsi="宋体" w:eastAsia="宋体" w:cs="宋体"/>
          <w:color w:val="auto"/>
          <w:szCs w:val="21"/>
          <w:highlight w:val="none"/>
        </w:rPr>
        <w:t>招标项目编号：</w:t>
      </w:r>
      <w:r>
        <w:rPr>
          <w:rFonts w:hint="eastAsia" w:ascii="宋体" w:hAnsi="宋体" w:eastAsia="宋体" w:cs="宋体"/>
          <w:i/>
          <w:iCs/>
          <w:color w:val="auto"/>
          <w:szCs w:val="21"/>
          <w:highlight w:val="none"/>
        </w:rPr>
        <w:t xml:space="preserve"> </w:t>
      </w:r>
      <w:r>
        <w:rPr>
          <w:rFonts w:hint="eastAsia" w:ascii="宋体" w:hAnsi="宋体" w:eastAsia="宋体" w:cs="宋体"/>
          <w:color w:val="auto"/>
          <w:szCs w:val="21"/>
          <w:highlight w:val="none"/>
          <w:u w:val="single"/>
        </w:rPr>
        <w:t xml:space="preserve">                         </w:t>
      </w:r>
    </w:p>
    <w:p>
      <w:pPr>
        <w:shd w:val="clear" w:color="auto" w:fill="auto"/>
        <w:spacing w:line="5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单位：元（人民币）</w:t>
      </w:r>
    </w:p>
    <w:tbl>
      <w:tblPr>
        <w:tblStyle w:val="47"/>
        <w:tblW w:w="8780"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974"/>
        <w:gridCol w:w="6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2595" w:type="dxa"/>
            <w:gridSpan w:val="2"/>
            <w:vAlign w:val="center"/>
          </w:tcPr>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投标项目名称</w:t>
            </w:r>
          </w:p>
        </w:tc>
        <w:tc>
          <w:tcPr>
            <w:tcW w:w="6185" w:type="dxa"/>
            <w:vAlign w:val="center"/>
          </w:tcPr>
          <w:p>
            <w:pPr>
              <w:keepNext w:val="0"/>
              <w:keepLines w:val="0"/>
              <w:suppressLineNumbers w:val="0"/>
              <w:shd w:val="clear" w:color="auto" w:fill="auto"/>
              <w:spacing w:before="0" w:beforeAutospacing="0" w:after="0" w:afterAutospacing="0"/>
              <w:ind w:left="0" w:right="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2595" w:type="dxa"/>
            <w:gridSpan w:val="2"/>
            <w:vAlign w:val="center"/>
          </w:tcPr>
          <w:p>
            <w:pPr>
              <w:keepNext w:val="0"/>
              <w:keepLines w:val="0"/>
              <w:suppressLineNumbers w:val="0"/>
              <w:shd w:val="clear" w:color="auto" w:fill="auto"/>
              <w:spacing w:before="0" w:beforeAutospacing="0" w:after="0" w:afterAutospacing="0"/>
              <w:ind w:left="0" w:right="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供货期（天）</w:t>
            </w:r>
          </w:p>
        </w:tc>
        <w:tc>
          <w:tcPr>
            <w:tcW w:w="6185" w:type="dxa"/>
            <w:vAlign w:val="center"/>
          </w:tcPr>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trPr>
        <w:tc>
          <w:tcPr>
            <w:tcW w:w="2595" w:type="dxa"/>
            <w:gridSpan w:val="2"/>
            <w:tcBorders>
              <w:top w:val="single" w:color="auto" w:sz="4" w:space="0"/>
            </w:tcBorders>
            <w:vAlign w:val="center"/>
          </w:tcPr>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质保期</w:t>
            </w:r>
          </w:p>
        </w:tc>
        <w:tc>
          <w:tcPr>
            <w:tcW w:w="6185" w:type="dxa"/>
            <w:vAlign w:val="center"/>
          </w:tcPr>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621" w:type="dxa"/>
            <w:vMerge w:val="restart"/>
            <w:vAlign w:val="center"/>
          </w:tcPr>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w:t>
            </w:r>
          </w:p>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w:t>
            </w:r>
          </w:p>
        </w:tc>
        <w:tc>
          <w:tcPr>
            <w:tcW w:w="974" w:type="dxa"/>
            <w:tcBorders>
              <w:top w:val="single" w:color="auto" w:sz="4" w:space="0"/>
              <w:bottom w:val="single" w:color="auto" w:sz="4" w:space="0"/>
            </w:tcBorders>
            <w:vAlign w:val="center"/>
          </w:tcPr>
          <w:p>
            <w:pPr>
              <w:keepNext w:val="0"/>
              <w:keepLines w:val="0"/>
              <w:widowControl/>
              <w:suppressLineNumbers w:val="0"/>
              <w:shd w:val="clear" w:color="auto" w:fill="auto"/>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小写</w:t>
            </w:r>
          </w:p>
        </w:tc>
        <w:tc>
          <w:tcPr>
            <w:tcW w:w="6185" w:type="dxa"/>
            <w:vAlign w:val="center"/>
          </w:tcPr>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1621" w:type="dxa"/>
            <w:vMerge w:val="continue"/>
            <w:vAlign w:val="center"/>
          </w:tcPr>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Cs w:val="21"/>
                <w:highlight w:val="none"/>
              </w:rPr>
            </w:pPr>
          </w:p>
        </w:tc>
        <w:tc>
          <w:tcPr>
            <w:tcW w:w="974" w:type="dxa"/>
            <w:tcBorders>
              <w:top w:val="single" w:color="auto" w:sz="4" w:space="0"/>
              <w:bottom w:val="single" w:color="auto" w:sz="4" w:space="0"/>
            </w:tcBorders>
            <w:vAlign w:val="center"/>
          </w:tcPr>
          <w:p>
            <w:pPr>
              <w:keepNext w:val="0"/>
              <w:keepLines w:val="0"/>
              <w:widowControl/>
              <w:suppressLineNumbers w:val="0"/>
              <w:shd w:val="clear" w:color="auto" w:fill="auto"/>
              <w:spacing w:before="0" w:beforeAutospacing="0" w:after="0" w:afterAutospacing="0"/>
              <w:ind w:left="0" w:right="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大写</w:t>
            </w:r>
          </w:p>
        </w:tc>
        <w:tc>
          <w:tcPr>
            <w:tcW w:w="6185" w:type="dxa"/>
            <w:vAlign w:val="center"/>
          </w:tcPr>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Cs w:val="21"/>
                <w:highlight w:val="none"/>
              </w:rPr>
            </w:pPr>
          </w:p>
        </w:tc>
      </w:tr>
    </w:tbl>
    <w:p>
      <w:pPr>
        <w:shd w:val="clear" w:color="auto" w:fill="auto"/>
        <w:spacing w:line="500" w:lineRule="exact"/>
        <w:ind w:firstLine="416"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填写说明：</w:t>
      </w:r>
    </w:p>
    <w:p>
      <w:pPr>
        <w:shd w:val="clear" w:color="auto" w:fill="auto"/>
        <w:spacing w:line="500" w:lineRule="exact"/>
        <w:ind w:firstLine="416"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1.为方便开标唱标，投标人应将开标一览表单独密封，并在信封上标明“开标一览表”字样，然后在递交投标文件时单独递交</w:t>
      </w:r>
      <w:r>
        <w:rPr>
          <w:rFonts w:hint="eastAsia" w:ascii="宋体" w:hAnsi="宋体" w:eastAsia="宋体" w:cs="宋体"/>
          <w:b/>
          <w:bCs/>
          <w:color w:val="auto"/>
          <w:sz w:val="24"/>
          <w:highlight w:val="none"/>
        </w:rPr>
        <w:t>。</w:t>
      </w:r>
    </w:p>
    <w:p>
      <w:pPr>
        <w:shd w:val="clear" w:color="auto" w:fill="auto"/>
        <w:spacing w:line="5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2.开标时，本表中的内容与投标文件中的投标函、</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rPr>
        <w:t>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pPr>
        <w:shd w:val="clear" w:color="auto" w:fill="auto"/>
        <w:spacing w:line="5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3.投标总价为招标范围所列全部招标项目的报价总和，并应与投标报价明细表及分项价格表保持一致。</w:t>
      </w:r>
    </w:p>
    <w:p>
      <w:pPr>
        <w:shd w:val="clear" w:color="auto" w:fill="auto"/>
        <w:spacing w:line="5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4.必须在投标文件中装订。</w:t>
      </w:r>
    </w:p>
    <w:p>
      <w:pPr>
        <w:shd w:val="clear" w:color="auto" w:fill="auto"/>
        <w:spacing w:line="5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5.投标报价不得填报选择性报价。</w:t>
      </w:r>
    </w:p>
    <w:p>
      <w:pPr>
        <w:shd w:val="clear" w:color="auto" w:fill="auto"/>
        <w:spacing w:line="5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w:t>
      </w:r>
      <w:r>
        <w:rPr>
          <w:rFonts w:hint="eastAsia" w:ascii="宋体" w:hAnsi="宋体" w:eastAsia="宋体" w:cs="宋体"/>
          <w:color w:val="auto"/>
          <w:szCs w:val="21"/>
          <w:highlight w:val="none"/>
          <w:u w:val="single"/>
        </w:rPr>
        <w:t xml:space="preserve">    （加盖公章）     </w:t>
      </w:r>
      <w:r>
        <w:rPr>
          <w:rFonts w:hint="eastAsia" w:ascii="宋体" w:hAnsi="宋体" w:eastAsia="宋体" w:cs="宋体"/>
          <w:color w:val="auto"/>
          <w:szCs w:val="21"/>
          <w:highlight w:val="none"/>
        </w:rPr>
        <w:t xml:space="preserve">       </w:t>
      </w:r>
    </w:p>
    <w:p>
      <w:pPr>
        <w:shd w:val="clear" w:color="auto" w:fill="auto"/>
        <w:spacing w:line="5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法定代表人签字或盖章：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hd w:val="clear" w:color="auto" w:fill="auto"/>
        <w:spacing w:line="5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授权代表签字或盖章：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hd w:val="clear" w:color="auto" w:fill="auto"/>
        <w:spacing w:line="5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签署日期：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月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pStyle w:val="4"/>
        <w:pageBreakBefore w:val="0"/>
        <w:widowControl w:val="0"/>
        <w:numPr>
          <w:ilvl w:val="0"/>
          <w:numId w:val="0"/>
        </w:numPr>
        <w:shd w:val="clear" w:color="auto" w:fill="auto"/>
        <w:kinsoku/>
        <w:wordWrap/>
        <w:overflowPunct/>
        <w:topLinePunct w:val="0"/>
        <w:autoSpaceDE/>
        <w:autoSpaceDN/>
        <w:bidi w:val="0"/>
        <w:snapToGrid/>
        <w:spacing w:before="0" w:line="400" w:lineRule="exact"/>
        <w:rPr>
          <w:rFonts w:hint="eastAsia" w:ascii="宋体" w:hAnsi="宋体" w:eastAsia="宋体" w:cs="宋体"/>
          <w:color w:val="auto"/>
          <w:sz w:val="24"/>
          <w:highlight w:val="none"/>
        </w:rPr>
      </w:pPr>
      <w:bookmarkStart w:id="129" w:name="_Toc515647805"/>
      <w:bookmarkStart w:id="130" w:name="_Toc4844"/>
      <w:bookmarkStart w:id="131" w:name="_Toc29899"/>
      <w:bookmarkStart w:id="132" w:name="_Toc17577"/>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 xml:space="preserve"> 法人或者非法人组织的营业执照等证明文件</w:t>
      </w:r>
      <w:bookmarkEnd w:id="129"/>
      <w:bookmarkEnd w:id="130"/>
      <w:bookmarkEnd w:id="131"/>
      <w:bookmarkEnd w:id="132"/>
    </w:p>
    <w:p>
      <w:pPr>
        <w:pStyle w:val="25"/>
        <w:pageBreakBefore w:val="0"/>
        <w:widowControl w:val="0"/>
        <w:shd w:val="clear" w:color="auto" w:fill="auto"/>
        <w:tabs>
          <w:tab w:val="left" w:pos="5580"/>
        </w:tabs>
        <w:kinsoku/>
        <w:wordWrap/>
        <w:overflowPunct/>
        <w:topLinePunct w:val="0"/>
        <w:autoSpaceDE/>
        <w:autoSpaceDN/>
        <w:bidi w:val="0"/>
        <w:snapToGrid/>
        <w:spacing w:line="400" w:lineRule="exact"/>
        <w:ind w:left="1087" w:leftChars="257" w:hanging="540"/>
        <w:jc w:val="center"/>
        <w:rPr>
          <w:rFonts w:hint="eastAsia" w:ascii="宋体" w:hAnsi="宋体" w:eastAsia="宋体" w:cs="宋体"/>
          <w:b/>
          <w:color w:val="auto"/>
          <w:sz w:val="24"/>
          <w:highlight w:val="none"/>
        </w:rPr>
      </w:pPr>
    </w:p>
    <w:p>
      <w:pPr>
        <w:pStyle w:val="25"/>
        <w:pageBreakBefore w:val="0"/>
        <w:widowControl w:val="0"/>
        <w:shd w:val="clear" w:color="auto" w:fill="auto"/>
        <w:tabs>
          <w:tab w:val="left" w:pos="5580"/>
        </w:tabs>
        <w:kinsoku/>
        <w:wordWrap/>
        <w:overflowPunct/>
        <w:topLinePunct w:val="0"/>
        <w:autoSpaceDE/>
        <w:autoSpaceDN/>
        <w:bidi w:val="0"/>
        <w:snapToGrid/>
        <w:spacing w:line="400" w:lineRule="exact"/>
        <w:ind w:left="1087" w:leftChars="257" w:hanging="540"/>
        <w:rPr>
          <w:rFonts w:hint="eastAsia" w:ascii="宋体" w:hAnsi="宋体" w:eastAsia="宋体" w:cs="宋体"/>
          <w:b/>
          <w:color w:val="auto"/>
          <w:sz w:val="24"/>
          <w:highlight w:val="none"/>
        </w:rPr>
      </w:pPr>
    </w:p>
    <w:p>
      <w:pPr>
        <w:pStyle w:val="25"/>
        <w:pageBreakBefore w:val="0"/>
        <w:widowControl w:val="0"/>
        <w:shd w:val="clear" w:color="auto" w:fill="auto"/>
        <w:tabs>
          <w:tab w:val="left" w:pos="5580"/>
        </w:tabs>
        <w:kinsoku/>
        <w:wordWrap/>
        <w:overflowPunct/>
        <w:topLinePunct w:val="0"/>
        <w:autoSpaceDE/>
        <w:autoSpaceDN/>
        <w:bidi w:val="0"/>
        <w:snapToGrid/>
        <w:spacing w:line="400" w:lineRule="exact"/>
        <w:ind w:left="1087" w:leftChars="257" w:hanging="540"/>
        <w:rPr>
          <w:rFonts w:hint="eastAsia" w:ascii="宋体" w:hAnsi="宋体" w:eastAsia="宋体" w:cs="宋体"/>
          <w:b/>
          <w:color w:val="auto"/>
          <w:sz w:val="24"/>
          <w:highlight w:val="none"/>
        </w:rPr>
      </w:pPr>
    </w:p>
    <w:p>
      <w:pPr>
        <w:pStyle w:val="25"/>
        <w:pageBreakBefore w:val="0"/>
        <w:widowControl w:val="0"/>
        <w:shd w:val="clear" w:color="auto" w:fill="auto"/>
        <w:tabs>
          <w:tab w:val="left" w:pos="5580"/>
        </w:tabs>
        <w:kinsoku/>
        <w:wordWrap/>
        <w:overflowPunct/>
        <w:topLinePunct w:val="0"/>
        <w:autoSpaceDE/>
        <w:autoSpaceDN/>
        <w:bidi w:val="0"/>
        <w:snapToGrid/>
        <w:spacing w:line="400" w:lineRule="exact"/>
        <w:ind w:left="1087"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说明：1.提供有效的营业执照等证明文件复印件，复印件上应加盖本单位章。</w:t>
      </w:r>
    </w:p>
    <w:p>
      <w:pPr>
        <w:pStyle w:val="25"/>
        <w:pageBreakBefore w:val="0"/>
        <w:widowControl w:val="0"/>
        <w:shd w:val="clear" w:color="auto" w:fill="auto"/>
        <w:tabs>
          <w:tab w:val="left" w:pos="5580"/>
        </w:tabs>
        <w:kinsoku/>
        <w:wordWrap/>
        <w:overflowPunct/>
        <w:topLinePunct w:val="0"/>
        <w:autoSpaceDE/>
        <w:autoSpaceDN/>
        <w:bidi w:val="0"/>
        <w:snapToGrid/>
        <w:spacing w:line="400" w:lineRule="exact"/>
        <w:ind w:left="1087" w:leftChars="257" w:hanging="540"/>
        <w:rPr>
          <w:rFonts w:hint="eastAsia" w:ascii="宋体" w:hAnsi="宋体" w:eastAsia="宋体" w:cs="宋体"/>
          <w:color w:val="auto"/>
          <w:sz w:val="24"/>
          <w:highlight w:val="none"/>
        </w:rPr>
      </w:pPr>
    </w:p>
    <w:p>
      <w:pPr>
        <w:pStyle w:val="25"/>
        <w:pageBreakBefore w:val="0"/>
        <w:widowControl w:val="0"/>
        <w:shd w:val="clear" w:color="auto" w:fill="auto"/>
        <w:tabs>
          <w:tab w:val="left" w:pos="5580"/>
        </w:tabs>
        <w:kinsoku/>
        <w:wordWrap/>
        <w:overflowPunct/>
        <w:topLinePunct w:val="0"/>
        <w:autoSpaceDE/>
        <w:autoSpaceDN/>
        <w:bidi w:val="0"/>
        <w:snapToGrid/>
        <w:spacing w:line="400" w:lineRule="exact"/>
        <w:rPr>
          <w:rFonts w:hint="eastAsia" w:ascii="宋体" w:hAnsi="宋体" w:eastAsia="宋体" w:cs="宋体"/>
          <w:color w:val="auto"/>
          <w:sz w:val="24"/>
          <w:highlight w:val="none"/>
        </w:rPr>
      </w:pPr>
    </w:p>
    <w:p>
      <w:pPr>
        <w:pStyle w:val="25"/>
        <w:pageBreakBefore w:val="0"/>
        <w:widowControl w:val="0"/>
        <w:shd w:val="clear" w:color="auto" w:fill="auto"/>
        <w:tabs>
          <w:tab w:val="left" w:pos="5580"/>
        </w:tabs>
        <w:kinsoku/>
        <w:wordWrap/>
        <w:overflowPunct/>
        <w:topLinePunct w:val="0"/>
        <w:autoSpaceDE/>
        <w:autoSpaceDN/>
        <w:bidi w:val="0"/>
        <w:snapToGrid/>
        <w:spacing w:line="400" w:lineRule="exact"/>
        <w:rPr>
          <w:rFonts w:hint="eastAsia" w:ascii="宋体" w:hAnsi="宋体" w:eastAsia="宋体" w:cs="宋体"/>
          <w:color w:val="auto"/>
          <w:sz w:val="24"/>
          <w:highlight w:val="none"/>
        </w:rPr>
      </w:pPr>
    </w:p>
    <w:p>
      <w:pPr>
        <w:pStyle w:val="25"/>
        <w:shd w:val="clear" w:color="auto" w:fill="auto"/>
        <w:tabs>
          <w:tab w:val="left" w:pos="5580"/>
        </w:tabs>
        <w:spacing w:line="240" w:lineRule="atLeast"/>
        <w:rPr>
          <w:rFonts w:hint="eastAsia" w:ascii="宋体" w:hAnsi="宋体" w:eastAsia="宋体" w:cs="宋体"/>
          <w:color w:val="auto"/>
          <w:sz w:val="24"/>
          <w:highlight w:val="none"/>
        </w:rPr>
      </w:pPr>
    </w:p>
    <w:p>
      <w:pPr>
        <w:pStyle w:val="25"/>
        <w:shd w:val="clear" w:color="auto" w:fill="auto"/>
        <w:tabs>
          <w:tab w:val="left" w:pos="5580"/>
        </w:tabs>
        <w:spacing w:line="240" w:lineRule="atLeast"/>
        <w:rPr>
          <w:rFonts w:hint="eastAsia" w:ascii="宋体" w:hAnsi="宋体" w:eastAsia="宋体" w:cs="宋体"/>
          <w:color w:val="auto"/>
          <w:sz w:val="24"/>
          <w:highlight w:val="none"/>
        </w:rPr>
      </w:pPr>
    </w:p>
    <w:p>
      <w:pPr>
        <w:pStyle w:val="25"/>
        <w:shd w:val="clear" w:color="auto" w:fill="auto"/>
        <w:tabs>
          <w:tab w:val="left" w:pos="5580"/>
        </w:tabs>
        <w:spacing w:line="240" w:lineRule="atLeast"/>
        <w:rPr>
          <w:rFonts w:hint="eastAsia" w:ascii="宋体" w:hAnsi="宋体" w:eastAsia="宋体" w:cs="宋体"/>
          <w:color w:val="auto"/>
          <w:sz w:val="24"/>
          <w:highlight w:val="none"/>
        </w:rPr>
      </w:pPr>
    </w:p>
    <w:p>
      <w:pPr>
        <w:pStyle w:val="25"/>
        <w:shd w:val="clear" w:color="auto" w:fill="auto"/>
        <w:tabs>
          <w:tab w:val="left" w:pos="5580"/>
        </w:tabs>
        <w:spacing w:line="240" w:lineRule="atLeast"/>
        <w:rPr>
          <w:rFonts w:hint="eastAsia" w:ascii="宋体" w:hAnsi="宋体" w:eastAsia="宋体" w:cs="宋体"/>
          <w:color w:val="auto"/>
          <w:sz w:val="24"/>
          <w:highlight w:val="none"/>
        </w:rPr>
      </w:pPr>
    </w:p>
    <w:p>
      <w:pPr>
        <w:pStyle w:val="25"/>
        <w:shd w:val="clear" w:color="auto" w:fill="auto"/>
        <w:tabs>
          <w:tab w:val="left" w:pos="5580"/>
        </w:tabs>
        <w:spacing w:line="240" w:lineRule="atLeast"/>
        <w:rPr>
          <w:rFonts w:hint="eastAsia" w:ascii="宋体" w:hAnsi="宋体" w:eastAsia="宋体" w:cs="宋体"/>
          <w:color w:val="auto"/>
          <w:sz w:val="24"/>
          <w:highlight w:val="none"/>
        </w:rPr>
      </w:pPr>
    </w:p>
    <w:p>
      <w:pPr>
        <w:pStyle w:val="25"/>
        <w:shd w:val="clear" w:color="auto" w:fill="auto"/>
        <w:tabs>
          <w:tab w:val="left" w:pos="5580"/>
        </w:tabs>
        <w:spacing w:line="240" w:lineRule="atLeast"/>
        <w:rPr>
          <w:rFonts w:hint="eastAsia" w:ascii="宋体" w:hAnsi="宋体" w:eastAsia="宋体" w:cs="宋体"/>
          <w:color w:val="auto"/>
          <w:sz w:val="24"/>
          <w:highlight w:val="none"/>
        </w:rPr>
      </w:pPr>
    </w:p>
    <w:p>
      <w:pPr>
        <w:pStyle w:val="25"/>
        <w:shd w:val="clear" w:color="auto" w:fill="auto"/>
        <w:tabs>
          <w:tab w:val="left" w:pos="5580"/>
        </w:tabs>
        <w:spacing w:line="240" w:lineRule="atLeast"/>
        <w:ind w:left="1087" w:leftChars="257" w:hanging="540"/>
        <w:jc w:val="center"/>
        <w:rPr>
          <w:rFonts w:hint="eastAsia" w:ascii="宋体" w:hAnsi="宋体" w:eastAsia="宋体" w:cs="宋体"/>
          <w:color w:val="auto"/>
          <w:sz w:val="24"/>
          <w:highlight w:val="none"/>
        </w:rPr>
      </w:pPr>
      <w:bookmarkStart w:id="133" w:name="_Toc32520"/>
      <w:bookmarkStart w:id="134" w:name="_Toc515647808"/>
      <w:bookmarkStart w:id="135" w:name="_Toc7039"/>
    </w:p>
    <w:p>
      <w:pPr>
        <w:pStyle w:val="4"/>
        <w:numPr>
          <w:ilvl w:val="0"/>
          <w:numId w:val="0"/>
        </w:numPr>
        <w:shd w:val="clear" w:color="auto" w:fill="auto"/>
        <w:spacing w:before="0" w:line="240" w:lineRule="atLeast"/>
        <w:ind w:leftChars="257"/>
        <w:outlineLvl w:val="9"/>
        <w:rPr>
          <w:rFonts w:hint="eastAsia" w:ascii="宋体" w:hAnsi="宋体" w:eastAsia="宋体" w:cs="宋体"/>
          <w:color w:val="auto"/>
          <w:sz w:val="24"/>
          <w:highlight w:val="none"/>
        </w:rPr>
      </w:pPr>
      <w:bookmarkStart w:id="136" w:name="_Toc1083"/>
      <w:bookmarkStart w:id="137" w:name="_Toc22472"/>
      <w:bookmarkStart w:id="138" w:name="_Toc515647807"/>
      <w:bookmarkStart w:id="139" w:name="_Toc23503"/>
    </w:p>
    <w:p>
      <w:pPr>
        <w:shd w:val="clear" w:color="auto" w:fill="auto"/>
        <w:rPr>
          <w:rFonts w:hint="eastAsia" w:ascii="宋体" w:hAnsi="宋体" w:eastAsia="宋体" w:cs="宋体"/>
          <w:color w:val="auto"/>
          <w:sz w:val="24"/>
          <w:highlight w:val="none"/>
        </w:rPr>
      </w:pPr>
    </w:p>
    <w:p>
      <w:pPr>
        <w:pStyle w:val="81"/>
        <w:shd w:val="clear" w:color="auto" w:fill="auto"/>
        <w:rPr>
          <w:rFonts w:hint="eastAsia" w:ascii="宋体" w:hAnsi="宋体" w:eastAsia="宋体" w:cs="宋体"/>
          <w:color w:val="auto"/>
          <w:sz w:val="24"/>
          <w:highlight w:val="none"/>
        </w:rPr>
      </w:pPr>
    </w:p>
    <w:p>
      <w:pPr>
        <w:pStyle w:val="81"/>
        <w:shd w:val="clear" w:color="auto" w:fill="auto"/>
        <w:rPr>
          <w:rFonts w:hint="eastAsia" w:ascii="宋体" w:hAnsi="宋体" w:eastAsia="宋体" w:cs="宋体"/>
          <w:color w:val="auto"/>
          <w:sz w:val="24"/>
          <w:highlight w:val="none"/>
        </w:rPr>
      </w:pPr>
    </w:p>
    <w:p>
      <w:pPr>
        <w:pStyle w:val="81"/>
        <w:shd w:val="clear" w:color="auto" w:fill="auto"/>
        <w:rPr>
          <w:rFonts w:hint="eastAsia" w:ascii="宋体" w:hAnsi="宋体" w:eastAsia="宋体" w:cs="宋体"/>
          <w:color w:val="auto"/>
          <w:sz w:val="24"/>
          <w:highlight w:val="none"/>
        </w:rPr>
      </w:pPr>
    </w:p>
    <w:p>
      <w:pPr>
        <w:pStyle w:val="81"/>
        <w:shd w:val="clear" w:color="auto" w:fill="auto"/>
        <w:rPr>
          <w:rFonts w:hint="eastAsia" w:ascii="宋体" w:hAnsi="宋体" w:eastAsia="宋体" w:cs="宋体"/>
          <w:color w:val="auto"/>
          <w:sz w:val="24"/>
          <w:highlight w:val="none"/>
        </w:rPr>
      </w:pPr>
    </w:p>
    <w:p>
      <w:pPr>
        <w:pStyle w:val="81"/>
        <w:shd w:val="clear" w:color="auto" w:fill="auto"/>
        <w:rPr>
          <w:rFonts w:hint="eastAsia" w:ascii="宋体" w:hAnsi="宋体" w:eastAsia="宋体" w:cs="宋体"/>
          <w:color w:val="auto"/>
          <w:sz w:val="24"/>
          <w:highlight w:val="none"/>
        </w:rPr>
      </w:pPr>
    </w:p>
    <w:p>
      <w:pPr>
        <w:pStyle w:val="81"/>
        <w:shd w:val="clear" w:color="auto" w:fill="auto"/>
        <w:rPr>
          <w:rFonts w:hint="eastAsia" w:ascii="宋体" w:hAnsi="宋体" w:eastAsia="宋体" w:cs="宋体"/>
          <w:color w:val="auto"/>
          <w:sz w:val="24"/>
          <w:highlight w:val="none"/>
        </w:rPr>
      </w:pPr>
    </w:p>
    <w:p>
      <w:pPr>
        <w:pStyle w:val="81"/>
        <w:shd w:val="clear" w:color="auto" w:fill="auto"/>
        <w:rPr>
          <w:rFonts w:hint="eastAsia" w:ascii="宋体" w:hAnsi="宋体" w:eastAsia="宋体" w:cs="宋体"/>
          <w:color w:val="auto"/>
          <w:sz w:val="24"/>
          <w:highlight w:val="none"/>
        </w:rPr>
      </w:pPr>
    </w:p>
    <w:p>
      <w:pPr>
        <w:pStyle w:val="81"/>
        <w:shd w:val="clear" w:color="auto" w:fill="auto"/>
        <w:rPr>
          <w:rFonts w:hint="eastAsia" w:ascii="宋体" w:hAnsi="宋体" w:eastAsia="宋体" w:cs="宋体"/>
          <w:color w:val="auto"/>
          <w:sz w:val="24"/>
          <w:highlight w:val="none"/>
        </w:rPr>
      </w:pPr>
    </w:p>
    <w:p>
      <w:pPr>
        <w:pStyle w:val="81"/>
        <w:shd w:val="clear" w:color="auto" w:fill="auto"/>
        <w:rPr>
          <w:rFonts w:hint="eastAsia" w:ascii="宋体" w:hAnsi="宋体" w:eastAsia="宋体" w:cs="宋体"/>
          <w:color w:val="auto"/>
          <w:sz w:val="24"/>
          <w:highlight w:val="none"/>
        </w:rPr>
      </w:pPr>
    </w:p>
    <w:p>
      <w:pPr>
        <w:pStyle w:val="81"/>
        <w:shd w:val="clear" w:color="auto" w:fill="auto"/>
        <w:rPr>
          <w:rFonts w:hint="eastAsia" w:ascii="宋体" w:hAnsi="宋体" w:eastAsia="宋体" w:cs="宋体"/>
          <w:color w:val="auto"/>
          <w:sz w:val="24"/>
          <w:highlight w:val="none"/>
        </w:rPr>
      </w:pPr>
    </w:p>
    <w:p>
      <w:pPr>
        <w:pStyle w:val="81"/>
        <w:shd w:val="clear" w:color="auto" w:fill="auto"/>
        <w:rPr>
          <w:rFonts w:hint="eastAsia" w:ascii="宋体" w:hAnsi="宋体" w:eastAsia="宋体" w:cs="宋体"/>
          <w:color w:val="auto"/>
          <w:sz w:val="24"/>
          <w:highlight w:val="none"/>
        </w:rPr>
      </w:pPr>
    </w:p>
    <w:p>
      <w:pPr>
        <w:pStyle w:val="81"/>
        <w:shd w:val="clear" w:color="auto" w:fill="auto"/>
        <w:rPr>
          <w:rFonts w:hint="eastAsia" w:ascii="宋体" w:hAnsi="宋体" w:eastAsia="宋体" w:cs="宋体"/>
          <w:color w:val="auto"/>
          <w:sz w:val="24"/>
          <w:highlight w:val="none"/>
        </w:rPr>
      </w:pPr>
    </w:p>
    <w:p>
      <w:pPr>
        <w:pStyle w:val="81"/>
        <w:shd w:val="clear" w:color="auto" w:fill="auto"/>
        <w:rPr>
          <w:rFonts w:hint="eastAsia" w:ascii="宋体" w:hAnsi="宋体" w:eastAsia="宋体" w:cs="宋体"/>
          <w:color w:val="auto"/>
          <w:sz w:val="24"/>
          <w:highlight w:val="none"/>
        </w:rPr>
      </w:pPr>
    </w:p>
    <w:p>
      <w:pPr>
        <w:pStyle w:val="81"/>
        <w:shd w:val="clear" w:color="auto" w:fill="auto"/>
        <w:ind w:left="0" w:leftChars="0" w:firstLine="0" w:firstLineChars="0"/>
        <w:rPr>
          <w:rFonts w:hint="eastAsia" w:ascii="宋体" w:hAnsi="宋体" w:eastAsia="宋体" w:cs="宋体"/>
          <w:color w:val="auto"/>
          <w:sz w:val="24"/>
          <w:highlight w:val="none"/>
        </w:rPr>
      </w:pPr>
    </w:p>
    <w:p>
      <w:pPr>
        <w:pStyle w:val="4"/>
        <w:numPr>
          <w:ilvl w:val="0"/>
          <w:numId w:val="0"/>
        </w:numPr>
        <w:shd w:val="clear" w:color="auto" w:fill="auto"/>
        <w:spacing w:before="0" w:line="240" w:lineRule="atLeast"/>
        <w:rPr>
          <w:rFonts w:hint="eastAsia" w:ascii="宋体" w:hAnsi="宋体" w:eastAsia="宋体" w:cs="宋体"/>
          <w:b w:val="0"/>
          <w:color w:val="auto"/>
          <w:sz w:val="24"/>
          <w:highlight w:val="none"/>
          <w:u w:val="single"/>
        </w:rPr>
      </w:pPr>
      <w:bookmarkStart w:id="140" w:name="_Toc30244"/>
      <w:r>
        <w:rPr>
          <w:rFonts w:hint="eastAsia" w:ascii="宋体" w:hAnsi="宋体" w:eastAsia="宋体" w:cs="宋体"/>
          <w:color w:val="auto"/>
          <w:sz w:val="24"/>
          <w:highlight w:val="none"/>
        </w:rPr>
        <w:t xml:space="preserve">3 </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法定代表人资格证明书（见投标文件格式二）</w:t>
      </w:r>
    </w:p>
    <w:p>
      <w:pPr>
        <w:adjustRightInd w:val="0"/>
        <w:snapToGrid w:val="0"/>
        <w:spacing w:before="240" w:beforeLines="100" w:after="240" w:afterLines="100"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p>
    <w:p>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同志，现任我单位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职务，为法定代表人，特此证明。</w:t>
      </w:r>
    </w:p>
    <w:p>
      <w:pPr>
        <w:spacing w:line="500" w:lineRule="exact"/>
        <w:ind w:firstLine="243"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签发日期：                  单位：           （盖章）</w:t>
      </w:r>
    </w:p>
    <w:p>
      <w:pPr>
        <w:spacing w:line="500" w:lineRule="exact"/>
        <w:ind w:firstLine="243"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附：代表人性别：            年龄：           身份证号码：</w:t>
      </w:r>
    </w:p>
    <w:p>
      <w:pPr>
        <w:spacing w:line="500" w:lineRule="exact"/>
        <w:ind w:firstLine="243"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p>
      <w:pPr>
        <w:spacing w:line="500" w:lineRule="exact"/>
        <w:ind w:firstLine="243"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营业执照号码：              经济性质：</w:t>
      </w:r>
    </w:p>
    <w:p>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pPr>
        <w:spacing w:line="500" w:lineRule="exact"/>
        <w:ind w:firstLine="243"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1、法定代表人为企业事业单位、国家机关、社会团体的主要行政负责人。</w:t>
      </w:r>
    </w:p>
    <w:p>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2、内容必须填写真实、清楚、涂改无效，不得转让。</w:t>
      </w:r>
    </w:p>
    <w:p>
      <w:pPr>
        <w:spacing w:line="500" w:lineRule="exact"/>
        <w:ind w:firstLine="243"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3、将此证明书原件提交采购代理机构作为投标文件附件。</w:t>
      </w:r>
    </w:p>
    <w:p>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(为避免废标，请投标人务必提供本附件)</w:t>
      </w:r>
    </w:p>
    <w:p>
      <w:pPr>
        <w:spacing w:line="500" w:lineRule="exact"/>
        <w:rPr>
          <w:rFonts w:hint="eastAsia" w:ascii="宋体" w:hAnsi="宋体" w:eastAsia="宋体" w:cs="宋体"/>
          <w:color w:val="auto"/>
          <w:sz w:val="24"/>
          <w:szCs w:val="24"/>
          <w:highlight w:val="none"/>
        </w:rPr>
      </w:pPr>
    </w:p>
    <w:p>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mc:AlternateContent>
          <mc:Choice Requires="wps">
            <w:drawing>
              <wp:anchor distT="0" distB="0" distL="114300" distR="114300" simplePos="0" relativeHeight="251663360" behindDoc="0" locked="0" layoutInCell="1" allowOverlap="1">
                <wp:simplePos x="0" y="0"/>
                <wp:positionH relativeFrom="column">
                  <wp:posOffset>398780</wp:posOffset>
                </wp:positionH>
                <wp:positionV relativeFrom="paragraph">
                  <wp:posOffset>38100</wp:posOffset>
                </wp:positionV>
                <wp:extent cx="2333625" cy="1584325"/>
                <wp:effectExtent l="4445" t="4445" r="8890" b="11430"/>
                <wp:wrapNone/>
                <wp:docPr id="1" name="AutoShape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正面</w:t>
                            </w:r>
                          </w:p>
                        </w:txbxContent>
                      </wps:txbx>
                      <wps:bodyPr wrap="square" upright="1"/>
                    </wps:wsp>
                  </a:graphicData>
                </a:graphic>
              </wp:anchor>
            </w:drawing>
          </mc:Choice>
          <mc:Fallback>
            <w:pict>
              <v:shape id="AutoShape 2" o:spid="_x0000_s1026" o:spt="176" type="#_x0000_t176" style="position:absolute;left:0pt;margin-left:31.4pt;margin-top:3pt;height:124.75pt;width:183.75pt;z-index:251663360;mso-width-relative:page;mso-height-relative:page;" fillcolor="#FFFFFF" filled="t" stroked="t" coordsize="21600,21600" o:gfxdata="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XBfHjWAAAACAEAAA8AAAAAAAAAAQAgAAAA&#10;IgAAAGRycy9kb3ducmV2LnhtbFBLAQIUABQAAAAIAIdO4kDu/nTFDQIAAFAEAAAOAAAAAAAAAAEA&#10;IAAAACUBAABkcnMvZTJvRG9jLnhtbFBLBQYAAAAABgAGAFkBAACkBQ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正面</w:t>
                      </w:r>
                    </w:p>
                  </w:txbxContent>
                </v:textbox>
              </v:shape>
            </w:pict>
          </mc:Fallback>
        </mc:AlternateContent>
      </w:r>
      <w:r>
        <w:rPr>
          <w:rFonts w:hint="eastAsia" w:ascii="宋体" w:hAnsi="宋体" w:eastAsia="宋体" w:cs="宋体"/>
          <w:color w:val="auto"/>
          <w:sz w:val="24"/>
          <w:szCs w:val="24"/>
          <w:highlight w:val="none"/>
        </w:rPr>
        <mc:AlternateContent>
          <mc:Choice Requires="wps">
            <w:drawing>
              <wp:anchor distT="0" distB="0" distL="114300" distR="114300" simplePos="0" relativeHeight="251664384" behindDoc="0" locked="0" layoutInCell="1" allowOverlap="1">
                <wp:simplePos x="0" y="0"/>
                <wp:positionH relativeFrom="column">
                  <wp:posOffset>3226435</wp:posOffset>
                </wp:positionH>
                <wp:positionV relativeFrom="paragraph">
                  <wp:posOffset>34290</wp:posOffset>
                </wp:positionV>
                <wp:extent cx="2333625" cy="1584325"/>
                <wp:effectExtent l="4445" t="4445" r="8890" b="11430"/>
                <wp:wrapNone/>
                <wp:docPr id="2" name="自选图形 71"/>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反面</w:t>
                            </w:r>
                          </w:p>
                        </w:txbxContent>
                      </wps:txbx>
                      <wps:bodyPr wrap="square" upright="1"/>
                    </wps:wsp>
                  </a:graphicData>
                </a:graphic>
              </wp:anchor>
            </w:drawing>
          </mc:Choice>
          <mc:Fallback>
            <w:pict>
              <v:shape id="自选图形 71" o:spid="_x0000_s1026" o:spt="176" type="#_x0000_t176" style="position:absolute;left:0pt;margin-left:254.05pt;margin-top:2.7pt;height:124.75pt;width:183.75pt;z-index:251664384;mso-width-relative:page;mso-height-relative:page;" fillcolor="#FFFFFF" filled="t" stroked="t" coordsize="21600,21600" o:gfxdata="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a&#10;E8Rh2AAAAAkBAAAPAAAAAAAAAAEAIAAAACIAAABkcnMvZG93bnJldi54bWxQSwECFAAUAAAACACH&#10;TuJA1LjvxiQCAABUBAAADgAAAAAAAAABACAAAAAnAQAAZHJzL2Uyb0RvYy54bWxQSwUGAAAAAAYA&#10;BgBZAQAAvQU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反面</w:t>
                      </w:r>
                    </w:p>
                  </w:txbxContent>
                </v:textbox>
              </v:shape>
            </w:pict>
          </mc:Fallback>
        </mc:AlternateContent>
      </w:r>
    </w:p>
    <w:p>
      <w:pPr>
        <w:spacing w:line="500" w:lineRule="exact"/>
        <w:rPr>
          <w:rFonts w:hint="eastAsia" w:ascii="宋体" w:hAnsi="宋体" w:eastAsia="宋体" w:cs="宋体"/>
          <w:color w:val="auto"/>
          <w:sz w:val="24"/>
          <w:szCs w:val="24"/>
          <w:highlight w:val="none"/>
        </w:rPr>
      </w:pPr>
    </w:p>
    <w:p>
      <w:pPr>
        <w:spacing w:line="500" w:lineRule="exact"/>
        <w:rPr>
          <w:rFonts w:hint="eastAsia" w:ascii="宋体" w:hAnsi="宋体" w:eastAsia="宋体" w:cs="宋体"/>
          <w:color w:val="auto"/>
          <w:sz w:val="24"/>
          <w:szCs w:val="24"/>
          <w:highlight w:val="none"/>
        </w:rPr>
      </w:pPr>
    </w:p>
    <w:p>
      <w:pPr>
        <w:tabs>
          <w:tab w:val="left" w:pos="654"/>
          <w:tab w:val="left" w:pos="1734"/>
          <w:tab w:val="left" w:pos="2814"/>
          <w:tab w:val="left" w:pos="3894"/>
          <w:tab w:val="left" w:pos="5334"/>
          <w:tab w:val="left" w:pos="6414"/>
          <w:tab w:val="left" w:pos="7254"/>
          <w:tab w:val="left" w:pos="8574"/>
          <w:tab w:val="left" w:pos="9654"/>
        </w:tabs>
        <w:spacing w:line="500" w:lineRule="exact"/>
        <w:rPr>
          <w:rFonts w:hint="eastAsia" w:ascii="宋体" w:hAnsi="宋体" w:eastAsia="宋体" w:cs="宋体"/>
          <w:color w:val="auto"/>
          <w:sz w:val="24"/>
          <w:szCs w:val="24"/>
          <w:highlight w:val="none"/>
        </w:rPr>
      </w:pPr>
    </w:p>
    <w:p>
      <w:pPr>
        <w:spacing w:line="500" w:lineRule="exact"/>
        <w:jc w:val="center"/>
        <w:rPr>
          <w:rFonts w:hint="eastAsia" w:ascii="宋体" w:hAnsi="宋体" w:eastAsia="宋体" w:cs="宋体"/>
          <w:color w:val="auto"/>
          <w:sz w:val="24"/>
          <w:szCs w:val="24"/>
          <w:highlight w:val="none"/>
        </w:rPr>
      </w:pPr>
    </w:p>
    <w:p>
      <w:pPr>
        <w:autoSpaceDE w:val="0"/>
        <w:autoSpaceDN w:val="0"/>
        <w:adjustRightInd w:val="0"/>
        <w:spacing w:line="500" w:lineRule="exact"/>
        <w:ind w:right="246" w:firstLine="793" w:firstLineChars="327"/>
        <w:rPr>
          <w:rFonts w:hint="eastAsia" w:ascii="宋体" w:hAnsi="宋体" w:eastAsia="宋体" w:cs="宋体"/>
          <w:color w:val="auto"/>
          <w:kern w:val="0"/>
          <w:sz w:val="24"/>
          <w:szCs w:val="24"/>
          <w:highlight w:val="none"/>
        </w:rPr>
      </w:pPr>
    </w:p>
    <w:p>
      <w:pPr>
        <w:pStyle w:val="25"/>
        <w:shd w:val="clear" w:color="auto" w:fill="auto"/>
        <w:tabs>
          <w:tab w:val="left" w:pos="5580"/>
        </w:tabs>
        <w:spacing w:line="240" w:lineRule="atLeast"/>
        <w:ind w:firstLine="486"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投标人（盖单位章）;</w:t>
      </w:r>
      <w:r>
        <w:rPr>
          <w:rFonts w:hint="eastAsia" w:ascii="宋体" w:hAnsi="宋体" w:eastAsia="宋体" w:cs="宋体"/>
          <w:color w:val="auto"/>
          <w:sz w:val="24"/>
          <w:highlight w:val="none"/>
          <w:u w:val="single"/>
        </w:rPr>
        <w:t xml:space="preserve">                           </w:t>
      </w:r>
    </w:p>
    <w:p>
      <w:pPr>
        <w:pStyle w:val="25"/>
        <w:shd w:val="clear" w:color="auto" w:fill="auto"/>
        <w:tabs>
          <w:tab w:val="left" w:pos="5580"/>
        </w:tabs>
        <w:spacing w:line="240" w:lineRule="atLeast"/>
        <w:ind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法定代表人（签字或签章）：</w:t>
      </w:r>
      <w:r>
        <w:rPr>
          <w:rFonts w:hint="eastAsia" w:ascii="宋体" w:hAnsi="宋体" w:eastAsia="宋体" w:cs="宋体"/>
          <w:color w:val="auto"/>
          <w:sz w:val="24"/>
          <w:highlight w:val="none"/>
          <w:u w:val="single"/>
        </w:rPr>
        <w:t xml:space="preserve">                     </w:t>
      </w:r>
    </w:p>
    <w:p>
      <w:pPr>
        <w:shd w:val="clear" w:color="auto" w:fill="auto"/>
        <w:spacing w:line="360" w:lineRule="auto"/>
        <w:ind w:firstLine="486" w:firstLineChars="200"/>
        <w:jc w:val="left"/>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 xml:space="preserve">年   月   日 </w:t>
      </w:r>
    </w:p>
    <w:p>
      <w:pPr>
        <w:spacing w:line="500" w:lineRule="exact"/>
        <w:jc w:val="center"/>
        <w:rPr>
          <w:rFonts w:hint="eastAsia" w:ascii="宋体" w:hAnsi="宋体" w:eastAsia="宋体" w:cs="宋体"/>
          <w:b/>
          <w:color w:val="auto"/>
          <w:sz w:val="28"/>
          <w:szCs w:val="28"/>
          <w:highlight w:val="none"/>
        </w:rPr>
      </w:pPr>
    </w:p>
    <w:p>
      <w:pPr>
        <w:pStyle w:val="81"/>
        <w:rPr>
          <w:rFonts w:hint="eastAsia" w:ascii="宋体" w:hAnsi="宋体" w:eastAsia="宋体" w:cs="宋体"/>
          <w:b/>
          <w:color w:val="auto"/>
          <w:sz w:val="28"/>
          <w:szCs w:val="28"/>
          <w:highlight w:val="none"/>
        </w:rPr>
      </w:pPr>
    </w:p>
    <w:p>
      <w:pPr>
        <w:pStyle w:val="81"/>
        <w:rPr>
          <w:rFonts w:hint="eastAsia" w:ascii="宋体" w:hAnsi="宋体" w:eastAsia="宋体" w:cs="宋体"/>
          <w:b/>
          <w:color w:val="auto"/>
          <w:sz w:val="28"/>
          <w:szCs w:val="28"/>
          <w:highlight w:val="none"/>
        </w:rPr>
      </w:pPr>
    </w:p>
    <w:p>
      <w:pPr>
        <w:pStyle w:val="81"/>
        <w:rPr>
          <w:rFonts w:hint="eastAsia" w:ascii="宋体" w:hAnsi="宋体" w:eastAsia="宋体" w:cs="宋体"/>
          <w:b/>
          <w:color w:val="auto"/>
          <w:sz w:val="28"/>
          <w:szCs w:val="28"/>
          <w:highlight w:val="none"/>
        </w:rPr>
      </w:pPr>
    </w:p>
    <w:p>
      <w:pPr>
        <w:spacing w:line="500" w:lineRule="exact"/>
        <w:jc w:val="center"/>
        <w:rPr>
          <w:rFonts w:hint="eastAsia" w:ascii="宋体" w:hAnsi="宋体" w:eastAsia="宋体" w:cs="宋体"/>
          <w:b/>
          <w:color w:val="auto"/>
          <w:sz w:val="28"/>
          <w:szCs w:val="28"/>
          <w:highlight w:val="none"/>
        </w:rPr>
      </w:pPr>
    </w:p>
    <w:p>
      <w:pPr>
        <w:pStyle w:val="4"/>
        <w:numPr>
          <w:ilvl w:val="0"/>
          <w:numId w:val="0"/>
        </w:numPr>
        <w:shd w:val="clear" w:color="auto" w:fill="auto"/>
        <w:spacing w:before="0" w:line="240" w:lineRule="atLeast"/>
        <w:rPr>
          <w:rFonts w:hint="eastAsia" w:ascii="宋体" w:hAnsi="宋体" w:eastAsia="宋体" w:cs="宋体"/>
          <w:b w:val="0"/>
          <w:color w:val="auto"/>
          <w:sz w:val="24"/>
          <w:highlight w:val="none"/>
          <w:u w:val="singl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法定代表人授权委托书(投标文件格式</w:t>
      </w:r>
      <w:r>
        <w:rPr>
          <w:rFonts w:hint="eastAsia" w:ascii="宋体" w:hAnsi="宋体" w:eastAsia="宋体" w:cs="宋体"/>
          <w:color w:val="auto"/>
          <w:sz w:val="24"/>
          <w:highlight w:val="none"/>
          <w:lang w:eastAsia="zh-CN"/>
        </w:rPr>
        <w:t>三</w:t>
      </w:r>
      <w:r>
        <w:rPr>
          <w:rFonts w:hint="eastAsia" w:ascii="宋体" w:hAnsi="宋体" w:eastAsia="宋体" w:cs="宋体"/>
          <w:color w:val="auto"/>
          <w:sz w:val="24"/>
          <w:highlight w:val="none"/>
        </w:rPr>
        <w:t>)</w:t>
      </w:r>
      <w:bookmarkEnd w:id="136"/>
      <w:bookmarkEnd w:id="137"/>
      <w:bookmarkEnd w:id="138"/>
      <w:bookmarkEnd w:id="139"/>
      <w:bookmarkEnd w:id="140"/>
    </w:p>
    <w:p>
      <w:pPr>
        <w:pStyle w:val="25"/>
        <w:shd w:val="clear" w:color="auto" w:fill="auto"/>
        <w:spacing w:line="240" w:lineRule="atLeast"/>
        <w:ind w:left="1087"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cr/>
      </w:r>
    </w:p>
    <w:p>
      <w:pPr>
        <w:pStyle w:val="25"/>
        <w:shd w:val="clear" w:color="auto" w:fill="auto"/>
        <w:tabs>
          <w:tab w:val="left" w:pos="5580"/>
        </w:tabs>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szCs w:val="20"/>
          <w:highlight w:val="none"/>
        </w:rPr>
        <w:t xml:space="preserve">   本授权书声明：注册于</w:t>
      </w:r>
      <w:r>
        <w:rPr>
          <w:rFonts w:hint="eastAsia" w:ascii="宋体" w:hAnsi="宋体" w:eastAsia="宋体" w:cs="宋体"/>
          <w:color w:val="auto"/>
          <w:sz w:val="24"/>
          <w:szCs w:val="20"/>
          <w:highlight w:val="none"/>
          <w:u w:val="single"/>
        </w:rPr>
        <w:t>（国家或地区的名称）</w:t>
      </w:r>
      <w:r>
        <w:rPr>
          <w:rFonts w:hint="eastAsia" w:ascii="宋体" w:hAnsi="宋体" w:eastAsia="宋体" w:cs="宋体"/>
          <w:color w:val="auto"/>
          <w:sz w:val="24"/>
          <w:szCs w:val="20"/>
          <w:highlight w:val="none"/>
        </w:rPr>
        <w:t>的（</w:t>
      </w:r>
      <w:r>
        <w:rPr>
          <w:rFonts w:hint="eastAsia" w:ascii="宋体" w:hAnsi="宋体" w:eastAsia="宋体" w:cs="宋体"/>
          <w:i/>
          <w:color w:val="auto"/>
          <w:sz w:val="24"/>
          <w:szCs w:val="20"/>
          <w:highlight w:val="none"/>
          <w:u w:val="single"/>
        </w:rPr>
        <w:t>投标人</w:t>
      </w:r>
      <w:r>
        <w:rPr>
          <w:rFonts w:hint="eastAsia" w:ascii="宋体" w:hAnsi="宋体" w:eastAsia="宋体" w:cs="宋体"/>
          <w:color w:val="auto"/>
          <w:sz w:val="24"/>
          <w:szCs w:val="20"/>
          <w:highlight w:val="none"/>
        </w:rPr>
        <w:t>）的在下面签字的（</w:t>
      </w:r>
      <w:r>
        <w:rPr>
          <w:rFonts w:hint="eastAsia" w:ascii="宋体" w:hAnsi="宋体" w:eastAsia="宋体" w:cs="宋体"/>
          <w:i/>
          <w:color w:val="auto"/>
          <w:sz w:val="24"/>
          <w:szCs w:val="20"/>
          <w:highlight w:val="none"/>
          <w:u w:val="single"/>
        </w:rPr>
        <w:t>法人代表姓名、职务</w:t>
      </w:r>
      <w:r>
        <w:rPr>
          <w:rFonts w:hint="eastAsia" w:ascii="宋体" w:hAnsi="宋体" w:eastAsia="宋体" w:cs="宋体"/>
          <w:color w:val="auto"/>
          <w:sz w:val="24"/>
          <w:szCs w:val="20"/>
          <w:highlight w:val="none"/>
        </w:rPr>
        <w:t>）代表我单位授权（</w:t>
      </w:r>
      <w:r>
        <w:rPr>
          <w:rFonts w:hint="eastAsia" w:ascii="宋体" w:hAnsi="宋体" w:eastAsia="宋体" w:cs="宋体"/>
          <w:i/>
          <w:color w:val="auto"/>
          <w:sz w:val="24"/>
          <w:szCs w:val="20"/>
          <w:highlight w:val="none"/>
          <w:u w:val="single"/>
        </w:rPr>
        <w:t>单位名称</w:t>
      </w:r>
      <w:r>
        <w:rPr>
          <w:rFonts w:hint="eastAsia" w:ascii="宋体" w:hAnsi="宋体" w:eastAsia="宋体" w:cs="宋体"/>
          <w:color w:val="auto"/>
          <w:sz w:val="24"/>
          <w:szCs w:val="20"/>
          <w:highlight w:val="none"/>
        </w:rPr>
        <w:t>）的在下面签字的（</w:t>
      </w:r>
      <w:r>
        <w:rPr>
          <w:rFonts w:hint="eastAsia" w:ascii="宋体" w:hAnsi="宋体" w:eastAsia="宋体" w:cs="宋体"/>
          <w:i/>
          <w:color w:val="auto"/>
          <w:sz w:val="24"/>
          <w:szCs w:val="20"/>
          <w:highlight w:val="none"/>
          <w:u w:val="single"/>
        </w:rPr>
        <w:t>被授权人的姓名、职务</w:t>
      </w:r>
      <w:r>
        <w:rPr>
          <w:rFonts w:hint="eastAsia" w:ascii="宋体" w:hAnsi="宋体" w:eastAsia="宋体" w:cs="宋体"/>
          <w:color w:val="auto"/>
          <w:sz w:val="24"/>
          <w:szCs w:val="20"/>
          <w:highlight w:val="none"/>
        </w:rPr>
        <w:t>）为我单位的合法代理人，就（</w:t>
      </w:r>
      <w:r>
        <w:rPr>
          <w:rFonts w:hint="eastAsia" w:ascii="宋体" w:hAnsi="宋体" w:eastAsia="宋体" w:cs="宋体"/>
          <w:i/>
          <w:color w:val="auto"/>
          <w:sz w:val="24"/>
          <w:szCs w:val="20"/>
          <w:highlight w:val="none"/>
          <w:u w:val="single"/>
        </w:rPr>
        <w:t>项目名称</w:t>
      </w:r>
      <w:r>
        <w:rPr>
          <w:rFonts w:hint="eastAsia" w:ascii="宋体" w:hAnsi="宋体" w:eastAsia="宋体" w:cs="宋体"/>
          <w:color w:val="auto"/>
          <w:sz w:val="24"/>
          <w:szCs w:val="20"/>
          <w:highlight w:val="none"/>
        </w:rPr>
        <w:t>）投标，以我单位名义处理一切与之有关的事务。</w:t>
      </w:r>
      <w:r>
        <w:rPr>
          <w:rFonts w:hint="eastAsia" w:ascii="宋体" w:hAnsi="宋体" w:eastAsia="宋体" w:cs="宋体"/>
          <w:color w:val="auto"/>
          <w:sz w:val="24"/>
          <w:szCs w:val="20"/>
          <w:highlight w:val="none"/>
        </w:rPr>
        <w:cr/>
      </w:r>
      <w:r>
        <w:rPr>
          <w:rFonts w:hint="eastAsia" w:ascii="宋体" w:hAnsi="宋体" w:eastAsia="宋体" w:cs="宋体"/>
          <w:color w:val="auto"/>
          <w:sz w:val="24"/>
          <w:szCs w:val="20"/>
          <w:highlight w:val="none"/>
        </w:rPr>
        <w:t>　　本授权书于</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年</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月</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日签字生效,特此声明。</w:t>
      </w:r>
      <w:r>
        <w:rPr>
          <w:rFonts w:hint="eastAsia" w:ascii="宋体" w:hAnsi="宋体" w:eastAsia="宋体" w:cs="宋体"/>
          <w:color w:val="auto"/>
          <w:sz w:val="24"/>
          <w:highlight w:val="none"/>
        </w:rPr>
        <w:cr/>
      </w:r>
    </w:p>
    <w:p>
      <w:pPr>
        <w:pStyle w:val="25"/>
        <w:shd w:val="clear" w:color="auto" w:fill="auto"/>
        <w:tabs>
          <w:tab w:val="left" w:pos="5580"/>
        </w:tabs>
        <w:spacing w:line="240" w:lineRule="atLeast"/>
        <w:ind w:left="-547" w:leftChars="-257" w:firstLine="911" w:firstLineChars="375"/>
        <w:rPr>
          <w:rFonts w:hint="eastAsia" w:ascii="宋体" w:hAnsi="宋体" w:eastAsia="宋体" w:cs="宋体"/>
          <w:color w:val="auto"/>
          <w:sz w:val="24"/>
          <w:highlight w:val="none"/>
        </w:rPr>
      </w:pPr>
      <w:r>
        <w:rPr>
          <w:rFonts w:hint="eastAsia" w:ascii="宋体" w:hAnsi="宋体" w:eastAsia="宋体" w:cs="宋体"/>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3039110</wp:posOffset>
                </wp:positionH>
                <wp:positionV relativeFrom="paragraph">
                  <wp:posOffset>167640</wp:posOffset>
                </wp:positionV>
                <wp:extent cx="2478405" cy="1125220"/>
                <wp:effectExtent l="7620" t="7620" r="13335" b="10160"/>
                <wp:wrapNone/>
                <wp:docPr id="4" name="圆角矩形 4"/>
                <wp:cNvGraphicFramePr/>
                <a:graphic xmlns:a="http://schemas.openxmlformats.org/drawingml/2006/main">
                  <a:graphicData uri="http://schemas.microsoft.com/office/word/2010/wordprocessingShape">
                    <wps:wsp>
                      <wps:cNvSpPr/>
                      <wps:spPr>
                        <a:xfrm>
                          <a:off x="0" y="0"/>
                          <a:ext cx="2478405" cy="112522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pPr>
                              <w:rPr>
                                <w:rFonts w:hint="eastAsia" w:hAnsi="宋体"/>
                              </w:rPr>
                            </w:pPr>
                          </w:p>
                          <w:p>
                            <w:pPr>
                              <w:rPr>
                                <w:rFonts w:hint="eastAsia" w:hAnsi="宋体"/>
                              </w:rPr>
                            </w:pPr>
                          </w:p>
                          <w:p>
                            <w:pPr>
                              <w:rPr>
                                <w:rFonts w:hint="eastAsia" w:hAnsi="宋体"/>
                              </w:rPr>
                            </w:pPr>
                          </w:p>
                          <w:p>
                            <w:r>
                              <w:rPr>
                                <w:rFonts w:hint="eastAsia" w:hAnsi="宋体"/>
                              </w:rPr>
                              <w:t>授权委托人身份证复印件反面</w:t>
                            </w:r>
                          </w:p>
                          <w:p/>
                        </w:txbxContent>
                      </wps:txbx>
                      <wps:bodyPr wrap="square" upright="1"/>
                    </wps:wsp>
                  </a:graphicData>
                </a:graphic>
              </wp:anchor>
            </w:drawing>
          </mc:Choice>
          <mc:Fallback>
            <w:pict>
              <v:roundrect id="_x0000_s1026" o:spid="_x0000_s1026" o:spt="2" style="position:absolute;left:0pt;margin-left:239.3pt;margin-top:13.2pt;height:88.6pt;width:195.15pt;z-index:251660288;mso-width-relative:page;mso-height-relative:page;" fillcolor="#FFFFFF" filled="t" stroked="t" coordsize="21600,21600" arcsize="0.166666666666667" o:gfxdata="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OaFySLbAAAACgEAAA8AAAAAAAAAAQAgAAAAIgAAAGRycy9kb3du&#10;cmV2LnhtbFBLAQIUABQAAAAIAIdO4kAgoDXkNQIAAHQEAAAOAAAAAAAAAAEAIAAAACoBAABkcnMv&#10;ZTJvRG9jLnhtbFBLBQYAAAAABgAGAFkBAADRBQAAAAA=&#10;">
                <v:fill on="t" focussize="0,0"/>
                <v:stroke weight="1.25pt" color="#808080" joinstyle="round"/>
                <v:imagedata o:title=""/>
                <o:lock v:ext="edit" aspectratio="f"/>
                <v:textbox>
                  <w:txbxContent>
                    <w:p>
                      <w:pPr>
                        <w:rPr>
                          <w:rFonts w:hint="eastAsia" w:hAnsi="宋体"/>
                        </w:rPr>
                      </w:pPr>
                    </w:p>
                    <w:p>
                      <w:pPr>
                        <w:rPr>
                          <w:rFonts w:hint="eastAsia" w:hAnsi="宋体"/>
                        </w:rPr>
                      </w:pPr>
                    </w:p>
                    <w:p>
                      <w:pPr>
                        <w:rPr>
                          <w:rFonts w:hint="eastAsia" w:hAnsi="宋体"/>
                        </w:rPr>
                      </w:pPr>
                    </w:p>
                    <w:p>
                      <w:r>
                        <w:rPr>
                          <w:rFonts w:hint="eastAsia" w:hAnsi="宋体"/>
                        </w:rPr>
                        <w:t>授权委托人身份证复印件反面</w:t>
                      </w:r>
                    </w:p>
                    <w:p/>
                  </w:txbxContent>
                </v:textbox>
              </v:roundrect>
            </w:pict>
          </mc:Fallback>
        </mc:AlternateContent>
      </w:r>
      <w:r>
        <w:rPr>
          <w:rFonts w:hint="eastAsia" w:ascii="宋体" w:hAnsi="宋体" w:eastAsia="宋体" w:cs="宋体"/>
          <w:color w:val="auto"/>
          <w:sz w:val="24"/>
          <w:highlight w:val="none"/>
        </w:rPr>
        <mc:AlternateContent>
          <mc:Choice Requires="wps">
            <w:drawing>
              <wp:anchor distT="0" distB="0" distL="114300" distR="114300" simplePos="0" relativeHeight="251659264" behindDoc="0" locked="0" layoutInCell="1" allowOverlap="1">
                <wp:simplePos x="0" y="0"/>
                <wp:positionH relativeFrom="column">
                  <wp:posOffset>20955</wp:posOffset>
                </wp:positionH>
                <wp:positionV relativeFrom="paragraph">
                  <wp:posOffset>135890</wp:posOffset>
                </wp:positionV>
                <wp:extent cx="2507615" cy="1143000"/>
                <wp:effectExtent l="4445" t="4445" r="17780" b="10795"/>
                <wp:wrapNone/>
                <wp:docPr id="6" name="流程图: 可选过程 6"/>
                <wp:cNvGraphicFramePr/>
                <a:graphic xmlns:a="http://schemas.openxmlformats.org/drawingml/2006/main">
                  <a:graphicData uri="http://schemas.microsoft.com/office/word/2010/wordprocessingShape">
                    <wps:wsp>
                      <wps:cNvSpPr/>
                      <wps:spPr>
                        <a:xfrm>
                          <a:off x="0" y="0"/>
                          <a:ext cx="2507615" cy="114300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rPr>
                            </w:pPr>
                          </w:p>
                          <w:p>
                            <w:pPr>
                              <w:jc w:val="center"/>
                              <w:rPr>
                                <w:rFonts w:hint="eastAsia" w:hAnsi="宋体"/>
                              </w:rPr>
                            </w:pPr>
                          </w:p>
                          <w:p>
                            <w:pPr>
                              <w:jc w:val="center"/>
                              <w:rPr>
                                <w:rFonts w:hint="eastAsia" w:hAnsi="宋体"/>
                              </w:rPr>
                            </w:pPr>
                          </w:p>
                          <w:p>
                            <w:pPr>
                              <w:jc w:val="center"/>
                            </w:pPr>
                            <w:r>
                              <w:rPr>
                                <w:rFonts w:hint="eastAsia" w:hAnsi="宋体"/>
                              </w:rPr>
                              <w:t>授权委托人身份证复印件正面</w:t>
                            </w:r>
                          </w:p>
                        </w:txbxContent>
                      </wps:txbx>
                      <wps:bodyPr wrap="square" upright="1"/>
                    </wps:wsp>
                  </a:graphicData>
                </a:graphic>
              </wp:anchor>
            </w:drawing>
          </mc:Choice>
          <mc:Fallback>
            <w:pict>
              <v:shape id="_x0000_s1026" o:spid="_x0000_s1026" o:spt="176" type="#_x0000_t176" style="position:absolute;left:0pt;margin-left:1.65pt;margin-top:10.7pt;height:90pt;width:197.45pt;z-index:251659264;mso-width-relative:page;mso-height-relative:page;" fillcolor="#FFFFFF" filled="t" stroked="t" coordsize="21600,21600" o:gfxdata="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YEjIw1gAAAAgBAAAPAAAAAAAAAAEAIAAAACIAAABkcnMvZG93&#10;bnJldi54bWxQSwECFAAUAAAACACHTuJAeahyfDsCAABsBAAADgAAAAAAAAABACAAAAAlAQAAZHJz&#10;L2Uyb0RvYy54bWxQSwUGAAAAAAYABgBZAQAA0gUAAAAA&#10;">
                <v:fill on="t" focussize="0,0"/>
                <v:stroke color="#000000" joinstyle="miter"/>
                <v:imagedata o:title=""/>
                <o:lock v:ext="edit" aspectratio="f"/>
                <v:textbox>
                  <w:txbxContent>
                    <w:p>
                      <w:pPr>
                        <w:jc w:val="center"/>
                        <w:rPr>
                          <w:rFonts w:hint="eastAsia" w:hAnsi="宋体"/>
                        </w:rPr>
                      </w:pPr>
                    </w:p>
                    <w:p>
                      <w:pPr>
                        <w:jc w:val="center"/>
                        <w:rPr>
                          <w:rFonts w:hint="eastAsia" w:hAnsi="宋体"/>
                        </w:rPr>
                      </w:pPr>
                    </w:p>
                    <w:p>
                      <w:pPr>
                        <w:jc w:val="center"/>
                        <w:rPr>
                          <w:rFonts w:hint="eastAsia" w:hAnsi="宋体"/>
                        </w:rPr>
                      </w:pPr>
                    </w:p>
                    <w:p>
                      <w:pPr>
                        <w:jc w:val="center"/>
                      </w:pPr>
                      <w:r>
                        <w:rPr>
                          <w:rFonts w:hint="eastAsia" w:hAnsi="宋体"/>
                        </w:rPr>
                        <w:t>授权委托人身份证复印件正面</w:t>
                      </w:r>
                    </w:p>
                  </w:txbxContent>
                </v:textbox>
              </v:shape>
            </w:pict>
          </mc:Fallback>
        </mc:AlternateContent>
      </w:r>
    </w:p>
    <w:p>
      <w:pPr>
        <w:shd w:val="clear" w:color="auto" w:fill="auto"/>
        <w:spacing w:line="360" w:lineRule="auto"/>
        <w:ind w:firstLine="243" w:firstLineChars="100"/>
        <w:rPr>
          <w:rFonts w:hint="eastAsia" w:ascii="宋体" w:hAnsi="宋体" w:eastAsia="宋体" w:cs="宋体"/>
          <w:color w:val="auto"/>
          <w:sz w:val="24"/>
          <w:highlight w:val="none"/>
        </w:rPr>
      </w:pPr>
    </w:p>
    <w:p>
      <w:pPr>
        <w:shd w:val="clear" w:color="auto" w:fill="auto"/>
        <w:spacing w:line="360" w:lineRule="auto"/>
        <w:ind w:firstLine="243" w:firstLineChars="100"/>
        <w:rPr>
          <w:rFonts w:hint="eastAsia" w:ascii="宋体" w:hAnsi="宋体" w:eastAsia="宋体" w:cs="宋体"/>
          <w:color w:val="auto"/>
          <w:sz w:val="24"/>
          <w:highlight w:val="none"/>
        </w:rPr>
      </w:pPr>
    </w:p>
    <w:p>
      <w:pPr>
        <w:shd w:val="clear" w:color="auto" w:fill="auto"/>
        <w:spacing w:line="360" w:lineRule="auto"/>
        <w:ind w:firstLine="243" w:firstLineChars="100"/>
        <w:rPr>
          <w:rFonts w:hint="eastAsia" w:ascii="宋体" w:hAnsi="宋体" w:eastAsia="宋体" w:cs="宋体"/>
          <w:color w:val="auto"/>
          <w:sz w:val="24"/>
          <w:highlight w:val="none"/>
        </w:rPr>
      </w:pPr>
    </w:p>
    <w:p>
      <w:pPr>
        <w:shd w:val="clear" w:color="auto" w:fill="auto"/>
        <w:spacing w:line="360" w:lineRule="auto"/>
        <w:ind w:firstLine="243" w:firstLineChars="100"/>
        <w:rPr>
          <w:rFonts w:hint="eastAsia" w:ascii="宋体" w:hAnsi="宋体" w:eastAsia="宋体" w:cs="宋体"/>
          <w:color w:val="auto"/>
          <w:sz w:val="24"/>
          <w:highlight w:val="none"/>
        </w:rPr>
      </w:pPr>
    </w:p>
    <w:p>
      <w:pPr>
        <w:shd w:val="clear" w:color="auto" w:fill="auto"/>
        <w:spacing w:line="360" w:lineRule="auto"/>
        <w:ind w:firstLine="243"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mc:AlternateContent>
          <mc:Choice Requires="wps">
            <w:drawing>
              <wp:anchor distT="0" distB="0" distL="114300" distR="114300" simplePos="0" relativeHeight="251662336" behindDoc="0" locked="0" layoutInCell="1" allowOverlap="1">
                <wp:simplePos x="0" y="0"/>
                <wp:positionH relativeFrom="column">
                  <wp:posOffset>3018155</wp:posOffset>
                </wp:positionH>
                <wp:positionV relativeFrom="paragraph">
                  <wp:posOffset>53975</wp:posOffset>
                </wp:positionV>
                <wp:extent cx="2535555" cy="1029335"/>
                <wp:effectExtent l="7620" t="7620" r="17145" b="14605"/>
                <wp:wrapNone/>
                <wp:docPr id="5" name="圆角矩形 5"/>
                <wp:cNvGraphicFramePr/>
                <a:graphic xmlns:a="http://schemas.openxmlformats.org/drawingml/2006/main">
                  <a:graphicData uri="http://schemas.microsoft.com/office/word/2010/wordprocessingShape">
                    <wps:wsp>
                      <wps:cNvSpPr/>
                      <wps:spPr>
                        <a:xfrm>
                          <a:off x="0" y="0"/>
                          <a:ext cx="2535555" cy="1029335"/>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pPr>
                              <w:jc w:val="center"/>
                              <w:rPr>
                                <w:rFonts w:hint="eastAsia" w:hAnsi="宋体"/>
                              </w:rPr>
                            </w:pPr>
                            <w:r>
                              <w:rPr>
                                <w:rFonts w:hint="eastAsia" w:hAnsi="宋体"/>
                              </w:rPr>
                              <w:t xml:space="preserve">  </w:t>
                            </w:r>
                          </w:p>
                          <w:p>
                            <w:pPr>
                              <w:jc w:val="center"/>
                              <w:rPr>
                                <w:rFonts w:hint="eastAsia" w:hAnsi="宋体"/>
                              </w:rPr>
                            </w:pPr>
                          </w:p>
                          <w:p>
                            <w:pPr>
                              <w:jc w:val="center"/>
                              <w:rPr>
                                <w:rFonts w:hint="eastAsia" w:hAnsi="宋体"/>
                              </w:rPr>
                            </w:pPr>
                          </w:p>
                          <w:p>
                            <w:pPr>
                              <w:jc w:val="center"/>
                            </w:pPr>
                            <w:r>
                              <w:rPr>
                                <w:rFonts w:hint="eastAsia" w:hAnsi="宋体"/>
                              </w:rPr>
                              <w:t>法人身份证复印件反面</w:t>
                            </w:r>
                          </w:p>
                          <w:p/>
                        </w:txbxContent>
                      </wps:txbx>
                      <wps:bodyPr wrap="square" upright="1"/>
                    </wps:wsp>
                  </a:graphicData>
                </a:graphic>
              </wp:anchor>
            </w:drawing>
          </mc:Choice>
          <mc:Fallback>
            <w:pict>
              <v:roundrect id="_x0000_s1026" o:spid="_x0000_s1026" o:spt="2" style="position:absolute;left:0pt;margin-left:237.65pt;margin-top:4.25pt;height:81.05pt;width:199.65pt;z-index:251662336;mso-width-relative:page;mso-height-relative:page;" fillcolor="#FFFFFF" filled="t" stroked="t" coordsize="21600,21600" arcsize="0.166666666666667" o:gfxdata="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UHNIL2gAAAAkBAAAPAAAAAAAAAAEAIAAAACIAAABkcnMvZG93bnJl&#10;di54bWxQSwECFAAUAAAACACHTuJAoDR6FTQCAAB0BAAADgAAAAAAAAABACAAAAApAQAAZHJzL2Uy&#10;b0RvYy54bWxQSwUGAAAAAAYABgBZAQAAzwUAAAAA&#10;">
                <v:fill on="t" focussize="0,0"/>
                <v:stroke weight="1.25pt" color="#808080" joinstyle="round"/>
                <v:imagedata o:title=""/>
                <o:lock v:ext="edit" aspectratio="f"/>
                <v:textbox>
                  <w:txbxContent>
                    <w:p>
                      <w:pPr>
                        <w:jc w:val="center"/>
                        <w:rPr>
                          <w:rFonts w:hint="eastAsia" w:hAnsi="宋体"/>
                        </w:rPr>
                      </w:pPr>
                      <w:r>
                        <w:rPr>
                          <w:rFonts w:hint="eastAsia" w:hAnsi="宋体"/>
                        </w:rPr>
                        <w:t xml:space="preserve">  </w:t>
                      </w:r>
                    </w:p>
                    <w:p>
                      <w:pPr>
                        <w:jc w:val="center"/>
                        <w:rPr>
                          <w:rFonts w:hint="eastAsia" w:hAnsi="宋体"/>
                        </w:rPr>
                      </w:pPr>
                    </w:p>
                    <w:p>
                      <w:pPr>
                        <w:jc w:val="center"/>
                        <w:rPr>
                          <w:rFonts w:hint="eastAsia" w:hAnsi="宋体"/>
                        </w:rPr>
                      </w:pPr>
                    </w:p>
                    <w:p>
                      <w:pPr>
                        <w:jc w:val="center"/>
                      </w:pPr>
                      <w:r>
                        <w:rPr>
                          <w:rFonts w:hint="eastAsia" w:hAnsi="宋体"/>
                        </w:rPr>
                        <w:t>法人身份证复印件反面</w:t>
                      </w:r>
                    </w:p>
                    <w:p/>
                  </w:txbxContent>
                </v:textbox>
              </v:roundrect>
            </w:pict>
          </mc:Fallback>
        </mc:AlternateContent>
      </w:r>
      <w:r>
        <w:rPr>
          <w:rFonts w:hint="eastAsia" w:ascii="宋体" w:hAnsi="宋体" w:eastAsia="宋体" w:cs="宋体"/>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-10795</wp:posOffset>
                </wp:positionH>
                <wp:positionV relativeFrom="paragraph">
                  <wp:posOffset>29845</wp:posOffset>
                </wp:positionV>
                <wp:extent cx="2555240" cy="1024890"/>
                <wp:effectExtent l="7620" t="7620" r="12700" b="19050"/>
                <wp:wrapNone/>
                <wp:docPr id="3" name="圆角矩形 3"/>
                <wp:cNvGraphicFramePr/>
                <a:graphic xmlns:a="http://schemas.openxmlformats.org/drawingml/2006/main">
                  <a:graphicData uri="http://schemas.microsoft.com/office/word/2010/wordprocessingShape">
                    <wps:wsp>
                      <wps:cNvSpPr/>
                      <wps:spPr>
                        <a:xfrm>
                          <a:off x="0" y="0"/>
                          <a:ext cx="2555240" cy="102489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pPr>
                              <w:jc w:val="center"/>
                              <w:rPr>
                                <w:rFonts w:hint="eastAsia" w:hAnsi="宋体"/>
                              </w:rPr>
                            </w:pPr>
                          </w:p>
                          <w:p>
                            <w:pPr>
                              <w:jc w:val="center"/>
                              <w:rPr>
                                <w:rFonts w:hint="eastAsia" w:hAnsi="宋体"/>
                              </w:rPr>
                            </w:pPr>
                          </w:p>
                          <w:p>
                            <w:pPr>
                              <w:jc w:val="center"/>
                              <w:rPr>
                                <w:rFonts w:hint="eastAsia" w:hAnsi="宋体"/>
                              </w:rPr>
                            </w:pPr>
                          </w:p>
                          <w:p>
                            <w:pPr>
                              <w:jc w:val="center"/>
                            </w:pPr>
                            <w:r>
                              <w:rPr>
                                <w:rFonts w:hint="eastAsia" w:hAnsi="宋体"/>
                              </w:rPr>
                              <w:t>法人身份证复印件正面</w:t>
                            </w:r>
                          </w:p>
                          <w:p/>
                        </w:txbxContent>
                      </wps:txbx>
                      <wps:bodyPr wrap="square" upright="1"/>
                    </wps:wsp>
                  </a:graphicData>
                </a:graphic>
              </wp:anchor>
            </w:drawing>
          </mc:Choice>
          <mc:Fallback>
            <w:pict>
              <v:roundrect id="_x0000_s1026" o:spid="_x0000_s1026" o:spt="2" style="position:absolute;left:0pt;margin-left:-0.85pt;margin-top:2.35pt;height:80.7pt;width:201.2pt;z-index:251661312;mso-width-relative:page;mso-height-relative:page;" fillcolor="#FFFFFF" filled="t" stroked="t" coordsize="21600,21600" arcsize="0.166666666666667" o:gfxdata="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U74Le9gAAAAIAQAADwAAAAAAAAABACAAAAAiAAAAZHJzL2Rvd25y&#10;ZXYueG1sUEsBAhQAFAAAAAgAh07iQIuywrY3AgAAdAQAAA4AAAAAAAAAAQAgAAAAJwEAAGRycy9l&#10;Mm9Eb2MueG1sUEsFBgAAAAAGAAYAWQEAANAFAAAAAA==&#10;">
                <v:fill on="t" focussize="0,0"/>
                <v:stroke weight="1.25pt" color="#808080" joinstyle="round"/>
                <v:imagedata o:title=""/>
                <o:lock v:ext="edit" aspectratio="f"/>
                <v:textbox>
                  <w:txbxContent>
                    <w:p>
                      <w:pPr>
                        <w:jc w:val="center"/>
                        <w:rPr>
                          <w:rFonts w:hint="eastAsia" w:hAnsi="宋体"/>
                        </w:rPr>
                      </w:pPr>
                    </w:p>
                    <w:p>
                      <w:pPr>
                        <w:jc w:val="center"/>
                        <w:rPr>
                          <w:rFonts w:hint="eastAsia" w:hAnsi="宋体"/>
                        </w:rPr>
                      </w:pPr>
                    </w:p>
                    <w:p>
                      <w:pPr>
                        <w:jc w:val="center"/>
                        <w:rPr>
                          <w:rFonts w:hint="eastAsia" w:hAnsi="宋体"/>
                        </w:rPr>
                      </w:pPr>
                    </w:p>
                    <w:p>
                      <w:pPr>
                        <w:jc w:val="center"/>
                      </w:pPr>
                      <w:r>
                        <w:rPr>
                          <w:rFonts w:hint="eastAsia" w:hAnsi="宋体"/>
                        </w:rPr>
                        <w:t>法人身份证复印件正面</w:t>
                      </w:r>
                    </w:p>
                    <w:p/>
                  </w:txbxContent>
                </v:textbox>
              </v:roundrect>
            </w:pict>
          </mc:Fallback>
        </mc:AlternateContent>
      </w:r>
    </w:p>
    <w:p>
      <w:pPr>
        <w:shd w:val="clear" w:color="auto" w:fill="auto"/>
        <w:spacing w:line="360" w:lineRule="auto"/>
        <w:ind w:firstLine="243" w:firstLineChars="100"/>
        <w:rPr>
          <w:rFonts w:hint="eastAsia" w:ascii="宋体" w:hAnsi="宋体" w:eastAsia="宋体" w:cs="宋体"/>
          <w:color w:val="auto"/>
          <w:sz w:val="24"/>
          <w:highlight w:val="none"/>
        </w:rPr>
      </w:pPr>
    </w:p>
    <w:p>
      <w:pPr>
        <w:shd w:val="clear" w:color="auto" w:fill="auto"/>
        <w:spacing w:line="360" w:lineRule="auto"/>
        <w:ind w:firstLine="243" w:firstLineChars="100"/>
        <w:rPr>
          <w:rFonts w:hint="eastAsia" w:ascii="宋体" w:hAnsi="宋体" w:eastAsia="宋体" w:cs="宋体"/>
          <w:color w:val="auto"/>
          <w:sz w:val="24"/>
          <w:highlight w:val="none"/>
        </w:rPr>
      </w:pPr>
    </w:p>
    <w:p>
      <w:pPr>
        <w:shd w:val="clear" w:color="auto" w:fill="auto"/>
        <w:spacing w:line="360" w:lineRule="auto"/>
        <w:ind w:firstLine="243" w:firstLineChars="100"/>
        <w:rPr>
          <w:rFonts w:hint="eastAsia" w:ascii="宋体" w:hAnsi="宋体" w:eastAsia="宋体" w:cs="宋体"/>
          <w:color w:val="auto"/>
          <w:sz w:val="24"/>
          <w:highlight w:val="none"/>
        </w:rPr>
      </w:pPr>
    </w:p>
    <w:p>
      <w:pPr>
        <w:shd w:val="clear" w:color="auto" w:fill="auto"/>
        <w:spacing w:line="360" w:lineRule="auto"/>
        <w:ind w:firstLine="243" w:firstLineChars="100"/>
        <w:rPr>
          <w:rFonts w:hint="eastAsia" w:ascii="宋体" w:hAnsi="宋体" w:eastAsia="宋体" w:cs="宋体"/>
          <w:color w:val="auto"/>
          <w:sz w:val="24"/>
          <w:highlight w:val="none"/>
        </w:rPr>
      </w:pPr>
    </w:p>
    <w:p>
      <w:pPr>
        <w:pStyle w:val="25"/>
        <w:shd w:val="clear" w:color="auto" w:fill="auto"/>
        <w:tabs>
          <w:tab w:val="left" w:pos="5580"/>
        </w:tabs>
        <w:spacing w:line="240" w:lineRule="atLeast"/>
        <w:ind w:left="-547" w:leftChars="-257" w:firstLine="911" w:firstLineChars="375"/>
        <w:rPr>
          <w:rFonts w:hint="eastAsia" w:ascii="宋体" w:hAnsi="宋体" w:eastAsia="宋体" w:cs="宋体"/>
          <w:color w:val="auto"/>
          <w:sz w:val="24"/>
          <w:highlight w:val="none"/>
        </w:rPr>
      </w:pPr>
    </w:p>
    <w:p>
      <w:pPr>
        <w:pStyle w:val="25"/>
        <w:shd w:val="clear" w:color="auto" w:fill="auto"/>
        <w:tabs>
          <w:tab w:val="left" w:pos="5580"/>
        </w:tabs>
        <w:spacing w:line="240" w:lineRule="atLeast"/>
        <w:ind w:left="-547" w:leftChars="-257" w:firstLine="911" w:firstLineChars="375"/>
        <w:rPr>
          <w:rFonts w:hint="eastAsia" w:ascii="宋体" w:hAnsi="宋体" w:eastAsia="宋体" w:cs="宋体"/>
          <w:color w:val="auto"/>
          <w:sz w:val="24"/>
          <w:highlight w:val="none"/>
        </w:rPr>
      </w:pPr>
    </w:p>
    <w:p>
      <w:pPr>
        <w:pStyle w:val="25"/>
        <w:shd w:val="clear" w:color="auto" w:fill="auto"/>
        <w:tabs>
          <w:tab w:val="left" w:pos="5580"/>
        </w:tabs>
        <w:spacing w:line="240" w:lineRule="atLeast"/>
        <w:ind w:firstLine="486"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投标人（盖单位章）;</w:t>
      </w:r>
      <w:r>
        <w:rPr>
          <w:rFonts w:hint="eastAsia" w:ascii="宋体" w:hAnsi="宋体" w:eastAsia="宋体" w:cs="宋体"/>
          <w:color w:val="auto"/>
          <w:sz w:val="24"/>
          <w:highlight w:val="none"/>
          <w:u w:val="single"/>
        </w:rPr>
        <w:t xml:space="preserve">                           </w:t>
      </w:r>
    </w:p>
    <w:p>
      <w:pPr>
        <w:pStyle w:val="25"/>
        <w:shd w:val="clear" w:color="auto" w:fill="auto"/>
        <w:tabs>
          <w:tab w:val="left" w:pos="5580"/>
        </w:tabs>
        <w:spacing w:line="240" w:lineRule="atLeast"/>
        <w:ind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法定代表人（签字或签章）：</w:t>
      </w:r>
      <w:r>
        <w:rPr>
          <w:rFonts w:hint="eastAsia" w:ascii="宋体" w:hAnsi="宋体" w:eastAsia="宋体" w:cs="宋体"/>
          <w:color w:val="auto"/>
          <w:sz w:val="24"/>
          <w:highlight w:val="none"/>
          <w:u w:val="single"/>
        </w:rPr>
        <w:t xml:space="preserve">                     </w:t>
      </w:r>
    </w:p>
    <w:p>
      <w:pPr>
        <w:pStyle w:val="25"/>
        <w:shd w:val="clear" w:color="auto" w:fill="auto"/>
        <w:tabs>
          <w:tab w:val="left" w:pos="5580"/>
        </w:tabs>
        <w:spacing w:line="240" w:lineRule="atLeast"/>
        <w:ind w:firstLine="486"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委托代理人：</w:t>
      </w:r>
      <w:r>
        <w:rPr>
          <w:rFonts w:hint="eastAsia" w:ascii="宋体" w:hAnsi="宋体" w:eastAsia="宋体" w:cs="宋体"/>
          <w:color w:val="auto"/>
          <w:sz w:val="24"/>
          <w:highlight w:val="none"/>
          <w:u w:val="single"/>
        </w:rPr>
        <w:t xml:space="preserve">                                   </w:t>
      </w:r>
    </w:p>
    <w:p>
      <w:pPr>
        <w:shd w:val="clear" w:color="auto" w:fill="auto"/>
        <w:spacing w:line="360" w:lineRule="auto"/>
        <w:ind w:firstLine="486" w:firstLineChars="200"/>
        <w:jc w:val="left"/>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 xml:space="preserve">年   月   日 </w:t>
      </w:r>
    </w:p>
    <w:p>
      <w:pPr>
        <w:pStyle w:val="4"/>
        <w:numPr>
          <w:ilvl w:val="0"/>
          <w:numId w:val="0"/>
        </w:numPr>
        <w:shd w:val="clear" w:color="auto" w:fill="auto"/>
        <w:spacing w:before="0" w:line="240" w:lineRule="atLeast"/>
        <w:ind w:leftChars="257"/>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141" w:name="_Toc26357"/>
    </w:p>
    <w:p>
      <w:pPr>
        <w:pStyle w:val="4"/>
        <w:numPr>
          <w:ilvl w:val="0"/>
          <w:numId w:val="0"/>
        </w:numPr>
        <w:shd w:val="clear" w:color="auto" w:fill="auto"/>
        <w:spacing w:before="0" w:line="240" w:lineRule="atLeas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具有良好的商业信誉和健全的财务会计制度的证明文件</w:t>
      </w:r>
      <w:bookmarkEnd w:id="133"/>
      <w:bookmarkEnd w:id="134"/>
      <w:bookmarkEnd w:id="135"/>
      <w:bookmarkEnd w:id="141"/>
    </w:p>
    <w:p>
      <w:pPr>
        <w:shd w:val="clear" w:color="auto" w:fill="auto"/>
        <w:tabs>
          <w:tab w:val="left" w:pos="5580"/>
        </w:tabs>
        <w:spacing w:line="240" w:lineRule="atLeast"/>
        <w:ind w:left="1087" w:leftChars="257" w:hanging="540"/>
        <w:jc w:val="center"/>
        <w:rPr>
          <w:rFonts w:hint="eastAsia" w:ascii="宋体" w:hAnsi="宋体" w:eastAsia="宋体" w:cs="宋体"/>
          <w:b/>
          <w:color w:val="auto"/>
          <w:sz w:val="24"/>
          <w:highlight w:val="none"/>
        </w:rPr>
      </w:pPr>
    </w:p>
    <w:p>
      <w:pPr>
        <w:shd w:val="clear" w:color="auto" w:fill="auto"/>
        <w:tabs>
          <w:tab w:val="left" w:pos="5580"/>
        </w:tabs>
        <w:spacing w:line="240" w:lineRule="atLeast"/>
        <w:ind w:left="1087" w:leftChars="257" w:hanging="540"/>
        <w:jc w:val="center"/>
        <w:rPr>
          <w:rFonts w:hint="eastAsia" w:ascii="宋体" w:hAnsi="宋体" w:eastAsia="宋体" w:cs="宋体"/>
          <w:b/>
          <w:color w:val="auto"/>
          <w:sz w:val="24"/>
          <w:highlight w:val="none"/>
        </w:rPr>
      </w:pPr>
    </w:p>
    <w:p>
      <w:pPr>
        <w:shd w:val="clear" w:color="auto" w:fill="auto"/>
        <w:tabs>
          <w:tab w:val="left" w:pos="3060"/>
          <w:tab w:val="left" w:pos="5580"/>
        </w:tabs>
        <w:spacing w:line="240" w:lineRule="atLeast"/>
        <w:ind w:left="1087" w:leftChars="257" w:hanging="540"/>
        <w:rPr>
          <w:rFonts w:hint="eastAsia" w:ascii="宋体" w:hAnsi="宋体" w:eastAsia="宋体" w:cs="宋体"/>
          <w:b/>
          <w:color w:val="auto"/>
          <w:sz w:val="24"/>
          <w:highlight w:val="none"/>
        </w:rPr>
      </w:pPr>
    </w:p>
    <w:p>
      <w:pPr>
        <w:shd w:val="clear" w:color="auto" w:fill="auto"/>
        <w:tabs>
          <w:tab w:val="left" w:pos="5580"/>
        </w:tabs>
        <w:spacing w:line="240" w:lineRule="atLeast"/>
        <w:ind w:left="1087" w:leftChars="257" w:hanging="540"/>
        <w:jc w:val="center"/>
        <w:rPr>
          <w:rFonts w:hint="eastAsia" w:ascii="宋体" w:hAnsi="宋体" w:eastAsia="宋体" w:cs="宋体"/>
          <w:b/>
          <w:color w:val="auto"/>
          <w:sz w:val="24"/>
          <w:highlight w:val="none"/>
        </w:rPr>
      </w:pPr>
    </w:p>
    <w:p>
      <w:pPr>
        <w:shd w:val="clear" w:color="auto" w:fill="auto"/>
        <w:tabs>
          <w:tab w:val="left" w:pos="5580"/>
        </w:tabs>
        <w:spacing w:line="240" w:lineRule="atLeast"/>
        <w:ind w:left="1087"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说明：</w:t>
      </w:r>
    </w:p>
    <w:p>
      <w:pPr>
        <w:shd w:val="clear" w:color="auto" w:fill="auto"/>
        <w:tabs>
          <w:tab w:val="left" w:pos="5580"/>
        </w:tabs>
        <w:spacing w:line="240" w:lineRule="atLeast"/>
        <w:ind w:left="540"/>
        <w:rPr>
          <w:rFonts w:hint="eastAsia" w:ascii="宋体" w:hAnsi="宋体" w:eastAsia="宋体" w:cs="宋体"/>
          <w:bCs/>
          <w:color w:val="auto"/>
          <w:sz w:val="24"/>
          <w:highlight w:val="none"/>
        </w:rPr>
      </w:pPr>
      <w:r>
        <w:rPr>
          <w:rFonts w:hint="eastAsia" w:ascii="宋体" w:hAnsi="宋体" w:eastAsia="宋体" w:cs="宋体"/>
          <w:color w:val="auto"/>
          <w:sz w:val="24"/>
          <w:highlight w:val="none"/>
        </w:rPr>
        <w:t>1、如提供本单位上年度经会计师事务所出具的审计报告复印件须加盖</w:t>
      </w:r>
      <w:r>
        <w:rPr>
          <w:rFonts w:hint="eastAsia" w:ascii="宋体" w:hAnsi="宋体" w:eastAsia="宋体" w:cs="宋体"/>
          <w:bCs/>
          <w:color w:val="auto"/>
          <w:sz w:val="24"/>
          <w:highlight w:val="none"/>
        </w:rPr>
        <w:t>本单位章。</w:t>
      </w:r>
    </w:p>
    <w:p>
      <w:pPr>
        <w:shd w:val="clear" w:color="auto" w:fill="auto"/>
        <w:tabs>
          <w:tab w:val="left" w:pos="5580"/>
        </w:tabs>
        <w:spacing w:line="240" w:lineRule="atLeast"/>
        <w:ind w:left="540"/>
        <w:rPr>
          <w:rFonts w:hint="eastAsia" w:ascii="宋体" w:hAnsi="宋体" w:eastAsia="宋体" w:cs="宋体"/>
          <w:color w:val="auto"/>
          <w:sz w:val="24"/>
          <w:highlight w:val="none"/>
        </w:rPr>
      </w:pPr>
      <w:r>
        <w:rPr>
          <w:rFonts w:hint="eastAsia" w:ascii="宋体" w:hAnsi="宋体" w:eastAsia="宋体" w:cs="宋体"/>
          <w:color w:val="auto"/>
          <w:sz w:val="24"/>
          <w:highlight w:val="none"/>
        </w:rPr>
        <w:t>2、如提供银行出具的证明文件。银行证明文件可提供原件，也可提供银行在开标日前三个月内开具证明文件的复印件。若提供的是复印件，招标采购单位保留审核原件的权利。银行出具的证明文件应能说明该投标人与银行之间业务往来正常，企业信誉良好等。</w:t>
      </w:r>
    </w:p>
    <w:p>
      <w:pPr>
        <w:shd w:val="clear" w:color="auto" w:fill="auto"/>
        <w:tabs>
          <w:tab w:val="left" w:pos="5580"/>
        </w:tabs>
        <w:spacing w:line="240" w:lineRule="atLeast"/>
        <w:ind w:left="1087"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3、（本项目不接受联合体投标）如果是联合体投标，联合体各方均需提供上述证明。</w:t>
      </w:r>
    </w:p>
    <w:p>
      <w:pPr>
        <w:shd w:val="clear" w:color="auto" w:fill="auto"/>
        <w:tabs>
          <w:tab w:val="left" w:pos="5580"/>
        </w:tabs>
        <w:spacing w:line="240" w:lineRule="atLeast"/>
        <w:ind w:left="1087" w:leftChars="257" w:hanging="540"/>
        <w:rPr>
          <w:rFonts w:hint="eastAsia" w:ascii="宋体" w:hAnsi="宋体" w:eastAsia="宋体" w:cs="宋体"/>
          <w:color w:val="auto"/>
          <w:sz w:val="24"/>
          <w:highlight w:val="none"/>
        </w:rPr>
      </w:pPr>
    </w:p>
    <w:p>
      <w:pPr>
        <w:pStyle w:val="4"/>
        <w:numPr>
          <w:ilvl w:val="0"/>
          <w:numId w:val="0"/>
        </w:numPr>
        <w:shd w:val="clear" w:color="auto" w:fill="auto"/>
        <w:spacing w:before="0" w:line="240" w:lineRule="atLeas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142" w:name="_Toc28445"/>
      <w:bookmarkStart w:id="143" w:name="_Toc11047"/>
      <w:bookmarkStart w:id="144" w:name="_Toc4866"/>
      <w:bookmarkStart w:id="145" w:name="_Toc515647809"/>
    </w:p>
    <w:p>
      <w:pPr>
        <w:pStyle w:val="4"/>
        <w:numPr>
          <w:ilvl w:val="0"/>
          <w:numId w:val="0"/>
        </w:numPr>
        <w:shd w:val="clear" w:color="auto" w:fill="auto"/>
        <w:spacing w:before="0" w:line="240" w:lineRule="atLeas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投标保证金缴纳凭证或投标担保函</w:t>
      </w:r>
      <w:bookmarkEnd w:id="142"/>
      <w:bookmarkEnd w:id="143"/>
      <w:bookmarkEnd w:id="144"/>
      <w:bookmarkEnd w:id="145"/>
    </w:p>
    <w:p>
      <w:pPr>
        <w:shd w:val="clear" w:color="auto" w:fill="auto"/>
        <w:ind w:firstLine="486" w:firstLineChars="200"/>
        <w:rPr>
          <w:rFonts w:hint="eastAsia" w:ascii="宋体" w:hAnsi="宋体" w:eastAsia="宋体" w:cs="宋体"/>
          <w:color w:val="auto"/>
          <w:sz w:val="24"/>
          <w:highlight w:val="none"/>
        </w:rPr>
      </w:pPr>
      <w:bookmarkStart w:id="146" w:name="_Toc494296665"/>
      <w:bookmarkStart w:id="147" w:name="_Toc494296991"/>
    </w:p>
    <w:p>
      <w:pPr>
        <w:shd w:val="clear" w:color="auto" w:fill="auto"/>
        <w:ind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投标人可将本项目投标保证金支付的汇款凭证、支票、汇票或</w:t>
      </w:r>
      <w:r>
        <w:rPr>
          <w:rFonts w:hint="eastAsia" w:ascii="宋体" w:hAnsi="宋体" w:cs="宋体"/>
          <w:color w:val="auto"/>
          <w:sz w:val="24"/>
          <w:highlight w:val="none"/>
          <w:lang w:eastAsia="zh-CN"/>
        </w:rPr>
        <w:t>保证金打款凭证</w:t>
      </w:r>
      <w:r>
        <w:rPr>
          <w:rFonts w:hint="eastAsia" w:ascii="宋体" w:hAnsi="宋体" w:eastAsia="宋体" w:cs="宋体"/>
          <w:color w:val="auto"/>
          <w:sz w:val="24"/>
          <w:highlight w:val="none"/>
        </w:rPr>
        <w:t>（如有）的复印件作为缴纳凭证</w:t>
      </w:r>
      <w:r>
        <w:rPr>
          <w:rFonts w:hint="eastAsia" w:ascii="宋体" w:hAnsi="宋体" w:cs="宋体"/>
          <w:color w:val="auto"/>
          <w:sz w:val="24"/>
          <w:highlight w:val="none"/>
          <w:lang w:val="en-US" w:eastAsia="zh-CN"/>
        </w:rPr>
        <w:t>或</w:t>
      </w:r>
      <w:r>
        <w:rPr>
          <w:rFonts w:hint="eastAsia" w:ascii="宋体" w:hAnsi="宋体" w:eastAsia="宋体" w:cs="宋体"/>
          <w:color w:val="auto"/>
          <w:sz w:val="24"/>
          <w:highlight w:val="none"/>
        </w:rPr>
        <w:t>投标</w:t>
      </w:r>
      <w:r>
        <w:rPr>
          <w:rFonts w:hint="eastAsia" w:ascii="宋体" w:hAnsi="宋体" w:cs="宋体"/>
          <w:color w:val="auto"/>
          <w:sz w:val="24"/>
          <w:highlight w:val="none"/>
          <w:lang w:eastAsia="zh-CN"/>
        </w:rPr>
        <w:t>保证金打款凭证</w:t>
      </w:r>
      <w:r>
        <w:rPr>
          <w:rFonts w:hint="eastAsia" w:ascii="宋体" w:hAnsi="宋体" w:eastAsia="宋体" w:cs="宋体"/>
          <w:color w:val="auto"/>
          <w:sz w:val="24"/>
          <w:highlight w:val="none"/>
        </w:rPr>
        <w:t>一起装订在本部分，复印件上应加盖本单位章；使用银行保函等其他投标担保函的，应将担保函正本，装订在本部分正本中；如采用政府采购信用担保形式的，应使用（投标文件格式三）,将原件装订在本部分正本中。</w:t>
      </w:r>
      <w:bookmarkEnd w:id="146"/>
      <w:bookmarkEnd w:id="147"/>
    </w:p>
    <w:p>
      <w:pPr>
        <w:pStyle w:val="14"/>
        <w:shd w:val="clear" w:color="auto" w:fill="auto"/>
        <w:rPr>
          <w:rFonts w:hint="eastAsia" w:ascii="宋体" w:hAnsi="宋体" w:eastAsia="宋体" w:cs="宋体"/>
          <w:color w:val="auto"/>
          <w:highlight w:val="none"/>
        </w:rPr>
      </w:pPr>
    </w:p>
    <w:tbl>
      <w:tblPr>
        <w:tblStyle w:val="47"/>
        <w:tblpPr w:leftFromText="180" w:rightFromText="180" w:vertAnchor="text" w:horzAnchor="page" w:tblpX="2090" w:tblpY="750"/>
        <w:tblOverlap w:val="never"/>
        <w:tblW w:w="7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6" w:hRule="atLeast"/>
        </w:trPr>
        <w:tc>
          <w:tcPr>
            <w:tcW w:w="7879" w:type="dxa"/>
            <w:vAlign w:val="top"/>
          </w:tcPr>
          <w:p>
            <w:pPr>
              <w:keepNext w:val="0"/>
              <w:keepLines w:val="0"/>
              <w:suppressLineNumbers w:val="0"/>
              <w:shd w:val="clear" w:color="auto" w:fill="auto"/>
              <w:spacing w:before="0" w:beforeAutospacing="0" w:after="0" w:afterAutospacing="0"/>
              <w:ind w:left="0" w:right="0"/>
              <w:jc w:val="both"/>
              <w:rPr>
                <w:rFonts w:hint="eastAsia" w:ascii="宋体" w:hAnsi="宋体" w:eastAsia="宋体" w:cs="宋体"/>
                <w:b/>
                <w:bCs/>
                <w:color w:val="auto"/>
                <w:sz w:val="30"/>
                <w:szCs w:val="30"/>
                <w:highlight w:val="none"/>
              </w:rPr>
            </w:pPr>
          </w:p>
          <w:p>
            <w:pPr>
              <w:keepNext w:val="0"/>
              <w:keepLines w:val="0"/>
              <w:suppressLineNumbers w:val="0"/>
              <w:shd w:val="clear" w:color="auto" w:fill="auto"/>
              <w:spacing w:before="0" w:beforeAutospacing="0" w:after="0" w:afterAutospacing="0"/>
              <w:ind w:left="0" w:right="0"/>
              <w:jc w:val="both"/>
              <w:rPr>
                <w:rFonts w:hint="eastAsia" w:ascii="宋体" w:hAnsi="宋体" w:eastAsia="宋体" w:cs="宋体"/>
                <w:b/>
                <w:bCs/>
                <w:color w:val="auto"/>
                <w:sz w:val="30"/>
                <w:szCs w:val="30"/>
                <w:highlight w:val="none"/>
              </w:rPr>
            </w:pPr>
          </w:p>
          <w:p>
            <w:pPr>
              <w:keepNext w:val="0"/>
              <w:keepLines w:val="0"/>
              <w:suppressLineNumbers w:val="0"/>
              <w:shd w:val="clear" w:color="auto" w:fill="auto"/>
              <w:spacing w:before="0" w:beforeAutospacing="0" w:after="0" w:afterAutospacing="0"/>
              <w:ind w:left="0" w:right="0"/>
              <w:jc w:val="center"/>
              <w:rPr>
                <w:rFonts w:hint="default" w:ascii="宋体" w:hAnsi="宋体" w:eastAsia="宋体" w:cs="宋体"/>
                <w:b/>
                <w:bCs/>
                <w:color w:val="auto"/>
                <w:sz w:val="30"/>
                <w:szCs w:val="30"/>
                <w:highlight w:val="none"/>
                <w:lang w:val="en-US" w:eastAsia="zh-CN"/>
              </w:rPr>
            </w:pPr>
            <w:r>
              <w:rPr>
                <w:rFonts w:hint="eastAsia" w:ascii="宋体" w:hAnsi="宋体" w:cs="宋体"/>
                <w:b/>
                <w:bCs/>
                <w:color w:val="auto"/>
                <w:sz w:val="30"/>
                <w:szCs w:val="30"/>
                <w:highlight w:val="none"/>
                <w:lang w:val="en-US" w:eastAsia="zh-CN"/>
              </w:rPr>
              <w:t>汇款凭证</w:t>
            </w:r>
          </w:p>
        </w:tc>
      </w:tr>
    </w:tbl>
    <w:p>
      <w:pPr>
        <w:pStyle w:val="14"/>
        <w:shd w:val="clear" w:color="auto" w:fill="auto"/>
        <w:rPr>
          <w:rFonts w:hint="eastAsia" w:ascii="宋体" w:hAnsi="宋体" w:eastAsia="宋体" w:cs="宋体"/>
          <w:color w:val="auto"/>
          <w:highlight w:val="none"/>
        </w:rPr>
      </w:pPr>
    </w:p>
    <w:p>
      <w:pPr>
        <w:shd w:val="clear" w:color="auto" w:fill="auto"/>
        <w:spacing w:line="240" w:lineRule="atLeast"/>
        <w:ind w:left="1087" w:leftChars="257" w:hanging="540"/>
        <w:jc w:val="center"/>
        <w:rPr>
          <w:rFonts w:hint="eastAsia" w:ascii="宋体" w:hAnsi="宋体" w:eastAsia="宋体" w:cs="宋体"/>
          <w:color w:val="auto"/>
          <w:sz w:val="24"/>
          <w:highlight w:val="none"/>
        </w:rPr>
      </w:pPr>
    </w:p>
    <w:p>
      <w:pPr>
        <w:shd w:val="clear" w:color="auto" w:fill="auto"/>
        <w:rPr>
          <w:rFonts w:hint="eastAsia" w:ascii="宋体" w:hAnsi="宋体" w:eastAsia="宋体" w:cs="宋体"/>
          <w:color w:val="auto"/>
          <w:sz w:val="28"/>
          <w:szCs w:val="28"/>
          <w:highlight w:val="none"/>
        </w:rPr>
      </w:pPr>
    </w:p>
    <w:p>
      <w:pPr>
        <w:pStyle w:val="14"/>
        <w:shd w:val="clear" w:color="auto" w:fill="auto"/>
        <w:rPr>
          <w:rFonts w:hint="eastAsia" w:ascii="宋体" w:hAnsi="宋体" w:eastAsia="宋体" w:cs="宋体"/>
          <w:color w:val="auto"/>
          <w:highlight w:val="none"/>
        </w:rPr>
      </w:pPr>
    </w:p>
    <w:p>
      <w:pPr>
        <w:pStyle w:val="14"/>
        <w:shd w:val="clear" w:color="auto" w:fill="auto"/>
        <w:rPr>
          <w:rFonts w:hint="eastAsia" w:ascii="宋体" w:hAnsi="宋体" w:eastAsia="宋体" w:cs="宋体"/>
          <w:color w:val="auto"/>
          <w:highlight w:val="none"/>
        </w:rPr>
      </w:pPr>
    </w:p>
    <w:p>
      <w:pPr>
        <w:pStyle w:val="14"/>
        <w:shd w:val="clear" w:color="auto" w:fill="auto"/>
        <w:rPr>
          <w:rFonts w:hint="eastAsia" w:ascii="宋体" w:hAnsi="宋体" w:eastAsia="宋体" w:cs="宋体"/>
          <w:color w:val="auto"/>
          <w:highlight w:val="none"/>
        </w:rPr>
      </w:pPr>
    </w:p>
    <w:p>
      <w:pPr>
        <w:pStyle w:val="14"/>
        <w:shd w:val="clear" w:color="auto" w:fill="auto"/>
        <w:rPr>
          <w:rFonts w:hint="eastAsia" w:ascii="宋体" w:hAnsi="宋体" w:eastAsia="宋体" w:cs="宋体"/>
          <w:color w:val="auto"/>
          <w:highlight w:val="none"/>
        </w:rPr>
      </w:pPr>
    </w:p>
    <w:p>
      <w:pPr>
        <w:pStyle w:val="14"/>
        <w:shd w:val="clear" w:color="auto" w:fill="auto"/>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5"/>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5"/>
        <w:rPr>
          <w:rFonts w:hint="eastAsia" w:ascii="宋体" w:hAnsi="宋体" w:eastAsia="宋体" w:cs="宋体"/>
          <w:color w:val="auto"/>
          <w:highlight w:val="none"/>
        </w:rPr>
      </w:pPr>
    </w:p>
    <w:p>
      <w:pPr>
        <w:rPr>
          <w:rFonts w:hint="eastAsia" w:ascii="宋体" w:hAnsi="宋体" w:eastAsia="宋体" w:cs="宋体"/>
          <w:color w:val="auto"/>
          <w:highlight w:val="none"/>
        </w:rPr>
      </w:pPr>
    </w:p>
    <w:p>
      <w:pPr>
        <w:shd w:val="clear" w:color="auto" w:fill="auto"/>
        <w:jc w:val="center"/>
        <w:outlineLvl w:val="0"/>
        <w:rPr>
          <w:rFonts w:hint="eastAsia" w:ascii="宋体" w:hAnsi="宋体" w:eastAsia="宋体" w:cs="宋体"/>
          <w:color w:val="auto"/>
          <w:sz w:val="28"/>
          <w:szCs w:val="28"/>
          <w:highlight w:val="none"/>
        </w:rPr>
      </w:pPr>
    </w:p>
    <w:p>
      <w:pPr>
        <w:shd w:val="clear" w:color="auto" w:fill="auto"/>
        <w:jc w:val="center"/>
        <w:outlineLvl w:val="0"/>
        <w:rPr>
          <w:rFonts w:hint="eastAsia" w:ascii="宋体" w:hAnsi="宋体" w:eastAsia="宋体" w:cs="宋体"/>
          <w:color w:val="auto"/>
          <w:sz w:val="28"/>
          <w:szCs w:val="28"/>
          <w:highlight w:val="none"/>
        </w:rPr>
      </w:pPr>
    </w:p>
    <w:p>
      <w:pPr>
        <w:shd w:val="clear" w:color="auto" w:fill="auto"/>
        <w:jc w:val="center"/>
        <w:outlineLvl w:val="0"/>
        <w:rPr>
          <w:rFonts w:hint="eastAsia" w:ascii="宋体" w:hAnsi="宋体" w:eastAsia="宋体" w:cs="宋体"/>
          <w:color w:val="auto"/>
          <w:sz w:val="28"/>
          <w:szCs w:val="28"/>
          <w:highlight w:val="none"/>
        </w:rPr>
      </w:pPr>
      <w:bookmarkStart w:id="148" w:name="_Toc21910"/>
      <w:r>
        <w:rPr>
          <w:rFonts w:hint="eastAsia" w:ascii="宋体" w:hAnsi="宋体" w:eastAsia="宋体" w:cs="宋体"/>
          <w:color w:val="auto"/>
          <w:sz w:val="28"/>
          <w:szCs w:val="28"/>
          <w:highlight w:val="none"/>
        </w:rPr>
        <w:t>政府采购投标担保函 （项目用）（投标文件格式三）</w:t>
      </w:r>
      <w:bookmarkEnd w:id="148"/>
    </w:p>
    <w:p>
      <w:pPr>
        <w:shd w:val="clear" w:color="auto" w:fill="auto"/>
        <w:ind w:firstLine="6816" w:firstLineChars="3200"/>
        <w:rPr>
          <w:rFonts w:hint="eastAsia" w:ascii="宋体" w:hAnsi="宋体" w:eastAsia="宋体" w:cs="宋体"/>
          <w:color w:val="auto"/>
          <w:highlight w:val="none"/>
        </w:rPr>
      </w:pPr>
      <w:r>
        <w:rPr>
          <w:rFonts w:hint="eastAsia" w:ascii="宋体" w:hAnsi="宋体" w:eastAsia="宋体" w:cs="宋体"/>
          <w:color w:val="auto"/>
          <w:highlight w:val="none"/>
        </w:rPr>
        <w:t>编号：</w:t>
      </w:r>
    </w:p>
    <w:p>
      <w:pPr>
        <w:shd w:val="clear" w:color="auto" w:fill="auto"/>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（采购人或采购代理机构）：</w:t>
      </w:r>
    </w:p>
    <w:p>
      <w:pPr>
        <w:shd w:val="clear" w:color="auto" w:fill="auto"/>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鉴于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（以下简称“投标人”）拟参加编号为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pPr>
        <w:shd w:val="clear" w:color="auto" w:fill="auto"/>
        <w:rPr>
          <w:rFonts w:hint="eastAsia" w:ascii="宋体" w:hAnsi="宋体" w:eastAsia="宋体" w:cs="宋体"/>
          <w:color w:val="auto"/>
          <w:highlight w:val="none"/>
        </w:rPr>
      </w:pPr>
      <w:r>
        <w:rPr>
          <w:rFonts w:hint="eastAsia" w:ascii="宋体" w:hAnsi="宋体" w:eastAsia="宋体" w:cs="宋体"/>
          <w:color w:val="auto"/>
          <w:highlight w:val="none"/>
        </w:rPr>
        <w:t>项目（以下简称“本项目”）投标，根据本项目招标文件，供应商参加投标时应向你方交纳投标保证金，且可以投标担保函的形式交纳投标保证金。应供应商的申请，我方以保证的方式向你方提供如下投标保证金担保：</w:t>
      </w:r>
    </w:p>
    <w:p>
      <w:pPr>
        <w:shd w:val="clear" w:color="auto" w:fill="auto"/>
        <w:ind w:firstLine="426" w:firstLineChars="200"/>
        <w:outlineLvl w:val="0"/>
        <w:rPr>
          <w:rFonts w:hint="eastAsia" w:ascii="宋体" w:hAnsi="宋体" w:eastAsia="宋体" w:cs="宋体"/>
          <w:color w:val="auto"/>
          <w:highlight w:val="none"/>
        </w:rPr>
      </w:pPr>
      <w:bookmarkStart w:id="149" w:name="_Toc31165"/>
      <w:r>
        <w:rPr>
          <w:rFonts w:hint="eastAsia" w:ascii="宋体" w:hAnsi="宋体" w:eastAsia="宋体" w:cs="宋体"/>
          <w:color w:val="auto"/>
          <w:highlight w:val="none"/>
        </w:rPr>
        <w:t>一、保证责任的情形及保证金额</w:t>
      </w:r>
      <w:bookmarkEnd w:id="149"/>
    </w:p>
    <w:p>
      <w:pPr>
        <w:shd w:val="clear" w:color="auto" w:fill="auto"/>
        <w:ind w:firstLine="213" w:firstLineChars="100"/>
        <w:rPr>
          <w:rFonts w:hint="eastAsia" w:ascii="宋体" w:hAnsi="宋体" w:eastAsia="宋体" w:cs="宋体"/>
          <w:color w:val="auto"/>
          <w:highlight w:val="none"/>
        </w:rPr>
      </w:pPr>
      <w:r>
        <w:rPr>
          <w:rFonts w:hint="eastAsia" w:ascii="宋体" w:hAnsi="宋体" w:eastAsia="宋体" w:cs="宋体"/>
          <w:color w:val="auto"/>
          <w:highlight w:val="none"/>
        </w:rPr>
        <w:t>（一）在投标人出现下列情形之一时，我方承担保证责任：</w:t>
      </w:r>
    </w:p>
    <w:p>
      <w:pPr>
        <w:shd w:val="clear" w:color="auto" w:fill="auto"/>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1．中标后投标人无正当理由不与采购人或者采购代理机构签订《政府采购合同》；</w:t>
      </w:r>
    </w:p>
    <w:p>
      <w:pPr>
        <w:shd w:val="clear" w:color="auto" w:fill="auto"/>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2．招标文件规定的投标人应当缴纳保证金的其他情形。</w:t>
      </w:r>
    </w:p>
    <w:p>
      <w:pPr>
        <w:shd w:val="clear" w:color="auto" w:fill="auto"/>
        <w:ind w:firstLine="213" w:firstLineChars="100"/>
        <w:rPr>
          <w:rFonts w:hint="eastAsia" w:ascii="宋体" w:hAnsi="宋体" w:eastAsia="宋体" w:cs="宋体"/>
          <w:color w:val="auto"/>
          <w:highlight w:val="none"/>
        </w:rPr>
      </w:pPr>
      <w:r>
        <w:rPr>
          <w:rFonts w:hint="eastAsia" w:ascii="宋体" w:hAnsi="宋体" w:eastAsia="宋体" w:cs="宋体"/>
          <w:color w:val="auto"/>
          <w:highlight w:val="none"/>
        </w:rPr>
        <w:t>（二）我方承担保证责任的最高金额为人民币</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元（大写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），即本项目的投标保证金金额。</w:t>
      </w:r>
    </w:p>
    <w:p>
      <w:pPr>
        <w:shd w:val="clear" w:color="auto" w:fill="auto"/>
        <w:ind w:firstLine="426" w:firstLineChars="200"/>
        <w:outlineLvl w:val="0"/>
        <w:rPr>
          <w:rFonts w:hint="eastAsia" w:ascii="宋体" w:hAnsi="宋体" w:eastAsia="宋体" w:cs="宋体"/>
          <w:color w:val="auto"/>
          <w:highlight w:val="none"/>
        </w:rPr>
      </w:pPr>
      <w:bookmarkStart w:id="150" w:name="_Toc819"/>
      <w:r>
        <w:rPr>
          <w:rFonts w:hint="eastAsia" w:ascii="宋体" w:hAnsi="宋体" w:eastAsia="宋体" w:cs="宋体"/>
          <w:color w:val="auto"/>
          <w:highlight w:val="none"/>
        </w:rPr>
        <w:t>二、保证的方式及保证期间</w:t>
      </w:r>
      <w:bookmarkEnd w:id="150"/>
    </w:p>
    <w:p>
      <w:pPr>
        <w:shd w:val="clear" w:color="auto" w:fill="auto"/>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我方保证的方式为：连带责任保证。</w:t>
      </w:r>
    </w:p>
    <w:p>
      <w:pPr>
        <w:shd w:val="clear" w:color="auto" w:fill="auto"/>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我方的保证期间为：自本保函生效之日起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个月止。</w:t>
      </w:r>
    </w:p>
    <w:p>
      <w:pPr>
        <w:shd w:val="clear" w:color="auto" w:fill="auto"/>
        <w:ind w:firstLine="426" w:firstLineChars="200"/>
        <w:outlineLvl w:val="0"/>
        <w:rPr>
          <w:rFonts w:hint="eastAsia" w:ascii="宋体" w:hAnsi="宋体" w:eastAsia="宋体" w:cs="宋体"/>
          <w:color w:val="auto"/>
          <w:highlight w:val="none"/>
        </w:rPr>
      </w:pPr>
      <w:bookmarkStart w:id="151" w:name="_Toc27588"/>
      <w:r>
        <w:rPr>
          <w:rFonts w:hint="eastAsia" w:ascii="宋体" w:hAnsi="宋体" w:eastAsia="宋体" w:cs="宋体"/>
          <w:color w:val="auto"/>
          <w:highlight w:val="none"/>
        </w:rPr>
        <w:t>三、承担保证责任的程序</w:t>
      </w:r>
      <w:bookmarkEnd w:id="151"/>
    </w:p>
    <w:p>
      <w:pPr>
        <w:shd w:val="clear" w:color="auto" w:fill="auto"/>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1．你方要求我方承担保证责任的，应在本保函保证期间内向我方发出书面索赔通知。索赔通知应写明要求索赔的金额，支付款项应到达的账号，并附有证明投标人发生我方应承担保证责任情形的事实材料。</w:t>
      </w:r>
    </w:p>
    <w:p>
      <w:pPr>
        <w:shd w:val="clear" w:color="auto" w:fill="auto"/>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2．我方在收到索赔通知及相关证明材料后，在</w:t>
      </w:r>
      <w:r>
        <w:rPr>
          <w:rFonts w:hint="eastAsia" w:ascii="宋体" w:hAnsi="宋体" w:eastAsia="宋体" w:cs="宋体"/>
          <w:color w:val="auto"/>
          <w:highlight w:val="none"/>
          <w:u w:val="single"/>
        </w:rPr>
        <w:t>　　　</w:t>
      </w:r>
      <w:r>
        <w:rPr>
          <w:rFonts w:hint="eastAsia" w:ascii="宋体" w:hAnsi="宋体" w:eastAsia="宋体" w:cs="宋体"/>
          <w:color w:val="auto"/>
          <w:highlight w:val="none"/>
        </w:rPr>
        <w:t>个工作日内进行审查，符合应承担保证责任情形的，我方应按照你方的要求代投标人向你方支付投标保证金。</w:t>
      </w:r>
    </w:p>
    <w:p>
      <w:pPr>
        <w:shd w:val="clear" w:color="auto" w:fill="auto"/>
        <w:ind w:firstLine="426" w:firstLineChars="200"/>
        <w:outlineLvl w:val="0"/>
        <w:rPr>
          <w:rFonts w:hint="eastAsia" w:ascii="宋体" w:hAnsi="宋体" w:eastAsia="宋体" w:cs="宋体"/>
          <w:color w:val="auto"/>
          <w:highlight w:val="none"/>
        </w:rPr>
      </w:pPr>
      <w:bookmarkStart w:id="152" w:name="_Toc12074"/>
      <w:r>
        <w:rPr>
          <w:rFonts w:hint="eastAsia" w:ascii="宋体" w:hAnsi="宋体" w:eastAsia="宋体" w:cs="宋体"/>
          <w:color w:val="auto"/>
          <w:highlight w:val="none"/>
        </w:rPr>
        <w:t>四、保证责任的终止</w:t>
      </w:r>
      <w:bookmarkEnd w:id="152"/>
    </w:p>
    <w:p>
      <w:pPr>
        <w:shd w:val="clear" w:color="auto" w:fill="auto"/>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1．保证期间届满你方未向我方书面主张保证责任的，自保证期间届满次日起，我方保证责任自动终止。</w:t>
      </w:r>
    </w:p>
    <w:p>
      <w:pPr>
        <w:shd w:val="clear" w:color="auto" w:fill="auto"/>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2．我方按照本保函向你贵方履行了保证责任后，自我方向你贵方支付款项（支付款项从我方账户划出）之日起，保证责任终止。</w:t>
      </w:r>
    </w:p>
    <w:p>
      <w:pPr>
        <w:shd w:val="clear" w:color="auto" w:fill="auto"/>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3．按照法律法规的规定或出现我方保证责任终止的其它情形的，我方在本保函项下的保证责任亦终止。</w:t>
      </w:r>
    </w:p>
    <w:p>
      <w:pPr>
        <w:shd w:val="clear" w:color="auto" w:fill="auto"/>
        <w:ind w:firstLine="426" w:firstLineChars="200"/>
        <w:outlineLvl w:val="0"/>
        <w:rPr>
          <w:rFonts w:hint="eastAsia" w:ascii="宋体" w:hAnsi="宋体" w:eastAsia="宋体" w:cs="宋体"/>
          <w:color w:val="auto"/>
          <w:highlight w:val="none"/>
        </w:rPr>
      </w:pPr>
      <w:bookmarkStart w:id="153" w:name="_Toc2523"/>
      <w:r>
        <w:rPr>
          <w:rFonts w:hint="eastAsia" w:ascii="宋体" w:hAnsi="宋体" w:eastAsia="宋体" w:cs="宋体"/>
          <w:color w:val="auto"/>
          <w:highlight w:val="none"/>
        </w:rPr>
        <w:t>五、免责条款</w:t>
      </w:r>
      <w:bookmarkEnd w:id="153"/>
    </w:p>
    <w:p>
      <w:pPr>
        <w:shd w:val="clear" w:color="auto" w:fill="auto"/>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1．依照法律规定或你方与投标人的另行约定，全部或者部分免除投标人投标保证金义务时，我方亦免除相应的保证责任。</w:t>
      </w:r>
    </w:p>
    <w:p>
      <w:pPr>
        <w:shd w:val="clear" w:color="auto" w:fill="auto"/>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2．因你方原因致使投标人发生本保函第一条第（一）款约定情形的，我方不承担保证责任。</w:t>
      </w:r>
    </w:p>
    <w:p>
      <w:pPr>
        <w:keepNext w:val="0"/>
        <w:keepLines w:val="0"/>
        <w:pageBreakBefore w:val="0"/>
        <w:widowControl w:val="0"/>
        <w:shd w:val="clear" w:color="auto" w:fill="auto"/>
        <w:kinsoku/>
        <w:wordWrap/>
        <w:overflowPunct/>
        <w:topLinePunct w:val="0"/>
        <w:autoSpaceDE/>
        <w:autoSpaceDN/>
        <w:bidi w:val="0"/>
        <w:adjustRightInd/>
        <w:snapToGrid/>
        <w:ind w:firstLine="426"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3．因不可抗力造成投标人发生本保函第一条约定情形的，我方不承担保证责任。</w:t>
      </w:r>
    </w:p>
    <w:p>
      <w:pPr>
        <w:keepNext w:val="0"/>
        <w:keepLines w:val="0"/>
        <w:pageBreakBefore w:val="0"/>
        <w:widowControl w:val="0"/>
        <w:shd w:val="clear" w:color="auto" w:fill="auto"/>
        <w:kinsoku/>
        <w:wordWrap/>
        <w:overflowPunct/>
        <w:topLinePunct w:val="0"/>
        <w:autoSpaceDE/>
        <w:autoSpaceDN/>
        <w:bidi w:val="0"/>
        <w:adjustRightInd/>
        <w:snapToGrid/>
        <w:ind w:firstLine="426"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4．你方或其他有权机关对招标文件进行任何澄清或修改，加重我方保证责任的，我方对加重部分不承担保证责任，但该澄清或修改经我方事先书面同意的除外。</w:t>
      </w:r>
    </w:p>
    <w:p>
      <w:pPr>
        <w:shd w:val="clear" w:color="auto" w:fill="auto"/>
        <w:ind w:firstLine="426" w:firstLineChars="200"/>
        <w:outlineLvl w:val="0"/>
        <w:rPr>
          <w:rFonts w:hint="eastAsia" w:ascii="宋体" w:hAnsi="宋体" w:eastAsia="宋体" w:cs="宋体"/>
          <w:color w:val="auto"/>
          <w:highlight w:val="none"/>
        </w:rPr>
      </w:pPr>
      <w:bookmarkStart w:id="154" w:name="_Toc30347"/>
      <w:r>
        <w:rPr>
          <w:rFonts w:hint="eastAsia" w:ascii="宋体" w:hAnsi="宋体" w:eastAsia="宋体" w:cs="宋体"/>
          <w:color w:val="auto"/>
          <w:highlight w:val="none"/>
        </w:rPr>
        <w:t>六、争议的解决</w:t>
      </w:r>
      <w:bookmarkEnd w:id="154"/>
    </w:p>
    <w:p>
      <w:pPr>
        <w:shd w:val="clear" w:color="auto" w:fill="auto"/>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因本保函发生的纠纷，由你我双方协商解决，协商不成的，通过诉讼程序解决，诉讼管辖地法院为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法院。</w:t>
      </w:r>
    </w:p>
    <w:p>
      <w:pPr>
        <w:shd w:val="clear" w:color="auto" w:fill="auto"/>
        <w:ind w:firstLine="426" w:firstLineChars="200"/>
        <w:outlineLvl w:val="0"/>
        <w:rPr>
          <w:rFonts w:hint="eastAsia" w:ascii="宋体" w:hAnsi="宋体" w:eastAsia="宋体" w:cs="宋体"/>
          <w:color w:val="auto"/>
          <w:highlight w:val="none"/>
        </w:rPr>
      </w:pPr>
      <w:bookmarkStart w:id="155" w:name="_Toc14304"/>
      <w:r>
        <w:rPr>
          <w:rFonts w:hint="eastAsia" w:ascii="宋体" w:hAnsi="宋体" w:eastAsia="宋体" w:cs="宋体"/>
          <w:color w:val="auto"/>
          <w:highlight w:val="none"/>
        </w:rPr>
        <w:t>七、保函的生效</w:t>
      </w:r>
      <w:bookmarkEnd w:id="155"/>
    </w:p>
    <w:p>
      <w:pPr>
        <w:shd w:val="clear" w:color="auto" w:fill="auto"/>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本保函自我方加盖公章之日起生效。</w:t>
      </w:r>
    </w:p>
    <w:p>
      <w:pPr>
        <w:shd w:val="clear" w:color="auto" w:fill="auto"/>
        <w:ind w:firstLine="5644" w:firstLineChars="2650"/>
        <w:rPr>
          <w:rFonts w:hint="eastAsia" w:ascii="宋体" w:hAnsi="宋体" w:eastAsia="宋体" w:cs="宋体"/>
          <w:color w:val="auto"/>
          <w:highlight w:val="none"/>
        </w:rPr>
      </w:pPr>
      <w:r>
        <w:rPr>
          <w:rFonts w:hint="eastAsia" w:ascii="宋体" w:hAnsi="宋体" w:eastAsia="宋体" w:cs="宋体"/>
          <w:color w:val="auto"/>
          <w:highlight w:val="none"/>
        </w:rPr>
        <w:t>保证人：（公章）</w:t>
      </w:r>
    </w:p>
    <w:p>
      <w:pPr>
        <w:shd w:val="clear" w:color="auto" w:fill="auto"/>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shd w:val="clear" w:color="auto" w:fill="auto"/>
        <w:ind w:firstLine="5857" w:firstLineChars="2750"/>
        <w:rPr>
          <w:rFonts w:hint="eastAsia" w:ascii="宋体" w:hAnsi="宋体" w:eastAsia="宋体" w:cs="宋体"/>
          <w:color w:val="auto"/>
          <w:highlight w:val="none"/>
        </w:rPr>
        <w:sectPr>
          <w:footerReference r:id="rId9" w:type="default"/>
          <w:pgSz w:w="11905" w:h="16838"/>
          <w:pgMar w:top="1440" w:right="1797" w:bottom="1440" w:left="1797" w:header="850" w:footer="992" w:gutter="0"/>
          <w:pgNumType w:fmt="decimalFullWidth"/>
          <w:cols w:space="720" w:num="1"/>
          <w:rtlGutter w:val="0"/>
          <w:docGrid w:type="linesAndChars" w:linePitch="325" w:charSpace="635"/>
        </w:sectPr>
      </w:pPr>
      <w:r>
        <w:rPr>
          <w:rFonts w:hint="eastAsia" w:ascii="宋体" w:hAnsi="宋体" w:eastAsia="宋体" w:cs="宋体"/>
          <w:color w:val="auto"/>
          <w:highlight w:val="none"/>
        </w:rPr>
        <w:t>年     月      日</w:t>
      </w:r>
    </w:p>
    <w:p>
      <w:pPr>
        <w:shd w:val="clear" w:color="auto" w:fill="auto"/>
        <w:ind w:firstLine="5857" w:firstLineChars="2750"/>
        <w:rPr>
          <w:rFonts w:hint="eastAsia" w:ascii="宋体" w:hAnsi="宋体" w:eastAsia="宋体" w:cs="宋体"/>
          <w:color w:val="auto"/>
          <w:highlight w:val="none"/>
        </w:rPr>
      </w:pPr>
    </w:p>
    <w:p>
      <w:pPr>
        <w:pStyle w:val="4"/>
        <w:numPr>
          <w:ilvl w:val="0"/>
          <w:numId w:val="0"/>
        </w:numPr>
        <w:shd w:val="clear" w:color="auto" w:fill="auto"/>
        <w:spacing w:before="0" w:line="240" w:lineRule="atLeast"/>
        <w:rPr>
          <w:rFonts w:hint="eastAsia" w:ascii="宋体" w:hAnsi="宋体" w:eastAsia="宋体" w:cs="宋体"/>
          <w:color w:val="auto"/>
          <w:sz w:val="24"/>
          <w:highlight w:val="none"/>
        </w:rPr>
      </w:pPr>
      <w:bookmarkStart w:id="156" w:name="_Toc18754"/>
      <w:bookmarkStart w:id="157" w:name="_Toc5710"/>
      <w:bookmarkStart w:id="158" w:name="_Toc27021"/>
      <w:bookmarkStart w:id="159" w:name="_Toc515647810"/>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社会保障资金的缴纳记录</w:t>
      </w:r>
      <w:bookmarkEnd w:id="156"/>
      <w:bookmarkEnd w:id="157"/>
      <w:bookmarkEnd w:id="158"/>
      <w:bookmarkEnd w:id="159"/>
    </w:p>
    <w:p>
      <w:pPr>
        <w:pStyle w:val="25"/>
        <w:shd w:val="clear" w:color="auto" w:fill="auto"/>
        <w:tabs>
          <w:tab w:val="left" w:pos="5580"/>
        </w:tabs>
        <w:spacing w:line="240" w:lineRule="atLeast"/>
        <w:ind w:left="1087" w:leftChars="257" w:hanging="540"/>
        <w:jc w:val="center"/>
        <w:rPr>
          <w:rFonts w:hint="eastAsia" w:ascii="宋体" w:hAnsi="宋体" w:eastAsia="宋体" w:cs="宋体"/>
          <w:b/>
          <w:color w:val="auto"/>
          <w:sz w:val="24"/>
          <w:highlight w:val="none"/>
        </w:rPr>
      </w:pPr>
    </w:p>
    <w:p>
      <w:pPr>
        <w:pStyle w:val="25"/>
        <w:shd w:val="clear" w:color="auto" w:fill="auto"/>
        <w:tabs>
          <w:tab w:val="left" w:pos="5580"/>
        </w:tabs>
        <w:spacing w:line="240" w:lineRule="atLeast"/>
        <w:ind w:left="540"/>
        <w:rPr>
          <w:rFonts w:hint="eastAsia" w:ascii="宋体" w:hAnsi="宋体" w:eastAsia="宋体" w:cs="宋体"/>
          <w:b/>
          <w:color w:val="auto"/>
          <w:sz w:val="24"/>
          <w:highlight w:val="none"/>
        </w:rPr>
      </w:pPr>
    </w:p>
    <w:p>
      <w:pPr>
        <w:pStyle w:val="25"/>
        <w:shd w:val="clear" w:color="auto" w:fill="auto"/>
        <w:tabs>
          <w:tab w:val="left" w:pos="5580"/>
        </w:tabs>
        <w:spacing w:line="240" w:lineRule="atLeast"/>
        <w:ind w:left="540"/>
        <w:rPr>
          <w:rFonts w:hint="eastAsia" w:ascii="宋体" w:hAnsi="宋体" w:eastAsia="宋体" w:cs="宋体"/>
          <w:color w:val="auto"/>
          <w:sz w:val="24"/>
          <w:highlight w:val="none"/>
        </w:rPr>
      </w:pPr>
      <w:r>
        <w:rPr>
          <w:rFonts w:hint="eastAsia" w:ascii="宋体" w:hAnsi="宋体" w:eastAsia="宋体" w:cs="宋体"/>
          <w:color w:val="auto"/>
          <w:sz w:val="24"/>
          <w:highlight w:val="none"/>
        </w:rPr>
        <w:t>说明：1.按照</w:t>
      </w:r>
      <w:r>
        <w:rPr>
          <w:rFonts w:hint="eastAsia" w:ascii="宋体" w:hAnsi="宋体" w:eastAsia="宋体" w:cs="宋体"/>
          <w:color w:val="auto"/>
          <w:sz w:val="24"/>
          <w:highlight w:val="none"/>
          <w:u w:val="single"/>
        </w:rPr>
        <w:t>投标人须知资料表</w:t>
      </w:r>
      <w:r>
        <w:rPr>
          <w:rFonts w:hint="eastAsia" w:ascii="宋体" w:hAnsi="宋体" w:eastAsia="宋体" w:cs="宋体"/>
          <w:color w:val="auto"/>
          <w:sz w:val="24"/>
          <w:highlight w:val="none"/>
        </w:rPr>
        <w:t>中的规定提供复印件。</w:t>
      </w:r>
    </w:p>
    <w:p>
      <w:pPr>
        <w:pStyle w:val="25"/>
        <w:shd w:val="clear" w:color="auto" w:fill="auto"/>
        <w:tabs>
          <w:tab w:val="left" w:pos="5580"/>
        </w:tabs>
        <w:spacing w:line="240" w:lineRule="atLeast"/>
        <w:ind w:left="1087"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2.复印件上应加盖本单位章。</w:t>
      </w:r>
    </w:p>
    <w:p>
      <w:pPr>
        <w:shd w:val="clear" w:color="auto" w:fill="auto"/>
        <w:tabs>
          <w:tab w:val="left" w:pos="5580"/>
        </w:tabs>
        <w:spacing w:line="240" w:lineRule="atLeast"/>
        <w:ind w:left="1087"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3.（本项目不接受联合体）如果是联合体投标，联合体各方均需提供上述证明。</w:t>
      </w:r>
    </w:p>
    <w:p>
      <w:pPr>
        <w:pStyle w:val="25"/>
        <w:shd w:val="clear" w:color="auto" w:fill="auto"/>
        <w:tabs>
          <w:tab w:val="left" w:pos="5580"/>
        </w:tabs>
        <w:spacing w:line="240" w:lineRule="atLeast"/>
        <w:ind w:left="1087" w:leftChars="257" w:hanging="540"/>
        <w:rPr>
          <w:rFonts w:hint="eastAsia" w:ascii="宋体" w:hAnsi="宋体" w:eastAsia="宋体" w:cs="宋体"/>
          <w:color w:val="auto"/>
          <w:sz w:val="24"/>
          <w:highlight w:val="none"/>
        </w:rPr>
      </w:pPr>
    </w:p>
    <w:p>
      <w:pPr>
        <w:pStyle w:val="4"/>
        <w:numPr>
          <w:ilvl w:val="0"/>
          <w:numId w:val="0"/>
        </w:numPr>
        <w:shd w:val="clear" w:color="auto" w:fill="auto"/>
        <w:spacing w:before="0" w:line="240" w:lineRule="atLeast"/>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br w:type="page"/>
      </w:r>
      <w:bookmarkStart w:id="160" w:name="_Toc32670"/>
      <w:bookmarkStart w:id="161" w:name="_Toc24428"/>
      <w:bookmarkStart w:id="162" w:name="_Toc515647811"/>
      <w:bookmarkStart w:id="163" w:name="_Toc4937"/>
      <w:r>
        <w:rPr>
          <w:rFonts w:hint="eastAsia" w:ascii="宋体" w:hAnsi="宋体" w:eastAsia="宋体" w:cs="宋体"/>
          <w:color w:val="auto"/>
          <w:sz w:val="24"/>
          <w:highlight w:val="none"/>
          <w:lang w:val="en-US" w:eastAsia="zh-CN"/>
        </w:rPr>
        <w:t xml:space="preserve"> </w:t>
      </w:r>
    </w:p>
    <w:p>
      <w:pPr>
        <w:pStyle w:val="4"/>
        <w:numPr>
          <w:ilvl w:val="0"/>
          <w:numId w:val="0"/>
        </w:numPr>
        <w:shd w:val="clear" w:color="auto" w:fill="auto"/>
        <w:spacing w:before="0" w:line="240" w:lineRule="atLeas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参加政府采购活动前3年内</w:t>
      </w:r>
      <w:bookmarkEnd w:id="160"/>
      <w:bookmarkEnd w:id="161"/>
      <w:bookmarkEnd w:id="162"/>
      <w:bookmarkStart w:id="164" w:name="_Toc1137"/>
      <w:bookmarkStart w:id="165" w:name="_Toc6008"/>
      <w:bookmarkStart w:id="166" w:name="_Toc515647812"/>
      <w:r>
        <w:rPr>
          <w:rFonts w:hint="eastAsia" w:ascii="宋体" w:hAnsi="宋体" w:eastAsia="宋体" w:cs="宋体"/>
          <w:color w:val="auto"/>
          <w:sz w:val="24"/>
          <w:highlight w:val="none"/>
        </w:rPr>
        <w:t>在经营活动中没有重大违法记录的书面声明</w:t>
      </w:r>
      <w:bookmarkEnd w:id="163"/>
      <w:bookmarkEnd w:id="164"/>
      <w:bookmarkEnd w:id="165"/>
      <w:bookmarkEnd w:id="166"/>
    </w:p>
    <w:p>
      <w:pPr>
        <w:pStyle w:val="25"/>
        <w:shd w:val="clear" w:color="auto" w:fill="auto"/>
        <w:tabs>
          <w:tab w:val="left" w:pos="5580"/>
        </w:tabs>
        <w:spacing w:line="240" w:lineRule="atLeast"/>
        <w:ind w:left="1087" w:leftChars="257" w:hanging="540"/>
        <w:jc w:val="center"/>
        <w:rPr>
          <w:rFonts w:hint="eastAsia" w:ascii="宋体" w:hAnsi="宋体" w:eastAsia="宋体" w:cs="宋体"/>
          <w:b/>
          <w:color w:val="auto"/>
          <w:sz w:val="24"/>
          <w:highlight w:val="none"/>
        </w:rPr>
      </w:pPr>
    </w:p>
    <w:p>
      <w:pPr>
        <w:pStyle w:val="25"/>
        <w:shd w:val="clear" w:color="auto" w:fill="auto"/>
        <w:tabs>
          <w:tab w:val="left" w:pos="5580"/>
        </w:tabs>
        <w:spacing w:line="240" w:lineRule="atLeast"/>
        <w:ind w:left="1087" w:leftChars="257" w:hanging="540"/>
        <w:rPr>
          <w:rFonts w:hint="eastAsia" w:ascii="宋体" w:hAnsi="宋体" w:eastAsia="宋体" w:cs="宋体"/>
          <w:color w:val="auto"/>
          <w:sz w:val="24"/>
          <w:highlight w:val="none"/>
        </w:rPr>
      </w:pPr>
    </w:p>
    <w:p>
      <w:pPr>
        <w:pStyle w:val="25"/>
        <w:shd w:val="clear" w:color="auto" w:fill="auto"/>
        <w:tabs>
          <w:tab w:val="left" w:pos="5580"/>
        </w:tabs>
        <w:spacing w:line="240" w:lineRule="atLeast"/>
        <w:ind w:left="1087" w:leftChars="257" w:hanging="540"/>
        <w:rPr>
          <w:rFonts w:hint="eastAsia" w:ascii="宋体" w:hAnsi="宋体" w:eastAsia="宋体" w:cs="宋体"/>
          <w:color w:val="auto"/>
          <w:sz w:val="24"/>
          <w:highlight w:val="none"/>
        </w:rPr>
      </w:pPr>
    </w:p>
    <w:p>
      <w:pPr>
        <w:pStyle w:val="25"/>
        <w:shd w:val="clear" w:color="auto" w:fill="auto"/>
        <w:tabs>
          <w:tab w:val="left" w:pos="5580"/>
        </w:tabs>
        <w:spacing w:line="240" w:lineRule="atLeast"/>
        <w:ind w:left="1087"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说明：1.投标人应按照相关法规规定如实作出说明。</w:t>
      </w:r>
    </w:p>
    <w:p>
      <w:pPr>
        <w:pStyle w:val="25"/>
        <w:shd w:val="clear" w:color="auto" w:fill="auto"/>
        <w:tabs>
          <w:tab w:val="left" w:pos="5580"/>
        </w:tabs>
        <w:spacing w:line="240" w:lineRule="atLeast"/>
        <w:ind w:left="653" w:leftChars="307" w:firstLine="607"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2．按照招标文件的规定加盖单位章。</w:t>
      </w:r>
    </w:p>
    <w:p>
      <w:pPr>
        <w:pStyle w:val="25"/>
        <w:shd w:val="clear" w:color="auto" w:fill="auto"/>
        <w:tabs>
          <w:tab w:val="left" w:pos="5580"/>
        </w:tabs>
        <w:spacing w:line="240" w:lineRule="atLeast"/>
        <w:ind w:left="1087"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3.（本项目不接受联合体）如果是联合体投标，联合体各方均需提供上述证明。</w:t>
      </w:r>
    </w:p>
    <w:p>
      <w:pPr>
        <w:shd w:val="clear" w:color="auto" w:fill="auto"/>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pPr>
        <w:pStyle w:val="4"/>
        <w:numPr>
          <w:ilvl w:val="0"/>
          <w:numId w:val="0"/>
        </w:numPr>
        <w:shd w:val="clear" w:color="auto" w:fill="auto"/>
        <w:spacing w:before="0" w:line="240" w:lineRule="atLeast"/>
        <w:rPr>
          <w:rFonts w:hint="eastAsia" w:ascii="宋体" w:hAnsi="宋体" w:eastAsia="宋体" w:cs="宋体"/>
          <w:color w:val="auto"/>
          <w:sz w:val="24"/>
          <w:highlight w:val="none"/>
        </w:rPr>
      </w:pPr>
      <w:bookmarkStart w:id="167" w:name="_Toc5548"/>
      <w:bookmarkStart w:id="168" w:name="_Toc17207"/>
      <w:bookmarkStart w:id="169" w:name="_Toc515647813"/>
      <w:bookmarkStart w:id="170" w:name="_Toc29703"/>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投标人须知资料表要求的其他资格证明文件</w:t>
      </w:r>
      <w:bookmarkEnd w:id="167"/>
      <w:bookmarkEnd w:id="168"/>
      <w:bookmarkEnd w:id="169"/>
      <w:bookmarkEnd w:id="170"/>
    </w:p>
    <w:p>
      <w:pPr>
        <w:shd w:val="clear" w:color="auto" w:fill="auto"/>
        <w:spacing w:line="240" w:lineRule="atLeast"/>
        <w:ind w:left="1087" w:leftChars="257" w:hanging="540"/>
        <w:jc w:val="center"/>
        <w:rPr>
          <w:rFonts w:hint="eastAsia" w:ascii="宋体" w:hAnsi="宋体" w:eastAsia="宋体" w:cs="宋体"/>
          <w:b/>
          <w:bCs/>
          <w:color w:val="auto"/>
          <w:sz w:val="24"/>
          <w:highlight w:val="none"/>
        </w:rPr>
      </w:pPr>
    </w:p>
    <w:p>
      <w:pPr>
        <w:shd w:val="clear" w:color="auto" w:fill="auto"/>
        <w:spacing w:line="240" w:lineRule="atLeast"/>
        <w:ind w:left="1087" w:leftChars="257" w:hanging="540"/>
        <w:jc w:val="center"/>
        <w:rPr>
          <w:rFonts w:hint="eastAsia" w:ascii="宋体" w:hAnsi="宋体" w:eastAsia="宋体" w:cs="宋体"/>
          <w:b/>
          <w:bCs/>
          <w:color w:val="auto"/>
          <w:sz w:val="24"/>
          <w:highlight w:val="none"/>
        </w:rPr>
      </w:pPr>
    </w:p>
    <w:p>
      <w:pPr>
        <w:shd w:val="clear" w:color="auto" w:fill="auto"/>
        <w:spacing w:line="240" w:lineRule="atLeast"/>
        <w:ind w:left="1087" w:leftChars="257" w:hanging="540"/>
        <w:jc w:val="center"/>
        <w:rPr>
          <w:rFonts w:hint="eastAsia" w:ascii="宋体" w:hAnsi="宋体" w:eastAsia="宋体" w:cs="宋体"/>
          <w:b/>
          <w:bCs/>
          <w:color w:val="auto"/>
          <w:sz w:val="24"/>
          <w:highlight w:val="none"/>
        </w:rPr>
      </w:pPr>
    </w:p>
    <w:p>
      <w:pPr>
        <w:pStyle w:val="25"/>
        <w:shd w:val="clear" w:color="auto" w:fill="auto"/>
        <w:tabs>
          <w:tab w:val="left" w:pos="5580"/>
        </w:tabs>
        <w:spacing w:line="240" w:lineRule="atLeast"/>
        <w:ind w:left="1087"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说明：1.应提供</w:t>
      </w:r>
      <w:r>
        <w:rPr>
          <w:rFonts w:hint="eastAsia" w:ascii="宋体" w:hAnsi="宋体" w:eastAsia="宋体" w:cs="宋体"/>
          <w:color w:val="auto"/>
          <w:sz w:val="24"/>
          <w:highlight w:val="none"/>
          <w:u w:val="single"/>
        </w:rPr>
        <w:t>投标人须知资料表</w:t>
      </w:r>
      <w:r>
        <w:rPr>
          <w:rFonts w:hint="eastAsia" w:ascii="宋体" w:hAnsi="宋体" w:eastAsia="宋体" w:cs="宋体"/>
          <w:color w:val="auto"/>
          <w:sz w:val="24"/>
          <w:highlight w:val="none"/>
        </w:rPr>
        <w:t>要求的其他资格证明文件。</w:t>
      </w:r>
    </w:p>
    <w:p>
      <w:pPr>
        <w:pStyle w:val="25"/>
        <w:shd w:val="clear" w:color="auto" w:fill="auto"/>
        <w:tabs>
          <w:tab w:val="left" w:pos="5580"/>
        </w:tabs>
        <w:spacing w:line="240" w:lineRule="atLeast"/>
        <w:ind w:left="1087"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（1）有效的三证合一营业执照副本；</w:t>
      </w:r>
    </w:p>
    <w:p>
      <w:pPr>
        <w:pStyle w:val="25"/>
        <w:shd w:val="clear" w:color="auto" w:fill="auto"/>
        <w:tabs>
          <w:tab w:val="left" w:pos="5580"/>
        </w:tabs>
        <w:spacing w:line="240" w:lineRule="atLeast"/>
        <w:ind w:left="1087"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法定代表人投标需提供法定代表人资格证明书，委托代理人投标需提供法定代表人授权委托书</w:t>
      </w:r>
      <w:r>
        <w:rPr>
          <w:rFonts w:hint="eastAsia" w:ascii="宋体" w:hAnsi="宋体" w:eastAsia="宋体" w:cs="宋体"/>
          <w:color w:val="auto"/>
          <w:sz w:val="24"/>
          <w:highlight w:val="none"/>
        </w:rPr>
        <w:t>；</w:t>
      </w:r>
    </w:p>
    <w:p>
      <w:pPr>
        <w:pStyle w:val="25"/>
        <w:shd w:val="clear" w:color="auto" w:fill="auto"/>
        <w:tabs>
          <w:tab w:val="left" w:pos="5580"/>
        </w:tabs>
        <w:spacing w:line="240" w:lineRule="atLeast"/>
        <w:ind w:left="1087"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（3）投标企业须提供投标人（被授权在职人员）近6个月的社保证明；</w:t>
      </w:r>
    </w:p>
    <w:p>
      <w:pPr>
        <w:pStyle w:val="25"/>
        <w:shd w:val="clear" w:color="auto" w:fill="auto"/>
        <w:tabs>
          <w:tab w:val="left" w:pos="5580"/>
        </w:tabs>
        <w:spacing w:line="240" w:lineRule="atLeast"/>
        <w:ind w:left="1087" w:leftChars="257" w:hanging="54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en-US" w:eastAsia="zh-CN"/>
        </w:rPr>
        <w:t>近三年内</w:t>
      </w:r>
      <w:r>
        <w:rPr>
          <w:rFonts w:hint="eastAsia" w:ascii="宋体" w:hAnsi="宋体" w:eastAsia="宋体" w:cs="宋体"/>
          <w:color w:val="auto"/>
          <w:sz w:val="24"/>
          <w:highlight w:val="none"/>
        </w:rPr>
        <w:t>未被“信用中国”（www.creditchina.gov.cn）、中国政府采购网（www.ccgp.gov.cn）列入失信被执行人、重大税收违法案件当事人名单、政府采购严重违法失信行为记录名单</w:t>
      </w:r>
      <w:r>
        <w:rPr>
          <w:rFonts w:hint="eastAsia" w:ascii="宋体" w:hAnsi="宋体" w:eastAsia="宋体" w:cs="宋体"/>
          <w:color w:val="auto"/>
          <w:sz w:val="24"/>
          <w:highlight w:val="none"/>
          <w:lang w:eastAsia="zh-CN"/>
        </w:rPr>
        <w:t>。</w:t>
      </w:r>
    </w:p>
    <w:p>
      <w:pPr>
        <w:pStyle w:val="25"/>
        <w:shd w:val="clear" w:color="auto" w:fill="auto"/>
        <w:tabs>
          <w:tab w:val="left" w:pos="5580"/>
        </w:tabs>
        <w:spacing w:line="240" w:lineRule="atLeast"/>
        <w:ind w:left="1087" w:leftChars="257" w:hanging="54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所投产品属于第二类医疗器械的，还需提供有效的行政主管部门颁发的医疗器械经营备案凭证（或医疗器械生产许可证或医疗器械经营许可证）；所投产品属于第三类医疗器械的，还需提供有效的行政主管部门颁发的医疗器械生产许可证（或医疗器械经营许可证）。</w:t>
      </w:r>
    </w:p>
    <w:p>
      <w:pPr>
        <w:pStyle w:val="25"/>
        <w:shd w:val="clear" w:color="auto" w:fill="auto"/>
        <w:tabs>
          <w:tab w:val="left" w:pos="5580"/>
        </w:tabs>
        <w:spacing w:line="240" w:lineRule="atLeast"/>
        <w:ind w:left="1087"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hAnsi="宋体" w:cs="宋体"/>
          <w:color w:val="auto"/>
          <w:sz w:val="24"/>
          <w:highlight w:val="none"/>
          <w:lang w:val="en-US" w:eastAsia="zh-CN"/>
        </w:rPr>
        <w:t xml:space="preserve">   </w:t>
      </w:r>
      <w:r>
        <w:rPr>
          <w:rFonts w:hint="eastAsia" w:ascii="宋体" w:hAnsi="宋体" w:eastAsia="宋体" w:cs="宋体"/>
          <w:color w:val="auto"/>
          <w:sz w:val="24"/>
          <w:highlight w:val="none"/>
        </w:rPr>
        <w:t>2.复印件上应加盖本单位章。</w:t>
      </w:r>
    </w:p>
    <w:p>
      <w:pPr>
        <w:pStyle w:val="25"/>
        <w:shd w:val="clear" w:color="auto" w:fill="auto"/>
        <w:tabs>
          <w:tab w:val="left" w:pos="5580"/>
        </w:tabs>
        <w:spacing w:line="240" w:lineRule="atLeast"/>
        <w:ind w:firstLine="1215" w:firstLineChars="500"/>
        <w:rPr>
          <w:rFonts w:hint="eastAsia" w:ascii="宋体" w:hAnsi="宋体" w:eastAsia="宋体" w:cs="宋体"/>
          <w:color w:val="auto"/>
          <w:sz w:val="24"/>
          <w:highlight w:val="none"/>
        </w:rPr>
      </w:pPr>
      <w:r>
        <w:rPr>
          <w:rFonts w:hint="eastAsia" w:ascii="宋体" w:hAnsi="宋体" w:eastAsia="宋体" w:cs="宋体"/>
          <w:color w:val="auto"/>
          <w:sz w:val="24"/>
          <w:highlight w:val="none"/>
        </w:rPr>
        <w:t>3.（本项目不接受联合体）如果是联合体投标，联合体各方需提供的满足招标文件要求的其他资格证明文件。</w:t>
      </w:r>
    </w:p>
    <w:p>
      <w:pPr>
        <w:pStyle w:val="25"/>
        <w:shd w:val="clear" w:color="auto" w:fill="auto"/>
        <w:tabs>
          <w:tab w:val="left" w:pos="5580"/>
        </w:tabs>
        <w:spacing w:line="240" w:lineRule="atLeast"/>
        <w:ind w:left="1087" w:leftChars="257" w:hanging="540"/>
        <w:rPr>
          <w:rFonts w:hint="eastAsia" w:ascii="宋体" w:hAnsi="宋体" w:eastAsia="宋体" w:cs="宋体"/>
          <w:color w:val="auto"/>
          <w:sz w:val="24"/>
          <w:highlight w:val="none"/>
        </w:rPr>
      </w:pPr>
    </w:p>
    <w:p>
      <w:pPr>
        <w:pStyle w:val="25"/>
        <w:shd w:val="clear" w:color="auto" w:fill="auto"/>
        <w:tabs>
          <w:tab w:val="left" w:pos="5580"/>
        </w:tabs>
        <w:spacing w:line="240" w:lineRule="atLeast"/>
        <w:ind w:left="1087" w:leftChars="257" w:hanging="540"/>
        <w:rPr>
          <w:rFonts w:hint="eastAsia" w:ascii="宋体" w:hAnsi="宋体" w:eastAsia="宋体" w:cs="宋体"/>
          <w:color w:val="auto"/>
          <w:sz w:val="24"/>
          <w:highlight w:val="none"/>
        </w:rPr>
      </w:pPr>
    </w:p>
    <w:p>
      <w:pPr>
        <w:pStyle w:val="25"/>
        <w:shd w:val="clear" w:color="auto" w:fill="auto"/>
        <w:tabs>
          <w:tab w:val="left" w:pos="5580"/>
        </w:tabs>
        <w:spacing w:line="240" w:lineRule="atLeast"/>
        <w:ind w:left="1087" w:leftChars="257" w:hanging="540"/>
        <w:rPr>
          <w:rFonts w:hint="eastAsia" w:ascii="宋体" w:hAnsi="宋体" w:eastAsia="宋体" w:cs="宋体"/>
          <w:color w:val="auto"/>
          <w:sz w:val="24"/>
          <w:highlight w:val="none"/>
        </w:rPr>
      </w:pPr>
    </w:p>
    <w:p>
      <w:pPr>
        <w:pStyle w:val="26"/>
        <w:shd w:val="clear" w:color="auto" w:fill="auto"/>
        <w:rPr>
          <w:rFonts w:hint="eastAsia" w:ascii="宋体" w:hAnsi="宋体" w:eastAsia="宋体" w:cs="宋体"/>
          <w:b/>
          <w:color w:val="auto"/>
          <w:kern w:val="0"/>
          <w:sz w:val="24"/>
          <w:szCs w:val="20"/>
          <w:highlight w:val="none"/>
          <w:lang w:val="en-US" w:eastAsia="zh-CN" w:bidi="ar-SA"/>
        </w:rPr>
      </w:pPr>
    </w:p>
    <w:p>
      <w:pPr>
        <w:shd w:val="clear" w:color="auto" w:fill="auto"/>
        <w:rPr>
          <w:rFonts w:hint="default" w:ascii="宋体" w:hAnsi="宋体" w:eastAsia="宋体" w:cs="宋体"/>
          <w:b/>
          <w:color w:val="auto"/>
          <w:kern w:val="0"/>
          <w:sz w:val="24"/>
          <w:szCs w:val="20"/>
          <w:highlight w:val="none"/>
          <w:lang w:val="en-US" w:eastAsia="zh-CN" w:bidi="ar-SA"/>
        </w:rPr>
      </w:pPr>
      <w:r>
        <w:rPr>
          <w:rFonts w:hint="eastAsia" w:ascii="宋体" w:hAnsi="宋体" w:eastAsia="宋体" w:cs="宋体"/>
          <w:b/>
          <w:color w:val="auto"/>
          <w:kern w:val="0"/>
          <w:sz w:val="24"/>
          <w:szCs w:val="20"/>
          <w:highlight w:val="none"/>
          <w:lang w:val="en-US" w:eastAsia="zh-CN" w:bidi="ar-SA"/>
        </w:rPr>
        <w:t>10、诚信申明（格式自拟）</w:t>
      </w:r>
    </w:p>
    <w:p>
      <w:pPr>
        <w:pStyle w:val="81"/>
        <w:shd w:val="clear" w:color="auto" w:fill="auto"/>
        <w:rPr>
          <w:rFonts w:hint="eastAsia" w:ascii="宋体" w:hAnsi="宋体" w:eastAsia="宋体" w:cs="宋体"/>
          <w:color w:val="auto"/>
          <w:sz w:val="24"/>
          <w:highlight w:val="none"/>
        </w:rPr>
      </w:pPr>
    </w:p>
    <w:p>
      <w:pPr>
        <w:pStyle w:val="81"/>
        <w:shd w:val="clear" w:color="auto" w:fill="auto"/>
        <w:rPr>
          <w:rFonts w:hint="eastAsia" w:ascii="宋体" w:hAnsi="宋体" w:eastAsia="宋体" w:cs="宋体"/>
          <w:color w:val="auto"/>
          <w:sz w:val="24"/>
          <w:highlight w:val="none"/>
        </w:rPr>
      </w:pPr>
    </w:p>
    <w:p>
      <w:pPr>
        <w:pStyle w:val="81"/>
        <w:shd w:val="clear" w:color="auto" w:fill="auto"/>
        <w:rPr>
          <w:rFonts w:hint="eastAsia" w:ascii="宋体" w:hAnsi="宋体" w:eastAsia="宋体" w:cs="宋体"/>
          <w:color w:val="auto"/>
          <w:sz w:val="24"/>
          <w:highlight w:val="none"/>
        </w:rPr>
      </w:pPr>
    </w:p>
    <w:p>
      <w:pPr>
        <w:pStyle w:val="81"/>
        <w:shd w:val="clear" w:color="auto" w:fill="auto"/>
        <w:rPr>
          <w:rFonts w:hint="eastAsia" w:ascii="宋体" w:hAnsi="宋体" w:eastAsia="宋体" w:cs="宋体"/>
          <w:color w:val="auto"/>
          <w:sz w:val="24"/>
          <w:highlight w:val="none"/>
        </w:rPr>
      </w:pPr>
    </w:p>
    <w:p>
      <w:pPr>
        <w:pStyle w:val="81"/>
        <w:shd w:val="clear" w:color="auto" w:fill="auto"/>
        <w:rPr>
          <w:rFonts w:hint="eastAsia" w:ascii="宋体" w:hAnsi="宋体" w:eastAsia="宋体" w:cs="宋体"/>
          <w:color w:val="auto"/>
          <w:sz w:val="24"/>
          <w:highlight w:val="none"/>
        </w:rPr>
      </w:pPr>
    </w:p>
    <w:p>
      <w:pPr>
        <w:pStyle w:val="81"/>
        <w:shd w:val="clear" w:color="auto" w:fill="auto"/>
        <w:rPr>
          <w:rFonts w:hint="eastAsia" w:ascii="宋体" w:hAnsi="宋体" w:eastAsia="宋体" w:cs="宋体"/>
          <w:color w:val="auto"/>
          <w:sz w:val="24"/>
          <w:highlight w:val="none"/>
        </w:rPr>
      </w:pPr>
    </w:p>
    <w:p>
      <w:pPr>
        <w:pStyle w:val="81"/>
        <w:shd w:val="clear" w:color="auto" w:fill="auto"/>
        <w:rPr>
          <w:rFonts w:hint="eastAsia" w:ascii="宋体" w:hAnsi="宋体" w:eastAsia="宋体" w:cs="宋体"/>
          <w:color w:val="auto"/>
          <w:sz w:val="24"/>
          <w:highlight w:val="none"/>
        </w:rPr>
      </w:pPr>
    </w:p>
    <w:p>
      <w:pPr>
        <w:pStyle w:val="81"/>
        <w:shd w:val="clear" w:color="auto" w:fill="auto"/>
        <w:rPr>
          <w:rFonts w:hint="eastAsia" w:ascii="宋体" w:hAnsi="宋体" w:eastAsia="宋体" w:cs="宋体"/>
          <w:color w:val="auto"/>
          <w:sz w:val="24"/>
          <w:highlight w:val="none"/>
        </w:rPr>
      </w:pPr>
    </w:p>
    <w:p>
      <w:pPr>
        <w:pStyle w:val="81"/>
        <w:shd w:val="clear" w:color="auto" w:fill="auto"/>
        <w:rPr>
          <w:rFonts w:hint="eastAsia" w:ascii="宋体" w:hAnsi="宋体" w:eastAsia="宋体" w:cs="宋体"/>
          <w:color w:val="auto"/>
          <w:sz w:val="24"/>
          <w:highlight w:val="none"/>
        </w:rPr>
      </w:pPr>
    </w:p>
    <w:p>
      <w:pPr>
        <w:pStyle w:val="81"/>
        <w:shd w:val="clear" w:color="auto" w:fill="auto"/>
        <w:rPr>
          <w:rFonts w:hint="eastAsia" w:ascii="宋体" w:hAnsi="宋体" w:eastAsia="宋体" w:cs="宋体"/>
          <w:color w:val="auto"/>
          <w:sz w:val="24"/>
          <w:highlight w:val="none"/>
        </w:rPr>
      </w:pPr>
    </w:p>
    <w:p>
      <w:pPr>
        <w:pStyle w:val="81"/>
        <w:shd w:val="clear" w:color="auto" w:fill="auto"/>
        <w:rPr>
          <w:rFonts w:hint="eastAsia" w:ascii="宋体" w:hAnsi="宋体" w:eastAsia="宋体" w:cs="宋体"/>
          <w:color w:val="auto"/>
          <w:sz w:val="24"/>
          <w:highlight w:val="none"/>
        </w:rPr>
      </w:pPr>
    </w:p>
    <w:p>
      <w:pPr>
        <w:pStyle w:val="81"/>
        <w:shd w:val="clear" w:color="auto" w:fill="auto"/>
        <w:rPr>
          <w:rFonts w:hint="eastAsia" w:ascii="宋体" w:hAnsi="宋体" w:eastAsia="宋体" w:cs="宋体"/>
          <w:color w:val="auto"/>
          <w:sz w:val="24"/>
          <w:highlight w:val="none"/>
        </w:rPr>
      </w:pPr>
    </w:p>
    <w:p>
      <w:pPr>
        <w:pStyle w:val="81"/>
        <w:shd w:val="clear" w:color="auto" w:fill="auto"/>
        <w:rPr>
          <w:rFonts w:hint="eastAsia" w:ascii="宋体" w:hAnsi="宋体" w:eastAsia="宋体" w:cs="宋体"/>
          <w:color w:val="auto"/>
          <w:sz w:val="24"/>
          <w:highlight w:val="none"/>
        </w:rPr>
      </w:pPr>
    </w:p>
    <w:p>
      <w:pPr>
        <w:pStyle w:val="3"/>
        <w:keepNext/>
        <w:keepLines/>
        <w:pageBreakBefore w:val="0"/>
        <w:widowControl w:val="0"/>
        <w:shd w:val="clear" w:color="auto" w:fill="auto"/>
        <w:kinsoku/>
        <w:wordWrap/>
        <w:overflowPunct/>
        <w:topLinePunct w:val="0"/>
        <w:autoSpaceDE/>
        <w:autoSpaceDN/>
        <w:bidi w:val="0"/>
        <w:adjustRightInd/>
        <w:snapToGrid/>
        <w:spacing w:before="40" w:after="40" w:line="579" w:lineRule="auto"/>
        <w:textAlignment w:val="auto"/>
        <w:rPr>
          <w:rFonts w:hint="eastAsia"/>
          <w:color w:val="auto"/>
          <w:sz w:val="32"/>
          <w:szCs w:val="32"/>
          <w:highlight w:val="none"/>
        </w:rPr>
      </w:pPr>
      <w:bookmarkStart w:id="171" w:name="_Toc9380"/>
      <w:bookmarkStart w:id="172" w:name="_Toc11180"/>
      <w:bookmarkStart w:id="173" w:name="_Toc5695"/>
      <w:bookmarkStart w:id="174" w:name="_Toc22967"/>
      <w:bookmarkStart w:id="175" w:name="_Toc515647816"/>
      <w:r>
        <w:rPr>
          <w:rFonts w:hint="eastAsia"/>
          <w:color w:val="auto"/>
          <w:sz w:val="32"/>
          <w:szCs w:val="32"/>
          <w:highlight w:val="none"/>
        </w:rPr>
        <w:t>第二部分  商务及技术文件</w:t>
      </w:r>
      <w:bookmarkEnd w:id="171"/>
      <w:bookmarkEnd w:id="172"/>
      <w:bookmarkEnd w:id="173"/>
      <w:bookmarkEnd w:id="174"/>
      <w:bookmarkEnd w:id="175"/>
    </w:p>
    <w:p>
      <w:pPr>
        <w:pStyle w:val="25"/>
        <w:keepNext w:val="0"/>
        <w:keepLines w:val="0"/>
        <w:pageBreakBefore w:val="0"/>
        <w:widowControl w:val="0"/>
        <w:shd w:val="clear" w:color="auto" w:fill="auto"/>
        <w:kinsoku/>
        <w:wordWrap/>
        <w:overflowPunct/>
        <w:topLinePunct w:val="0"/>
        <w:autoSpaceDE/>
        <w:autoSpaceDN/>
        <w:bidi w:val="0"/>
        <w:adjustRightInd/>
        <w:snapToGrid/>
        <w:spacing w:line="400" w:lineRule="exact"/>
        <w:ind w:left="1087" w:leftChars="257" w:hanging="54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hAnsi="宋体" w:cs="宋体"/>
          <w:color w:val="auto"/>
          <w:sz w:val="24"/>
          <w:highlight w:val="none"/>
          <w:lang w:eastAsia="zh-CN"/>
        </w:rPr>
        <w:t>投标函</w:t>
      </w:r>
      <w:r>
        <w:rPr>
          <w:rFonts w:hint="eastAsia" w:ascii="宋体" w:hAnsi="宋体" w:eastAsia="宋体" w:cs="宋体"/>
          <w:color w:val="auto"/>
          <w:sz w:val="24"/>
          <w:highlight w:val="none"/>
        </w:rPr>
        <w:t>（投标文件格式五）</w:t>
      </w:r>
    </w:p>
    <w:p>
      <w:pPr>
        <w:pStyle w:val="25"/>
        <w:keepNext w:val="0"/>
        <w:keepLines w:val="0"/>
        <w:pageBreakBefore w:val="0"/>
        <w:widowControl w:val="0"/>
        <w:shd w:val="clear" w:color="auto" w:fill="auto"/>
        <w:kinsoku/>
        <w:wordWrap/>
        <w:overflowPunct/>
        <w:topLinePunct w:val="0"/>
        <w:autoSpaceDE/>
        <w:autoSpaceDN/>
        <w:bidi w:val="0"/>
        <w:adjustRightInd/>
        <w:snapToGrid/>
        <w:spacing w:line="400" w:lineRule="exact"/>
        <w:ind w:left="1087" w:leftChars="257" w:hanging="54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2、投标分项报价表（投标文件格式</w:t>
      </w:r>
      <w:r>
        <w:rPr>
          <w:rFonts w:hint="eastAsia" w:hAnsi="宋体" w:eastAsia="宋体" w:cs="宋体"/>
          <w:color w:val="auto"/>
          <w:sz w:val="24"/>
          <w:highlight w:val="none"/>
          <w:lang w:eastAsia="zh-CN"/>
        </w:rPr>
        <w:t>六</w:t>
      </w:r>
      <w:r>
        <w:rPr>
          <w:rFonts w:hint="eastAsia" w:ascii="宋体" w:hAnsi="宋体" w:eastAsia="宋体" w:cs="宋体"/>
          <w:color w:val="auto"/>
          <w:sz w:val="24"/>
          <w:highlight w:val="none"/>
        </w:rPr>
        <w:t>）</w:t>
      </w:r>
    </w:p>
    <w:p>
      <w:pPr>
        <w:pStyle w:val="25"/>
        <w:keepNext w:val="0"/>
        <w:keepLines w:val="0"/>
        <w:pageBreakBefore w:val="0"/>
        <w:widowControl w:val="0"/>
        <w:shd w:val="clear" w:color="auto" w:fill="auto"/>
        <w:kinsoku/>
        <w:wordWrap/>
        <w:overflowPunct/>
        <w:topLinePunct w:val="0"/>
        <w:autoSpaceDE/>
        <w:autoSpaceDN/>
        <w:bidi w:val="0"/>
        <w:adjustRightInd/>
        <w:snapToGrid/>
        <w:spacing w:line="400" w:lineRule="exact"/>
        <w:ind w:left="1087" w:leftChars="257" w:hanging="540"/>
        <w:textAlignment w:val="auto"/>
        <w:rPr>
          <w:rFonts w:hint="eastAsia" w:ascii="宋体" w:hAnsi="宋体" w:eastAsia="宋体" w:cs="宋体"/>
          <w:color w:val="auto"/>
          <w:sz w:val="24"/>
          <w:highlight w:val="none"/>
        </w:rPr>
      </w:pPr>
      <w:r>
        <w:rPr>
          <w:rFonts w:hint="eastAsia" w:hAnsi="宋体" w:eastAsia="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hAnsi="宋体" w:cs="宋体"/>
          <w:color w:val="auto"/>
          <w:sz w:val="24"/>
          <w:highlight w:val="none"/>
          <w:lang w:val="en-US" w:eastAsia="zh-CN"/>
        </w:rPr>
        <w:t>货物</w:t>
      </w:r>
      <w:r>
        <w:rPr>
          <w:rFonts w:hint="eastAsia" w:ascii="宋体" w:hAnsi="宋体" w:eastAsia="宋体" w:cs="宋体"/>
          <w:color w:val="auto"/>
          <w:sz w:val="24"/>
          <w:highlight w:val="none"/>
        </w:rPr>
        <w:t>一览表（投标文件格式七）</w:t>
      </w:r>
    </w:p>
    <w:p>
      <w:pPr>
        <w:pStyle w:val="25"/>
        <w:keepNext w:val="0"/>
        <w:keepLines w:val="0"/>
        <w:pageBreakBefore w:val="0"/>
        <w:widowControl w:val="0"/>
        <w:shd w:val="clear" w:color="auto" w:fill="auto"/>
        <w:kinsoku/>
        <w:wordWrap/>
        <w:overflowPunct/>
        <w:topLinePunct w:val="0"/>
        <w:autoSpaceDE/>
        <w:autoSpaceDN/>
        <w:bidi w:val="0"/>
        <w:adjustRightInd/>
        <w:snapToGrid/>
        <w:spacing w:line="400" w:lineRule="exact"/>
        <w:ind w:left="1087" w:leftChars="257" w:hanging="540"/>
        <w:textAlignment w:val="auto"/>
        <w:rPr>
          <w:rFonts w:hint="eastAsia" w:ascii="宋体" w:hAnsi="宋体" w:eastAsia="宋体" w:cs="宋体"/>
          <w:color w:val="auto"/>
          <w:sz w:val="24"/>
          <w:highlight w:val="none"/>
        </w:rPr>
      </w:pPr>
      <w:r>
        <w:rPr>
          <w:rFonts w:hint="eastAsia" w:hAnsi="宋体" w:eastAsia="宋体" w:cs="宋体"/>
          <w:color w:val="auto"/>
          <w:sz w:val="24"/>
          <w:highlight w:val="none"/>
          <w:lang w:val="en-US" w:eastAsia="zh-CN"/>
        </w:rPr>
        <w:t>4</w:t>
      </w:r>
      <w:r>
        <w:rPr>
          <w:rFonts w:hint="eastAsia" w:ascii="宋体" w:hAnsi="宋体" w:eastAsia="宋体" w:cs="宋体"/>
          <w:color w:val="auto"/>
          <w:sz w:val="24"/>
          <w:highlight w:val="none"/>
        </w:rPr>
        <w:t>、技术规格偏离表（投标文件格式八）</w:t>
      </w:r>
    </w:p>
    <w:p>
      <w:pPr>
        <w:pStyle w:val="25"/>
        <w:keepNext w:val="0"/>
        <w:keepLines w:val="0"/>
        <w:pageBreakBefore w:val="0"/>
        <w:widowControl w:val="0"/>
        <w:shd w:val="clear" w:color="auto" w:fill="auto"/>
        <w:kinsoku/>
        <w:wordWrap/>
        <w:overflowPunct/>
        <w:topLinePunct w:val="0"/>
        <w:autoSpaceDE/>
        <w:autoSpaceDN/>
        <w:bidi w:val="0"/>
        <w:adjustRightInd/>
        <w:snapToGrid/>
        <w:spacing w:line="400" w:lineRule="exact"/>
        <w:ind w:left="1087" w:leftChars="257" w:hanging="540"/>
        <w:textAlignment w:val="auto"/>
        <w:rPr>
          <w:rFonts w:hint="eastAsia" w:ascii="宋体" w:hAnsi="宋体" w:eastAsia="宋体" w:cs="宋体"/>
          <w:color w:val="auto"/>
          <w:sz w:val="24"/>
          <w:highlight w:val="none"/>
        </w:rPr>
      </w:pPr>
      <w:r>
        <w:rPr>
          <w:rFonts w:hint="eastAsia" w:hAnsi="宋体" w:eastAsia="宋体" w:cs="宋体"/>
          <w:color w:val="auto"/>
          <w:sz w:val="24"/>
          <w:highlight w:val="none"/>
          <w:lang w:val="en-US" w:eastAsia="zh-CN"/>
        </w:rPr>
        <w:t>5</w:t>
      </w:r>
      <w:r>
        <w:rPr>
          <w:rFonts w:hint="eastAsia" w:ascii="宋体" w:hAnsi="宋体" w:eastAsia="宋体" w:cs="宋体"/>
          <w:color w:val="auto"/>
          <w:sz w:val="24"/>
          <w:highlight w:val="none"/>
        </w:rPr>
        <w:t>、商务条款偏离表（投标文件格式九）</w:t>
      </w:r>
    </w:p>
    <w:p>
      <w:pPr>
        <w:pStyle w:val="25"/>
        <w:keepNext w:val="0"/>
        <w:keepLines w:val="0"/>
        <w:pageBreakBefore w:val="0"/>
        <w:widowControl w:val="0"/>
        <w:shd w:val="clear" w:color="auto" w:fill="auto"/>
        <w:kinsoku/>
        <w:wordWrap/>
        <w:overflowPunct/>
        <w:topLinePunct w:val="0"/>
        <w:autoSpaceDE/>
        <w:autoSpaceDN/>
        <w:bidi w:val="0"/>
        <w:adjustRightInd/>
        <w:snapToGrid/>
        <w:spacing w:line="400" w:lineRule="exact"/>
        <w:ind w:left="1087" w:leftChars="257" w:hanging="540"/>
        <w:textAlignment w:val="auto"/>
        <w:rPr>
          <w:rFonts w:hint="eastAsia" w:ascii="宋体" w:hAnsi="宋体" w:eastAsia="宋体" w:cs="宋体"/>
          <w:color w:val="auto"/>
          <w:sz w:val="24"/>
          <w:highlight w:val="none"/>
        </w:rPr>
      </w:pPr>
      <w:r>
        <w:rPr>
          <w:rFonts w:hint="eastAsia" w:hAnsi="宋体" w:eastAsia="宋体" w:cs="宋体"/>
          <w:color w:val="auto"/>
          <w:sz w:val="24"/>
          <w:highlight w:val="none"/>
          <w:lang w:val="en-US" w:eastAsia="zh-CN"/>
        </w:rPr>
        <w:t>6</w:t>
      </w:r>
      <w:r>
        <w:rPr>
          <w:rFonts w:hint="eastAsia" w:ascii="宋体" w:hAnsi="宋体" w:eastAsia="宋体" w:cs="宋体"/>
          <w:color w:val="auto"/>
          <w:sz w:val="24"/>
          <w:highlight w:val="none"/>
        </w:rPr>
        <w:t>、符合《政府采购促进中小企业发展暂行办法》、《关于政府采购支持监狱企业发展有关问题的通知》和《三部门联合发布关于促进残疾人就业政府采购政策的通知》条件的投标人须提交）</w:t>
      </w:r>
    </w:p>
    <w:p>
      <w:pPr>
        <w:pStyle w:val="25"/>
        <w:keepNext w:val="0"/>
        <w:keepLines w:val="0"/>
        <w:pageBreakBefore w:val="0"/>
        <w:widowControl w:val="0"/>
        <w:shd w:val="clear" w:color="auto" w:fill="auto"/>
        <w:kinsoku/>
        <w:wordWrap/>
        <w:overflowPunct/>
        <w:topLinePunct w:val="0"/>
        <w:autoSpaceDE/>
        <w:autoSpaceDN/>
        <w:bidi w:val="0"/>
        <w:adjustRightInd/>
        <w:snapToGrid/>
        <w:spacing w:line="400" w:lineRule="exact"/>
        <w:ind w:left="315" w:leftChars="148" w:firstLine="228"/>
        <w:textAlignment w:val="auto"/>
        <w:rPr>
          <w:rFonts w:hint="eastAsia" w:ascii="宋体" w:hAnsi="宋体" w:eastAsia="宋体" w:cs="宋体"/>
          <w:color w:val="auto"/>
          <w:sz w:val="24"/>
          <w:highlight w:val="none"/>
        </w:rPr>
      </w:pPr>
      <w:r>
        <w:rPr>
          <w:rFonts w:hint="eastAsia" w:hAnsi="宋体" w:eastAsia="宋体" w:cs="宋体"/>
          <w:color w:val="auto"/>
          <w:sz w:val="24"/>
          <w:highlight w:val="none"/>
          <w:lang w:val="en-US" w:eastAsia="zh-CN"/>
        </w:rPr>
        <w:t>6</w:t>
      </w: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中小企业声明函(服务)</w:t>
      </w:r>
      <w:r>
        <w:rPr>
          <w:rFonts w:hint="eastAsia" w:ascii="宋体" w:hAnsi="宋体" w:eastAsia="宋体" w:cs="宋体"/>
          <w:color w:val="auto"/>
          <w:sz w:val="24"/>
          <w:highlight w:val="none"/>
        </w:rPr>
        <w:t>（投标文件格式十）</w:t>
      </w:r>
    </w:p>
    <w:p>
      <w:pPr>
        <w:pStyle w:val="25"/>
        <w:keepNext w:val="0"/>
        <w:keepLines w:val="0"/>
        <w:pageBreakBefore w:val="0"/>
        <w:widowControl w:val="0"/>
        <w:shd w:val="clear" w:color="auto" w:fill="auto"/>
        <w:kinsoku/>
        <w:wordWrap/>
        <w:overflowPunct/>
        <w:topLinePunct w:val="0"/>
        <w:autoSpaceDE/>
        <w:autoSpaceDN/>
        <w:bidi w:val="0"/>
        <w:adjustRightInd/>
        <w:snapToGrid/>
        <w:spacing w:line="400" w:lineRule="exact"/>
        <w:ind w:left="315" w:leftChars="148" w:firstLine="228"/>
        <w:textAlignment w:val="auto"/>
        <w:rPr>
          <w:rFonts w:hint="eastAsia" w:ascii="宋体" w:hAnsi="宋体" w:eastAsia="宋体" w:cs="宋体"/>
          <w:color w:val="auto"/>
          <w:sz w:val="24"/>
          <w:highlight w:val="none"/>
        </w:rPr>
      </w:pPr>
      <w:r>
        <w:rPr>
          <w:rFonts w:hint="eastAsia" w:hAnsi="宋体" w:eastAsia="宋体" w:cs="宋体"/>
          <w:color w:val="auto"/>
          <w:sz w:val="24"/>
          <w:highlight w:val="none"/>
          <w:lang w:val="en-US" w:eastAsia="zh-CN"/>
        </w:rPr>
        <w:t>6</w:t>
      </w:r>
      <w:r>
        <w:rPr>
          <w:rFonts w:hint="eastAsia" w:ascii="宋体" w:hAnsi="宋体" w:eastAsia="宋体" w:cs="宋体"/>
          <w:color w:val="auto"/>
          <w:sz w:val="24"/>
          <w:highlight w:val="none"/>
        </w:rPr>
        <w:t>-2《制造商投标人企业（单位）类型声明函》（投标文件格式十一）</w:t>
      </w:r>
    </w:p>
    <w:p>
      <w:pPr>
        <w:pStyle w:val="25"/>
        <w:keepNext w:val="0"/>
        <w:keepLines w:val="0"/>
        <w:pageBreakBefore w:val="0"/>
        <w:widowControl w:val="0"/>
        <w:shd w:val="clear" w:color="auto" w:fill="auto"/>
        <w:kinsoku/>
        <w:wordWrap/>
        <w:overflowPunct/>
        <w:topLinePunct w:val="0"/>
        <w:autoSpaceDE/>
        <w:autoSpaceDN/>
        <w:bidi w:val="0"/>
        <w:adjustRightInd/>
        <w:snapToGrid/>
        <w:spacing w:line="400" w:lineRule="exact"/>
        <w:ind w:left="315" w:leftChars="148" w:firstLine="228"/>
        <w:textAlignment w:val="auto"/>
        <w:rPr>
          <w:rFonts w:hint="eastAsia" w:ascii="宋体" w:hAnsi="宋体" w:eastAsia="宋体" w:cs="宋体"/>
          <w:color w:val="auto"/>
          <w:sz w:val="24"/>
          <w:highlight w:val="none"/>
        </w:rPr>
      </w:pPr>
      <w:r>
        <w:rPr>
          <w:rFonts w:hint="eastAsia" w:hAnsi="宋体" w:eastAsia="宋体" w:cs="宋体"/>
          <w:color w:val="auto"/>
          <w:sz w:val="24"/>
          <w:highlight w:val="none"/>
          <w:lang w:val="en-US" w:eastAsia="zh-CN"/>
        </w:rPr>
        <w:t>6</w:t>
      </w:r>
      <w:r>
        <w:rPr>
          <w:rFonts w:hint="eastAsia" w:ascii="宋体" w:hAnsi="宋体" w:eastAsia="宋体" w:cs="宋体"/>
          <w:color w:val="auto"/>
          <w:sz w:val="24"/>
          <w:highlight w:val="none"/>
        </w:rPr>
        <w:t>-3《残疾人福利性单位声明函》（投标文件格式十二）</w:t>
      </w:r>
    </w:p>
    <w:p>
      <w:pPr>
        <w:pStyle w:val="25"/>
        <w:keepNext w:val="0"/>
        <w:keepLines w:val="0"/>
        <w:pageBreakBefore w:val="0"/>
        <w:widowControl w:val="0"/>
        <w:shd w:val="clear" w:color="auto" w:fill="auto"/>
        <w:kinsoku/>
        <w:wordWrap/>
        <w:overflowPunct/>
        <w:topLinePunct w:val="0"/>
        <w:autoSpaceDE/>
        <w:autoSpaceDN/>
        <w:bidi w:val="0"/>
        <w:adjustRightInd/>
        <w:snapToGrid/>
        <w:spacing w:line="400" w:lineRule="exact"/>
        <w:ind w:left="315" w:leftChars="148" w:firstLine="228"/>
        <w:textAlignment w:val="auto"/>
        <w:rPr>
          <w:rFonts w:hint="eastAsia" w:ascii="宋体" w:hAnsi="宋体" w:eastAsia="宋体" w:cs="宋体"/>
          <w:color w:val="auto"/>
          <w:sz w:val="24"/>
          <w:highlight w:val="none"/>
        </w:rPr>
      </w:pPr>
      <w:r>
        <w:rPr>
          <w:rFonts w:hint="eastAsia" w:hAnsi="宋体" w:eastAsia="宋体" w:cs="宋体"/>
          <w:color w:val="auto"/>
          <w:sz w:val="24"/>
          <w:highlight w:val="none"/>
          <w:lang w:val="en-US" w:eastAsia="zh-CN"/>
        </w:rPr>
        <w:t>7</w:t>
      </w:r>
      <w:r>
        <w:rPr>
          <w:rFonts w:hint="eastAsia" w:ascii="宋体" w:hAnsi="宋体" w:eastAsia="宋体" w:cs="宋体"/>
          <w:color w:val="auto"/>
          <w:sz w:val="24"/>
          <w:highlight w:val="none"/>
        </w:rPr>
        <w:t>、投标人关联单位的说明（格式自拟）</w:t>
      </w:r>
    </w:p>
    <w:p>
      <w:pPr>
        <w:pStyle w:val="25"/>
        <w:keepNext w:val="0"/>
        <w:keepLines w:val="0"/>
        <w:pageBreakBefore w:val="0"/>
        <w:widowControl w:val="0"/>
        <w:shd w:val="clear" w:color="auto" w:fill="auto"/>
        <w:kinsoku/>
        <w:wordWrap/>
        <w:overflowPunct/>
        <w:topLinePunct w:val="0"/>
        <w:autoSpaceDE/>
        <w:autoSpaceDN/>
        <w:bidi w:val="0"/>
        <w:adjustRightInd/>
        <w:snapToGrid/>
        <w:spacing w:line="400" w:lineRule="exact"/>
        <w:ind w:left="315" w:leftChars="148" w:firstLine="228"/>
        <w:textAlignment w:val="auto"/>
        <w:rPr>
          <w:rFonts w:hint="eastAsia" w:ascii="宋体" w:hAnsi="宋体" w:eastAsia="宋体" w:cs="宋体"/>
          <w:color w:val="auto"/>
          <w:sz w:val="24"/>
          <w:highlight w:val="none"/>
          <w:lang w:eastAsia="zh-CN"/>
        </w:rPr>
      </w:pPr>
      <w:r>
        <w:rPr>
          <w:rFonts w:hint="eastAsia" w:hAnsi="宋体" w:eastAsia="宋体" w:cs="宋体"/>
          <w:color w:val="auto"/>
          <w:sz w:val="24"/>
          <w:highlight w:val="none"/>
          <w:lang w:val="en-US" w:eastAsia="zh-CN"/>
        </w:rPr>
        <w:t>8</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lang w:eastAsia="zh-CN"/>
        </w:rPr>
        <w:t>评分标准和细则中技术部分证明材料（格式自拟）</w:t>
      </w:r>
    </w:p>
    <w:p>
      <w:pPr>
        <w:pStyle w:val="25"/>
        <w:keepNext w:val="0"/>
        <w:keepLines w:val="0"/>
        <w:pageBreakBefore w:val="0"/>
        <w:widowControl w:val="0"/>
        <w:shd w:val="clear" w:color="auto" w:fill="auto"/>
        <w:kinsoku/>
        <w:wordWrap/>
        <w:overflowPunct/>
        <w:topLinePunct w:val="0"/>
        <w:autoSpaceDE/>
        <w:autoSpaceDN/>
        <w:bidi w:val="0"/>
        <w:adjustRightInd/>
        <w:snapToGrid/>
        <w:spacing w:line="400" w:lineRule="exact"/>
        <w:ind w:left="315" w:leftChars="148" w:firstLine="228"/>
        <w:textAlignment w:val="auto"/>
        <w:rPr>
          <w:rFonts w:hint="eastAsia" w:ascii="宋体" w:hAnsi="宋体" w:eastAsia="宋体" w:cs="宋体"/>
          <w:color w:val="auto"/>
          <w:sz w:val="24"/>
          <w:highlight w:val="none"/>
          <w:lang w:eastAsia="zh-CN"/>
        </w:rPr>
      </w:pPr>
      <w:r>
        <w:rPr>
          <w:rFonts w:hint="eastAsia" w:hAnsi="宋体" w:eastAsia="宋体" w:cs="宋体"/>
          <w:color w:val="auto"/>
          <w:sz w:val="24"/>
          <w:highlight w:val="none"/>
          <w:lang w:val="en-US" w:eastAsia="zh-CN"/>
        </w:rPr>
        <w:t>9</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lang w:eastAsia="zh-CN"/>
        </w:rPr>
        <w:t>评分标准和细则中技术部分证明材料（格式自拟）</w:t>
      </w:r>
    </w:p>
    <w:p>
      <w:pPr>
        <w:pStyle w:val="25"/>
        <w:keepNext w:val="0"/>
        <w:keepLines w:val="0"/>
        <w:pageBreakBefore w:val="0"/>
        <w:widowControl w:val="0"/>
        <w:shd w:val="clear" w:color="auto" w:fill="auto"/>
        <w:kinsoku/>
        <w:wordWrap/>
        <w:overflowPunct/>
        <w:topLinePunct w:val="0"/>
        <w:autoSpaceDE/>
        <w:autoSpaceDN/>
        <w:bidi w:val="0"/>
        <w:adjustRightInd/>
        <w:snapToGrid/>
        <w:spacing w:line="400" w:lineRule="exact"/>
        <w:ind w:left="315" w:leftChars="148" w:firstLine="228"/>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w:t>
      </w:r>
      <w:r>
        <w:rPr>
          <w:rFonts w:hint="eastAsia" w:hAnsi="宋体" w:eastAsia="宋体" w:cs="宋体"/>
          <w:color w:val="auto"/>
          <w:sz w:val="24"/>
          <w:highlight w:val="none"/>
          <w:lang w:val="en-US" w:eastAsia="zh-CN"/>
        </w:rPr>
        <w:t>0</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lang w:eastAsia="zh-CN"/>
        </w:rPr>
        <w:t>投标人认为有必要提供的其他证明材料（格式自拟）</w:t>
      </w:r>
    </w:p>
    <w:p>
      <w:pPr>
        <w:pStyle w:val="25"/>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400" w:lineRule="exact"/>
        <w:ind w:left="568" w:leftChars="267"/>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pPr>
        <w:pStyle w:val="4"/>
        <w:numPr>
          <w:ilvl w:val="0"/>
          <w:numId w:val="0"/>
        </w:numPr>
        <w:shd w:val="clear" w:color="auto" w:fill="auto"/>
        <w:spacing w:before="0" w:line="240" w:lineRule="atLeast"/>
        <w:rPr>
          <w:rFonts w:hint="eastAsia" w:ascii="宋体" w:hAnsi="宋体" w:eastAsia="宋体" w:cs="宋体"/>
          <w:b/>
          <w:bCs/>
          <w:color w:val="auto"/>
          <w:sz w:val="24"/>
          <w:highlight w:val="none"/>
        </w:rPr>
      </w:pPr>
      <w:bookmarkStart w:id="176" w:name="_Toc2041"/>
      <w:bookmarkStart w:id="177" w:name="_Toc6695"/>
      <w:bookmarkStart w:id="178" w:name="_Toc515647817"/>
      <w:bookmarkStart w:id="179" w:name="_Toc14915"/>
      <w:r>
        <w:rPr>
          <w:rFonts w:hint="eastAsia" w:ascii="宋体" w:hAnsi="宋体" w:eastAsia="宋体" w:cs="宋体"/>
          <w:b/>
          <w:bCs/>
          <w:color w:val="auto"/>
          <w:sz w:val="24"/>
          <w:highlight w:val="none"/>
        </w:rPr>
        <w:t xml:space="preserve">1 </w:t>
      </w:r>
      <w:bookmarkStart w:id="180" w:name="_Hlt520355504"/>
      <w:bookmarkEnd w:id="180"/>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投标</w:t>
      </w:r>
      <w:bookmarkEnd w:id="125"/>
      <w:bookmarkEnd w:id="126"/>
      <w:bookmarkEnd w:id="127"/>
      <w:r>
        <w:rPr>
          <w:rFonts w:hint="eastAsia" w:ascii="宋体" w:hAnsi="宋体" w:eastAsia="宋体" w:cs="宋体"/>
          <w:b/>
          <w:bCs/>
          <w:color w:val="auto"/>
          <w:sz w:val="24"/>
          <w:highlight w:val="none"/>
          <w:lang w:val="en-US" w:eastAsia="zh-CN"/>
        </w:rPr>
        <w:t>函</w:t>
      </w:r>
      <w:r>
        <w:rPr>
          <w:rFonts w:hint="eastAsia" w:ascii="宋体" w:hAnsi="宋体" w:eastAsia="宋体" w:cs="宋体"/>
          <w:b/>
          <w:bCs/>
          <w:color w:val="auto"/>
          <w:sz w:val="24"/>
          <w:highlight w:val="none"/>
        </w:rPr>
        <w:t>（投标文件格式五）</w:t>
      </w:r>
      <w:bookmarkEnd w:id="128"/>
      <w:bookmarkEnd w:id="176"/>
      <w:bookmarkEnd w:id="177"/>
      <w:bookmarkEnd w:id="178"/>
      <w:bookmarkEnd w:id="179"/>
    </w:p>
    <w:p>
      <w:pPr>
        <w:pStyle w:val="20"/>
        <w:numPr>
          <w:ilvl w:val="0"/>
          <w:numId w:val="0"/>
        </w:numPr>
        <w:tabs>
          <w:tab w:val="clear" w:pos="562"/>
          <w:tab w:val="clear" w:pos="3372"/>
          <w:tab w:val="clear" w:pos="3653"/>
        </w:tabs>
        <w:kinsoku w:val="0"/>
        <w:overflowPunct w:val="0"/>
        <w:spacing w:before="130" w:line="355" w:lineRule="auto"/>
        <w:ind w:left="480" w:leftChars="0" w:right="7" w:rightChars="0"/>
        <w:jc w:val="center"/>
        <w:rPr>
          <w:rFonts w:hint="eastAsia" w:ascii="仿宋" w:hAnsi="仿宋" w:eastAsia="仿宋" w:cs="仿宋"/>
          <w:b/>
          <w:bCs/>
          <w:color w:val="auto"/>
          <w:sz w:val="36"/>
          <w:szCs w:val="36"/>
        </w:rPr>
      </w:pPr>
      <w:r>
        <w:rPr>
          <w:rFonts w:hint="eastAsia" w:ascii="仿宋" w:hAnsi="仿宋" w:eastAsia="仿宋" w:cs="仿宋"/>
          <w:b/>
          <w:bCs/>
          <w:color w:val="auto"/>
          <w:sz w:val="36"/>
          <w:szCs w:val="36"/>
          <w:lang w:val="en-US" w:eastAsia="zh-CN"/>
        </w:rPr>
        <w:t>1</w:t>
      </w:r>
      <w:r>
        <w:rPr>
          <w:rFonts w:hint="eastAsia" w:ascii="仿宋" w:hAnsi="仿宋" w:eastAsia="仿宋" w:cs="仿宋"/>
          <w:b/>
          <w:bCs/>
          <w:color w:val="auto"/>
          <w:sz w:val="36"/>
          <w:szCs w:val="36"/>
        </w:rPr>
        <w:t>、投标函</w:t>
      </w:r>
    </w:p>
    <w:p>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u w:val="single"/>
        </w:rPr>
      </w:pPr>
      <w:r>
        <w:rPr>
          <w:rFonts w:hint="eastAsia" w:ascii="仿宋" w:hAnsi="仿宋" w:eastAsia="仿宋" w:cs="仿宋"/>
          <w:color w:val="auto"/>
          <w:kern w:val="0"/>
          <w:sz w:val="24"/>
        </w:rPr>
        <w:t>致：</w:t>
      </w:r>
      <w:r>
        <w:rPr>
          <w:rFonts w:hint="eastAsia" w:ascii="仿宋" w:hAnsi="仿宋" w:eastAsia="仿宋" w:cs="仿宋"/>
          <w:color w:val="auto"/>
          <w:kern w:val="0"/>
          <w:sz w:val="24"/>
          <w:u w:val="single"/>
        </w:rPr>
        <w:t xml:space="preserve">                     </w:t>
      </w:r>
    </w:p>
    <w:p>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为响应你方组织的</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项目的招标[项目编号为：</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]，我方愿参与投标。</w:t>
      </w:r>
    </w:p>
    <w:p>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我方确认收到贵方提供的</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u w:val="none"/>
        </w:rPr>
        <w:t>招标</w:t>
      </w:r>
      <w:r>
        <w:rPr>
          <w:rFonts w:hint="eastAsia" w:ascii="仿宋" w:hAnsi="仿宋" w:eastAsia="仿宋" w:cs="仿宋"/>
          <w:color w:val="auto"/>
          <w:kern w:val="0"/>
          <w:sz w:val="24"/>
        </w:rPr>
        <w:t>文件的全部内容。</w:t>
      </w:r>
    </w:p>
    <w:p>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我方在参与投标前已详细研究了招标文件的所有内容，包括澄清、修改文件（如果有）和所有已提供的参考资料以及有关附件，我方完全明白并认为此招标文件没有倾向性，也不存在排斥潜在报价投标人的内容，我方同意招标文件的相关条款，放弃对招标文件提出误解和质疑的一切权力。</w:t>
      </w:r>
    </w:p>
    <w:p>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u w:val="single"/>
        </w:rPr>
        <w:t xml:space="preserve">      (投标人名称)      </w:t>
      </w:r>
      <w:r>
        <w:rPr>
          <w:rFonts w:hint="eastAsia" w:ascii="仿宋" w:hAnsi="仿宋" w:eastAsia="仿宋" w:cs="仿宋"/>
          <w:color w:val="auto"/>
          <w:kern w:val="0"/>
          <w:sz w:val="24"/>
        </w:rPr>
        <w:t>作为投标人正式授权</w:t>
      </w:r>
      <w:r>
        <w:rPr>
          <w:rFonts w:hint="eastAsia" w:ascii="仿宋" w:hAnsi="仿宋" w:eastAsia="仿宋" w:cs="仿宋"/>
          <w:color w:val="auto"/>
          <w:kern w:val="0"/>
          <w:sz w:val="24"/>
          <w:u w:val="single"/>
        </w:rPr>
        <w:t xml:space="preserve">  (授权代表全名, 职务)  </w:t>
      </w:r>
      <w:r>
        <w:rPr>
          <w:rFonts w:hint="eastAsia" w:ascii="仿宋" w:hAnsi="仿宋" w:eastAsia="仿宋" w:cs="仿宋"/>
          <w:color w:val="auto"/>
          <w:kern w:val="0"/>
          <w:sz w:val="24"/>
        </w:rPr>
        <w:t>代表我方全权处理有关本报价的一切事宜。</w:t>
      </w:r>
    </w:p>
    <w:p>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我方已完全明白招标文件的所有条款要求，并申明如下：</w:t>
      </w:r>
    </w:p>
    <w:p>
      <w:pPr>
        <w:spacing w:line="480" w:lineRule="exact"/>
        <w:ind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（一）按招标文件提供的全部货物与相关服务的投标总价详见《报价一览表》。</w:t>
      </w:r>
    </w:p>
    <w:p>
      <w:pPr>
        <w:spacing w:line="480" w:lineRule="exact"/>
        <w:ind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（二）本投标文件的有效期为投标截止时间起</w:t>
      </w:r>
      <w:r>
        <w:rPr>
          <w:rFonts w:hint="eastAsia" w:ascii="仿宋" w:hAnsi="仿宋" w:eastAsia="仿宋" w:cs="仿宋"/>
          <w:color w:val="auto"/>
          <w:kern w:val="0"/>
          <w:sz w:val="24"/>
          <w:u w:val="single"/>
          <w:lang w:val="en-US" w:eastAsia="zh-CN"/>
        </w:rPr>
        <w:t>60</w:t>
      </w:r>
      <w:r>
        <w:rPr>
          <w:rFonts w:hint="eastAsia" w:ascii="仿宋" w:hAnsi="仿宋" w:eastAsia="仿宋" w:cs="仿宋"/>
          <w:color w:val="auto"/>
          <w:kern w:val="0"/>
          <w:sz w:val="24"/>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spacing w:line="480" w:lineRule="exact"/>
        <w:ind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（三）我方同意按照贵方可能提出的要求而提供与投标有关的任何其它数据、信息或资料。</w:t>
      </w:r>
    </w:p>
    <w:p>
      <w:pPr>
        <w:spacing w:line="480" w:lineRule="exact"/>
        <w:ind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四</w:t>
      </w:r>
      <w:r>
        <w:rPr>
          <w:rFonts w:hint="eastAsia" w:ascii="仿宋" w:hAnsi="仿宋" w:eastAsia="仿宋" w:cs="仿宋"/>
          <w:color w:val="auto"/>
          <w:kern w:val="0"/>
          <w:sz w:val="24"/>
        </w:rPr>
        <w:t>）我方理解贵方不一定接受最低投标价或任何贵方可能收到的投标。</w:t>
      </w:r>
    </w:p>
    <w:p>
      <w:pPr>
        <w:spacing w:line="480" w:lineRule="exact"/>
        <w:ind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五</w:t>
      </w:r>
      <w:r>
        <w:rPr>
          <w:rFonts w:hint="eastAsia" w:ascii="仿宋" w:hAnsi="仿宋" w:eastAsia="仿宋" w:cs="仿宋"/>
          <w:color w:val="auto"/>
          <w:kern w:val="0"/>
          <w:sz w:val="24"/>
        </w:rPr>
        <w:t>）我方如果中标，将保证履行招标文件及其澄清、修改文件（如果有）中的全部责任和义务，按质、按量、按期完成《招标内容》及《合同书》中的全部任务。</w:t>
      </w:r>
    </w:p>
    <w:p>
      <w:pPr>
        <w:spacing w:line="480" w:lineRule="exact"/>
        <w:ind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六</w:t>
      </w:r>
      <w:r>
        <w:rPr>
          <w:rFonts w:hint="eastAsia" w:ascii="仿宋" w:hAnsi="仿宋" w:eastAsia="仿宋" w:cs="仿宋"/>
          <w:color w:val="auto"/>
          <w:kern w:val="0"/>
          <w:sz w:val="24"/>
        </w:rPr>
        <w:t>）如我方被授予合同，我方承诺支付就本次招标应支付或将支付的中标服务费（详见按招标文件要求格式填写的《中标服务费支付承诺书》）。</w:t>
      </w:r>
    </w:p>
    <w:p>
      <w:pPr>
        <w:spacing w:line="480" w:lineRule="exact"/>
        <w:ind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七</w:t>
      </w:r>
      <w:r>
        <w:rPr>
          <w:rFonts w:hint="eastAsia" w:ascii="仿宋" w:hAnsi="仿宋" w:eastAsia="仿宋" w:cs="仿宋"/>
          <w:color w:val="auto"/>
          <w:kern w:val="0"/>
          <w:sz w:val="24"/>
        </w:rPr>
        <w:t>）我方作为在法律、财务和运作上独立于采购人、招标代理机构的投标人，在此保证所提交的所有文件和全部说明是真实的和正确的。</w:t>
      </w:r>
    </w:p>
    <w:p>
      <w:pPr>
        <w:spacing w:line="480" w:lineRule="exact"/>
        <w:ind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八</w:t>
      </w:r>
      <w:r>
        <w:rPr>
          <w:rFonts w:hint="eastAsia" w:ascii="仿宋" w:hAnsi="仿宋" w:eastAsia="仿宋" w:cs="仿宋"/>
          <w:color w:val="auto"/>
          <w:kern w:val="0"/>
          <w:sz w:val="24"/>
        </w:rPr>
        <w:t>）我方投标报价已包含应向知识产权所有权人支付的所有相关税费，并保证采购人在中国使用我方提供的货物时，如有第三方提出侵犯其知识产权主张的，责任由我方承担。</w:t>
      </w:r>
    </w:p>
    <w:p>
      <w:pPr>
        <w:spacing w:line="480" w:lineRule="exact"/>
        <w:ind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九</w:t>
      </w:r>
      <w:r>
        <w:rPr>
          <w:rFonts w:hint="eastAsia" w:ascii="仿宋" w:hAnsi="仿宋" w:eastAsia="仿宋" w:cs="仿宋"/>
          <w:color w:val="auto"/>
          <w:kern w:val="0"/>
          <w:sz w:val="24"/>
        </w:rPr>
        <w:t>）我方与其他投标人不存在单位负责人为同一人或者存在直接控股、管理关系。</w:t>
      </w:r>
    </w:p>
    <w:p>
      <w:pPr>
        <w:spacing w:line="480" w:lineRule="exact"/>
        <w:ind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（十）我方承诺未为本项目提供整体设计、规范编制或者项目管理、监理、检测等服务。</w:t>
      </w:r>
    </w:p>
    <w:p>
      <w:pPr>
        <w:spacing w:line="480" w:lineRule="exact"/>
        <w:ind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（十</w:t>
      </w:r>
      <w:r>
        <w:rPr>
          <w:rFonts w:hint="eastAsia" w:ascii="仿宋" w:hAnsi="仿宋" w:eastAsia="仿宋" w:cs="仿宋"/>
          <w:color w:val="auto"/>
          <w:kern w:val="0"/>
          <w:sz w:val="24"/>
          <w:lang w:eastAsia="zh-CN"/>
        </w:rPr>
        <w:t>一</w:t>
      </w:r>
      <w:r>
        <w:rPr>
          <w:rFonts w:hint="eastAsia" w:ascii="仿宋" w:hAnsi="仿宋" w:eastAsia="仿宋" w:cs="仿宋"/>
          <w:color w:val="auto"/>
          <w:kern w:val="0"/>
          <w:sz w:val="24"/>
        </w:rPr>
        <w:t>）我方具备《政府采购法》第二十二条规定的条件，承诺如下：</w:t>
      </w:r>
    </w:p>
    <w:p>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（1）我方已依法缴纳了各项税费及社会保险费用，如有需要，可随时向采购人提供近三个月内的相关缴费证明，以便核查。</w:t>
      </w:r>
    </w:p>
    <w:p>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（2）我方已依法建立健全的财务会计制度，如有需要，可随时向采购人提供相关的证明材料，以便核查。</w:t>
      </w:r>
    </w:p>
    <w:p>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（3）我方参加本项目政府采购活动前3年内在经营活动中没有重大违法记录。</w:t>
      </w:r>
    </w:p>
    <w:p>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（4）我方具备履行合同所必需的设备和专业技术能力。</w:t>
      </w:r>
    </w:p>
    <w:p>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（5）我方符合法律、行政法规规定的其他条件。</w:t>
      </w:r>
    </w:p>
    <w:p>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以上内容如有虚假或与事实不符的，评审委员会可将我方做无效投标处理，我方愿意承担相应的法律责任。</w:t>
      </w:r>
    </w:p>
    <w:p>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（十三）我方对在本函及投标文件中所作的所有承诺承担法律责任。</w:t>
      </w:r>
    </w:p>
    <w:p>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（十四）所有与本招标有关的函件请发往下列地址：</w:t>
      </w:r>
    </w:p>
    <w:p>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地    址：</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.邮政编码：</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p>
    <w:p>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电    话：</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p>
    <w:p>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传    真：</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p>
    <w:p>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代表姓名：</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.职    务：</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p>
    <w:p>
      <w:pPr>
        <w:keepNext w:val="0"/>
        <w:keepLines w:val="0"/>
        <w:pageBreakBefore w:val="0"/>
        <w:widowControl w:val="0"/>
        <w:topLinePunct w:val="0"/>
        <w:autoSpaceDE/>
        <w:autoSpaceDN/>
        <w:bidi w:val="0"/>
        <w:adjustRightInd/>
        <w:snapToGrid/>
        <w:spacing w:line="440" w:lineRule="exact"/>
        <w:ind w:right="480"/>
        <w:jc w:val="righ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投标人：</w:t>
      </w:r>
      <w:r>
        <w:rPr>
          <w:rFonts w:hint="eastAsia" w:ascii="仿宋" w:hAnsi="仿宋" w:eastAsia="仿宋" w:cs="仿宋"/>
          <w:color w:val="auto"/>
          <w:kern w:val="0"/>
          <w:sz w:val="24"/>
          <w:u w:val="single"/>
        </w:rPr>
        <w:tab/>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 xml:space="preserve">（公章） </w:t>
      </w:r>
    </w:p>
    <w:p>
      <w:pPr>
        <w:keepNext w:val="0"/>
        <w:keepLines w:val="0"/>
        <w:pageBreakBefore w:val="0"/>
        <w:widowControl w:val="0"/>
        <w:wordWrap w:val="0"/>
        <w:topLinePunct w:val="0"/>
        <w:autoSpaceDE/>
        <w:autoSpaceDN/>
        <w:bidi w:val="0"/>
        <w:adjustRightInd/>
        <w:snapToGrid/>
        <w:spacing w:line="440" w:lineRule="exact"/>
        <w:ind w:firstLine="486" w:firstLineChars="200"/>
        <w:jc w:val="righ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法定代表人或委托人：</w:t>
      </w:r>
      <w:r>
        <w:rPr>
          <w:rFonts w:hint="eastAsia" w:ascii="仿宋" w:hAnsi="仿宋" w:eastAsia="仿宋" w:cs="仿宋"/>
          <w:color w:val="auto"/>
          <w:kern w:val="0"/>
          <w:sz w:val="24"/>
        </w:rPr>
        <w:tab/>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签字或盖章</w:t>
      </w:r>
      <w:r>
        <w:rPr>
          <w:rFonts w:hint="eastAsia" w:ascii="仿宋" w:hAnsi="仿宋" w:eastAsia="仿宋" w:cs="仿宋"/>
          <w:color w:val="auto"/>
          <w:kern w:val="0"/>
          <w:sz w:val="24"/>
        </w:rPr>
        <w:t xml:space="preserve">）  </w:t>
      </w:r>
    </w:p>
    <w:p>
      <w:pPr>
        <w:keepNext w:val="0"/>
        <w:keepLines w:val="0"/>
        <w:pageBreakBefore w:val="0"/>
        <w:widowControl w:val="0"/>
        <w:wordWrap w:val="0"/>
        <w:topLinePunct w:val="0"/>
        <w:autoSpaceDE/>
        <w:autoSpaceDN/>
        <w:bidi w:val="0"/>
        <w:adjustRightInd/>
        <w:snapToGrid/>
        <w:spacing w:line="440" w:lineRule="exact"/>
        <w:ind w:firstLine="486" w:firstLineChars="200"/>
        <w:jc w:val="right"/>
        <w:textAlignment w:val="auto"/>
        <w:rPr>
          <w:rFonts w:hint="eastAsia" w:ascii="仿宋" w:hAnsi="仿宋" w:eastAsia="仿宋" w:cs="仿宋"/>
          <w:color w:val="auto"/>
          <w:kern w:val="0"/>
          <w:sz w:val="24"/>
        </w:rPr>
      </w:pP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u w:val="single"/>
        </w:rPr>
        <w:tab/>
      </w:r>
      <w:r>
        <w:rPr>
          <w:rFonts w:hint="eastAsia" w:ascii="仿宋" w:hAnsi="仿宋" w:eastAsia="仿宋" w:cs="仿宋"/>
          <w:color w:val="auto"/>
          <w:kern w:val="0"/>
          <w:sz w:val="24"/>
        </w:rPr>
        <w:t>年</w:t>
      </w:r>
      <w:r>
        <w:rPr>
          <w:rFonts w:hint="eastAsia" w:ascii="仿宋" w:hAnsi="仿宋" w:eastAsia="仿宋" w:cs="仿宋"/>
          <w:color w:val="auto"/>
          <w:kern w:val="0"/>
          <w:sz w:val="24"/>
          <w:u w:val="single"/>
        </w:rPr>
        <w:tab/>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月</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日</w:t>
      </w:r>
    </w:p>
    <w:p>
      <w:pPr>
        <w:pStyle w:val="4"/>
        <w:numPr>
          <w:ilvl w:val="0"/>
          <w:numId w:val="0"/>
        </w:numPr>
        <w:shd w:val="clear" w:color="auto" w:fill="auto"/>
        <w:spacing w:before="0" w:line="240" w:lineRule="atLeast"/>
        <w:ind w:left="431" w:leftChars="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181" w:name="_Toc23473"/>
      <w:bookmarkStart w:id="182" w:name="_Toc1266"/>
      <w:bookmarkStart w:id="183" w:name="_Toc10107"/>
    </w:p>
    <w:p>
      <w:pPr>
        <w:pStyle w:val="4"/>
        <w:numPr>
          <w:ilvl w:val="0"/>
          <w:numId w:val="0"/>
        </w:numPr>
        <w:shd w:val="clear" w:color="auto" w:fill="auto"/>
        <w:spacing w:before="0" w:line="240" w:lineRule="atLeast"/>
        <w:rPr>
          <w:rFonts w:hint="eastAsia" w:ascii="宋体" w:hAnsi="宋体" w:eastAsia="宋体" w:cs="宋体"/>
          <w:b/>
          <w:bCs/>
          <w:color w:val="FF0000"/>
          <w:sz w:val="24"/>
          <w:highlight w:val="none"/>
        </w:rPr>
      </w:pPr>
      <w:r>
        <w:rPr>
          <w:rFonts w:hint="eastAsia" w:ascii="宋体" w:hAnsi="宋体" w:eastAsia="宋体" w:cs="宋体"/>
          <w:b/>
          <w:bCs/>
          <w:color w:val="FF0000"/>
          <w:sz w:val="24"/>
          <w:highlight w:val="none"/>
        </w:rPr>
        <w:t xml:space="preserve">2 </w:t>
      </w:r>
      <w:r>
        <w:rPr>
          <w:rFonts w:hint="eastAsia" w:ascii="宋体" w:hAnsi="宋体" w:eastAsia="宋体" w:cs="宋体"/>
          <w:b/>
          <w:bCs/>
          <w:color w:val="FF0000"/>
          <w:sz w:val="24"/>
          <w:highlight w:val="none"/>
          <w:lang w:eastAsia="zh-CN"/>
        </w:rPr>
        <w:t>、</w:t>
      </w:r>
      <w:bookmarkEnd w:id="181"/>
      <w:bookmarkEnd w:id="182"/>
      <w:bookmarkEnd w:id="183"/>
      <w:bookmarkStart w:id="184" w:name="_Toc216582815"/>
      <w:bookmarkStart w:id="185" w:name="_Toc20897"/>
      <w:bookmarkStart w:id="186" w:name="_Toc515647818"/>
      <w:bookmarkStart w:id="187" w:name="_Toc1881"/>
      <w:bookmarkStart w:id="188" w:name="_Toc10313"/>
      <w:bookmarkStart w:id="189" w:name="_Toc216582817"/>
      <w:bookmarkStart w:id="190" w:name="_Toc22563"/>
      <w:bookmarkStart w:id="191" w:name="_Toc515647820"/>
      <w:bookmarkStart w:id="192" w:name="_Toc28959"/>
      <w:r>
        <w:rPr>
          <w:rFonts w:hint="eastAsia" w:ascii="宋体" w:hAnsi="宋体" w:eastAsia="宋体" w:cs="宋体"/>
          <w:b/>
          <w:bCs/>
          <w:color w:val="FF0000"/>
          <w:sz w:val="24"/>
          <w:highlight w:val="none"/>
        </w:rPr>
        <w:t>投标分项报价表</w:t>
      </w:r>
      <w:bookmarkEnd w:id="184"/>
      <w:r>
        <w:rPr>
          <w:rFonts w:hint="eastAsia" w:ascii="宋体" w:hAnsi="宋体" w:eastAsia="宋体" w:cs="宋体"/>
          <w:b/>
          <w:bCs/>
          <w:color w:val="FF0000"/>
          <w:sz w:val="24"/>
          <w:highlight w:val="none"/>
        </w:rPr>
        <w:t>（投标文件格式</w:t>
      </w:r>
      <w:r>
        <w:rPr>
          <w:rFonts w:hint="eastAsia" w:ascii="宋体" w:hAnsi="宋体" w:eastAsia="宋体" w:cs="宋体"/>
          <w:b/>
          <w:bCs/>
          <w:color w:val="FF0000"/>
          <w:sz w:val="24"/>
          <w:highlight w:val="none"/>
          <w:lang w:eastAsia="zh-CN"/>
        </w:rPr>
        <w:t>六</w:t>
      </w:r>
      <w:r>
        <w:rPr>
          <w:rFonts w:hint="eastAsia" w:ascii="宋体" w:hAnsi="宋体" w:eastAsia="宋体" w:cs="宋体"/>
          <w:b/>
          <w:bCs/>
          <w:color w:val="FF0000"/>
          <w:sz w:val="24"/>
          <w:highlight w:val="none"/>
        </w:rPr>
        <w:t>）</w:t>
      </w:r>
      <w:bookmarkEnd w:id="185"/>
      <w:bookmarkEnd w:id="186"/>
      <w:bookmarkEnd w:id="187"/>
      <w:bookmarkEnd w:id="188"/>
    </w:p>
    <w:p>
      <w:pPr>
        <w:spacing w:line="500" w:lineRule="exact"/>
        <w:jc w:val="right"/>
        <w:rPr>
          <w:rFonts w:hint="eastAsia" w:ascii="宋体" w:hAnsi="宋体" w:cs="宋体"/>
          <w:szCs w:val="21"/>
        </w:rPr>
      </w:pPr>
      <w:r>
        <w:rPr>
          <w:rFonts w:hint="eastAsia" w:ascii="宋体" w:hAnsi="宋体" w:cs="宋体"/>
          <w:szCs w:val="21"/>
        </w:rPr>
        <w:t>单位：元（人民币）</w:t>
      </w:r>
    </w:p>
    <w:tbl>
      <w:tblPr>
        <w:tblStyle w:val="47"/>
        <w:tblW w:w="1016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24"/>
        <w:gridCol w:w="1132"/>
        <w:gridCol w:w="1438"/>
        <w:gridCol w:w="984"/>
        <w:gridCol w:w="946"/>
        <w:gridCol w:w="972"/>
        <w:gridCol w:w="1119"/>
        <w:gridCol w:w="1057"/>
        <w:gridCol w:w="996"/>
        <w:gridCol w:w="99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cs="宋体"/>
                <w:szCs w:val="21"/>
              </w:rPr>
            </w:pPr>
            <w:r>
              <w:rPr>
                <w:rFonts w:hint="eastAsia" w:ascii="宋体" w:hAnsi="宋体" w:cs="宋体"/>
                <w:szCs w:val="21"/>
              </w:rPr>
              <w:t>序号</w:t>
            </w:r>
          </w:p>
        </w:tc>
        <w:tc>
          <w:tcPr>
            <w:tcW w:w="11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cs="宋体"/>
                <w:szCs w:val="21"/>
              </w:rPr>
            </w:pPr>
            <w:r>
              <w:rPr>
                <w:rFonts w:hint="eastAsia" w:ascii="宋体" w:hAnsi="宋体" w:cs="宋体"/>
                <w:szCs w:val="21"/>
              </w:rPr>
              <w:t>产品名称</w:t>
            </w:r>
          </w:p>
        </w:tc>
        <w:tc>
          <w:tcPr>
            <w:tcW w:w="14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cs="宋体"/>
                <w:szCs w:val="21"/>
              </w:rPr>
            </w:pPr>
            <w:r>
              <w:rPr>
                <w:rFonts w:hint="eastAsia" w:ascii="宋体" w:hAnsi="宋体" w:cs="宋体"/>
                <w:szCs w:val="21"/>
              </w:rPr>
              <w:t>规格</w:t>
            </w:r>
          </w:p>
        </w:tc>
        <w:tc>
          <w:tcPr>
            <w:tcW w:w="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Cs w:val="21"/>
                <w:lang w:eastAsia="zh-CN"/>
              </w:rPr>
            </w:pPr>
            <w:r>
              <w:rPr>
                <w:rFonts w:hint="eastAsia" w:ascii="宋体" w:hAnsi="宋体" w:cs="宋体"/>
                <w:szCs w:val="21"/>
                <w:lang w:eastAsia="zh-CN"/>
              </w:rPr>
              <w:t>品牌</w:t>
            </w:r>
          </w:p>
        </w:tc>
        <w:tc>
          <w:tcPr>
            <w:tcW w:w="9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rPr>
                <w:rFonts w:hint="eastAsia" w:ascii="宋体" w:hAnsi="宋体" w:eastAsia="宋体" w:cs="宋体"/>
                <w:szCs w:val="21"/>
                <w:lang w:val="en-US" w:eastAsia="zh-CN"/>
              </w:rPr>
            </w:pPr>
            <w:r>
              <w:rPr>
                <w:rFonts w:hint="eastAsia" w:ascii="宋体" w:hAnsi="宋体" w:cs="宋体"/>
                <w:szCs w:val="21"/>
              </w:rPr>
              <w:t>交货</w:t>
            </w:r>
            <w:r>
              <w:rPr>
                <w:rFonts w:hint="eastAsia" w:ascii="宋体" w:hAnsi="宋体" w:cs="宋体"/>
                <w:szCs w:val="21"/>
                <w:lang w:val="en-US" w:eastAsia="zh-CN"/>
              </w:rPr>
              <w:t>日期</w:t>
            </w:r>
          </w:p>
        </w:tc>
        <w:tc>
          <w:tcPr>
            <w:tcW w:w="9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rPr>
                <w:rFonts w:hint="eastAsia" w:ascii="宋体" w:hAnsi="宋体" w:cs="宋体"/>
                <w:szCs w:val="21"/>
              </w:rPr>
            </w:pPr>
            <w:r>
              <w:rPr>
                <w:rFonts w:hint="eastAsia" w:ascii="宋体" w:hAnsi="宋体" w:cs="宋体"/>
                <w:szCs w:val="21"/>
              </w:rPr>
              <w:t>交货地点</w:t>
            </w:r>
          </w:p>
        </w:tc>
        <w:tc>
          <w:tcPr>
            <w:tcW w:w="11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cs="宋体"/>
                <w:szCs w:val="21"/>
              </w:rPr>
            </w:pPr>
            <w:r>
              <w:rPr>
                <w:rFonts w:hint="eastAsia" w:ascii="宋体" w:hAnsi="宋体" w:cs="宋体"/>
                <w:szCs w:val="21"/>
              </w:rPr>
              <w:t>质保</w:t>
            </w:r>
          </w:p>
          <w:p>
            <w:pPr>
              <w:keepNext w:val="0"/>
              <w:keepLines w:val="0"/>
              <w:suppressLineNumbers w:val="0"/>
              <w:spacing w:before="0" w:beforeAutospacing="0" w:after="0" w:afterAutospacing="0" w:line="500" w:lineRule="exact"/>
              <w:ind w:left="0" w:right="0"/>
              <w:jc w:val="center"/>
              <w:rPr>
                <w:rFonts w:hint="default" w:ascii="宋体" w:hAnsi="宋体" w:eastAsia="宋体" w:cs="宋体"/>
                <w:szCs w:val="21"/>
                <w:lang w:val="en-US" w:eastAsia="zh-CN"/>
              </w:rPr>
            </w:pPr>
            <w:r>
              <w:rPr>
                <w:rFonts w:hint="eastAsia" w:ascii="宋体" w:hAnsi="宋体" w:cs="宋体"/>
                <w:szCs w:val="21"/>
              </w:rPr>
              <w:t>期限</w:t>
            </w:r>
          </w:p>
        </w:tc>
        <w:tc>
          <w:tcPr>
            <w:tcW w:w="10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cs="宋体"/>
                <w:szCs w:val="21"/>
              </w:rPr>
            </w:pPr>
            <w:r>
              <w:rPr>
                <w:rFonts w:hint="eastAsia" w:ascii="宋体" w:hAnsi="宋体" w:cs="宋体"/>
                <w:szCs w:val="21"/>
              </w:rPr>
              <w:t>数量</w:t>
            </w:r>
            <w:r>
              <w:rPr>
                <w:rFonts w:hint="eastAsia" w:ascii="宋体" w:hAnsi="宋体" w:cs="宋体"/>
                <w:szCs w:val="21"/>
                <w:lang w:eastAsia="zh-CN"/>
              </w:rPr>
              <w:t>及</w:t>
            </w:r>
            <w:r>
              <w:rPr>
                <w:rFonts w:hint="eastAsia" w:ascii="宋体" w:hAnsi="宋体" w:cs="宋体"/>
                <w:szCs w:val="21"/>
                <w:lang w:val="en-US" w:eastAsia="zh-CN"/>
              </w:rPr>
              <w:t>单位</w:t>
            </w:r>
          </w:p>
        </w:tc>
        <w:tc>
          <w:tcPr>
            <w:tcW w:w="9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cs="宋体"/>
                <w:szCs w:val="21"/>
              </w:rPr>
            </w:pPr>
            <w:r>
              <w:rPr>
                <w:rFonts w:hint="eastAsia" w:ascii="宋体" w:hAnsi="宋体" w:cs="宋体"/>
                <w:szCs w:val="21"/>
              </w:rPr>
              <w:t>单价</w:t>
            </w:r>
          </w:p>
        </w:tc>
        <w:tc>
          <w:tcPr>
            <w:tcW w:w="9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cs="宋体"/>
                <w:szCs w:val="21"/>
              </w:rPr>
            </w:pPr>
            <w:r>
              <w:rPr>
                <w:rFonts w:hint="eastAsia" w:ascii="宋体" w:hAnsi="宋体" w:cs="宋体"/>
                <w:szCs w:val="21"/>
              </w:rPr>
              <w:t>总价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cs="宋体"/>
                <w:szCs w:val="21"/>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cs="宋体"/>
                <w:szCs w:val="21"/>
              </w:rPr>
            </w:pPr>
          </w:p>
        </w:tc>
        <w:tc>
          <w:tcPr>
            <w:tcW w:w="14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cs="宋体"/>
                <w:szCs w:val="21"/>
              </w:rPr>
            </w:pPr>
          </w:p>
        </w:tc>
        <w:tc>
          <w:tcPr>
            <w:tcW w:w="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cs="宋体"/>
                <w:szCs w:val="21"/>
              </w:rPr>
            </w:pPr>
          </w:p>
        </w:tc>
        <w:tc>
          <w:tcPr>
            <w:tcW w:w="9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cs="宋体"/>
                <w:szCs w:val="21"/>
              </w:rPr>
            </w:pPr>
          </w:p>
        </w:tc>
        <w:tc>
          <w:tcPr>
            <w:tcW w:w="9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cs="宋体"/>
                <w:szCs w:val="21"/>
              </w:rPr>
            </w:pPr>
          </w:p>
        </w:tc>
        <w:tc>
          <w:tcPr>
            <w:tcW w:w="11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cs="宋体"/>
                <w:szCs w:val="21"/>
              </w:rPr>
            </w:pPr>
          </w:p>
        </w:tc>
        <w:tc>
          <w:tcPr>
            <w:tcW w:w="10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cs="宋体"/>
                <w:szCs w:val="21"/>
              </w:rPr>
            </w:pPr>
          </w:p>
        </w:tc>
        <w:tc>
          <w:tcPr>
            <w:tcW w:w="9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cs="宋体"/>
                <w:szCs w:val="21"/>
              </w:rPr>
            </w:pPr>
          </w:p>
        </w:tc>
        <w:tc>
          <w:tcPr>
            <w:tcW w:w="9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cs="宋体"/>
                <w:szCs w:val="21"/>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cs="宋体"/>
                <w:szCs w:val="21"/>
              </w:rPr>
            </w:pPr>
          </w:p>
        </w:tc>
        <w:tc>
          <w:tcPr>
            <w:tcW w:w="14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cs="宋体"/>
                <w:szCs w:val="21"/>
              </w:rPr>
            </w:pPr>
          </w:p>
        </w:tc>
        <w:tc>
          <w:tcPr>
            <w:tcW w:w="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cs="宋体"/>
                <w:szCs w:val="21"/>
              </w:rPr>
            </w:pPr>
          </w:p>
        </w:tc>
        <w:tc>
          <w:tcPr>
            <w:tcW w:w="9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cs="宋体"/>
                <w:szCs w:val="21"/>
              </w:rPr>
            </w:pPr>
          </w:p>
        </w:tc>
        <w:tc>
          <w:tcPr>
            <w:tcW w:w="9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cs="宋体"/>
                <w:szCs w:val="21"/>
              </w:rPr>
            </w:pPr>
          </w:p>
        </w:tc>
        <w:tc>
          <w:tcPr>
            <w:tcW w:w="11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cs="宋体"/>
                <w:szCs w:val="21"/>
              </w:rPr>
            </w:pPr>
          </w:p>
        </w:tc>
        <w:tc>
          <w:tcPr>
            <w:tcW w:w="10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cs="宋体"/>
                <w:szCs w:val="21"/>
              </w:rPr>
            </w:pPr>
          </w:p>
        </w:tc>
        <w:tc>
          <w:tcPr>
            <w:tcW w:w="9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cs="宋体"/>
                <w:szCs w:val="21"/>
              </w:rPr>
            </w:pPr>
          </w:p>
        </w:tc>
        <w:tc>
          <w:tcPr>
            <w:tcW w:w="9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cs="宋体"/>
                <w:szCs w:val="21"/>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cs="宋体"/>
                <w:szCs w:val="21"/>
              </w:rPr>
            </w:pPr>
          </w:p>
        </w:tc>
        <w:tc>
          <w:tcPr>
            <w:tcW w:w="14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cs="宋体"/>
                <w:szCs w:val="21"/>
              </w:rPr>
            </w:pPr>
          </w:p>
        </w:tc>
        <w:tc>
          <w:tcPr>
            <w:tcW w:w="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cs="宋体"/>
                <w:szCs w:val="21"/>
              </w:rPr>
            </w:pPr>
          </w:p>
        </w:tc>
        <w:tc>
          <w:tcPr>
            <w:tcW w:w="9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cs="宋体"/>
                <w:szCs w:val="21"/>
              </w:rPr>
            </w:pPr>
          </w:p>
        </w:tc>
        <w:tc>
          <w:tcPr>
            <w:tcW w:w="9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cs="宋体"/>
                <w:szCs w:val="21"/>
              </w:rPr>
            </w:pPr>
          </w:p>
        </w:tc>
        <w:tc>
          <w:tcPr>
            <w:tcW w:w="11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cs="宋体"/>
                <w:szCs w:val="21"/>
              </w:rPr>
            </w:pPr>
          </w:p>
        </w:tc>
        <w:tc>
          <w:tcPr>
            <w:tcW w:w="10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cs="宋体"/>
                <w:szCs w:val="21"/>
              </w:rPr>
            </w:pPr>
          </w:p>
        </w:tc>
        <w:tc>
          <w:tcPr>
            <w:tcW w:w="9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cs="宋体"/>
                <w:szCs w:val="21"/>
              </w:rPr>
            </w:pPr>
          </w:p>
        </w:tc>
        <w:tc>
          <w:tcPr>
            <w:tcW w:w="9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cs="宋体"/>
                <w:szCs w:val="21"/>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cs="宋体"/>
                <w:szCs w:val="21"/>
              </w:rPr>
            </w:pPr>
          </w:p>
        </w:tc>
        <w:tc>
          <w:tcPr>
            <w:tcW w:w="14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cs="宋体"/>
                <w:szCs w:val="21"/>
              </w:rPr>
            </w:pPr>
          </w:p>
        </w:tc>
        <w:tc>
          <w:tcPr>
            <w:tcW w:w="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cs="宋体"/>
                <w:szCs w:val="21"/>
              </w:rPr>
            </w:pPr>
          </w:p>
        </w:tc>
        <w:tc>
          <w:tcPr>
            <w:tcW w:w="9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cs="宋体"/>
                <w:szCs w:val="21"/>
              </w:rPr>
            </w:pPr>
          </w:p>
        </w:tc>
        <w:tc>
          <w:tcPr>
            <w:tcW w:w="9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cs="宋体"/>
                <w:szCs w:val="21"/>
              </w:rPr>
            </w:pPr>
          </w:p>
        </w:tc>
        <w:tc>
          <w:tcPr>
            <w:tcW w:w="11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cs="宋体"/>
                <w:szCs w:val="21"/>
              </w:rPr>
            </w:pPr>
          </w:p>
        </w:tc>
        <w:tc>
          <w:tcPr>
            <w:tcW w:w="10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cs="宋体"/>
                <w:szCs w:val="21"/>
              </w:rPr>
            </w:pPr>
          </w:p>
        </w:tc>
        <w:tc>
          <w:tcPr>
            <w:tcW w:w="9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cs="宋体"/>
                <w:szCs w:val="21"/>
              </w:rPr>
            </w:pPr>
          </w:p>
        </w:tc>
        <w:tc>
          <w:tcPr>
            <w:tcW w:w="9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cs="宋体"/>
                <w:szCs w:val="21"/>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cs="宋体"/>
                <w:szCs w:val="21"/>
              </w:rPr>
            </w:pPr>
          </w:p>
        </w:tc>
        <w:tc>
          <w:tcPr>
            <w:tcW w:w="14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cs="宋体"/>
                <w:szCs w:val="21"/>
              </w:rPr>
            </w:pPr>
          </w:p>
        </w:tc>
        <w:tc>
          <w:tcPr>
            <w:tcW w:w="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cs="宋体"/>
                <w:szCs w:val="21"/>
              </w:rPr>
            </w:pPr>
          </w:p>
        </w:tc>
        <w:tc>
          <w:tcPr>
            <w:tcW w:w="9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cs="宋体"/>
                <w:szCs w:val="21"/>
              </w:rPr>
            </w:pPr>
          </w:p>
        </w:tc>
        <w:tc>
          <w:tcPr>
            <w:tcW w:w="9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cs="宋体"/>
                <w:szCs w:val="21"/>
              </w:rPr>
            </w:pPr>
          </w:p>
        </w:tc>
        <w:tc>
          <w:tcPr>
            <w:tcW w:w="11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cs="宋体"/>
                <w:szCs w:val="21"/>
              </w:rPr>
            </w:pPr>
          </w:p>
        </w:tc>
        <w:tc>
          <w:tcPr>
            <w:tcW w:w="10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cs="宋体"/>
                <w:szCs w:val="21"/>
              </w:rPr>
            </w:pPr>
          </w:p>
        </w:tc>
        <w:tc>
          <w:tcPr>
            <w:tcW w:w="9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cs="宋体"/>
                <w:szCs w:val="21"/>
              </w:rPr>
            </w:pPr>
          </w:p>
        </w:tc>
        <w:tc>
          <w:tcPr>
            <w:tcW w:w="9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cs="宋体"/>
                <w:szCs w:val="21"/>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cs="宋体"/>
                <w:szCs w:val="21"/>
              </w:rPr>
            </w:pPr>
          </w:p>
        </w:tc>
        <w:tc>
          <w:tcPr>
            <w:tcW w:w="14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cs="宋体"/>
                <w:szCs w:val="21"/>
              </w:rPr>
            </w:pPr>
          </w:p>
        </w:tc>
        <w:tc>
          <w:tcPr>
            <w:tcW w:w="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cs="宋体"/>
                <w:szCs w:val="21"/>
              </w:rPr>
            </w:pPr>
          </w:p>
        </w:tc>
        <w:tc>
          <w:tcPr>
            <w:tcW w:w="9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cs="宋体"/>
                <w:szCs w:val="21"/>
              </w:rPr>
            </w:pPr>
          </w:p>
        </w:tc>
        <w:tc>
          <w:tcPr>
            <w:tcW w:w="9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cs="宋体"/>
                <w:szCs w:val="21"/>
              </w:rPr>
            </w:pPr>
          </w:p>
        </w:tc>
        <w:tc>
          <w:tcPr>
            <w:tcW w:w="11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cs="宋体"/>
                <w:szCs w:val="21"/>
              </w:rPr>
            </w:pPr>
          </w:p>
        </w:tc>
        <w:tc>
          <w:tcPr>
            <w:tcW w:w="10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cs="宋体"/>
                <w:szCs w:val="21"/>
              </w:rPr>
            </w:pPr>
          </w:p>
        </w:tc>
        <w:tc>
          <w:tcPr>
            <w:tcW w:w="9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cs="宋体"/>
                <w:szCs w:val="21"/>
              </w:rPr>
            </w:pPr>
          </w:p>
        </w:tc>
        <w:tc>
          <w:tcPr>
            <w:tcW w:w="9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309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cs="宋体"/>
                <w:szCs w:val="21"/>
              </w:rPr>
            </w:pPr>
            <w:r>
              <w:rPr>
                <w:rFonts w:hint="eastAsia" w:ascii="宋体" w:hAnsi="宋体" w:cs="宋体"/>
                <w:szCs w:val="21"/>
              </w:rPr>
              <w:t>合计（总价）</w:t>
            </w:r>
          </w:p>
        </w:tc>
        <w:tc>
          <w:tcPr>
            <w:tcW w:w="6074"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cs="宋体"/>
                <w:szCs w:val="21"/>
              </w:rPr>
            </w:pPr>
          </w:p>
        </w:tc>
        <w:tc>
          <w:tcPr>
            <w:tcW w:w="9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cs="宋体"/>
                <w:szCs w:val="21"/>
              </w:rPr>
            </w:pPr>
          </w:p>
        </w:tc>
      </w:tr>
    </w:tbl>
    <w:p>
      <w:pPr>
        <w:spacing w:line="500" w:lineRule="exact"/>
        <w:jc w:val="left"/>
        <w:rPr>
          <w:rFonts w:hint="eastAsia" w:ascii="宋体" w:hAnsi="宋体" w:cs="宋体"/>
          <w:szCs w:val="21"/>
        </w:rPr>
      </w:pPr>
      <w:r>
        <w:rPr>
          <w:rFonts w:hint="eastAsia" w:ascii="宋体" w:hAnsi="宋体" w:cs="宋体"/>
          <w:szCs w:val="21"/>
        </w:rPr>
        <w:t>注：总价金额与按单价汇总金额不一致的，以单价金额计算结果为准。</w:t>
      </w:r>
    </w:p>
    <w:p>
      <w:pPr>
        <w:spacing w:line="500" w:lineRule="exact"/>
        <w:ind w:firstLine="426" w:firstLineChars="200"/>
        <w:rPr>
          <w:rFonts w:hint="eastAsia" w:ascii="宋体" w:hAnsi="宋体" w:cs="宋体"/>
          <w:szCs w:val="21"/>
        </w:rPr>
      </w:pPr>
      <w:r>
        <w:rPr>
          <w:rFonts w:hint="eastAsia" w:ascii="宋体" w:hAnsi="宋体" w:cs="宋体"/>
          <w:szCs w:val="21"/>
        </w:rPr>
        <w:t>投标人名称：</w:t>
      </w:r>
      <w:r>
        <w:rPr>
          <w:rFonts w:hint="eastAsia" w:ascii="宋体" w:hAnsi="宋体" w:cs="宋体"/>
          <w:szCs w:val="21"/>
          <w:u w:val="single"/>
        </w:rPr>
        <w:t xml:space="preserve">     （加盖公章）</w:t>
      </w:r>
    </w:p>
    <w:p>
      <w:pPr>
        <w:spacing w:line="500" w:lineRule="exact"/>
        <w:ind w:firstLine="426" w:firstLineChars="200"/>
        <w:rPr>
          <w:rFonts w:hint="eastAsia" w:ascii="宋体" w:hAnsi="宋体" w:cs="宋体"/>
          <w:szCs w:val="21"/>
        </w:rPr>
      </w:pPr>
      <w:r>
        <w:rPr>
          <w:rFonts w:hint="eastAsia" w:ascii="宋体" w:hAnsi="宋体" w:cs="宋体"/>
          <w:szCs w:val="21"/>
        </w:rPr>
        <w:t>法定代表人签字或盖章：</w:t>
      </w:r>
    </w:p>
    <w:p>
      <w:pPr>
        <w:spacing w:line="500" w:lineRule="exact"/>
        <w:ind w:firstLine="426" w:firstLineChars="200"/>
        <w:rPr>
          <w:rFonts w:hint="eastAsia" w:ascii="宋体" w:hAnsi="宋体" w:cs="宋体"/>
          <w:szCs w:val="21"/>
        </w:rPr>
      </w:pPr>
      <w:r>
        <w:rPr>
          <w:rFonts w:hint="eastAsia" w:ascii="宋体" w:hAnsi="宋体" w:cs="宋体"/>
          <w:szCs w:val="21"/>
        </w:rPr>
        <w:t>授权代表：</w:t>
      </w:r>
      <w:r>
        <w:rPr>
          <w:rFonts w:hint="eastAsia" w:ascii="宋体" w:hAnsi="宋体" w:cs="宋体"/>
          <w:szCs w:val="21"/>
          <w:u w:val="single"/>
        </w:rPr>
        <w:t>（签字）</w:t>
      </w:r>
    </w:p>
    <w:p>
      <w:pPr>
        <w:spacing w:line="500" w:lineRule="exact"/>
        <w:ind w:firstLine="426" w:firstLineChars="200"/>
        <w:rPr>
          <w:rFonts w:hint="eastAsia" w:ascii="宋体" w:hAnsi="宋体" w:cs="宋体"/>
          <w:b/>
          <w:szCs w:val="21"/>
        </w:rPr>
      </w:pPr>
      <w:r>
        <w:rPr>
          <w:rFonts w:hint="eastAsia" w:ascii="宋体" w:hAnsi="宋体" w:cs="宋体"/>
          <w:szCs w:val="21"/>
        </w:rPr>
        <w:t>签署日期：</w:t>
      </w:r>
      <w:r>
        <w:rPr>
          <w:rFonts w:hint="eastAsia" w:ascii="宋体" w:hAnsi="宋体" w:cs="宋体"/>
          <w:szCs w:val="21"/>
          <w:u w:val="single"/>
        </w:rPr>
        <w:t xml:space="preserve">          </w:t>
      </w:r>
      <w:r>
        <w:rPr>
          <w:rFonts w:hint="eastAsia" w:ascii="宋体" w:hAnsi="宋体" w:cs="宋体"/>
          <w:szCs w:val="21"/>
        </w:rPr>
        <w:t xml:space="preserve"> 年 </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widowControl/>
        <w:spacing w:line="500" w:lineRule="atLeast"/>
        <w:ind w:firstLine="449" w:firstLineChars="211"/>
        <w:rPr>
          <w:rFonts w:hint="eastAsia" w:ascii="宋体" w:hAnsi="宋体" w:cs="宋体"/>
          <w:kern w:val="0"/>
          <w:szCs w:val="21"/>
        </w:rPr>
      </w:pPr>
      <w:r>
        <w:rPr>
          <w:rFonts w:hint="eastAsia" w:ascii="宋体" w:hAnsi="宋体" w:cs="宋体"/>
          <w:kern w:val="0"/>
          <w:szCs w:val="21"/>
        </w:rPr>
        <w:t xml:space="preserve">注：投标人应根据货物清单分项进行填报，表中表格行数可自行添加。招标文件中未列出的相关辅助材料和在实施过程中涉及到的其它一切费用应在报价时一并考虑，项目实施过程中不再单独结算。  </w:t>
      </w:r>
    </w:p>
    <w:p>
      <w:pPr>
        <w:widowControl/>
        <w:spacing w:line="500" w:lineRule="atLeast"/>
        <w:ind w:firstLine="449" w:firstLineChars="211"/>
        <w:rPr>
          <w:rFonts w:hint="eastAsia" w:ascii="宋体" w:hAnsi="宋体" w:cs="宋体"/>
          <w:b/>
          <w:kern w:val="0"/>
          <w:szCs w:val="21"/>
        </w:rPr>
      </w:pPr>
      <w:r>
        <w:rPr>
          <w:rFonts w:hint="eastAsia" w:ascii="宋体" w:hAnsi="宋体" w:cs="宋体"/>
          <w:b/>
          <w:kern w:val="0"/>
          <w:szCs w:val="21"/>
        </w:rPr>
        <w:t>表中投标报价总计应与对应报价一览表中投标总价一致。</w:t>
      </w:r>
    </w:p>
    <w:p>
      <w:pPr>
        <w:widowControl/>
        <w:spacing w:line="560" w:lineRule="atLeast"/>
        <w:ind w:firstLine="426" w:firstLineChars="200"/>
        <w:rPr>
          <w:rFonts w:hint="eastAsia" w:ascii="宋体" w:hAnsi="宋体"/>
          <w:b/>
          <w:sz w:val="28"/>
          <w:szCs w:val="28"/>
        </w:rPr>
      </w:pPr>
      <w:r>
        <w:rPr>
          <w:rFonts w:hint="eastAsia" w:ascii="宋体" w:hAnsi="宋体" w:cs="宋体"/>
          <w:kern w:val="0"/>
          <w:szCs w:val="21"/>
        </w:rPr>
        <w:t>单位公章：</w:t>
      </w:r>
      <w:r>
        <w:rPr>
          <w:rFonts w:hint="eastAsia" w:ascii="宋体" w:hAnsi="宋体" w:cs="宋体"/>
          <w:kern w:val="0"/>
          <w:szCs w:val="21"/>
          <w:u w:val="single"/>
        </w:rPr>
        <w:t xml:space="preserve">           </w:t>
      </w:r>
      <w:r>
        <w:rPr>
          <w:rFonts w:hint="eastAsia" w:ascii="宋体" w:hAnsi="宋体" w:cs="宋体"/>
          <w:kern w:val="0"/>
          <w:szCs w:val="21"/>
        </w:rPr>
        <w:t xml:space="preserve">  法定代表人签字</w:t>
      </w:r>
      <w:r>
        <w:rPr>
          <w:rFonts w:hint="eastAsia" w:ascii="宋体" w:hAnsi="宋体" w:cs="宋体"/>
          <w:szCs w:val="21"/>
        </w:rPr>
        <w:t>或</w:t>
      </w:r>
      <w:r>
        <w:rPr>
          <w:rFonts w:hint="eastAsia" w:ascii="宋体" w:hAnsi="宋体" w:cs="宋体"/>
          <w:kern w:val="0"/>
          <w:szCs w:val="21"/>
        </w:rPr>
        <w:t>盖章：</w:t>
      </w:r>
      <w:r>
        <w:rPr>
          <w:rFonts w:hint="eastAsia" w:ascii="宋体" w:hAnsi="宋体" w:cs="宋体"/>
          <w:kern w:val="0"/>
          <w:szCs w:val="21"/>
          <w:u w:val="single"/>
        </w:rPr>
        <w:t xml:space="preserve">               </w:t>
      </w:r>
      <w:r>
        <w:rPr>
          <w:rFonts w:hint="eastAsia" w:ascii="宋体" w:hAnsi="宋体" w:cs="宋体"/>
          <w:kern w:val="0"/>
          <w:szCs w:val="21"/>
        </w:rPr>
        <w:t>授权代表签字：</w:t>
      </w:r>
    </w:p>
    <w:p>
      <w:pPr>
        <w:pStyle w:val="25"/>
        <w:shd w:val="clear" w:color="auto" w:fill="auto"/>
        <w:spacing w:line="240" w:lineRule="atLeast"/>
        <w:ind w:left="1087"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pPr>
        <w:pStyle w:val="4"/>
        <w:numPr>
          <w:ilvl w:val="0"/>
          <w:numId w:val="0"/>
        </w:numPr>
        <w:shd w:val="clear" w:color="auto" w:fill="auto"/>
        <w:spacing w:before="0" w:line="240" w:lineRule="atLeast"/>
        <w:rPr>
          <w:rFonts w:hint="eastAsia" w:ascii="宋体" w:hAnsi="宋体" w:eastAsia="宋体" w:cs="宋体"/>
          <w:b/>
          <w:bCs/>
          <w:color w:val="auto"/>
          <w:sz w:val="24"/>
          <w:highlight w:val="none"/>
        </w:rPr>
      </w:pPr>
      <w:bookmarkStart w:id="193" w:name="_Toc216582816"/>
      <w:bookmarkStart w:id="194" w:name="_Toc4012"/>
      <w:bookmarkStart w:id="195" w:name="_Toc18267"/>
      <w:bookmarkStart w:id="196" w:name="_Toc14037"/>
      <w:bookmarkStart w:id="197" w:name="_Toc515647819"/>
      <w:r>
        <w:rPr>
          <w:rFonts w:hint="eastAsia" w:ascii="宋体" w:hAnsi="宋体" w:eastAsia="宋体" w:cs="宋体"/>
          <w:b/>
          <w:bCs/>
          <w:color w:val="auto"/>
          <w:sz w:val="24"/>
          <w:highlight w:val="none"/>
          <w:lang w:val="en-US" w:eastAsia="zh-CN"/>
        </w:rPr>
        <w:t>3、货物</w:t>
      </w:r>
      <w:r>
        <w:rPr>
          <w:rFonts w:hint="eastAsia" w:ascii="宋体" w:hAnsi="宋体" w:eastAsia="宋体" w:cs="宋体"/>
          <w:b/>
          <w:bCs/>
          <w:color w:val="auto"/>
          <w:sz w:val="24"/>
          <w:highlight w:val="none"/>
        </w:rPr>
        <w:t>一览表</w:t>
      </w:r>
      <w:bookmarkEnd w:id="193"/>
      <w:r>
        <w:rPr>
          <w:rFonts w:hint="eastAsia" w:ascii="宋体" w:hAnsi="宋体" w:eastAsia="宋体" w:cs="宋体"/>
          <w:b/>
          <w:bCs/>
          <w:color w:val="auto"/>
          <w:sz w:val="24"/>
          <w:highlight w:val="none"/>
        </w:rPr>
        <w:t>（投标文件格式</w:t>
      </w:r>
      <w:r>
        <w:rPr>
          <w:rFonts w:hint="eastAsia" w:ascii="宋体" w:hAnsi="宋体" w:eastAsia="宋体" w:cs="宋体"/>
          <w:b/>
          <w:bCs/>
          <w:color w:val="auto"/>
          <w:sz w:val="24"/>
          <w:highlight w:val="none"/>
          <w:lang w:eastAsia="zh-CN"/>
        </w:rPr>
        <w:t>七</w:t>
      </w:r>
      <w:r>
        <w:rPr>
          <w:rFonts w:hint="eastAsia" w:ascii="宋体" w:hAnsi="宋体" w:eastAsia="宋体" w:cs="宋体"/>
          <w:b/>
          <w:bCs/>
          <w:color w:val="auto"/>
          <w:sz w:val="24"/>
          <w:highlight w:val="none"/>
        </w:rPr>
        <w:t>）</w:t>
      </w:r>
      <w:bookmarkEnd w:id="194"/>
      <w:bookmarkEnd w:id="195"/>
      <w:bookmarkEnd w:id="196"/>
      <w:bookmarkEnd w:id="197"/>
    </w:p>
    <w:p>
      <w:pPr>
        <w:pStyle w:val="25"/>
        <w:shd w:val="clear" w:color="auto" w:fill="auto"/>
        <w:spacing w:line="240" w:lineRule="atLeast"/>
        <w:ind w:left="1087" w:leftChars="257" w:hanging="540"/>
        <w:rPr>
          <w:rFonts w:hint="eastAsia" w:ascii="宋体" w:hAnsi="宋体" w:eastAsia="宋体" w:cs="宋体"/>
          <w:color w:val="auto"/>
          <w:sz w:val="24"/>
          <w:highlight w:val="none"/>
        </w:rPr>
      </w:pPr>
    </w:p>
    <w:p>
      <w:pPr>
        <w:pStyle w:val="25"/>
        <w:shd w:val="clear" w:color="auto" w:fill="auto"/>
        <w:spacing w:line="240" w:lineRule="atLeast"/>
        <w:ind w:left="1087"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项目名称:                           </w:t>
      </w:r>
    </w:p>
    <w:p>
      <w:pPr>
        <w:pStyle w:val="25"/>
        <w:shd w:val="clear" w:color="auto" w:fill="auto"/>
        <w:spacing w:line="240" w:lineRule="atLeast"/>
        <w:ind w:left="1087"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招标编号:                       包号:                      </w:t>
      </w:r>
    </w:p>
    <w:p>
      <w:pPr>
        <w:pStyle w:val="25"/>
        <w:shd w:val="clear" w:color="auto" w:fill="auto"/>
        <w:spacing w:line="240" w:lineRule="atLeast"/>
        <w:ind w:left="1087" w:leftChars="257" w:hanging="540"/>
        <w:rPr>
          <w:rFonts w:hint="eastAsia" w:ascii="宋体" w:hAnsi="宋体" w:eastAsia="宋体" w:cs="宋体"/>
          <w:color w:val="auto"/>
          <w:sz w:val="24"/>
          <w:highlight w:val="none"/>
        </w:rPr>
      </w:pPr>
    </w:p>
    <w:tbl>
      <w:tblPr>
        <w:tblStyle w:val="47"/>
        <w:tblW w:w="9083" w:type="dxa"/>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1601"/>
        <w:gridCol w:w="1225"/>
        <w:gridCol w:w="1138"/>
        <w:gridCol w:w="1275"/>
        <w:gridCol w:w="1250"/>
        <w:gridCol w:w="1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904" w:type="dxa"/>
            <w:vAlign w:val="top"/>
          </w:tcPr>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序号</w:t>
            </w:r>
          </w:p>
        </w:tc>
        <w:tc>
          <w:tcPr>
            <w:tcW w:w="1601" w:type="dxa"/>
            <w:vAlign w:val="top"/>
          </w:tcPr>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cs="宋体"/>
                <w:color w:val="auto"/>
                <w:kern w:val="2"/>
                <w:sz w:val="24"/>
                <w:szCs w:val="20"/>
                <w:highlight w:val="none"/>
                <w:u w:val="none" w:color="000000"/>
                <w:lang w:val="en-US" w:eastAsia="zh-CN" w:bidi="ar-SA"/>
              </w:rPr>
              <w:t>货物</w:t>
            </w:r>
            <w:r>
              <w:rPr>
                <w:rFonts w:hint="eastAsia" w:ascii="宋体" w:hAnsi="宋体" w:eastAsia="宋体" w:cs="宋体"/>
                <w:color w:val="auto"/>
                <w:kern w:val="2"/>
                <w:sz w:val="24"/>
                <w:szCs w:val="20"/>
                <w:highlight w:val="none"/>
                <w:u w:val="none" w:color="000000"/>
                <w:lang w:val="en-US" w:eastAsia="zh-CN" w:bidi="ar-SA"/>
              </w:rPr>
              <w:t>名称</w:t>
            </w:r>
          </w:p>
        </w:tc>
        <w:tc>
          <w:tcPr>
            <w:tcW w:w="1225" w:type="dxa"/>
            <w:vAlign w:val="top"/>
          </w:tcPr>
          <w:p>
            <w:pPr>
              <w:keepNext w:val="0"/>
              <w:keepLines w:val="0"/>
              <w:suppressLineNumbers w:val="0"/>
              <w:shd w:val="clear" w:color="auto" w:fill="auto"/>
              <w:spacing w:before="0" w:beforeAutospacing="0" w:after="0" w:afterAutospacing="0"/>
              <w:ind w:left="0" w:right="0"/>
              <w:jc w:val="center"/>
              <w:rPr>
                <w:rFonts w:hint="default" w:ascii="宋体" w:hAnsi="宋体" w:eastAsia="宋体" w:cs="宋体"/>
                <w:color w:val="auto"/>
                <w:kern w:val="2"/>
                <w:sz w:val="24"/>
                <w:szCs w:val="20"/>
                <w:highlight w:val="none"/>
                <w:u w:val="none" w:color="000000"/>
                <w:lang w:val="en-US" w:eastAsia="zh-CN" w:bidi="ar-SA"/>
              </w:rPr>
            </w:pPr>
            <w:r>
              <w:rPr>
                <w:rFonts w:hint="eastAsia" w:ascii="宋体" w:hAnsi="宋体" w:cs="宋体"/>
                <w:color w:val="auto"/>
                <w:kern w:val="2"/>
                <w:sz w:val="24"/>
                <w:szCs w:val="20"/>
                <w:highlight w:val="none"/>
                <w:u w:val="none" w:color="000000"/>
                <w:lang w:val="en-US" w:eastAsia="zh-CN" w:bidi="ar-SA"/>
              </w:rPr>
              <w:t>货物</w:t>
            </w:r>
            <w:r>
              <w:rPr>
                <w:rFonts w:hint="eastAsia" w:ascii="宋体" w:hAnsi="宋体" w:eastAsia="宋体" w:cs="宋体"/>
                <w:color w:val="auto"/>
                <w:kern w:val="2"/>
                <w:sz w:val="24"/>
                <w:szCs w:val="20"/>
                <w:highlight w:val="none"/>
                <w:u w:val="none" w:color="000000"/>
                <w:lang w:val="en-US" w:eastAsia="zh-CN" w:bidi="ar-SA"/>
              </w:rPr>
              <w:t>要求</w:t>
            </w:r>
          </w:p>
        </w:tc>
        <w:tc>
          <w:tcPr>
            <w:tcW w:w="1138" w:type="dxa"/>
            <w:vAlign w:val="top"/>
          </w:tcPr>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数量</w:t>
            </w:r>
          </w:p>
        </w:tc>
        <w:tc>
          <w:tcPr>
            <w:tcW w:w="1275" w:type="dxa"/>
            <w:vAlign w:val="top"/>
          </w:tcPr>
          <w:p>
            <w:pPr>
              <w:keepNext w:val="0"/>
              <w:keepLines w:val="0"/>
              <w:suppressLineNumbers w:val="0"/>
              <w:shd w:val="clear" w:color="auto" w:fill="auto"/>
              <w:spacing w:before="0" w:beforeAutospacing="0" w:after="0" w:afterAutospacing="0"/>
              <w:ind w:left="0" w:right="0"/>
              <w:jc w:val="center"/>
              <w:rPr>
                <w:rFonts w:hint="default" w:ascii="宋体" w:hAnsi="宋体" w:eastAsia="宋体" w:cs="宋体"/>
                <w:color w:val="auto"/>
                <w:kern w:val="2"/>
                <w:sz w:val="24"/>
                <w:szCs w:val="20"/>
                <w:highlight w:val="none"/>
                <w:u w:val="none" w:color="000000"/>
                <w:lang w:val="en-US" w:eastAsia="zh-CN" w:bidi="ar-SA"/>
              </w:rPr>
            </w:pPr>
            <w:r>
              <w:rPr>
                <w:rFonts w:hint="eastAsia" w:ascii="宋体" w:hAnsi="宋体" w:cs="宋体"/>
                <w:color w:val="auto"/>
                <w:kern w:val="2"/>
                <w:sz w:val="24"/>
                <w:szCs w:val="20"/>
                <w:highlight w:val="none"/>
                <w:u w:val="none" w:color="000000"/>
                <w:lang w:val="en-US" w:eastAsia="zh-CN" w:bidi="ar-SA"/>
              </w:rPr>
              <w:t>交货日期</w:t>
            </w:r>
          </w:p>
        </w:tc>
        <w:tc>
          <w:tcPr>
            <w:tcW w:w="1250" w:type="dxa"/>
            <w:vAlign w:val="top"/>
          </w:tcPr>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交货地点</w:t>
            </w:r>
          </w:p>
        </w:tc>
        <w:tc>
          <w:tcPr>
            <w:tcW w:w="1690" w:type="dxa"/>
            <w:vAlign w:val="top"/>
          </w:tcPr>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904" w:type="dxa"/>
            <w:vAlign w:val="top"/>
          </w:tcPr>
          <w:p>
            <w:pPr>
              <w:pStyle w:val="25"/>
              <w:keepNext w:val="0"/>
              <w:keepLines w:val="0"/>
              <w:suppressLineNumbers w:val="0"/>
              <w:shd w:val="clear" w:color="auto" w:fill="auto"/>
              <w:spacing w:before="0" w:beforeAutospacing="0" w:after="0" w:afterAutospacing="0" w:line="240" w:lineRule="atLeast"/>
              <w:ind w:left="1087" w:leftChars="257" w:right="0" w:hanging="540"/>
              <w:rPr>
                <w:rFonts w:hint="eastAsia" w:ascii="宋体" w:hAnsi="宋体" w:eastAsia="宋体" w:cs="宋体"/>
                <w:color w:val="auto"/>
                <w:sz w:val="24"/>
                <w:highlight w:val="none"/>
                <w:lang w:val="en-US" w:eastAsia="zh-CN"/>
              </w:rPr>
            </w:pPr>
          </w:p>
        </w:tc>
        <w:tc>
          <w:tcPr>
            <w:tcW w:w="1601" w:type="dxa"/>
            <w:vAlign w:val="top"/>
          </w:tcPr>
          <w:p>
            <w:pPr>
              <w:pStyle w:val="25"/>
              <w:keepNext w:val="0"/>
              <w:keepLines w:val="0"/>
              <w:suppressLineNumbers w:val="0"/>
              <w:shd w:val="clear" w:color="auto" w:fill="auto"/>
              <w:spacing w:before="0" w:beforeAutospacing="0" w:after="0" w:afterAutospacing="0" w:line="240" w:lineRule="atLeast"/>
              <w:ind w:left="1087" w:leftChars="257" w:right="0" w:hanging="540"/>
              <w:rPr>
                <w:rFonts w:hint="eastAsia" w:ascii="宋体" w:hAnsi="宋体" w:eastAsia="宋体" w:cs="宋体"/>
                <w:color w:val="auto"/>
                <w:sz w:val="24"/>
                <w:highlight w:val="none"/>
                <w:lang w:val="en-US" w:eastAsia="zh-CN"/>
              </w:rPr>
            </w:pPr>
          </w:p>
        </w:tc>
        <w:tc>
          <w:tcPr>
            <w:tcW w:w="1225" w:type="dxa"/>
            <w:vAlign w:val="top"/>
          </w:tcPr>
          <w:p>
            <w:pPr>
              <w:pStyle w:val="25"/>
              <w:keepNext w:val="0"/>
              <w:keepLines w:val="0"/>
              <w:suppressLineNumbers w:val="0"/>
              <w:shd w:val="clear" w:color="auto" w:fill="auto"/>
              <w:spacing w:before="0" w:beforeAutospacing="0" w:after="0" w:afterAutospacing="0" w:line="240" w:lineRule="atLeast"/>
              <w:ind w:left="1087" w:leftChars="257" w:right="0" w:hanging="540"/>
              <w:rPr>
                <w:rFonts w:hint="eastAsia" w:ascii="宋体" w:hAnsi="宋体" w:eastAsia="宋体" w:cs="宋体"/>
                <w:color w:val="auto"/>
                <w:sz w:val="24"/>
                <w:highlight w:val="none"/>
                <w:lang w:val="en-US" w:eastAsia="zh-CN"/>
              </w:rPr>
            </w:pPr>
          </w:p>
        </w:tc>
        <w:tc>
          <w:tcPr>
            <w:tcW w:w="1138" w:type="dxa"/>
            <w:vAlign w:val="top"/>
          </w:tcPr>
          <w:p>
            <w:pPr>
              <w:pStyle w:val="25"/>
              <w:keepNext w:val="0"/>
              <w:keepLines w:val="0"/>
              <w:suppressLineNumbers w:val="0"/>
              <w:shd w:val="clear" w:color="auto" w:fill="auto"/>
              <w:spacing w:before="0" w:beforeAutospacing="0" w:after="0" w:afterAutospacing="0" w:line="240" w:lineRule="atLeast"/>
              <w:ind w:left="1087" w:leftChars="257" w:right="0" w:hanging="540"/>
              <w:rPr>
                <w:rFonts w:hint="eastAsia" w:ascii="宋体" w:hAnsi="宋体" w:eastAsia="宋体" w:cs="宋体"/>
                <w:color w:val="auto"/>
                <w:sz w:val="24"/>
                <w:highlight w:val="none"/>
                <w:lang w:val="en-US" w:eastAsia="zh-CN"/>
              </w:rPr>
            </w:pPr>
          </w:p>
        </w:tc>
        <w:tc>
          <w:tcPr>
            <w:tcW w:w="1275" w:type="dxa"/>
            <w:vAlign w:val="top"/>
          </w:tcPr>
          <w:p>
            <w:pPr>
              <w:pStyle w:val="25"/>
              <w:keepNext w:val="0"/>
              <w:keepLines w:val="0"/>
              <w:suppressLineNumbers w:val="0"/>
              <w:shd w:val="clear" w:color="auto" w:fill="auto"/>
              <w:spacing w:before="0" w:beforeAutospacing="0" w:after="0" w:afterAutospacing="0" w:line="240" w:lineRule="atLeast"/>
              <w:ind w:left="1087" w:leftChars="257" w:right="0" w:hanging="540"/>
              <w:rPr>
                <w:rFonts w:hint="eastAsia" w:ascii="宋体" w:hAnsi="宋体" w:eastAsia="宋体" w:cs="宋体"/>
                <w:color w:val="auto"/>
                <w:sz w:val="24"/>
                <w:highlight w:val="none"/>
                <w:lang w:val="en-US" w:eastAsia="zh-CN"/>
              </w:rPr>
            </w:pPr>
          </w:p>
        </w:tc>
        <w:tc>
          <w:tcPr>
            <w:tcW w:w="1250" w:type="dxa"/>
            <w:vAlign w:val="top"/>
          </w:tcPr>
          <w:p>
            <w:pPr>
              <w:pStyle w:val="25"/>
              <w:keepNext w:val="0"/>
              <w:keepLines w:val="0"/>
              <w:suppressLineNumbers w:val="0"/>
              <w:shd w:val="clear" w:color="auto" w:fill="auto"/>
              <w:spacing w:before="0" w:beforeAutospacing="0" w:after="0" w:afterAutospacing="0" w:line="240" w:lineRule="atLeast"/>
              <w:ind w:left="1087" w:leftChars="257" w:right="0" w:hanging="540"/>
              <w:rPr>
                <w:rFonts w:hint="eastAsia" w:ascii="宋体" w:hAnsi="宋体" w:eastAsia="宋体" w:cs="宋体"/>
                <w:color w:val="auto"/>
                <w:sz w:val="24"/>
                <w:highlight w:val="none"/>
                <w:lang w:val="en-US" w:eastAsia="zh-CN"/>
              </w:rPr>
            </w:pPr>
          </w:p>
        </w:tc>
        <w:tc>
          <w:tcPr>
            <w:tcW w:w="1690" w:type="dxa"/>
            <w:vAlign w:val="top"/>
          </w:tcPr>
          <w:p>
            <w:pPr>
              <w:pStyle w:val="25"/>
              <w:keepNext w:val="0"/>
              <w:keepLines w:val="0"/>
              <w:suppressLineNumbers w:val="0"/>
              <w:shd w:val="clear" w:color="auto" w:fill="auto"/>
              <w:spacing w:before="0" w:beforeAutospacing="0" w:after="0" w:afterAutospacing="0" w:line="240" w:lineRule="atLeast"/>
              <w:ind w:left="1087" w:leftChars="257" w:right="0"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904" w:type="dxa"/>
            <w:vAlign w:val="top"/>
          </w:tcPr>
          <w:p>
            <w:pPr>
              <w:pStyle w:val="25"/>
              <w:keepNext w:val="0"/>
              <w:keepLines w:val="0"/>
              <w:suppressLineNumbers w:val="0"/>
              <w:shd w:val="clear" w:color="auto" w:fill="auto"/>
              <w:spacing w:before="0" w:beforeAutospacing="0" w:after="0" w:afterAutospacing="0" w:line="240" w:lineRule="atLeast"/>
              <w:ind w:left="1087" w:leftChars="257" w:right="0" w:hanging="540"/>
              <w:rPr>
                <w:rFonts w:hint="eastAsia" w:ascii="宋体" w:hAnsi="宋体" w:eastAsia="宋体" w:cs="宋体"/>
                <w:color w:val="auto"/>
                <w:sz w:val="24"/>
                <w:highlight w:val="none"/>
                <w:lang w:val="en-US" w:eastAsia="zh-CN"/>
              </w:rPr>
            </w:pPr>
          </w:p>
        </w:tc>
        <w:tc>
          <w:tcPr>
            <w:tcW w:w="1601" w:type="dxa"/>
            <w:vAlign w:val="top"/>
          </w:tcPr>
          <w:p>
            <w:pPr>
              <w:pStyle w:val="25"/>
              <w:keepNext w:val="0"/>
              <w:keepLines w:val="0"/>
              <w:suppressLineNumbers w:val="0"/>
              <w:shd w:val="clear" w:color="auto" w:fill="auto"/>
              <w:spacing w:before="0" w:beforeAutospacing="0" w:after="0" w:afterAutospacing="0" w:line="240" w:lineRule="atLeast"/>
              <w:ind w:left="1087" w:leftChars="257" w:right="0" w:hanging="540"/>
              <w:rPr>
                <w:rFonts w:hint="eastAsia" w:ascii="宋体" w:hAnsi="宋体" w:eastAsia="宋体" w:cs="宋体"/>
                <w:color w:val="auto"/>
                <w:sz w:val="24"/>
                <w:highlight w:val="none"/>
                <w:lang w:val="en-US" w:eastAsia="zh-CN"/>
              </w:rPr>
            </w:pPr>
          </w:p>
        </w:tc>
        <w:tc>
          <w:tcPr>
            <w:tcW w:w="1225" w:type="dxa"/>
            <w:vAlign w:val="top"/>
          </w:tcPr>
          <w:p>
            <w:pPr>
              <w:pStyle w:val="25"/>
              <w:keepNext w:val="0"/>
              <w:keepLines w:val="0"/>
              <w:suppressLineNumbers w:val="0"/>
              <w:shd w:val="clear" w:color="auto" w:fill="auto"/>
              <w:spacing w:before="0" w:beforeAutospacing="0" w:after="0" w:afterAutospacing="0" w:line="240" w:lineRule="atLeast"/>
              <w:ind w:left="1087" w:leftChars="257" w:right="0" w:hanging="540"/>
              <w:rPr>
                <w:rFonts w:hint="eastAsia" w:ascii="宋体" w:hAnsi="宋体" w:eastAsia="宋体" w:cs="宋体"/>
                <w:color w:val="auto"/>
                <w:sz w:val="24"/>
                <w:highlight w:val="none"/>
                <w:lang w:val="en-US" w:eastAsia="zh-CN"/>
              </w:rPr>
            </w:pPr>
          </w:p>
        </w:tc>
        <w:tc>
          <w:tcPr>
            <w:tcW w:w="1138" w:type="dxa"/>
            <w:vAlign w:val="top"/>
          </w:tcPr>
          <w:p>
            <w:pPr>
              <w:pStyle w:val="25"/>
              <w:keepNext w:val="0"/>
              <w:keepLines w:val="0"/>
              <w:suppressLineNumbers w:val="0"/>
              <w:shd w:val="clear" w:color="auto" w:fill="auto"/>
              <w:spacing w:before="0" w:beforeAutospacing="0" w:after="0" w:afterAutospacing="0" w:line="240" w:lineRule="atLeast"/>
              <w:ind w:left="1087" w:leftChars="257" w:right="0" w:hanging="540"/>
              <w:rPr>
                <w:rFonts w:hint="eastAsia" w:ascii="宋体" w:hAnsi="宋体" w:eastAsia="宋体" w:cs="宋体"/>
                <w:color w:val="auto"/>
                <w:sz w:val="24"/>
                <w:highlight w:val="none"/>
                <w:lang w:val="en-US" w:eastAsia="zh-CN"/>
              </w:rPr>
            </w:pPr>
          </w:p>
        </w:tc>
        <w:tc>
          <w:tcPr>
            <w:tcW w:w="1275" w:type="dxa"/>
            <w:vAlign w:val="top"/>
          </w:tcPr>
          <w:p>
            <w:pPr>
              <w:pStyle w:val="25"/>
              <w:keepNext w:val="0"/>
              <w:keepLines w:val="0"/>
              <w:suppressLineNumbers w:val="0"/>
              <w:shd w:val="clear" w:color="auto" w:fill="auto"/>
              <w:spacing w:before="0" w:beforeAutospacing="0" w:after="0" w:afterAutospacing="0" w:line="240" w:lineRule="atLeast"/>
              <w:ind w:left="1087" w:leftChars="257" w:right="0" w:hanging="540"/>
              <w:rPr>
                <w:rFonts w:hint="eastAsia" w:ascii="宋体" w:hAnsi="宋体" w:eastAsia="宋体" w:cs="宋体"/>
                <w:color w:val="auto"/>
                <w:sz w:val="24"/>
                <w:highlight w:val="none"/>
                <w:lang w:val="en-US" w:eastAsia="zh-CN"/>
              </w:rPr>
            </w:pPr>
          </w:p>
        </w:tc>
        <w:tc>
          <w:tcPr>
            <w:tcW w:w="1250" w:type="dxa"/>
            <w:vAlign w:val="top"/>
          </w:tcPr>
          <w:p>
            <w:pPr>
              <w:pStyle w:val="25"/>
              <w:keepNext w:val="0"/>
              <w:keepLines w:val="0"/>
              <w:suppressLineNumbers w:val="0"/>
              <w:shd w:val="clear" w:color="auto" w:fill="auto"/>
              <w:spacing w:before="0" w:beforeAutospacing="0" w:after="0" w:afterAutospacing="0" w:line="240" w:lineRule="atLeast"/>
              <w:ind w:left="1087" w:leftChars="257" w:right="0" w:hanging="540"/>
              <w:rPr>
                <w:rFonts w:hint="eastAsia" w:ascii="宋体" w:hAnsi="宋体" w:eastAsia="宋体" w:cs="宋体"/>
                <w:color w:val="auto"/>
                <w:sz w:val="24"/>
                <w:highlight w:val="none"/>
                <w:lang w:val="en-US" w:eastAsia="zh-CN"/>
              </w:rPr>
            </w:pPr>
          </w:p>
        </w:tc>
        <w:tc>
          <w:tcPr>
            <w:tcW w:w="1690" w:type="dxa"/>
            <w:vAlign w:val="top"/>
          </w:tcPr>
          <w:p>
            <w:pPr>
              <w:pStyle w:val="25"/>
              <w:keepNext w:val="0"/>
              <w:keepLines w:val="0"/>
              <w:suppressLineNumbers w:val="0"/>
              <w:shd w:val="clear" w:color="auto" w:fill="auto"/>
              <w:spacing w:before="0" w:beforeAutospacing="0" w:after="0" w:afterAutospacing="0" w:line="240" w:lineRule="atLeast"/>
              <w:ind w:left="1087" w:leftChars="257" w:right="0"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904" w:type="dxa"/>
            <w:vAlign w:val="top"/>
          </w:tcPr>
          <w:p>
            <w:pPr>
              <w:pStyle w:val="25"/>
              <w:keepNext w:val="0"/>
              <w:keepLines w:val="0"/>
              <w:suppressLineNumbers w:val="0"/>
              <w:shd w:val="clear" w:color="auto" w:fill="auto"/>
              <w:spacing w:before="0" w:beforeAutospacing="0" w:after="0" w:afterAutospacing="0" w:line="240" w:lineRule="atLeast"/>
              <w:ind w:left="1087" w:leftChars="257" w:right="0" w:hanging="540"/>
              <w:rPr>
                <w:rFonts w:hint="eastAsia" w:ascii="宋体" w:hAnsi="宋体" w:eastAsia="宋体" w:cs="宋体"/>
                <w:color w:val="auto"/>
                <w:sz w:val="24"/>
                <w:highlight w:val="none"/>
                <w:lang w:val="en-US" w:eastAsia="zh-CN"/>
              </w:rPr>
            </w:pPr>
          </w:p>
        </w:tc>
        <w:tc>
          <w:tcPr>
            <w:tcW w:w="1601" w:type="dxa"/>
            <w:vAlign w:val="top"/>
          </w:tcPr>
          <w:p>
            <w:pPr>
              <w:pStyle w:val="25"/>
              <w:keepNext w:val="0"/>
              <w:keepLines w:val="0"/>
              <w:suppressLineNumbers w:val="0"/>
              <w:shd w:val="clear" w:color="auto" w:fill="auto"/>
              <w:spacing w:before="0" w:beforeAutospacing="0" w:after="0" w:afterAutospacing="0" w:line="240" w:lineRule="atLeast"/>
              <w:ind w:left="1087" w:leftChars="257" w:right="0" w:hanging="540"/>
              <w:rPr>
                <w:rFonts w:hint="eastAsia" w:ascii="宋体" w:hAnsi="宋体" w:eastAsia="宋体" w:cs="宋体"/>
                <w:color w:val="auto"/>
                <w:sz w:val="24"/>
                <w:highlight w:val="none"/>
                <w:lang w:val="en-US" w:eastAsia="zh-CN"/>
              </w:rPr>
            </w:pPr>
          </w:p>
        </w:tc>
        <w:tc>
          <w:tcPr>
            <w:tcW w:w="1225" w:type="dxa"/>
            <w:vAlign w:val="top"/>
          </w:tcPr>
          <w:p>
            <w:pPr>
              <w:pStyle w:val="25"/>
              <w:keepNext w:val="0"/>
              <w:keepLines w:val="0"/>
              <w:suppressLineNumbers w:val="0"/>
              <w:shd w:val="clear" w:color="auto" w:fill="auto"/>
              <w:spacing w:before="0" w:beforeAutospacing="0" w:after="0" w:afterAutospacing="0" w:line="240" w:lineRule="atLeast"/>
              <w:ind w:left="1087" w:leftChars="257" w:right="0" w:hanging="540"/>
              <w:rPr>
                <w:rFonts w:hint="eastAsia" w:ascii="宋体" w:hAnsi="宋体" w:eastAsia="宋体" w:cs="宋体"/>
                <w:color w:val="auto"/>
                <w:sz w:val="24"/>
                <w:highlight w:val="none"/>
                <w:lang w:val="en-US" w:eastAsia="zh-CN"/>
              </w:rPr>
            </w:pPr>
          </w:p>
        </w:tc>
        <w:tc>
          <w:tcPr>
            <w:tcW w:w="1138" w:type="dxa"/>
            <w:vAlign w:val="top"/>
          </w:tcPr>
          <w:p>
            <w:pPr>
              <w:pStyle w:val="25"/>
              <w:keepNext w:val="0"/>
              <w:keepLines w:val="0"/>
              <w:suppressLineNumbers w:val="0"/>
              <w:shd w:val="clear" w:color="auto" w:fill="auto"/>
              <w:spacing w:before="0" w:beforeAutospacing="0" w:after="0" w:afterAutospacing="0" w:line="240" w:lineRule="atLeast"/>
              <w:ind w:left="1087" w:leftChars="257" w:right="0" w:hanging="540"/>
              <w:rPr>
                <w:rFonts w:hint="eastAsia" w:ascii="宋体" w:hAnsi="宋体" w:eastAsia="宋体" w:cs="宋体"/>
                <w:color w:val="auto"/>
                <w:sz w:val="24"/>
                <w:highlight w:val="none"/>
                <w:lang w:val="en-US" w:eastAsia="zh-CN"/>
              </w:rPr>
            </w:pPr>
          </w:p>
        </w:tc>
        <w:tc>
          <w:tcPr>
            <w:tcW w:w="1275" w:type="dxa"/>
            <w:vAlign w:val="top"/>
          </w:tcPr>
          <w:p>
            <w:pPr>
              <w:pStyle w:val="25"/>
              <w:keepNext w:val="0"/>
              <w:keepLines w:val="0"/>
              <w:suppressLineNumbers w:val="0"/>
              <w:shd w:val="clear" w:color="auto" w:fill="auto"/>
              <w:spacing w:before="0" w:beforeAutospacing="0" w:after="0" w:afterAutospacing="0" w:line="240" w:lineRule="atLeast"/>
              <w:ind w:left="1087" w:leftChars="257" w:right="0" w:hanging="540"/>
              <w:rPr>
                <w:rFonts w:hint="eastAsia" w:ascii="宋体" w:hAnsi="宋体" w:eastAsia="宋体" w:cs="宋体"/>
                <w:color w:val="auto"/>
                <w:sz w:val="24"/>
                <w:highlight w:val="none"/>
                <w:lang w:val="en-US" w:eastAsia="zh-CN"/>
              </w:rPr>
            </w:pPr>
          </w:p>
        </w:tc>
        <w:tc>
          <w:tcPr>
            <w:tcW w:w="1250" w:type="dxa"/>
            <w:vAlign w:val="top"/>
          </w:tcPr>
          <w:p>
            <w:pPr>
              <w:pStyle w:val="25"/>
              <w:keepNext w:val="0"/>
              <w:keepLines w:val="0"/>
              <w:suppressLineNumbers w:val="0"/>
              <w:shd w:val="clear" w:color="auto" w:fill="auto"/>
              <w:spacing w:before="0" w:beforeAutospacing="0" w:after="0" w:afterAutospacing="0" w:line="240" w:lineRule="atLeast"/>
              <w:ind w:left="1087" w:leftChars="257" w:right="0" w:hanging="540"/>
              <w:rPr>
                <w:rFonts w:hint="eastAsia" w:ascii="宋体" w:hAnsi="宋体" w:eastAsia="宋体" w:cs="宋体"/>
                <w:color w:val="auto"/>
                <w:sz w:val="24"/>
                <w:highlight w:val="none"/>
                <w:lang w:val="en-US" w:eastAsia="zh-CN"/>
              </w:rPr>
            </w:pPr>
          </w:p>
        </w:tc>
        <w:tc>
          <w:tcPr>
            <w:tcW w:w="1690" w:type="dxa"/>
            <w:vAlign w:val="top"/>
          </w:tcPr>
          <w:p>
            <w:pPr>
              <w:pStyle w:val="25"/>
              <w:keepNext w:val="0"/>
              <w:keepLines w:val="0"/>
              <w:suppressLineNumbers w:val="0"/>
              <w:shd w:val="clear" w:color="auto" w:fill="auto"/>
              <w:spacing w:before="0" w:beforeAutospacing="0" w:after="0" w:afterAutospacing="0" w:line="240" w:lineRule="atLeast"/>
              <w:ind w:left="1087" w:leftChars="257" w:right="0"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904" w:type="dxa"/>
            <w:vAlign w:val="top"/>
          </w:tcPr>
          <w:p>
            <w:pPr>
              <w:pStyle w:val="25"/>
              <w:keepNext w:val="0"/>
              <w:keepLines w:val="0"/>
              <w:suppressLineNumbers w:val="0"/>
              <w:shd w:val="clear" w:color="auto" w:fill="auto"/>
              <w:spacing w:before="0" w:beforeAutospacing="0" w:after="0" w:afterAutospacing="0" w:line="240" w:lineRule="atLeast"/>
              <w:ind w:left="1087" w:leftChars="257" w:right="0" w:hanging="540"/>
              <w:rPr>
                <w:rFonts w:hint="eastAsia" w:ascii="宋体" w:hAnsi="宋体" w:eastAsia="宋体" w:cs="宋体"/>
                <w:color w:val="auto"/>
                <w:sz w:val="24"/>
                <w:highlight w:val="none"/>
                <w:lang w:val="en-US" w:eastAsia="zh-CN"/>
              </w:rPr>
            </w:pPr>
          </w:p>
        </w:tc>
        <w:tc>
          <w:tcPr>
            <w:tcW w:w="1601" w:type="dxa"/>
            <w:vAlign w:val="top"/>
          </w:tcPr>
          <w:p>
            <w:pPr>
              <w:pStyle w:val="25"/>
              <w:keepNext w:val="0"/>
              <w:keepLines w:val="0"/>
              <w:suppressLineNumbers w:val="0"/>
              <w:shd w:val="clear" w:color="auto" w:fill="auto"/>
              <w:spacing w:before="0" w:beforeAutospacing="0" w:after="0" w:afterAutospacing="0" w:line="240" w:lineRule="atLeast"/>
              <w:ind w:left="1087" w:leftChars="257" w:right="0" w:hanging="540"/>
              <w:rPr>
                <w:rFonts w:hint="eastAsia" w:ascii="宋体" w:hAnsi="宋体" w:eastAsia="宋体" w:cs="宋体"/>
                <w:color w:val="auto"/>
                <w:sz w:val="24"/>
                <w:highlight w:val="none"/>
                <w:lang w:val="en-US" w:eastAsia="zh-CN"/>
              </w:rPr>
            </w:pPr>
          </w:p>
        </w:tc>
        <w:tc>
          <w:tcPr>
            <w:tcW w:w="1225" w:type="dxa"/>
            <w:vAlign w:val="top"/>
          </w:tcPr>
          <w:p>
            <w:pPr>
              <w:pStyle w:val="25"/>
              <w:keepNext w:val="0"/>
              <w:keepLines w:val="0"/>
              <w:suppressLineNumbers w:val="0"/>
              <w:shd w:val="clear" w:color="auto" w:fill="auto"/>
              <w:spacing w:before="0" w:beforeAutospacing="0" w:after="0" w:afterAutospacing="0" w:line="240" w:lineRule="atLeast"/>
              <w:ind w:left="1087" w:leftChars="257" w:right="0" w:hanging="540"/>
              <w:rPr>
                <w:rFonts w:hint="eastAsia" w:ascii="宋体" w:hAnsi="宋体" w:eastAsia="宋体" w:cs="宋体"/>
                <w:color w:val="auto"/>
                <w:sz w:val="24"/>
                <w:highlight w:val="none"/>
                <w:lang w:val="en-US" w:eastAsia="zh-CN"/>
              </w:rPr>
            </w:pPr>
          </w:p>
        </w:tc>
        <w:tc>
          <w:tcPr>
            <w:tcW w:w="1138" w:type="dxa"/>
            <w:vAlign w:val="top"/>
          </w:tcPr>
          <w:p>
            <w:pPr>
              <w:pStyle w:val="25"/>
              <w:keepNext w:val="0"/>
              <w:keepLines w:val="0"/>
              <w:suppressLineNumbers w:val="0"/>
              <w:shd w:val="clear" w:color="auto" w:fill="auto"/>
              <w:spacing w:before="0" w:beforeAutospacing="0" w:after="0" w:afterAutospacing="0" w:line="240" w:lineRule="atLeast"/>
              <w:ind w:left="1087" w:leftChars="257" w:right="0" w:hanging="540"/>
              <w:rPr>
                <w:rFonts w:hint="eastAsia" w:ascii="宋体" w:hAnsi="宋体" w:eastAsia="宋体" w:cs="宋体"/>
                <w:color w:val="auto"/>
                <w:sz w:val="24"/>
                <w:highlight w:val="none"/>
                <w:lang w:val="en-US" w:eastAsia="zh-CN"/>
              </w:rPr>
            </w:pPr>
          </w:p>
        </w:tc>
        <w:tc>
          <w:tcPr>
            <w:tcW w:w="1275" w:type="dxa"/>
            <w:vAlign w:val="top"/>
          </w:tcPr>
          <w:p>
            <w:pPr>
              <w:pStyle w:val="25"/>
              <w:keepNext w:val="0"/>
              <w:keepLines w:val="0"/>
              <w:suppressLineNumbers w:val="0"/>
              <w:shd w:val="clear" w:color="auto" w:fill="auto"/>
              <w:spacing w:before="0" w:beforeAutospacing="0" w:after="0" w:afterAutospacing="0" w:line="240" w:lineRule="atLeast"/>
              <w:ind w:left="1087" w:leftChars="257" w:right="0" w:hanging="540"/>
              <w:rPr>
                <w:rFonts w:hint="eastAsia" w:ascii="宋体" w:hAnsi="宋体" w:eastAsia="宋体" w:cs="宋体"/>
                <w:color w:val="auto"/>
                <w:sz w:val="24"/>
                <w:highlight w:val="none"/>
                <w:lang w:val="en-US" w:eastAsia="zh-CN"/>
              </w:rPr>
            </w:pPr>
          </w:p>
        </w:tc>
        <w:tc>
          <w:tcPr>
            <w:tcW w:w="1250" w:type="dxa"/>
            <w:vAlign w:val="top"/>
          </w:tcPr>
          <w:p>
            <w:pPr>
              <w:pStyle w:val="25"/>
              <w:keepNext w:val="0"/>
              <w:keepLines w:val="0"/>
              <w:suppressLineNumbers w:val="0"/>
              <w:shd w:val="clear" w:color="auto" w:fill="auto"/>
              <w:spacing w:before="0" w:beforeAutospacing="0" w:after="0" w:afterAutospacing="0" w:line="240" w:lineRule="atLeast"/>
              <w:ind w:left="1087" w:leftChars="257" w:right="0" w:hanging="540"/>
              <w:rPr>
                <w:rFonts w:hint="eastAsia" w:ascii="宋体" w:hAnsi="宋体" w:eastAsia="宋体" w:cs="宋体"/>
                <w:color w:val="auto"/>
                <w:sz w:val="24"/>
                <w:highlight w:val="none"/>
                <w:lang w:val="en-US" w:eastAsia="zh-CN"/>
              </w:rPr>
            </w:pPr>
          </w:p>
        </w:tc>
        <w:tc>
          <w:tcPr>
            <w:tcW w:w="1690" w:type="dxa"/>
            <w:vAlign w:val="top"/>
          </w:tcPr>
          <w:p>
            <w:pPr>
              <w:pStyle w:val="25"/>
              <w:keepNext w:val="0"/>
              <w:keepLines w:val="0"/>
              <w:suppressLineNumbers w:val="0"/>
              <w:shd w:val="clear" w:color="auto" w:fill="auto"/>
              <w:spacing w:before="0" w:beforeAutospacing="0" w:after="0" w:afterAutospacing="0" w:line="240" w:lineRule="atLeast"/>
              <w:ind w:left="1087" w:leftChars="257" w:right="0"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904" w:type="dxa"/>
            <w:vAlign w:val="top"/>
          </w:tcPr>
          <w:p>
            <w:pPr>
              <w:pStyle w:val="25"/>
              <w:keepNext w:val="0"/>
              <w:keepLines w:val="0"/>
              <w:suppressLineNumbers w:val="0"/>
              <w:shd w:val="clear" w:color="auto" w:fill="auto"/>
              <w:spacing w:before="0" w:beforeAutospacing="0" w:after="0" w:afterAutospacing="0" w:line="240" w:lineRule="atLeast"/>
              <w:ind w:left="1087" w:leftChars="257" w:right="0" w:hanging="540"/>
              <w:rPr>
                <w:rFonts w:hint="eastAsia" w:ascii="宋体" w:hAnsi="宋体" w:eastAsia="宋体" w:cs="宋体"/>
                <w:color w:val="auto"/>
                <w:sz w:val="24"/>
                <w:highlight w:val="none"/>
                <w:lang w:val="en-US" w:eastAsia="zh-CN"/>
              </w:rPr>
            </w:pPr>
          </w:p>
        </w:tc>
        <w:tc>
          <w:tcPr>
            <w:tcW w:w="1601" w:type="dxa"/>
            <w:vAlign w:val="top"/>
          </w:tcPr>
          <w:p>
            <w:pPr>
              <w:pStyle w:val="25"/>
              <w:keepNext w:val="0"/>
              <w:keepLines w:val="0"/>
              <w:suppressLineNumbers w:val="0"/>
              <w:shd w:val="clear" w:color="auto" w:fill="auto"/>
              <w:spacing w:before="0" w:beforeAutospacing="0" w:after="0" w:afterAutospacing="0" w:line="240" w:lineRule="atLeast"/>
              <w:ind w:left="1087" w:leftChars="257" w:right="0" w:hanging="540"/>
              <w:rPr>
                <w:rFonts w:hint="eastAsia" w:ascii="宋体" w:hAnsi="宋体" w:eastAsia="宋体" w:cs="宋体"/>
                <w:color w:val="auto"/>
                <w:sz w:val="24"/>
                <w:highlight w:val="none"/>
                <w:lang w:val="en-US" w:eastAsia="zh-CN"/>
              </w:rPr>
            </w:pPr>
          </w:p>
        </w:tc>
        <w:tc>
          <w:tcPr>
            <w:tcW w:w="1225" w:type="dxa"/>
            <w:vAlign w:val="top"/>
          </w:tcPr>
          <w:p>
            <w:pPr>
              <w:pStyle w:val="25"/>
              <w:keepNext w:val="0"/>
              <w:keepLines w:val="0"/>
              <w:suppressLineNumbers w:val="0"/>
              <w:shd w:val="clear" w:color="auto" w:fill="auto"/>
              <w:spacing w:before="0" w:beforeAutospacing="0" w:after="0" w:afterAutospacing="0" w:line="240" w:lineRule="atLeast"/>
              <w:ind w:left="1087" w:leftChars="257" w:right="0" w:hanging="540"/>
              <w:rPr>
                <w:rFonts w:hint="eastAsia" w:ascii="宋体" w:hAnsi="宋体" w:eastAsia="宋体" w:cs="宋体"/>
                <w:color w:val="auto"/>
                <w:sz w:val="24"/>
                <w:highlight w:val="none"/>
                <w:lang w:val="en-US" w:eastAsia="zh-CN"/>
              </w:rPr>
            </w:pPr>
          </w:p>
        </w:tc>
        <w:tc>
          <w:tcPr>
            <w:tcW w:w="1138" w:type="dxa"/>
            <w:vAlign w:val="top"/>
          </w:tcPr>
          <w:p>
            <w:pPr>
              <w:pStyle w:val="25"/>
              <w:keepNext w:val="0"/>
              <w:keepLines w:val="0"/>
              <w:suppressLineNumbers w:val="0"/>
              <w:shd w:val="clear" w:color="auto" w:fill="auto"/>
              <w:spacing w:before="0" w:beforeAutospacing="0" w:after="0" w:afterAutospacing="0" w:line="240" w:lineRule="atLeast"/>
              <w:ind w:left="1087" w:leftChars="257" w:right="0" w:hanging="540"/>
              <w:rPr>
                <w:rFonts w:hint="eastAsia" w:ascii="宋体" w:hAnsi="宋体" w:eastAsia="宋体" w:cs="宋体"/>
                <w:color w:val="auto"/>
                <w:sz w:val="24"/>
                <w:highlight w:val="none"/>
                <w:lang w:val="en-US" w:eastAsia="zh-CN"/>
              </w:rPr>
            </w:pPr>
          </w:p>
        </w:tc>
        <w:tc>
          <w:tcPr>
            <w:tcW w:w="1275" w:type="dxa"/>
            <w:vAlign w:val="top"/>
          </w:tcPr>
          <w:p>
            <w:pPr>
              <w:pStyle w:val="25"/>
              <w:keepNext w:val="0"/>
              <w:keepLines w:val="0"/>
              <w:suppressLineNumbers w:val="0"/>
              <w:shd w:val="clear" w:color="auto" w:fill="auto"/>
              <w:spacing w:before="0" w:beforeAutospacing="0" w:after="0" w:afterAutospacing="0" w:line="240" w:lineRule="atLeast"/>
              <w:ind w:left="1087" w:leftChars="257" w:right="0" w:hanging="540"/>
              <w:rPr>
                <w:rFonts w:hint="eastAsia" w:ascii="宋体" w:hAnsi="宋体" w:eastAsia="宋体" w:cs="宋体"/>
                <w:color w:val="auto"/>
                <w:sz w:val="24"/>
                <w:highlight w:val="none"/>
                <w:lang w:val="en-US" w:eastAsia="zh-CN"/>
              </w:rPr>
            </w:pPr>
          </w:p>
        </w:tc>
        <w:tc>
          <w:tcPr>
            <w:tcW w:w="1250" w:type="dxa"/>
            <w:vAlign w:val="top"/>
          </w:tcPr>
          <w:p>
            <w:pPr>
              <w:pStyle w:val="25"/>
              <w:keepNext w:val="0"/>
              <w:keepLines w:val="0"/>
              <w:suppressLineNumbers w:val="0"/>
              <w:shd w:val="clear" w:color="auto" w:fill="auto"/>
              <w:spacing w:before="0" w:beforeAutospacing="0" w:after="0" w:afterAutospacing="0" w:line="240" w:lineRule="atLeast"/>
              <w:ind w:left="1087" w:leftChars="257" w:right="0" w:hanging="540"/>
              <w:rPr>
                <w:rFonts w:hint="eastAsia" w:ascii="宋体" w:hAnsi="宋体" w:eastAsia="宋体" w:cs="宋体"/>
                <w:color w:val="auto"/>
                <w:sz w:val="24"/>
                <w:highlight w:val="none"/>
                <w:lang w:val="en-US" w:eastAsia="zh-CN"/>
              </w:rPr>
            </w:pPr>
          </w:p>
        </w:tc>
        <w:tc>
          <w:tcPr>
            <w:tcW w:w="1690" w:type="dxa"/>
            <w:vAlign w:val="top"/>
          </w:tcPr>
          <w:p>
            <w:pPr>
              <w:pStyle w:val="25"/>
              <w:keepNext w:val="0"/>
              <w:keepLines w:val="0"/>
              <w:suppressLineNumbers w:val="0"/>
              <w:shd w:val="clear" w:color="auto" w:fill="auto"/>
              <w:spacing w:before="0" w:beforeAutospacing="0" w:after="0" w:afterAutospacing="0" w:line="240" w:lineRule="atLeast"/>
              <w:ind w:left="1087" w:leftChars="257" w:right="0"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904" w:type="dxa"/>
            <w:vAlign w:val="top"/>
          </w:tcPr>
          <w:p>
            <w:pPr>
              <w:pStyle w:val="25"/>
              <w:keepNext w:val="0"/>
              <w:keepLines w:val="0"/>
              <w:suppressLineNumbers w:val="0"/>
              <w:shd w:val="clear" w:color="auto" w:fill="auto"/>
              <w:spacing w:before="0" w:beforeAutospacing="0" w:after="0" w:afterAutospacing="0" w:line="240" w:lineRule="atLeast"/>
              <w:ind w:left="1087" w:leftChars="257" w:right="0" w:hanging="540"/>
              <w:rPr>
                <w:rFonts w:hint="eastAsia" w:ascii="宋体" w:hAnsi="宋体" w:eastAsia="宋体" w:cs="宋体"/>
                <w:color w:val="auto"/>
                <w:sz w:val="24"/>
                <w:highlight w:val="none"/>
                <w:lang w:val="en-US" w:eastAsia="zh-CN"/>
              </w:rPr>
            </w:pPr>
          </w:p>
        </w:tc>
        <w:tc>
          <w:tcPr>
            <w:tcW w:w="1601" w:type="dxa"/>
            <w:vAlign w:val="top"/>
          </w:tcPr>
          <w:p>
            <w:pPr>
              <w:pStyle w:val="25"/>
              <w:keepNext w:val="0"/>
              <w:keepLines w:val="0"/>
              <w:suppressLineNumbers w:val="0"/>
              <w:shd w:val="clear" w:color="auto" w:fill="auto"/>
              <w:spacing w:before="0" w:beforeAutospacing="0" w:after="0" w:afterAutospacing="0" w:line="240" w:lineRule="atLeast"/>
              <w:ind w:left="1087" w:leftChars="257" w:right="0" w:hanging="540"/>
              <w:rPr>
                <w:rFonts w:hint="eastAsia" w:ascii="宋体" w:hAnsi="宋体" w:eastAsia="宋体" w:cs="宋体"/>
                <w:color w:val="auto"/>
                <w:sz w:val="24"/>
                <w:highlight w:val="none"/>
                <w:lang w:val="en-US" w:eastAsia="zh-CN"/>
              </w:rPr>
            </w:pPr>
          </w:p>
        </w:tc>
        <w:tc>
          <w:tcPr>
            <w:tcW w:w="1225" w:type="dxa"/>
            <w:vAlign w:val="top"/>
          </w:tcPr>
          <w:p>
            <w:pPr>
              <w:pStyle w:val="25"/>
              <w:keepNext w:val="0"/>
              <w:keepLines w:val="0"/>
              <w:suppressLineNumbers w:val="0"/>
              <w:shd w:val="clear" w:color="auto" w:fill="auto"/>
              <w:spacing w:before="0" w:beforeAutospacing="0" w:after="0" w:afterAutospacing="0" w:line="240" w:lineRule="atLeast"/>
              <w:ind w:left="1087" w:leftChars="257" w:right="0" w:hanging="540"/>
              <w:rPr>
                <w:rFonts w:hint="eastAsia" w:ascii="宋体" w:hAnsi="宋体" w:eastAsia="宋体" w:cs="宋体"/>
                <w:color w:val="auto"/>
                <w:sz w:val="24"/>
                <w:highlight w:val="none"/>
                <w:lang w:val="en-US" w:eastAsia="zh-CN"/>
              </w:rPr>
            </w:pPr>
          </w:p>
        </w:tc>
        <w:tc>
          <w:tcPr>
            <w:tcW w:w="1138" w:type="dxa"/>
            <w:vAlign w:val="top"/>
          </w:tcPr>
          <w:p>
            <w:pPr>
              <w:pStyle w:val="25"/>
              <w:keepNext w:val="0"/>
              <w:keepLines w:val="0"/>
              <w:suppressLineNumbers w:val="0"/>
              <w:shd w:val="clear" w:color="auto" w:fill="auto"/>
              <w:spacing w:before="0" w:beforeAutospacing="0" w:after="0" w:afterAutospacing="0" w:line="240" w:lineRule="atLeast"/>
              <w:ind w:left="1087" w:leftChars="257" w:right="0" w:hanging="540"/>
              <w:rPr>
                <w:rFonts w:hint="eastAsia" w:ascii="宋体" w:hAnsi="宋体" w:eastAsia="宋体" w:cs="宋体"/>
                <w:color w:val="auto"/>
                <w:sz w:val="24"/>
                <w:highlight w:val="none"/>
                <w:lang w:val="en-US" w:eastAsia="zh-CN"/>
              </w:rPr>
            </w:pPr>
          </w:p>
        </w:tc>
        <w:tc>
          <w:tcPr>
            <w:tcW w:w="1275" w:type="dxa"/>
            <w:vAlign w:val="top"/>
          </w:tcPr>
          <w:p>
            <w:pPr>
              <w:pStyle w:val="25"/>
              <w:keepNext w:val="0"/>
              <w:keepLines w:val="0"/>
              <w:suppressLineNumbers w:val="0"/>
              <w:shd w:val="clear" w:color="auto" w:fill="auto"/>
              <w:spacing w:before="0" w:beforeAutospacing="0" w:after="0" w:afterAutospacing="0" w:line="240" w:lineRule="atLeast"/>
              <w:ind w:left="1087" w:leftChars="257" w:right="0" w:hanging="540"/>
              <w:rPr>
                <w:rFonts w:hint="eastAsia" w:ascii="宋体" w:hAnsi="宋体" w:eastAsia="宋体" w:cs="宋体"/>
                <w:color w:val="auto"/>
                <w:sz w:val="24"/>
                <w:highlight w:val="none"/>
                <w:lang w:val="en-US" w:eastAsia="zh-CN"/>
              </w:rPr>
            </w:pPr>
          </w:p>
        </w:tc>
        <w:tc>
          <w:tcPr>
            <w:tcW w:w="1250" w:type="dxa"/>
            <w:vAlign w:val="top"/>
          </w:tcPr>
          <w:p>
            <w:pPr>
              <w:pStyle w:val="25"/>
              <w:keepNext w:val="0"/>
              <w:keepLines w:val="0"/>
              <w:suppressLineNumbers w:val="0"/>
              <w:shd w:val="clear" w:color="auto" w:fill="auto"/>
              <w:spacing w:before="0" w:beforeAutospacing="0" w:after="0" w:afterAutospacing="0" w:line="240" w:lineRule="atLeast"/>
              <w:ind w:left="1087" w:leftChars="257" w:right="0" w:hanging="540"/>
              <w:rPr>
                <w:rFonts w:hint="eastAsia" w:ascii="宋体" w:hAnsi="宋体" w:eastAsia="宋体" w:cs="宋体"/>
                <w:color w:val="auto"/>
                <w:sz w:val="24"/>
                <w:highlight w:val="none"/>
                <w:lang w:val="en-US" w:eastAsia="zh-CN"/>
              </w:rPr>
            </w:pPr>
          </w:p>
        </w:tc>
        <w:tc>
          <w:tcPr>
            <w:tcW w:w="1690" w:type="dxa"/>
            <w:vAlign w:val="top"/>
          </w:tcPr>
          <w:p>
            <w:pPr>
              <w:pStyle w:val="25"/>
              <w:keepNext w:val="0"/>
              <w:keepLines w:val="0"/>
              <w:suppressLineNumbers w:val="0"/>
              <w:shd w:val="clear" w:color="auto" w:fill="auto"/>
              <w:spacing w:before="0" w:beforeAutospacing="0" w:after="0" w:afterAutospacing="0" w:line="240" w:lineRule="atLeast"/>
              <w:ind w:left="1087" w:leftChars="257" w:right="0"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904" w:type="dxa"/>
            <w:vAlign w:val="top"/>
          </w:tcPr>
          <w:p>
            <w:pPr>
              <w:pStyle w:val="25"/>
              <w:keepNext w:val="0"/>
              <w:keepLines w:val="0"/>
              <w:suppressLineNumbers w:val="0"/>
              <w:shd w:val="clear" w:color="auto" w:fill="auto"/>
              <w:spacing w:before="0" w:beforeAutospacing="0" w:after="0" w:afterAutospacing="0" w:line="240" w:lineRule="atLeast"/>
              <w:ind w:left="1087" w:leftChars="257" w:right="0" w:hanging="540"/>
              <w:rPr>
                <w:rFonts w:hint="eastAsia" w:ascii="宋体" w:hAnsi="宋体" w:eastAsia="宋体" w:cs="宋体"/>
                <w:color w:val="auto"/>
                <w:sz w:val="24"/>
                <w:highlight w:val="none"/>
                <w:lang w:val="en-US" w:eastAsia="zh-CN"/>
              </w:rPr>
            </w:pPr>
          </w:p>
        </w:tc>
        <w:tc>
          <w:tcPr>
            <w:tcW w:w="1601" w:type="dxa"/>
            <w:vAlign w:val="top"/>
          </w:tcPr>
          <w:p>
            <w:pPr>
              <w:pStyle w:val="25"/>
              <w:keepNext w:val="0"/>
              <w:keepLines w:val="0"/>
              <w:suppressLineNumbers w:val="0"/>
              <w:shd w:val="clear" w:color="auto" w:fill="auto"/>
              <w:spacing w:before="0" w:beforeAutospacing="0" w:after="0" w:afterAutospacing="0" w:line="240" w:lineRule="atLeast"/>
              <w:ind w:left="1087" w:leftChars="257" w:right="0" w:hanging="540"/>
              <w:rPr>
                <w:rFonts w:hint="eastAsia" w:ascii="宋体" w:hAnsi="宋体" w:eastAsia="宋体" w:cs="宋体"/>
                <w:color w:val="auto"/>
                <w:sz w:val="24"/>
                <w:highlight w:val="none"/>
                <w:lang w:val="en-US" w:eastAsia="zh-CN"/>
              </w:rPr>
            </w:pPr>
          </w:p>
        </w:tc>
        <w:tc>
          <w:tcPr>
            <w:tcW w:w="1225" w:type="dxa"/>
            <w:vAlign w:val="top"/>
          </w:tcPr>
          <w:p>
            <w:pPr>
              <w:pStyle w:val="25"/>
              <w:keepNext w:val="0"/>
              <w:keepLines w:val="0"/>
              <w:suppressLineNumbers w:val="0"/>
              <w:shd w:val="clear" w:color="auto" w:fill="auto"/>
              <w:spacing w:before="0" w:beforeAutospacing="0" w:after="0" w:afterAutospacing="0" w:line="240" w:lineRule="atLeast"/>
              <w:ind w:left="1087" w:leftChars="257" w:right="0" w:hanging="540"/>
              <w:rPr>
                <w:rFonts w:hint="eastAsia" w:ascii="宋体" w:hAnsi="宋体" w:eastAsia="宋体" w:cs="宋体"/>
                <w:color w:val="auto"/>
                <w:sz w:val="24"/>
                <w:highlight w:val="none"/>
                <w:lang w:val="en-US" w:eastAsia="zh-CN"/>
              </w:rPr>
            </w:pPr>
          </w:p>
        </w:tc>
        <w:tc>
          <w:tcPr>
            <w:tcW w:w="1138" w:type="dxa"/>
            <w:vAlign w:val="top"/>
          </w:tcPr>
          <w:p>
            <w:pPr>
              <w:pStyle w:val="25"/>
              <w:keepNext w:val="0"/>
              <w:keepLines w:val="0"/>
              <w:suppressLineNumbers w:val="0"/>
              <w:shd w:val="clear" w:color="auto" w:fill="auto"/>
              <w:spacing w:before="0" w:beforeAutospacing="0" w:after="0" w:afterAutospacing="0" w:line="240" w:lineRule="atLeast"/>
              <w:ind w:left="1087" w:leftChars="257" w:right="0" w:hanging="540"/>
              <w:rPr>
                <w:rFonts w:hint="eastAsia" w:ascii="宋体" w:hAnsi="宋体" w:eastAsia="宋体" w:cs="宋体"/>
                <w:color w:val="auto"/>
                <w:sz w:val="24"/>
                <w:highlight w:val="none"/>
                <w:lang w:val="en-US" w:eastAsia="zh-CN"/>
              </w:rPr>
            </w:pPr>
          </w:p>
        </w:tc>
        <w:tc>
          <w:tcPr>
            <w:tcW w:w="1275" w:type="dxa"/>
            <w:vAlign w:val="top"/>
          </w:tcPr>
          <w:p>
            <w:pPr>
              <w:pStyle w:val="25"/>
              <w:keepNext w:val="0"/>
              <w:keepLines w:val="0"/>
              <w:suppressLineNumbers w:val="0"/>
              <w:shd w:val="clear" w:color="auto" w:fill="auto"/>
              <w:spacing w:before="0" w:beforeAutospacing="0" w:after="0" w:afterAutospacing="0" w:line="240" w:lineRule="atLeast"/>
              <w:ind w:left="1087" w:leftChars="257" w:right="0" w:hanging="540"/>
              <w:rPr>
                <w:rFonts w:hint="eastAsia" w:ascii="宋体" w:hAnsi="宋体" w:eastAsia="宋体" w:cs="宋体"/>
                <w:color w:val="auto"/>
                <w:sz w:val="24"/>
                <w:highlight w:val="none"/>
                <w:lang w:val="en-US" w:eastAsia="zh-CN"/>
              </w:rPr>
            </w:pPr>
          </w:p>
        </w:tc>
        <w:tc>
          <w:tcPr>
            <w:tcW w:w="1250" w:type="dxa"/>
            <w:vAlign w:val="top"/>
          </w:tcPr>
          <w:p>
            <w:pPr>
              <w:pStyle w:val="25"/>
              <w:keepNext w:val="0"/>
              <w:keepLines w:val="0"/>
              <w:suppressLineNumbers w:val="0"/>
              <w:shd w:val="clear" w:color="auto" w:fill="auto"/>
              <w:spacing w:before="0" w:beforeAutospacing="0" w:after="0" w:afterAutospacing="0" w:line="240" w:lineRule="atLeast"/>
              <w:ind w:left="1087" w:leftChars="257" w:right="0" w:hanging="540"/>
              <w:rPr>
                <w:rFonts w:hint="eastAsia" w:ascii="宋体" w:hAnsi="宋体" w:eastAsia="宋体" w:cs="宋体"/>
                <w:color w:val="auto"/>
                <w:sz w:val="24"/>
                <w:highlight w:val="none"/>
                <w:lang w:val="en-US" w:eastAsia="zh-CN"/>
              </w:rPr>
            </w:pPr>
          </w:p>
        </w:tc>
        <w:tc>
          <w:tcPr>
            <w:tcW w:w="1690" w:type="dxa"/>
            <w:vAlign w:val="top"/>
          </w:tcPr>
          <w:p>
            <w:pPr>
              <w:pStyle w:val="25"/>
              <w:keepNext w:val="0"/>
              <w:keepLines w:val="0"/>
              <w:suppressLineNumbers w:val="0"/>
              <w:shd w:val="clear" w:color="auto" w:fill="auto"/>
              <w:spacing w:before="0" w:beforeAutospacing="0" w:after="0" w:afterAutospacing="0" w:line="240" w:lineRule="atLeast"/>
              <w:ind w:left="1087" w:leftChars="257" w:right="0"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904" w:type="dxa"/>
            <w:vAlign w:val="top"/>
          </w:tcPr>
          <w:p>
            <w:pPr>
              <w:pStyle w:val="25"/>
              <w:keepNext w:val="0"/>
              <w:keepLines w:val="0"/>
              <w:suppressLineNumbers w:val="0"/>
              <w:shd w:val="clear" w:color="auto" w:fill="auto"/>
              <w:spacing w:before="0" w:beforeAutospacing="0" w:after="0" w:afterAutospacing="0" w:line="240" w:lineRule="atLeast"/>
              <w:ind w:left="1087" w:leftChars="257" w:right="0" w:hanging="540"/>
              <w:rPr>
                <w:rFonts w:hint="eastAsia" w:ascii="宋体" w:hAnsi="宋体" w:eastAsia="宋体" w:cs="宋体"/>
                <w:color w:val="auto"/>
                <w:sz w:val="24"/>
                <w:highlight w:val="none"/>
                <w:lang w:val="en-US" w:eastAsia="zh-CN"/>
              </w:rPr>
            </w:pPr>
          </w:p>
        </w:tc>
        <w:tc>
          <w:tcPr>
            <w:tcW w:w="1601" w:type="dxa"/>
            <w:vAlign w:val="top"/>
          </w:tcPr>
          <w:p>
            <w:pPr>
              <w:pStyle w:val="25"/>
              <w:keepNext w:val="0"/>
              <w:keepLines w:val="0"/>
              <w:suppressLineNumbers w:val="0"/>
              <w:shd w:val="clear" w:color="auto" w:fill="auto"/>
              <w:spacing w:before="0" w:beforeAutospacing="0" w:after="0" w:afterAutospacing="0" w:line="240" w:lineRule="atLeast"/>
              <w:ind w:left="1087" w:leftChars="257" w:right="0" w:hanging="540"/>
              <w:rPr>
                <w:rFonts w:hint="eastAsia" w:ascii="宋体" w:hAnsi="宋体" w:eastAsia="宋体" w:cs="宋体"/>
                <w:color w:val="auto"/>
                <w:sz w:val="24"/>
                <w:highlight w:val="none"/>
                <w:lang w:val="en-US" w:eastAsia="zh-CN"/>
              </w:rPr>
            </w:pPr>
          </w:p>
        </w:tc>
        <w:tc>
          <w:tcPr>
            <w:tcW w:w="1225" w:type="dxa"/>
            <w:vAlign w:val="top"/>
          </w:tcPr>
          <w:p>
            <w:pPr>
              <w:pStyle w:val="25"/>
              <w:keepNext w:val="0"/>
              <w:keepLines w:val="0"/>
              <w:suppressLineNumbers w:val="0"/>
              <w:shd w:val="clear" w:color="auto" w:fill="auto"/>
              <w:spacing w:before="0" w:beforeAutospacing="0" w:after="0" w:afterAutospacing="0" w:line="240" w:lineRule="atLeast"/>
              <w:ind w:left="1087" w:leftChars="257" w:right="0" w:hanging="540"/>
              <w:rPr>
                <w:rFonts w:hint="eastAsia" w:ascii="宋体" w:hAnsi="宋体" w:eastAsia="宋体" w:cs="宋体"/>
                <w:color w:val="auto"/>
                <w:sz w:val="24"/>
                <w:highlight w:val="none"/>
                <w:lang w:val="en-US" w:eastAsia="zh-CN"/>
              </w:rPr>
            </w:pPr>
          </w:p>
        </w:tc>
        <w:tc>
          <w:tcPr>
            <w:tcW w:w="1138" w:type="dxa"/>
            <w:vAlign w:val="top"/>
          </w:tcPr>
          <w:p>
            <w:pPr>
              <w:pStyle w:val="25"/>
              <w:keepNext w:val="0"/>
              <w:keepLines w:val="0"/>
              <w:suppressLineNumbers w:val="0"/>
              <w:shd w:val="clear" w:color="auto" w:fill="auto"/>
              <w:spacing w:before="0" w:beforeAutospacing="0" w:after="0" w:afterAutospacing="0" w:line="240" w:lineRule="atLeast"/>
              <w:ind w:left="1087" w:leftChars="257" w:right="0" w:hanging="540"/>
              <w:rPr>
                <w:rFonts w:hint="eastAsia" w:ascii="宋体" w:hAnsi="宋体" w:eastAsia="宋体" w:cs="宋体"/>
                <w:color w:val="auto"/>
                <w:sz w:val="24"/>
                <w:highlight w:val="none"/>
                <w:lang w:val="en-US" w:eastAsia="zh-CN"/>
              </w:rPr>
            </w:pPr>
          </w:p>
        </w:tc>
        <w:tc>
          <w:tcPr>
            <w:tcW w:w="1275" w:type="dxa"/>
            <w:vAlign w:val="top"/>
          </w:tcPr>
          <w:p>
            <w:pPr>
              <w:pStyle w:val="25"/>
              <w:keepNext w:val="0"/>
              <w:keepLines w:val="0"/>
              <w:suppressLineNumbers w:val="0"/>
              <w:shd w:val="clear" w:color="auto" w:fill="auto"/>
              <w:spacing w:before="0" w:beforeAutospacing="0" w:after="0" w:afterAutospacing="0" w:line="240" w:lineRule="atLeast"/>
              <w:ind w:left="1087" w:leftChars="257" w:right="0" w:hanging="540"/>
              <w:rPr>
                <w:rFonts w:hint="eastAsia" w:ascii="宋体" w:hAnsi="宋体" w:eastAsia="宋体" w:cs="宋体"/>
                <w:color w:val="auto"/>
                <w:sz w:val="24"/>
                <w:highlight w:val="none"/>
                <w:lang w:val="en-US" w:eastAsia="zh-CN"/>
              </w:rPr>
            </w:pPr>
          </w:p>
        </w:tc>
        <w:tc>
          <w:tcPr>
            <w:tcW w:w="1250" w:type="dxa"/>
            <w:vAlign w:val="top"/>
          </w:tcPr>
          <w:p>
            <w:pPr>
              <w:pStyle w:val="25"/>
              <w:keepNext w:val="0"/>
              <w:keepLines w:val="0"/>
              <w:suppressLineNumbers w:val="0"/>
              <w:shd w:val="clear" w:color="auto" w:fill="auto"/>
              <w:spacing w:before="0" w:beforeAutospacing="0" w:after="0" w:afterAutospacing="0" w:line="240" w:lineRule="atLeast"/>
              <w:ind w:left="1087" w:leftChars="257" w:right="0" w:hanging="540"/>
              <w:rPr>
                <w:rFonts w:hint="eastAsia" w:ascii="宋体" w:hAnsi="宋体" w:eastAsia="宋体" w:cs="宋体"/>
                <w:color w:val="auto"/>
                <w:sz w:val="24"/>
                <w:highlight w:val="none"/>
                <w:lang w:val="en-US" w:eastAsia="zh-CN"/>
              </w:rPr>
            </w:pPr>
          </w:p>
        </w:tc>
        <w:tc>
          <w:tcPr>
            <w:tcW w:w="1690" w:type="dxa"/>
            <w:vAlign w:val="top"/>
          </w:tcPr>
          <w:p>
            <w:pPr>
              <w:pStyle w:val="25"/>
              <w:keepNext w:val="0"/>
              <w:keepLines w:val="0"/>
              <w:suppressLineNumbers w:val="0"/>
              <w:shd w:val="clear" w:color="auto" w:fill="auto"/>
              <w:spacing w:before="0" w:beforeAutospacing="0" w:after="0" w:afterAutospacing="0" w:line="240" w:lineRule="atLeast"/>
              <w:ind w:left="1087" w:leftChars="257" w:right="0" w:hanging="540"/>
              <w:rPr>
                <w:rFonts w:hint="eastAsia" w:ascii="宋体" w:hAnsi="宋体" w:eastAsia="宋体" w:cs="宋体"/>
                <w:color w:val="auto"/>
                <w:sz w:val="24"/>
                <w:highlight w:val="none"/>
                <w:lang w:val="en-US" w:eastAsia="zh-CN"/>
              </w:rPr>
            </w:pPr>
          </w:p>
        </w:tc>
      </w:tr>
    </w:tbl>
    <w:p>
      <w:pPr>
        <w:pStyle w:val="25"/>
        <w:shd w:val="clear" w:color="auto" w:fill="auto"/>
        <w:spacing w:line="240" w:lineRule="atLeast"/>
        <w:ind w:left="1087" w:leftChars="257" w:hanging="540"/>
        <w:rPr>
          <w:rFonts w:hint="eastAsia" w:ascii="宋体" w:hAnsi="宋体" w:eastAsia="宋体" w:cs="宋体"/>
          <w:color w:val="auto"/>
          <w:sz w:val="24"/>
          <w:highlight w:val="none"/>
        </w:rPr>
      </w:pPr>
    </w:p>
    <w:p>
      <w:pPr>
        <w:pStyle w:val="25"/>
        <w:shd w:val="clear" w:color="auto" w:fill="auto"/>
        <w:spacing w:line="240" w:lineRule="atLeast"/>
        <w:ind w:left="1087"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法定代表人或其委托代理人签字:</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p>
    <w:p>
      <w:pPr>
        <w:pStyle w:val="25"/>
        <w:shd w:val="clear" w:color="auto" w:fill="auto"/>
        <w:tabs>
          <w:tab w:val="left" w:pos="5370"/>
        </w:tabs>
        <w:spacing w:line="240" w:lineRule="atLeast"/>
        <w:ind w:left="1087" w:leftChars="257" w:hanging="54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投标人(盖单位章):</w:t>
      </w:r>
      <w:r>
        <w:rPr>
          <w:rFonts w:hint="eastAsia" w:ascii="宋体" w:hAnsi="宋体" w:eastAsia="宋体" w:cs="宋体"/>
          <w:color w:val="auto"/>
          <w:sz w:val="24"/>
          <w:highlight w:val="none"/>
          <w:u w:val="single"/>
        </w:rPr>
        <w:tab/>
      </w:r>
    </w:p>
    <w:p>
      <w:pPr>
        <w:pStyle w:val="25"/>
        <w:shd w:val="clear" w:color="auto" w:fill="auto"/>
        <w:spacing w:line="240" w:lineRule="atLeast"/>
        <w:ind w:left="1087" w:leftChars="257" w:hanging="540"/>
        <w:rPr>
          <w:rFonts w:hint="eastAsia" w:ascii="宋体" w:hAnsi="宋体" w:eastAsia="宋体" w:cs="宋体"/>
          <w:color w:val="auto"/>
          <w:sz w:val="24"/>
          <w:highlight w:val="none"/>
        </w:rPr>
      </w:pPr>
    </w:p>
    <w:p>
      <w:pPr>
        <w:pStyle w:val="25"/>
        <w:shd w:val="clear" w:color="auto" w:fill="auto"/>
        <w:spacing w:line="240" w:lineRule="atLeast"/>
        <w:ind w:left="1087"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注: 各项</w:t>
      </w:r>
      <w:r>
        <w:rPr>
          <w:rFonts w:hint="eastAsia" w:ascii="宋体" w:hAnsi="宋体" w:eastAsia="宋体" w:cs="宋体"/>
          <w:color w:val="auto"/>
          <w:sz w:val="24"/>
          <w:highlight w:val="none"/>
          <w:lang w:val="en-US" w:eastAsia="zh-CN"/>
        </w:rPr>
        <w:t>服务</w:t>
      </w:r>
      <w:r>
        <w:rPr>
          <w:rFonts w:hint="eastAsia" w:ascii="宋体" w:hAnsi="宋体" w:eastAsia="宋体" w:cs="宋体"/>
          <w:color w:val="auto"/>
          <w:sz w:val="24"/>
          <w:highlight w:val="none"/>
        </w:rPr>
        <w:t>详细技术性能应另页描述。</w:t>
      </w:r>
    </w:p>
    <w:p>
      <w:pPr>
        <w:pStyle w:val="25"/>
        <w:shd w:val="clear" w:color="auto" w:fill="auto"/>
        <w:spacing w:line="240" w:lineRule="atLeast"/>
        <w:ind w:left="1087" w:leftChars="257" w:hanging="540"/>
        <w:jc w:val="center"/>
        <w:rPr>
          <w:rFonts w:hint="eastAsia" w:ascii="宋体" w:hAnsi="宋体" w:eastAsia="宋体" w:cs="宋体"/>
          <w:color w:val="auto"/>
          <w:sz w:val="24"/>
          <w:highlight w:val="none"/>
        </w:rPr>
      </w:pPr>
    </w:p>
    <w:p>
      <w:pPr>
        <w:pStyle w:val="25"/>
        <w:shd w:val="clear" w:color="auto" w:fill="auto"/>
        <w:spacing w:line="240" w:lineRule="atLeast"/>
        <w:ind w:left="1087" w:leftChars="257" w:hanging="540"/>
        <w:jc w:val="center"/>
        <w:rPr>
          <w:rFonts w:hint="eastAsia" w:ascii="宋体" w:hAnsi="宋体" w:eastAsia="宋体" w:cs="宋体"/>
          <w:color w:val="auto"/>
          <w:sz w:val="24"/>
          <w:highlight w:val="none"/>
        </w:rPr>
        <w:sectPr>
          <w:footerReference r:id="rId10" w:type="default"/>
          <w:pgSz w:w="11905" w:h="16838"/>
          <w:pgMar w:top="1440" w:right="1797" w:bottom="1440" w:left="1797" w:header="850" w:footer="992" w:gutter="0"/>
          <w:pgNumType w:fmt="decimalFullWidth"/>
          <w:cols w:space="720" w:num="1"/>
          <w:rtlGutter w:val="0"/>
          <w:docGrid w:type="linesAndChars" w:linePitch="325" w:charSpace="635"/>
        </w:sectPr>
      </w:pPr>
    </w:p>
    <w:p>
      <w:pPr>
        <w:pStyle w:val="4"/>
        <w:numPr>
          <w:ilvl w:val="0"/>
          <w:numId w:val="0"/>
        </w:numPr>
        <w:shd w:val="clear" w:color="auto" w:fill="auto"/>
        <w:spacing w:before="0" w:line="240" w:lineRule="atLeast"/>
        <w:rPr>
          <w:rFonts w:hint="eastAsia" w:ascii="宋体" w:hAnsi="宋体" w:eastAsia="宋体" w:cs="宋体"/>
          <w:b/>
          <w:bCs/>
          <w:color w:val="0000FF"/>
          <w:sz w:val="24"/>
          <w:highlight w:val="none"/>
        </w:rPr>
      </w:pPr>
      <w:bookmarkStart w:id="198" w:name="_Toc12170"/>
      <w:r>
        <w:rPr>
          <w:rFonts w:hint="eastAsia" w:ascii="宋体" w:hAnsi="宋体" w:eastAsia="宋体" w:cs="宋体"/>
          <w:b/>
          <w:bCs/>
          <w:color w:val="0000FF"/>
          <w:sz w:val="24"/>
          <w:highlight w:val="none"/>
          <w:lang w:val="en-US" w:eastAsia="zh-CN"/>
        </w:rPr>
        <w:t>4、</w:t>
      </w:r>
      <w:r>
        <w:rPr>
          <w:rFonts w:hint="eastAsia" w:ascii="宋体" w:hAnsi="宋体" w:eastAsia="宋体" w:cs="宋体"/>
          <w:b/>
          <w:bCs/>
          <w:color w:val="0000FF"/>
          <w:sz w:val="24"/>
          <w:highlight w:val="none"/>
        </w:rPr>
        <w:t>技术</w:t>
      </w:r>
      <w:r>
        <w:rPr>
          <w:rFonts w:hint="eastAsia" w:ascii="宋体" w:hAnsi="宋体" w:eastAsia="宋体" w:cs="宋体"/>
          <w:b/>
          <w:bCs/>
          <w:color w:val="0000FF"/>
          <w:sz w:val="24"/>
          <w:highlight w:val="none"/>
          <w:lang w:val="en-US" w:eastAsia="zh-CN"/>
        </w:rPr>
        <w:t>规格</w:t>
      </w:r>
      <w:r>
        <w:rPr>
          <w:rFonts w:hint="eastAsia" w:ascii="宋体" w:hAnsi="宋体" w:eastAsia="宋体" w:cs="宋体"/>
          <w:b/>
          <w:bCs/>
          <w:color w:val="0000FF"/>
          <w:sz w:val="24"/>
          <w:highlight w:val="none"/>
        </w:rPr>
        <w:t>偏离表</w:t>
      </w:r>
      <w:bookmarkEnd w:id="189"/>
      <w:r>
        <w:rPr>
          <w:rFonts w:hint="eastAsia" w:ascii="宋体" w:hAnsi="宋体" w:eastAsia="宋体" w:cs="宋体"/>
          <w:b/>
          <w:bCs/>
          <w:color w:val="0000FF"/>
          <w:sz w:val="24"/>
          <w:highlight w:val="none"/>
        </w:rPr>
        <w:t>（投标文件格式</w:t>
      </w:r>
      <w:r>
        <w:rPr>
          <w:rFonts w:hint="eastAsia" w:ascii="宋体" w:hAnsi="宋体" w:eastAsia="宋体" w:cs="宋体"/>
          <w:b/>
          <w:bCs/>
          <w:color w:val="0000FF"/>
          <w:sz w:val="24"/>
          <w:highlight w:val="none"/>
          <w:lang w:eastAsia="zh-CN"/>
        </w:rPr>
        <w:t>八</w:t>
      </w:r>
      <w:r>
        <w:rPr>
          <w:rFonts w:hint="eastAsia" w:ascii="宋体" w:hAnsi="宋体" w:eastAsia="宋体" w:cs="宋体"/>
          <w:b/>
          <w:bCs/>
          <w:color w:val="0000FF"/>
          <w:sz w:val="24"/>
          <w:highlight w:val="none"/>
        </w:rPr>
        <w:t>）</w:t>
      </w:r>
      <w:bookmarkEnd w:id="190"/>
      <w:bookmarkEnd w:id="191"/>
      <w:bookmarkEnd w:id="192"/>
      <w:bookmarkEnd w:id="198"/>
    </w:p>
    <w:p>
      <w:pPr>
        <w:pStyle w:val="25"/>
        <w:shd w:val="clear" w:color="auto" w:fill="auto"/>
        <w:spacing w:line="240" w:lineRule="atLeast"/>
        <w:ind w:left="1080" w:leftChars="257" w:hanging="540"/>
        <w:rPr>
          <w:rFonts w:hint="eastAsia" w:ascii="宋体" w:hAnsi="宋体" w:eastAsia="宋体" w:cs="宋体"/>
          <w:color w:val="auto"/>
          <w:sz w:val="24"/>
          <w:highlight w:val="none"/>
        </w:rPr>
      </w:pPr>
    </w:p>
    <w:p>
      <w:pPr>
        <w:pStyle w:val="25"/>
        <w:shd w:val="clear" w:color="auto" w:fill="auto"/>
        <w:spacing w:line="240" w:lineRule="atLeast"/>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                       招标编号:                 包号:</w:t>
      </w:r>
    </w:p>
    <w:p>
      <w:pPr>
        <w:pStyle w:val="25"/>
        <w:shd w:val="clear" w:color="auto" w:fill="auto"/>
        <w:spacing w:line="240" w:lineRule="atLeast"/>
        <w:ind w:left="1080" w:leftChars="257" w:hanging="540"/>
        <w:rPr>
          <w:rFonts w:hint="eastAsia" w:ascii="宋体" w:hAnsi="宋体" w:eastAsia="宋体" w:cs="宋体"/>
          <w:color w:val="auto"/>
          <w:sz w:val="24"/>
          <w:highlight w:val="none"/>
        </w:rPr>
      </w:pPr>
    </w:p>
    <w:tbl>
      <w:tblPr>
        <w:tblStyle w:val="47"/>
        <w:tblW w:w="9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1640"/>
        <w:gridCol w:w="1186"/>
        <w:gridCol w:w="1282"/>
        <w:gridCol w:w="2414"/>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vAlign w:val="center"/>
          </w:tcPr>
          <w:p>
            <w:pPr>
              <w:pStyle w:val="25"/>
              <w:keepNext w:val="0"/>
              <w:keepLines w:val="0"/>
              <w:suppressLineNumbers w:val="0"/>
              <w:shd w:val="clear" w:color="auto" w:fill="auto"/>
              <w:spacing w:before="0" w:beforeAutospacing="0" w:after="0" w:afterAutospacing="0" w:line="240" w:lineRule="atLeast"/>
              <w:ind w:left="0" w:right="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序号</w:t>
            </w:r>
          </w:p>
        </w:tc>
        <w:tc>
          <w:tcPr>
            <w:tcW w:w="1260" w:type="dxa"/>
            <w:vAlign w:val="center"/>
          </w:tcPr>
          <w:p>
            <w:pPr>
              <w:pStyle w:val="25"/>
              <w:keepNext w:val="0"/>
              <w:keepLines w:val="0"/>
              <w:suppressLineNumbers w:val="0"/>
              <w:shd w:val="clear" w:color="auto" w:fill="auto"/>
              <w:spacing w:before="0" w:beforeAutospacing="0" w:after="0" w:afterAutospacing="0" w:line="240" w:lineRule="atLeast"/>
              <w:ind w:left="0" w:right="0"/>
              <w:jc w:val="center"/>
              <w:rPr>
                <w:rFonts w:hint="eastAsia" w:ascii="宋体" w:hAnsi="宋体" w:eastAsia="宋体" w:cs="宋体"/>
                <w:color w:val="auto"/>
                <w:sz w:val="24"/>
                <w:highlight w:val="none"/>
                <w:lang w:val="en-US" w:eastAsia="zh-CN"/>
              </w:rPr>
            </w:pPr>
            <w:r>
              <w:rPr>
                <w:rFonts w:hint="eastAsia" w:hAnsi="宋体" w:cs="宋体"/>
                <w:color w:val="auto"/>
                <w:sz w:val="24"/>
                <w:highlight w:val="none"/>
                <w:lang w:val="en-US" w:eastAsia="zh-CN"/>
              </w:rPr>
              <w:t>货物</w:t>
            </w:r>
            <w:r>
              <w:rPr>
                <w:rFonts w:hint="eastAsia" w:ascii="宋体" w:hAnsi="宋体" w:eastAsia="宋体" w:cs="宋体"/>
                <w:color w:val="auto"/>
                <w:sz w:val="24"/>
                <w:highlight w:val="none"/>
                <w:lang w:val="en-US" w:eastAsia="zh-CN"/>
              </w:rPr>
              <w:t>名称</w:t>
            </w:r>
          </w:p>
        </w:tc>
        <w:tc>
          <w:tcPr>
            <w:tcW w:w="1640" w:type="dxa"/>
            <w:vAlign w:val="center"/>
          </w:tcPr>
          <w:p>
            <w:pPr>
              <w:pStyle w:val="25"/>
              <w:keepNext w:val="0"/>
              <w:keepLines w:val="0"/>
              <w:suppressLineNumbers w:val="0"/>
              <w:shd w:val="clear" w:color="auto" w:fill="auto"/>
              <w:spacing w:before="0" w:beforeAutospacing="0" w:after="0" w:afterAutospacing="0" w:line="240" w:lineRule="atLeast"/>
              <w:ind w:left="269" w:leftChars="128" w:right="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招标文件条款号</w:t>
            </w:r>
          </w:p>
        </w:tc>
        <w:tc>
          <w:tcPr>
            <w:tcW w:w="1186" w:type="dxa"/>
            <w:vAlign w:val="center"/>
          </w:tcPr>
          <w:p>
            <w:pPr>
              <w:pStyle w:val="25"/>
              <w:keepNext w:val="0"/>
              <w:keepLines w:val="0"/>
              <w:suppressLineNumbers w:val="0"/>
              <w:shd w:val="clear" w:color="auto" w:fill="auto"/>
              <w:spacing w:before="0" w:beforeAutospacing="0" w:after="0" w:afterAutospacing="0" w:line="240" w:lineRule="atLeast"/>
              <w:ind w:left="0" w:right="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招标要求</w:t>
            </w:r>
          </w:p>
        </w:tc>
        <w:tc>
          <w:tcPr>
            <w:tcW w:w="1282" w:type="dxa"/>
            <w:vAlign w:val="center"/>
          </w:tcPr>
          <w:p>
            <w:pPr>
              <w:pStyle w:val="25"/>
              <w:keepNext w:val="0"/>
              <w:keepLines w:val="0"/>
              <w:suppressLineNumbers w:val="0"/>
              <w:shd w:val="clear" w:color="auto" w:fill="auto"/>
              <w:spacing w:before="0" w:beforeAutospacing="0" w:after="0" w:afterAutospacing="0" w:line="240" w:lineRule="atLeast"/>
              <w:ind w:left="0" w:right="0"/>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投标响应要求</w:t>
            </w:r>
          </w:p>
        </w:tc>
        <w:tc>
          <w:tcPr>
            <w:tcW w:w="2414" w:type="dxa"/>
            <w:vAlign w:val="center"/>
          </w:tcPr>
          <w:p>
            <w:pPr>
              <w:pStyle w:val="25"/>
              <w:keepNext w:val="0"/>
              <w:keepLines w:val="0"/>
              <w:suppressLineNumbers w:val="0"/>
              <w:shd w:val="clear" w:color="auto" w:fill="auto"/>
              <w:spacing w:before="0" w:beforeAutospacing="0" w:after="0" w:afterAutospacing="0" w:line="240" w:lineRule="atLeast"/>
              <w:ind w:left="0" w:right="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偏离</w:t>
            </w:r>
          </w:p>
        </w:tc>
        <w:tc>
          <w:tcPr>
            <w:tcW w:w="700" w:type="dxa"/>
            <w:vAlign w:val="center"/>
          </w:tcPr>
          <w:p>
            <w:pPr>
              <w:pStyle w:val="25"/>
              <w:keepNext w:val="0"/>
              <w:keepLines w:val="0"/>
              <w:suppressLineNumbers w:val="0"/>
              <w:shd w:val="clear" w:color="auto" w:fill="auto"/>
              <w:spacing w:before="0" w:beforeAutospacing="0" w:after="0" w:afterAutospacing="0" w:line="240" w:lineRule="atLeast"/>
              <w:ind w:left="0" w:right="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1260"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1640"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1186"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1282"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2414" w:type="dxa"/>
            <w:vAlign w:val="center"/>
          </w:tcPr>
          <w:p>
            <w:pPr>
              <w:pStyle w:val="25"/>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tLeast"/>
              <w:ind w:left="0" w:right="0"/>
              <w:jc w:val="left"/>
              <w:textAlignment w:val="auto"/>
              <w:rPr>
                <w:rFonts w:hint="default" w:ascii="宋体" w:hAnsi="宋体" w:eastAsia="宋体" w:cs="宋体"/>
                <w:color w:val="auto"/>
                <w:sz w:val="24"/>
                <w:highlight w:val="none"/>
                <w:lang w:val="en-US" w:eastAsia="zh-CN"/>
              </w:rPr>
            </w:pPr>
            <w:r>
              <w:rPr>
                <w:rFonts w:hint="eastAsia" w:hAnsi="宋体" w:eastAsia="宋体" w:cs="宋体"/>
                <w:b/>
                <w:bCs/>
                <w:color w:val="auto"/>
                <w:sz w:val="24"/>
                <w:highlight w:val="none"/>
                <w:u w:val="single" w:color="auto"/>
                <w:lang w:val="en-US" w:eastAsia="zh-CN"/>
              </w:rPr>
              <w:t>如有偏离需提供证明材料，证明材料附后(并注明页码)</w:t>
            </w:r>
          </w:p>
        </w:tc>
        <w:tc>
          <w:tcPr>
            <w:tcW w:w="700"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1260"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1640"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1186"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1282"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2414"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700"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1260"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1640"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1186"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1282"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2414"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700"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1260"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1640"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1186"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1282"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2414"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700"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1260"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1640"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1186"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1282"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2414"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700"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1260"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1640"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1186"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1282"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2414"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700"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1260"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1640"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1186"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1282"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2414"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700"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1260"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1640"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1186"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1282"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2414"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700"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1260"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1640"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1186"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1282"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2414"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700"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1260"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1640"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1186"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1282"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2414"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700"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1260"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1640"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1186"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1282"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2414"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700"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1260"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1640"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1186"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1282"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2414"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700"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1260"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1640"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1186"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1282"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2414"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700"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1260"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1640"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1186"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1282"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2414"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700"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1260"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1640"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1186"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1282"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2414"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700"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1260"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1640"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1186"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1282"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2414"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700"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1260"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1640"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1186"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1282"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2414"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700"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r>
    </w:tbl>
    <w:p>
      <w:pPr>
        <w:pStyle w:val="25"/>
        <w:shd w:val="clear" w:color="auto" w:fill="auto"/>
        <w:spacing w:line="240" w:lineRule="atLeast"/>
        <w:ind w:left="1080" w:leftChars="257" w:hanging="540"/>
        <w:rPr>
          <w:rFonts w:hint="eastAsia" w:ascii="宋体" w:hAnsi="宋体" w:eastAsia="宋体" w:cs="宋体"/>
          <w:color w:val="auto"/>
          <w:sz w:val="24"/>
          <w:highlight w:val="none"/>
        </w:rPr>
      </w:pPr>
    </w:p>
    <w:p>
      <w:pPr>
        <w:pStyle w:val="25"/>
        <w:shd w:val="clear" w:color="auto" w:fill="auto"/>
        <w:spacing w:line="240" w:lineRule="atLeast"/>
        <w:ind w:left="1080" w:leftChars="257" w:hanging="540"/>
        <w:rPr>
          <w:rFonts w:hint="eastAsia" w:ascii="宋体" w:hAnsi="宋体" w:eastAsia="宋体" w:cs="宋体"/>
          <w:color w:val="auto"/>
          <w:sz w:val="24"/>
          <w:highlight w:val="none"/>
          <w:lang w:eastAsia="zh-CN"/>
        </w:rPr>
      </w:pPr>
    </w:p>
    <w:p>
      <w:pPr>
        <w:pStyle w:val="25"/>
        <w:shd w:val="clear" w:color="auto" w:fill="auto"/>
        <w:spacing w:line="240" w:lineRule="atLeast"/>
        <w:ind w:left="1080"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法定代表人或其委托代理人签字:</w:t>
      </w:r>
      <w:r>
        <w:rPr>
          <w:rFonts w:hint="eastAsia" w:ascii="宋体" w:hAnsi="宋体" w:eastAsia="宋体" w:cs="宋体"/>
          <w:color w:val="auto"/>
          <w:sz w:val="24"/>
          <w:highlight w:val="none"/>
          <w:u w:val="single"/>
        </w:rPr>
        <w:t xml:space="preserve"> </w:t>
      </w:r>
      <w:r>
        <w:rPr>
          <w:rFonts w:hint="eastAsia"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ab/>
      </w:r>
      <w:r>
        <w:rPr>
          <w:rFonts w:hint="eastAsia"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p>
    <w:p>
      <w:pPr>
        <w:pStyle w:val="25"/>
        <w:shd w:val="clear" w:color="auto" w:fill="auto"/>
        <w:tabs>
          <w:tab w:val="left" w:pos="5370"/>
        </w:tabs>
        <w:spacing w:line="240" w:lineRule="atLeast"/>
        <w:ind w:left="1080" w:leftChars="257" w:hanging="54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投标人(盖单位章):</w:t>
      </w:r>
      <w:r>
        <w:rPr>
          <w:rFonts w:hint="eastAsia" w:ascii="宋体" w:hAnsi="宋体" w:eastAsia="宋体" w:cs="宋体"/>
          <w:color w:val="auto"/>
          <w:sz w:val="24"/>
          <w:highlight w:val="none"/>
          <w:u w:val="single"/>
        </w:rPr>
        <w:tab/>
      </w:r>
    </w:p>
    <w:p>
      <w:pPr>
        <w:pStyle w:val="25"/>
        <w:shd w:val="clear" w:color="auto" w:fill="auto"/>
        <w:tabs>
          <w:tab w:val="left" w:pos="5580"/>
        </w:tabs>
        <w:spacing w:line="240" w:lineRule="atLeast"/>
        <w:ind w:left="1080"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br w:type="page"/>
      </w:r>
    </w:p>
    <w:p>
      <w:pPr>
        <w:pStyle w:val="4"/>
        <w:numPr>
          <w:ilvl w:val="0"/>
          <w:numId w:val="0"/>
        </w:numPr>
        <w:shd w:val="clear" w:color="auto" w:fill="auto"/>
        <w:spacing w:before="0" w:line="240" w:lineRule="atLeast"/>
        <w:rPr>
          <w:rFonts w:hint="eastAsia" w:ascii="宋体" w:hAnsi="宋体" w:eastAsia="宋体" w:cs="宋体"/>
          <w:b/>
          <w:bCs/>
          <w:color w:val="auto"/>
          <w:sz w:val="24"/>
          <w:highlight w:val="none"/>
        </w:rPr>
      </w:pPr>
      <w:bookmarkStart w:id="199" w:name="_Toc216582818"/>
      <w:bookmarkStart w:id="200" w:name="_Toc515647821"/>
      <w:bookmarkStart w:id="201" w:name="_Toc21391"/>
      <w:bookmarkStart w:id="202" w:name="_Toc1980"/>
      <w:bookmarkStart w:id="203" w:name="_Toc23"/>
      <w:r>
        <w:rPr>
          <w:rFonts w:hint="eastAsia" w:ascii="宋体" w:hAnsi="宋体" w:eastAsia="宋体" w:cs="宋体"/>
          <w:b/>
          <w:bCs/>
          <w:color w:val="auto"/>
          <w:sz w:val="24"/>
          <w:highlight w:val="none"/>
          <w:lang w:val="en-US" w:eastAsia="zh-CN"/>
        </w:rPr>
        <w:t>5</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商务条款偏离表</w:t>
      </w:r>
      <w:bookmarkEnd w:id="199"/>
      <w:r>
        <w:rPr>
          <w:rFonts w:hint="eastAsia" w:ascii="宋体" w:hAnsi="宋体" w:eastAsia="宋体" w:cs="宋体"/>
          <w:b/>
          <w:bCs/>
          <w:color w:val="auto"/>
          <w:sz w:val="24"/>
          <w:highlight w:val="none"/>
        </w:rPr>
        <w:t>（投标文件格式</w:t>
      </w:r>
      <w:r>
        <w:rPr>
          <w:rFonts w:hint="eastAsia" w:ascii="宋体" w:hAnsi="宋体" w:eastAsia="宋体" w:cs="宋体"/>
          <w:b/>
          <w:bCs/>
          <w:color w:val="auto"/>
          <w:sz w:val="24"/>
          <w:highlight w:val="none"/>
          <w:lang w:eastAsia="zh-CN"/>
        </w:rPr>
        <w:t>九</w:t>
      </w:r>
      <w:r>
        <w:rPr>
          <w:rFonts w:hint="eastAsia" w:ascii="宋体" w:hAnsi="宋体" w:eastAsia="宋体" w:cs="宋体"/>
          <w:b/>
          <w:bCs/>
          <w:color w:val="auto"/>
          <w:sz w:val="24"/>
          <w:highlight w:val="none"/>
        </w:rPr>
        <w:t>）</w:t>
      </w:r>
      <w:bookmarkEnd w:id="200"/>
      <w:bookmarkEnd w:id="201"/>
      <w:bookmarkEnd w:id="202"/>
      <w:bookmarkEnd w:id="203"/>
    </w:p>
    <w:p>
      <w:pPr>
        <w:pStyle w:val="25"/>
        <w:shd w:val="clear" w:color="auto" w:fill="auto"/>
        <w:spacing w:line="240" w:lineRule="atLeast"/>
        <w:ind w:left="1080" w:leftChars="257" w:hanging="540"/>
        <w:rPr>
          <w:rFonts w:hint="eastAsia" w:ascii="宋体" w:hAnsi="宋体" w:eastAsia="宋体" w:cs="宋体"/>
          <w:color w:val="auto"/>
          <w:sz w:val="24"/>
          <w:highlight w:val="none"/>
        </w:rPr>
      </w:pPr>
    </w:p>
    <w:p>
      <w:pPr>
        <w:pStyle w:val="25"/>
        <w:shd w:val="clear" w:color="auto" w:fill="auto"/>
        <w:spacing w:line="240" w:lineRule="atLeast"/>
        <w:ind w:left="1080" w:leftChars="257" w:hanging="540"/>
        <w:rPr>
          <w:rFonts w:hint="eastAsia" w:ascii="宋体" w:hAnsi="宋体" w:eastAsia="宋体" w:cs="宋体"/>
          <w:color w:val="auto"/>
          <w:sz w:val="24"/>
          <w:highlight w:val="none"/>
        </w:rPr>
      </w:pPr>
    </w:p>
    <w:p>
      <w:pPr>
        <w:pStyle w:val="25"/>
        <w:shd w:val="clear" w:color="auto" w:fill="auto"/>
        <w:spacing w:line="240" w:lineRule="atLeast"/>
        <w:ind w:left="1080"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项目名称:                      招标编号:    </w:t>
      </w:r>
      <w:r>
        <w:rPr>
          <w:rFonts w:hint="eastAsia"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包号:</w:t>
      </w:r>
    </w:p>
    <w:p>
      <w:pPr>
        <w:pStyle w:val="25"/>
        <w:shd w:val="clear" w:color="auto" w:fill="auto"/>
        <w:spacing w:line="240" w:lineRule="atLeast"/>
        <w:ind w:left="1080" w:leftChars="257" w:hanging="540"/>
        <w:rPr>
          <w:rFonts w:hint="eastAsia" w:ascii="宋体" w:hAnsi="宋体" w:eastAsia="宋体" w:cs="宋体"/>
          <w:color w:val="auto"/>
          <w:sz w:val="24"/>
          <w:highlight w:val="none"/>
        </w:rPr>
      </w:pPr>
    </w:p>
    <w:tbl>
      <w:tblPr>
        <w:tblStyle w:val="47"/>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252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vAlign w:val="top"/>
          </w:tcPr>
          <w:p>
            <w:pPr>
              <w:pStyle w:val="25"/>
              <w:keepNext w:val="0"/>
              <w:keepLines w:val="0"/>
              <w:suppressLineNumbers w:val="0"/>
              <w:shd w:val="clear" w:color="auto" w:fill="auto"/>
              <w:spacing w:before="0" w:beforeAutospacing="0" w:after="0" w:afterAutospacing="0" w:line="240" w:lineRule="atLeast"/>
              <w:ind w:left="0" w:right="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序号</w:t>
            </w:r>
          </w:p>
        </w:tc>
        <w:tc>
          <w:tcPr>
            <w:tcW w:w="2040" w:type="dxa"/>
            <w:vAlign w:val="top"/>
          </w:tcPr>
          <w:p>
            <w:pPr>
              <w:pStyle w:val="25"/>
              <w:keepNext w:val="0"/>
              <w:keepLines w:val="0"/>
              <w:suppressLineNumbers w:val="0"/>
              <w:shd w:val="clear" w:color="auto" w:fill="auto"/>
              <w:spacing w:before="0" w:beforeAutospacing="0" w:after="0" w:afterAutospacing="0" w:line="240" w:lineRule="atLeast"/>
              <w:ind w:left="0" w:right="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招标文件条款号</w:t>
            </w:r>
          </w:p>
        </w:tc>
        <w:tc>
          <w:tcPr>
            <w:tcW w:w="2520" w:type="dxa"/>
            <w:vAlign w:val="top"/>
          </w:tcPr>
          <w:p>
            <w:pPr>
              <w:pStyle w:val="25"/>
              <w:keepNext w:val="0"/>
              <w:keepLines w:val="0"/>
              <w:suppressLineNumbers w:val="0"/>
              <w:shd w:val="clear" w:color="auto" w:fill="auto"/>
              <w:spacing w:before="0" w:beforeAutospacing="0" w:after="0" w:afterAutospacing="0" w:line="240" w:lineRule="atLeast"/>
              <w:ind w:left="0" w:right="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招标文件的商务条款</w:t>
            </w:r>
          </w:p>
        </w:tc>
        <w:tc>
          <w:tcPr>
            <w:tcW w:w="2520" w:type="dxa"/>
            <w:vAlign w:val="top"/>
          </w:tcPr>
          <w:p>
            <w:pPr>
              <w:pStyle w:val="25"/>
              <w:keepNext w:val="0"/>
              <w:keepLines w:val="0"/>
              <w:suppressLineNumbers w:val="0"/>
              <w:shd w:val="clear" w:color="auto" w:fill="auto"/>
              <w:spacing w:before="0" w:beforeAutospacing="0" w:after="0" w:afterAutospacing="0" w:line="240" w:lineRule="atLeast"/>
              <w:ind w:left="0" w:right="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投标文件的商务条款</w:t>
            </w:r>
          </w:p>
        </w:tc>
        <w:tc>
          <w:tcPr>
            <w:tcW w:w="900" w:type="dxa"/>
            <w:vAlign w:val="top"/>
          </w:tcPr>
          <w:p>
            <w:pPr>
              <w:pStyle w:val="25"/>
              <w:keepNext w:val="0"/>
              <w:keepLines w:val="0"/>
              <w:suppressLineNumbers w:val="0"/>
              <w:shd w:val="clear" w:color="auto" w:fill="auto"/>
              <w:spacing w:before="0" w:beforeAutospacing="0" w:after="0" w:afterAutospacing="0" w:line="240" w:lineRule="atLeast"/>
              <w:ind w:left="0" w:right="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2040"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2520"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jc w:val="center"/>
              <w:rPr>
                <w:rFonts w:hint="eastAsia" w:ascii="宋体" w:hAnsi="宋体" w:eastAsia="宋体" w:cs="宋体"/>
                <w:color w:val="auto"/>
                <w:sz w:val="24"/>
                <w:highlight w:val="none"/>
                <w:lang w:val="en-US" w:eastAsia="zh-CN"/>
              </w:rPr>
            </w:pPr>
          </w:p>
        </w:tc>
        <w:tc>
          <w:tcPr>
            <w:tcW w:w="2520"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jc w:val="center"/>
              <w:rPr>
                <w:rFonts w:hint="eastAsia" w:ascii="宋体" w:hAnsi="宋体" w:eastAsia="宋体" w:cs="宋体"/>
                <w:color w:val="auto"/>
                <w:sz w:val="24"/>
                <w:highlight w:val="none"/>
                <w:lang w:val="en-US" w:eastAsia="zh-CN"/>
              </w:rPr>
            </w:pPr>
          </w:p>
        </w:tc>
        <w:tc>
          <w:tcPr>
            <w:tcW w:w="900"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2040"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2520"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2520"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900"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2040"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2520"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2520"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900"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2040"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2520"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2520"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900"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2040"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2520"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2520"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900"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2040"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2520"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2520"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900"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2040"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2520"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2520"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900"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2040"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2520"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2520"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900"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2040"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2520"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2520"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900"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2040"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2520"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2520"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900"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2040"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2520"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2520"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900"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2040"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2520"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2520"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900"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2040"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2520"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2520"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900"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2040"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2520"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2520"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900"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2040"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2520"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2520"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900"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2040"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2520"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2520"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900"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2040"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2520"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2520"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900"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r>
    </w:tbl>
    <w:p>
      <w:pPr>
        <w:pStyle w:val="25"/>
        <w:shd w:val="clear" w:color="auto" w:fill="auto"/>
        <w:spacing w:line="240" w:lineRule="atLeast"/>
        <w:ind w:left="1080" w:leftChars="257" w:hanging="540"/>
        <w:rPr>
          <w:rFonts w:hint="eastAsia" w:ascii="宋体" w:hAnsi="宋体" w:eastAsia="宋体" w:cs="宋体"/>
          <w:color w:val="auto"/>
          <w:sz w:val="24"/>
          <w:highlight w:val="none"/>
        </w:rPr>
      </w:pPr>
    </w:p>
    <w:p>
      <w:pPr>
        <w:pStyle w:val="25"/>
        <w:shd w:val="clear" w:color="auto" w:fill="auto"/>
        <w:spacing w:line="240" w:lineRule="atLeast"/>
        <w:ind w:left="1080" w:leftChars="257" w:hanging="540"/>
        <w:rPr>
          <w:rFonts w:hint="eastAsia" w:ascii="宋体" w:hAnsi="宋体" w:eastAsia="宋体" w:cs="宋体"/>
          <w:color w:val="auto"/>
          <w:sz w:val="24"/>
          <w:highlight w:val="none"/>
        </w:rPr>
      </w:pPr>
    </w:p>
    <w:p>
      <w:pPr>
        <w:pStyle w:val="25"/>
        <w:shd w:val="clear" w:color="auto" w:fill="auto"/>
        <w:spacing w:line="240" w:lineRule="atLeast"/>
        <w:ind w:left="1080"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法定代表人或其委托代理人签字:</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p>
    <w:p>
      <w:pPr>
        <w:pStyle w:val="25"/>
        <w:shd w:val="clear" w:color="auto" w:fill="auto"/>
        <w:tabs>
          <w:tab w:val="left" w:pos="5370"/>
        </w:tabs>
        <w:spacing w:line="240" w:lineRule="atLeast"/>
        <w:ind w:left="1080" w:leftChars="257" w:hanging="54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投标人(盖单位章):</w:t>
      </w:r>
      <w:r>
        <w:rPr>
          <w:rFonts w:hint="eastAsia" w:ascii="宋体" w:hAnsi="宋体" w:eastAsia="宋体" w:cs="宋体"/>
          <w:color w:val="auto"/>
          <w:sz w:val="24"/>
          <w:highlight w:val="none"/>
          <w:u w:val="single"/>
        </w:rPr>
        <w:tab/>
      </w:r>
    </w:p>
    <w:p>
      <w:pPr>
        <w:pStyle w:val="4"/>
        <w:numPr>
          <w:ilvl w:val="0"/>
          <w:numId w:val="0"/>
        </w:numPr>
        <w:shd w:val="clear" w:color="auto" w:fill="auto"/>
        <w:spacing w:before="0" w:line="240" w:lineRule="atLeast"/>
        <w:jc w:val="both"/>
        <w:outlineLvl w:val="9"/>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204" w:name="_Toc2963"/>
      <w:bookmarkStart w:id="205" w:name="_Toc515647823"/>
      <w:bookmarkStart w:id="206" w:name="_Toc10725"/>
      <w:bookmarkStart w:id="207" w:name="_Toc21312"/>
      <w:bookmarkStart w:id="208" w:name="_Toc515647827"/>
      <w:bookmarkStart w:id="209" w:name="_Toc28099"/>
      <w:bookmarkStart w:id="210" w:name="_Toc30795"/>
    </w:p>
    <w:p>
      <w:pPr>
        <w:pStyle w:val="25"/>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lang w:val="en-US" w:eastAsia="zh-CN"/>
        </w:rPr>
        <w:t>6、</w:t>
      </w:r>
      <w:r>
        <w:rPr>
          <w:rFonts w:hint="eastAsia" w:ascii="宋体" w:hAnsi="宋体" w:eastAsia="宋体" w:cs="宋体"/>
          <w:color w:val="auto"/>
          <w:sz w:val="24"/>
          <w:highlight w:val="none"/>
        </w:rPr>
        <w:t>符合《政府采购促进中小企业发展暂行办法》、《关于政府采购支持监狱企业发展有关问题的通知》和《三部门联合发布关于促进残疾人就业政府采购政策的通知》条件的投标人提交）</w:t>
      </w:r>
    </w:p>
    <w:p>
      <w:pPr>
        <w:pStyle w:val="4"/>
        <w:numPr>
          <w:ilvl w:val="0"/>
          <w:numId w:val="0"/>
        </w:numPr>
        <w:shd w:val="clear" w:color="auto" w:fill="auto"/>
        <w:spacing w:before="0" w:line="240" w:lineRule="atLeast"/>
        <w:jc w:val="both"/>
        <w:outlineLvl w:val="9"/>
        <w:rPr>
          <w:rFonts w:hint="eastAsia" w:ascii="宋体" w:hAnsi="宋体" w:eastAsia="宋体" w:cs="宋体"/>
          <w:b/>
          <w:bCs/>
          <w:color w:val="auto"/>
          <w:sz w:val="24"/>
          <w:highlight w:val="none"/>
          <w:lang w:val="en-US" w:eastAsia="zh-CN"/>
        </w:rPr>
      </w:pPr>
    </w:p>
    <w:p>
      <w:pPr>
        <w:pStyle w:val="4"/>
        <w:numPr>
          <w:ilvl w:val="0"/>
          <w:numId w:val="0"/>
        </w:numPr>
        <w:shd w:val="clear" w:color="auto" w:fill="auto"/>
        <w:spacing w:before="0" w:line="240" w:lineRule="atLeast"/>
        <w:jc w:val="both"/>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val="en-US" w:eastAsia="zh-CN"/>
        </w:rPr>
        <w:t>6</w:t>
      </w:r>
      <w:r>
        <w:rPr>
          <w:rFonts w:hint="eastAsia" w:ascii="宋体" w:hAnsi="宋体" w:eastAsia="宋体" w:cs="宋体"/>
          <w:b/>
          <w:bCs/>
          <w:color w:val="auto"/>
          <w:sz w:val="24"/>
          <w:highlight w:val="none"/>
        </w:rPr>
        <w:t xml:space="preserve">-1 </w:t>
      </w:r>
      <w:r>
        <w:rPr>
          <w:rFonts w:hint="eastAsia" w:ascii="宋体" w:hAnsi="宋体" w:eastAsia="宋体" w:cs="宋体"/>
          <w:b/>
          <w:bCs/>
          <w:color w:val="auto"/>
          <w:sz w:val="24"/>
          <w:highlight w:val="none"/>
          <w:lang w:val="en-US" w:eastAsia="zh-CN"/>
        </w:rPr>
        <w:t>中小企业声明函（货物）</w:t>
      </w:r>
      <w:r>
        <w:rPr>
          <w:rFonts w:hint="eastAsia" w:ascii="宋体" w:hAnsi="宋体" w:eastAsia="宋体" w:cs="宋体"/>
          <w:b/>
          <w:bCs/>
          <w:color w:val="auto"/>
          <w:sz w:val="24"/>
          <w:highlight w:val="none"/>
        </w:rPr>
        <w:t>（投标文件格式十）</w:t>
      </w:r>
      <w:bookmarkEnd w:id="204"/>
      <w:bookmarkEnd w:id="205"/>
      <w:bookmarkEnd w:id="206"/>
      <w:bookmarkEnd w:id="207"/>
    </w:p>
    <w:p>
      <w:pPr>
        <w:shd w:val="clear" w:color="auto" w:fill="auto"/>
        <w:spacing w:line="240" w:lineRule="atLeast"/>
        <w:ind w:left="1080" w:leftChars="257" w:hanging="540"/>
        <w:jc w:val="center"/>
        <w:rPr>
          <w:rFonts w:hint="eastAsia" w:ascii="宋体" w:hAnsi="宋体" w:eastAsia="宋体" w:cs="宋体"/>
          <w:b/>
          <w:color w:val="auto"/>
          <w:kern w:val="0"/>
          <w:sz w:val="24"/>
          <w:szCs w:val="20"/>
          <w:highlight w:val="none"/>
        </w:rPr>
      </w:pPr>
      <w:r>
        <w:rPr>
          <w:rFonts w:hint="eastAsia" w:ascii="宋体" w:hAnsi="宋体" w:eastAsia="宋体" w:cs="宋体"/>
          <w:b/>
          <w:color w:val="auto"/>
          <w:kern w:val="0"/>
          <w:sz w:val="24"/>
          <w:szCs w:val="20"/>
          <w:highlight w:val="none"/>
          <w:lang w:val="en-US" w:eastAsia="zh-CN"/>
        </w:rPr>
        <w:t>中小企业声明函（</w:t>
      </w:r>
      <w:r>
        <w:rPr>
          <w:rFonts w:hint="eastAsia" w:ascii="宋体" w:hAnsi="宋体" w:cs="宋体"/>
          <w:b/>
          <w:color w:val="auto"/>
          <w:kern w:val="0"/>
          <w:sz w:val="24"/>
          <w:szCs w:val="20"/>
          <w:highlight w:val="none"/>
          <w:lang w:val="en-US" w:eastAsia="zh-CN"/>
        </w:rPr>
        <w:t>货物</w:t>
      </w:r>
      <w:r>
        <w:rPr>
          <w:rFonts w:hint="eastAsia" w:ascii="宋体" w:hAnsi="宋体" w:eastAsia="宋体" w:cs="宋体"/>
          <w:b/>
          <w:color w:val="auto"/>
          <w:kern w:val="0"/>
          <w:sz w:val="24"/>
          <w:szCs w:val="20"/>
          <w:highlight w:val="none"/>
          <w:lang w:val="en-US" w:eastAsia="zh-CN"/>
        </w:rPr>
        <w:t>）</w:t>
      </w:r>
    </w:p>
    <w:p>
      <w:pPr>
        <w:spacing w:line="360" w:lineRule="auto"/>
        <w:ind w:firstLine="480" w:firstLineChars="200"/>
        <w:rPr>
          <w:rFonts w:ascii="仿宋" w:hAnsi="仿宋" w:eastAsia="仿宋" w:cs="仿宋"/>
          <w:color w:val="auto"/>
          <w:sz w:val="24"/>
          <w:szCs w:val="32"/>
          <w:lang w:eastAsia="zh-CN"/>
        </w:rPr>
      </w:pPr>
      <w:r>
        <w:rPr>
          <w:rFonts w:hint="eastAsia" w:ascii="仿宋" w:hAnsi="仿宋" w:eastAsia="仿宋" w:cs="仿宋"/>
          <w:color w:val="auto"/>
          <w:sz w:val="24"/>
          <w:szCs w:val="32"/>
          <w:lang w:eastAsia="zh-CN"/>
        </w:rPr>
        <w:t>本公司（联合体）郑重声明，根据《政府采购促进中小企业发展管理办法》（财库[2020]46号）的规定，本公司（联合体）参加</w:t>
      </w:r>
      <w:r>
        <w:rPr>
          <w:rFonts w:hint="eastAsia" w:ascii="仿宋" w:hAnsi="仿宋" w:eastAsia="仿宋" w:cs="仿宋"/>
          <w:color w:val="auto"/>
          <w:sz w:val="24"/>
          <w:szCs w:val="32"/>
          <w:u w:val="single"/>
          <w:lang w:eastAsia="zh-CN"/>
        </w:rPr>
        <w:t>（单位名称）</w:t>
      </w:r>
      <w:r>
        <w:rPr>
          <w:rFonts w:hint="eastAsia" w:ascii="仿宋" w:hAnsi="仿宋" w:eastAsia="仿宋" w:cs="仿宋"/>
          <w:color w:val="auto"/>
          <w:sz w:val="24"/>
          <w:szCs w:val="32"/>
          <w:lang w:eastAsia="zh-CN"/>
        </w:rPr>
        <w:t>的</w:t>
      </w:r>
      <w:r>
        <w:rPr>
          <w:rFonts w:hint="eastAsia" w:ascii="仿宋" w:hAnsi="仿宋" w:eastAsia="仿宋" w:cs="仿宋"/>
          <w:color w:val="auto"/>
          <w:sz w:val="24"/>
          <w:szCs w:val="32"/>
          <w:u w:val="single"/>
          <w:lang w:eastAsia="zh-CN"/>
        </w:rPr>
        <w:t>（项目名称）</w:t>
      </w:r>
      <w:r>
        <w:rPr>
          <w:rFonts w:hint="eastAsia" w:ascii="仿宋" w:hAnsi="仿宋" w:eastAsia="仿宋" w:cs="仿宋"/>
          <w:color w:val="auto"/>
          <w:sz w:val="24"/>
          <w:szCs w:val="32"/>
          <w:lang w:eastAsia="zh-CN"/>
        </w:rPr>
        <w:t>采购活动，提供的货物全部由符合政策要求的中小企业制造。相关企业（含联合体中的中小企业、签订分包意向协议的中小企业）的具体情况如下：</w:t>
      </w:r>
    </w:p>
    <w:p>
      <w:pPr>
        <w:numPr>
          <w:ilvl w:val="0"/>
          <w:numId w:val="16"/>
        </w:numPr>
        <w:spacing w:line="360" w:lineRule="auto"/>
        <w:ind w:firstLine="480" w:firstLineChars="200"/>
        <w:jc w:val="left"/>
        <w:rPr>
          <w:rFonts w:ascii="仿宋" w:hAnsi="仿宋" w:eastAsia="仿宋" w:cs="仿宋"/>
          <w:color w:val="auto"/>
          <w:sz w:val="24"/>
          <w:szCs w:val="32"/>
          <w:lang w:eastAsia="zh-CN"/>
        </w:rPr>
      </w:pPr>
      <w:r>
        <w:rPr>
          <w:rFonts w:hint="eastAsia" w:ascii="仿宋" w:hAnsi="仿宋" w:eastAsia="仿宋" w:cs="仿宋"/>
          <w:color w:val="auto"/>
          <w:sz w:val="24"/>
          <w:szCs w:val="32"/>
          <w:u w:val="single"/>
          <w:lang w:eastAsia="zh-CN"/>
        </w:rPr>
        <w:t xml:space="preserve">    （标的名称）</w:t>
      </w:r>
      <w:r>
        <w:rPr>
          <w:rFonts w:hint="eastAsia" w:ascii="仿宋" w:hAnsi="仿宋" w:eastAsia="仿宋" w:cs="仿宋"/>
          <w:color w:val="auto"/>
          <w:sz w:val="24"/>
          <w:szCs w:val="32"/>
          <w:lang w:eastAsia="zh-CN"/>
        </w:rPr>
        <w:t>，属于</w:t>
      </w:r>
      <w:r>
        <w:rPr>
          <w:rFonts w:hint="eastAsia" w:ascii="仿宋" w:hAnsi="仿宋" w:eastAsia="仿宋" w:cs="仿宋"/>
          <w:color w:val="auto"/>
          <w:sz w:val="24"/>
          <w:szCs w:val="32"/>
          <w:u w:val="single"/>
          <w:lang w:eastAsia="zh-CN"/>
        </w:rPr>
        <w:t xml:space="preserve"> </w:t>
      </w:r>
      <w:r>
        <w:rPr>
          <w:rFonts w:hint="eastAsia" w:ascii="仿宋" w:hAnsi="仿宋" w:eastAsia="仿宋" w:cs="仿宋"/>
          <w:color w:val="auto"/>
          <w:sz w:val="24"/>
          <w:szCs w:val="32"/>
          <w:u w:val="single"/>
          <w:lang w:val="en-US" w:eastAsia="zh-CN"/>
        </w:rPr>
        <w:t xml:space="preserve"> （采购文件中明确的所属行业）    </w:t>
      </w:r>
      <w:r>
        <w:rPr>
          <w:rFonts w:hint="eastAsia" w:ascii="仿宋" w:hAnsi="仿宋" w:eastAsia="仿宋" w:cs="仿宋"/>
          <w:color w:val="auto"/>
          <w:sz w:val="24"/>
          <w:szCs w:val="32"/>
          <w:u w:val="single"/>
          <w:lang w:eastAsia="zh-CN"/>
        </w:rPr>
        <w:t xml:space="preserve"> </w:t>
      </w:r>
      <w:r>
        <w:rPr>
          <w:rFonts w:hint="eastAsia" w:ascii="仿宋" w:hAnsi="仿宋" w:eastAsia="仿宋" w:cs="仿宋"/>
          <w:color w:val="auto"/>
          <w:sz w:val="24"/>
          <w:szCs w:val="32"/>
          <w:lang w:eastAsia="zh-CN"/>
        </w:rPr>
        <w:t>；制造商为</w:t>
      </w:r>
      <w:r>
        <w:rPr>
          <w:rFonts w:hint="eastAsia" w:ascii="仿宋" w:hAnsi="仿宋" w:eastAsia="仿宋" w:cs="仿宋"/>
          <w:color w:val="auto"/>
          <w:sz w:val="24"/>
          <w:szCs w:val="32"/>
          <w:u w:val="single"/>
          <w:lang w:eastAsia="zh-CN"/>
        </w:rPr>
        <w:t xml:space="preserve">   （企业名称）</w:t>
      </w:r>
      <w:r>
        <w:rPr>
          <w:rFonts w:hint="eastAsia" w:ascii="仿宋" w:hAnsi="仿宋" w:eastAsia="仿宋" w:cs="仿宋"/>
          <w:color w:val="auto"/>
          <w:sz w:val="24"/>
          <w:szCs w:val="32"/>
          <w:lang w:eastAsia="zh-CN"/>
        </w:rPr>
        <w:t>，从业人员</w:t>
      </w:r>
      <w:r>
        <w:rPr>
          <w:rFonts w:hint="eastAsia" w:ascii="仿宋" w:hAnsi="仿宋" w:eastAsia="仿宋" w:cs="仿宋"/>
          <w:color w:val="auto"/>
          <w:sz w:val="24"/>
          <w:szCs w:val="32"/>
          <w:u w:val="single"/>
          <w:lang w:eastAsia="zh-CN"/>
        </w:rPr>
        <w:t xml:space="preserve">    </w:t>
      </w:r>
      <w:r>
        <w:rPr>
          <w:rFonts w:hint="eastAsia" w:ascii="仿宋" w:hAnsi="仿宋" w:eastAsia="仿宋" w:cs="仿宋"/>
          <w:color w:val="auto"/>
          <w:sz w:val="24"/>
          <w:szCs w:val="32"/>
          <w:lang w:eastAsia="zh-CN"/>
        </w:rPr>
        <w:t>人，营业收入为</w:t>
      </w:r>
      <w:r>
        <w:rPr>
          <w:rFonts w:hint="eastAsia" w:ascii="仿宋" w:hAnsi="仿宋" w:eastAsia="仿宋" w:cs="仿宋"/>
          <w:color w:val="auto"/>
          <w:sz w:val="24"/>
          <w:szCs w:val="32"/>
          <w:u w:val="single"/>
          <w:lang w:eastAsia="zh-CN"/>
        </w:rPr>
        <w:t xml:space="preserve">    </w:t>
      </w:r>
      <w:r>
        <w:rPr>
          <w:rFonts w:hint="eastAsia" w:ascii="仿宋" w:hAnsi="仿宋" w:eastAsia="仿宋" w:cs="仿宋"/>
          <w:color w:val="auto"/>
          <w:sz w:val="24"/>
          <w:szCs w:val="32"/>
          <w:lang w:eastAsia="zh-CN"/>
        </w:rPr>
        <w:t>万元，资产总额为</w:t>
      </w:r>
      <w:r>
        <w:rPr>
          <w:rFonts w:hint="eastAsia" w:ascii="仿宋" w:hAnsi="仿宋" w:eastAsia="仿宋" w:cs="仿宋"/>
          <w:color w:val="auto"/>
          <w:sz w:val="24"/>
          <w:szCs w:val="32"/>
          <w:u w:val="single"/>
          <w:lang w:eastAsia="zh-CN"/>
        </w:rPr>
        <w:t xml:space="preserve">    </w:t>
      </w:r>
      <w:r>
        <w:rPr>
          <w:rFonts w:hint="eastAsia" w:ascii="仿宋" w:hAnsi="仿宋" w:eastAsia="仿宋" w:cs="仿宋"/>
          <w:color w:val="auto"/>
          <w:sz w:val="24"/>
          <w:szCs w:val="32"/>
          <w:lang w:eastAsia="zh-CN"/>
        </w:rPr>
        <w:t>万元，属于</w:t>
      </w:r>
      <w:r>
        <w:rPr>
          <w:rFonts w:hint="eastAsia" w:ascii="仿宋" w:hAnsi="仿宋" w:eastAsia="仿宋" w:cs="仿宋"/>
          <w:color w:val="auto"/>
          <w:sz w:val="24"/>
          <w:szCs w:val="32"/>
          <w:lang w:val="en-US" w:eastAsia="zh-CN"/>
        </w:rPr>
        <w:t xml:space="preserve"> </w:t>
      </w:r>
      <w:r>
        <w:rPr>
          <w:rFonts w:hint="eastAsia" w:ascii="仿宋" w:hAnsi="仿宋" w:eastAsia="仿宋" w:cs="仿宋"/>
          <w:color w:val="auto"/>
          <w:sz w:val="24"/>
          <w:szCs w:val="32"/>
          <w:u w:val="single"/>
          <w:lang w:val="en-US" w:eastAsia="zh-CN"/>
        </w:rPr>
        <w:t xml:space="preserve">      （</w:t>
      </w:r>
      <w:r>
        <w:rPr>
          <w:rFonts w:hint="eastAsia" w:ascii="仿宋" w:hAnsi="仿宋" w:eastAsia="仿宋" w:cs="仿宋"/>
          <w:color w:val="auto"/>
          <w:sz w:val="24"/>
          <w:szCs w:val="32"/>
          <w:u w:val="single"/>
          <w:lang w:eastAsia="zh-CN"/>
        </w:rPr>
        <w:t>中型企业、小型企业、微型企业</w:t>
      </w:r>
      <w:r>
        <w:rPr>
          <w:rFonts w:hint="eastAsia" w:ascii="仿宋" w:hAnsi="仿宋" w:eastAsia="仿宋" w:cs="仿宋"/>
          <w:color w:val="auto"/>
          <w:sz w:val="24"/>
          <w:szCs w:val="32"/>
          <w:lang w:eastAsia="zh-CN"/>
        </w:rPr>
        <w:t>）；</w:t>
      </w:r>
    </w:p>
    <w:p>
      <w:pPr>
        <w:spacing w:line="360" w:lineRule="auto"/>
        <w:ind w:firstLine="480" w:firstLineChars="200"/>
        <w:rPr>
          <w:rFonts w:ascii="仿宋" w:hAnsi="仿宋" w:eastAsia="仿宋" w:cs="仿宋"/>
          <w:color w:val="auto"/>
          <w:sz w:val="24"/>
          <w:szCs w:val="32"/>
          <w:lang w:eastAsia="zh-CN"/>
        </w:rPr>
      </w:pPr>
      <w:r>
        <w:rPr>
          <w:rFonts w:hint="eastAsia" w:ascii="仿宋" w:hAnsi="仿宋" w:eastAsia="仿宋" w:cs="仿宋"/>
          <w:color w:val="auto"/>
          <w:sz w:val="24"/>
          <w:szCs w:val="32"/>
          <w:lang w:eastAsia="zh-CN"/>
        </w:rPr>
        <w:t xml:space="preserve">2. </w:t>
      </w:r>
      <w:r>
        <w:rPr>
          <w:rFonts w:hint="eastAsia" w:ascii="仿宋" w:hAnsi="仿宋" w:eastAsia="仿宋" w:cs="仿宋"/>
          <w:color w:val="auto"/>
          <w:sz w:val="24"/>
          <w:szCs w:val="32"/>
          <w:u w:val="single"/>
          <w:lang w:eastAsia="zh-CN"/>
        </w:rPr>
        <w:t xml:space="preserve">     （标的名称）</w:t>
      </w:r>
      <w:r>
        <w:rPr>
          <w:rFonts w:hint="eastAsia" w:ascii="仿宋" w:hAnsi="仿宋" w:eastAsia="仿宋" w:cs="仿宋"/>
          <w:color w:val="auto"/>
          <w:sz w:val="24"/>
          <w:szCs w:val="32"/>
          <w:lang w:eastAsia="zh-CN"/>
        </w:rPr>
        <w:t>，属于</w:t>
      </w:r>
      <w:r>
        <w:rPr>
          <w:rFonts w:hint="eastAsia" w:ascii="仿宋" w:hAnsi="仿宋" w:eastAsia="仿宋" w:cs="仿宋"/>
          <w:color w:val="auto"/>
          <w:sz w:val="24"/>
          <w:szCs w:val="32"/>
          <w:u w:val="single"/>
          <w:lang w:eastAsia="zh-CN"/>
        </w:rPr>
        <w:t xml:space="preserve"> </w:t>
      </w:r>
      <w:r>
        <w:rPr>
          <w:rFonts w:hint="eastAsia" w:ascii="仿宋" w:hAnsi="仿宋" w:eastAsia="仿宋" w:cs="仿宋"/>
          <w:color w:val="auto"/>
          <w:sz w:val="24"/>
          <w:szCs w:val="32"/>
          <w:u w:val="single"/>
          <w:lang w:val="en-US" w:eastAsia="zh-CN"/>
        </w:rPr>
        <w:t>（采购文件中明确的所属行业）</w:t>
      </w:r>
      <w:r>
        <w:rPr>
          <w:rFonts w:hint="eastAsia" w:ascii="仿宋" w:hAnsi="仿宋" w:eastAsia="仿宋" w:cs="仿宋"/>
          <w:color w:val="auto"/>
          <w:sz w:val="24"/>
          <w:szCs w:val="32"/>
          <w:u w:val="single"/>
          <w:lang w:eastAsia="zh-CN"/>
        </w:rPr>
        <w:t xml:space="preserve"> </w:t>
      </w:r>
      <w:r>
        <w:rPr>
          <w:rFonts w:hint="eastAsia" w:ascii="仿宋" w:hAnsi="仿宋" w:eastAsia="仿宋" w:cs="仿宋"/>
          <w:color w:val="auto"/>
          <w:sz w:val="24"/>
          <w:szCs w:val="32"/>
          <w:lang w:eastAsia="zh-CN"/>
        </w:rPr>
        <w:t>；制造商为</w:t>
      </w:r>
      <w:r>
        <w:rPr>
          <w:rFonts w:hint="eastAsia" w:ascii="仿宋" w:hAnsi="仿宋" w:eastAsia="仿宋" w:cs="仿宋"/>
          <w:color w:val="auto"/>
          <w:sz w:val="24"/>
          <w:szCs w:val="32"/>
          <w:u w:val="single"/>
          <w:lang w:eastAsia="zh-CN"/>
        </w:rPr>
        <w:t xml:space="preserve">    （企业名称）</w:t>
      </w:r>
      <w:r>
        <w:rPr>
          <w:rFonts w:hint="eastAsia" w:ascii="仿宋" w:hAnsi="仿宋" w:eastAsia="仿宋" w:cs="仿宋"/>
          <w:color w:val="auto"/>
          <w:sz w:val="24"/>
          <w:szCs w:val="32"/>
          <w:lang w:eastAsia="zh-CN"/>
        </w:rPr>
        <w:t>，从业人员</w:t>
      </w:r>
      <w:r>
        <w:rPr>
          <w:rFonts w:hint="eastAsia" w:ascii="仿宋" w:hAnsi="仿宋" w:eastAsia="仿宋" w:cs="仿宋"/>
          <w:color w:val="auto"/>
          <w:sz w:val="24"/>
          <w:szCs w:val="32"/>
          <w:u w:val="single"/>
          <w:lang w:eastAsia="zh-CN"/>
        </w:rPr>
        <w:t xml:space="preserve">    </w:t>
      </w:r>
      <w:r>
        <w:rPr>
          <w:rFonts w:hint="eastAsia" w:ascii="仿宋" w:hAnsi="仿宋" w:eastAsia="仿宋" w:cs="仿宋"/>
          <w:color w:val="auto"/>
          <w:sz w:val="24"/>
          <w:szCs w:val="32"/>
          <w:lang w:eastAsia="zh-CN"/>
        </w:rPr>
        <w:t>人，营业收入为</w:t>
      </w:r>
      <w:r>
        <w:rPr>
          <w:rFonts w:hint="eastAsia" w:ascii="仿宋" w:hAnsi="仿宋" w:eastAsia="仿宋" w:cs="仿宋"/>
          <w:color w:val="auto"/>
          <w:sz w:val="24"/>
          <w:szCs w:val="32"/>
          <w:u w:val="single"/>
          <w:lang w:eastAsia="zh-CN"/>
        </w:rPr>
        <w:t xml:space="preserve">    </w:t>
      </w:r>
      <w:r>
        <w:rPr>
          <w:rFonts w:hint="eastAsia" w:ascii="仿宋" w:hAnsi="仿宋" w:eastAsia="仿宋" w:cs="仿宋"/>
          <w:color w:val="auto"/>
          <w:sz w:val="24"/>
          <w:szCs w:val="32"/>
          <w:lang w:eastAsia="zh-CN"/>
        </w:rPr>
        <w:t>万元，资产总额为</w:t>
      </w:r>
      <w:r>
        <w:rPr>
          <w:rFonts w:hint="eastAsia" w:ascii="仿宋" w:hAnsi="仿宋" w:eastAsia="仿宋" w:cs="仿宋"/>
          <w:color w:val="auto"/>
          <w:sz w:val="24"/>
          <w:szCs w:val="32"/>
          <w:u w:val="single"/>
          <w:lang w:eastAsia="zh-CN"/>
        </w:rPr>
        <w:t xml:space="preserve">    </w:t>
      </w:r>
      <w:r>
        <w:rPr>
          <w:rFonts w:hint="eastAsia" w:ascii="仿宋" w:hAnsi="仿宋" w:eastAsia="仿宋" w:cs="仿宋"/>
          <w:color w:val="auto"/>
          <w:sz w:val="24"/>
          <w:szCs w:val="32"/>
          <w:lang w:eastAsia="zh-CN"/>
        </w:rPr>
        <w:t>万元，属于</w:t>
      </w:r>
      <w:r>
        <w:rPr>
          <w:rFonts w:hint="eastAsia" w:ascii="仿宋" w:hAnsi="仿宋" w:eastAsia="仿宋" w:cs="仿宋"/>
          <w:color w:val="auto"/>
          <w:sz w:val="24"/>
          <w:szCs w:val="32"/>
          <w:u w:val="single"/>
          <w:lang w:val="en-US" w:eastAsia="zh-CN"/>
        </w:rPr>
        <w:t xml:space="preserve">      </w:t>
      </w:r>
      <w:r>
        <w:rPr>
          <w:rFonts w:hint="eastAsia" w:ascii="仿宋" w:hAnsi="仿宋" w:eastAsia="仿宋" w:cs="仿宋"/>
          <w:color w:val="auto"/>
          <w:sz w:val="24"/>
          <w:szCs w:val="32"/>
          <w:u w:val="single"/>
          <w:lang w:eastAsia="zh-CN"/>
        </w:rPr>
        <w:t>（中型企业、小型企业、微型企业）</w:t>
      </w:r>
      <w:r>
        <w:rPr>
          <w:rFonts w:hint="eastAsia" w:ascii="仿宋" w:hAnsi="仿宋" w:eastAsia="仿宋" w:cs="仿宋"/>
          <w:color w:val="auto"/>
          <w:sz w:val="24"/>
          <w:szCs w:val="32"/>
          <w:lang w:eastAsia="zh-CN"/>
        </w:rPr>
        <w:t>；</w:t>
      </w:r>
    </w:p>
    <w:p>
      <w:pPr>
        <w:spacing w:line="360" w:lineRule="auto"/>
        <w:ind w:firstLine="480" w:firstLineChars="200"/>
        <w:rPr>
          <w:rFonts w:ascii="仿宋" w:hAnsi="仿宋" w:eastAsia="仿宋" w:cs="仿宋"/>
          <w:color w:val="auto"/>
          <w:sz w:val="24"/>
          <w:szCs w:val="32"/>
          <w:lang w:eastAsia="zh-CN"/>
        </w:rPr>
      </w:pPr>
      <w:r>
        <w:rPr>
          <w:rFonts w:hint="eastAsia" w:ascii="仿宋" w:hAnsi="仿宋" w:eastAsia="仿宋" w:cs="仿宋"/>
          <w:color w:val="auto"/>
          <w:sz w:val="24"/>
          <w:szCs w:val="32"/>
          <w:lang w:eastAsia="zh-CN"/>
        </w:rPr>
        <w:t>……</w:t>
      </w:r>
    </w:p>
    <w:p>
      <w:pPr>
        <w:spacing w:line="360" w:lineRule="auto"/>
        <w:ind w:firstLine="480" w:firstLineChars="200"/>
        <w:rPr>
          <w:rFonts w:ascii="仿宋" w:hAnsi="仿宋" w:eastAsia="仿宋" w:cs="仿宋"/>
          <w:color w:val="auto"/>
          <w:sz w:val="24"/>
          <w:szCs w:val="32"/>
          <w:lang w:eastAsia="zh-CN"/>
        </w:rPr>
      </w:pPr>
      <w:r>
        <w:rPr>
          <w:rFonts w:hint="eastAsia" w:ascii="仿宋" w:hAnsi="仿宋" w:eastAsia="仿宋" w:cs="仿宋"/>
          <w:color w:val="auto"/>
          <w:sz w:val="24"/>
          <w:szCs w:val="32"/>
          <w:lang w:eastAsia="zh-CN"/>
        </w:rPr>
        <w:t>以上企业，不属于大企业的分支机构，不存在控股股东为大企业的情形，也不存在与大企业的负责人为同一人的情形。</w:t>
      </w:r>
    </w:p>
    <w:p>
      <w:pPr>
        <w:spacing w:line="360" w:lineRule="auto"/>
        <w:ind w:firstLine="480" w:firstLineChars="200"/>
        <w:rPr>
          <w:rFonts w:ascii="仿宋" w:hAnsi="仿宋" w:eastAsia="仿宋" w:cs="仿宋"/>
          <w:color w:val="auto"/>
          <w:sz w:val="24"/>
          <w:szCs w:val="32"/>
          <w:lang w:eastAsia="zh-CN"/>
        </w:rPr>
      </w:pPr>
    </w:p>
    <w:p>
      <w:pPr>
        <w:spacing w:line="360" w:lineRule="auto"/>
        <w:ind w:firstLine="480" w:firstLineChars="200"/>
        <w:rPr>
          <w:rFonts w:ascii="仿宋" w:hAnsi="仿宋" w:eastAsia="仿宋" w:cs="仿宋"/>
          <w:color w:val="auto"/>
          <w:sz w:val="24"/>
          <w:szCs w:val="32"/>
          <w:lang w:eastAsia="zh-CN"/>
        </w:rPr>
      </w:pPr>
      <w:r>
        <w:rPr>
          <w:rFonts w:hint="eastAsia" w:ascii="仿宋" w:hAnsi="仿宋" w:eastAsia="仿宋" w:cs="仿宋"/>
          <w:color w:val="auto"/>
          <w:sz w:val="24"/>
          <w:szCs w:val="32"/>
          <w:lang w:eastAsia="zh-CN"/>
        </w:rPr>
        <w:t>本企业对上述声明内容的真实性负责。如有虚假，将依法承担相应责任。</w:t>
      </w:r>
    </w:p>
    <w:p>
      <w:pPr>
        <w:spacing w:line="360" w:lineRule="auto"/>
        <w:ind w:firstLine="480" w:firstLineChars="200"/>
        <w:rPr>
          <w:rFonts w:ascii="仿宋" w:hAnsi="仿宋" w:eastAsia="仿宋" w:cs="仿宋"/>
          <w:color w:val="auto"/>
          <w:sz w:val="24"/>
          <w:szCs w:val="32"/>
          <w:lang w:eastAsia="zh-CN"/>
        </w:rPr>
      </w:pPr>
      <w:r>
        <w:rPr>
          <w:rFonts w:hint="eastAsia" w:ascii="仿宋" w:hAnsi="仿宋" w:eastAsia="仿宋" w:cs="仿宋"/>
          <w:color w:val="auto"/>
          <w:sz w:val="24"/>
          <w:szCs w:val="32"/>
          <w:lang w:eastAsia="zh-CN"/>
        </w:rPr>
        <w:t xml:space="preserve">                     </w:t>
      </w:r>
    </w:p>
    <w:p>
      <w:pPr>
        <w:spacing w:line="360" w:lineRule="auto"/>
        <w:ind w:firstLine="480" w:firstLineChars="200"/>
        <w:rPr>
          <w:rFonts w:ascii="仿宋" w:hAnsi="仿宋" w:eastAsia="仿宋" w:cs="仿宋"/>
          <w:color w:val="auto"/>
          <w:sz w:val="24"/>
          <w:szCs w:val="32"/>
          <w:lang w:eastAsia="zh-CN"/>
        </w:rPr>
      </w:pPr>
    </w:p>
    <w:p>
      <w:pPr>
        <w:spacing w:line="360" w:lineRule="auto"/>
        <w:ind w:firstLine="4560" w:firstLineChars="1900"/>
        <w:rPr>
          <w:rFonts w:ascii="仿宋" w:hAnsi="仿宋" w:eastAsia="仿宋" w:cs="仿宋"/>
          <w:color w:val="auto"/>
          <w:sz w:val="24"/>
          <w:szCs w:val="32"/>
          <w:lang w:eastAsia="zh-CN"/>
        </w:rPr>
      </w:pPr>
      <w:r>
        <w:rPr>
          <w:rFonts w:hint="eastAsia" w:ascii="仿宋" w:hAnsi="仿宋" w:eastAsia="仿宋" w:cs="仿宋"/>
          <w:color w:val="auto"/>
          <w:sz w:val="24"/>
          <w:szCs w:val="32"/>
          <w:lang w:eastAsia="zh-CN"/>
        </w:rPr>
        <w:t xml:space="preserve"> 企业名称（盖章）：</w:t>
      </w:r>
    </w:p>
    <w:p>
      <w:pPr>
        <w:spacing w:line="360" w:lineRule="auto"/>
        <w:ind w:firstLine="480" w:firstLineChars="200"/>
        <w:rPr>
          <w:rFonts w:ascii="仿宋" w:hAnsi="仿宋" w:eastAsia="仿宋" w:cs="仿宋"/>
          <w:color w:val="auto"/>
          <w:sz w:val="24"/>
          <w:szCs w:val="32"/>
          <w:lang w:eastAsia="zh-CN"/>
        </w:rPr>
      </w:pPr>
      <w:r>
        <w:rPr>
          <w:rFonts w:hint="eastAsia" w:ascii="仿宋" w:hAnsi="仿宋" w:eastAsia="仿宋" w:cs="仿宋"/>
          <w:color w:val="auto"/>
          <w:sz w:val="24"/>
          <w:szCs w:val="32"/>
          <w:lang w:eastAsia="zh-CN"/>
        </w:rPr>
        <w:t xml:space="preserve">                                               日期：</w:t>
      </w:r>
    </w:p>
    <w:p>
      <w:pPr>
        <w:widowControl/>
        <w:kinsoku/>
        <w:topLinePunct w:val="0"/>
        <w:bidi w:val="0"/>
        <w:spacing w:before="100" w:beforeAutospacing="1" w:after="100" w:afterAutospacing="1" w:line="380" w:lineRule="exact"/>
        <w:ind w:firstLine="6090" w:firstLineChars="2900"/>
        <w:jc w:val="left"/>
        <w:rPr>
          <w:rFonts w:hint="eastAsia" w:ascii="宋体" w:hAnsi="宋体" w:eastAsia="宋体" w:cs="宋体"/>
          <w:kern w:val="0"/>
          <w:sz w:val="21"/>
          <w:szCs w:val="21"/>
          <w:highlight w:val="none"/>
          <w:u w:val="single"/>
        </w:rPr>
      </w:pPr>
    </w:p>
    <w:p>
      <w:pPr>
        <w:widowControl/>
        <w:kinsoku/>
        <w:topLinePunct w:val="0"/>
        <w:bidi w:val="0"/>
        <w:spacing w:before="100" w:beforeAutospacing="1" w:after="100" w:afterAutospacing="1" w:line="380" w:lineRule="exact"/>
        <w:ind w:firstLine="2730" w:firstLineChars="13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xml:space="preserve">        </w:t>
      </w:r>
    </w:p>
    <w:p>
      <w:pPr>
        <w:pStyle w:val="81"/>
        <w:kinsoku/>
        <w:topLinePunct w:val="0"/>
        <w:bidi w:val="0"/>
        <w:spacing w:line="380" w:lineRule="exact"/>
        <w:rPr>
          <w:rFonts w:hint="eastAsia" w:ascii="宋体" w:hAnsi="宋体" w:eastAsia="宋体" w:cs="宋体"/>
          <w:kern w:val="0"/>
          <w:sz w:val="18"/>
          <w:szCs w:val="18"/>
          <w:highlight w:val="none"/>
        </w:rPr>
      </w:pPr>
    </w:p>
    <w:p>
      <w:pPr>
        <w:keepNext w:val="0"/>
        <w:keepLines w:val="0"/>
        <w:widowControl/>
        <w:suppressLineNumbers w:val="0"/>
        <w:jc w:val="left"/>
        <w:rPr>
          <w:sz w:val="18"/>
          <w:szCs w:val="18"/>
          <w:highlight w:val="none"/>
        </w:rPr>
      </w:pPr>
      <w:r>
        <w:rPr>
          <w:rFonts w:hint="eastAsia" w:ascii="宋体" w:hAnsi="宋体" w:eastAsia="宋体" w:cs="宋体"/>
          <w:b/>
          <w:bCs/>
          <w:color w:val="000000"/>
          <w:kern w:val="0"/>
          <w:sz w:val="18"/>
          <w:szCs w:val="18"/>
          <w:highlight w:val="none"/>
          <w:lang w:val="en-US" w:eastAsia="zh-CN" w:bidi="ar"/>
        </w:rPr>
        <w:t xml:space="preserve">备注：1、从业人员、营业收入、资产总额填报上一年度数据，无上一年度数据的新成立企业可不填报。 </w:t>
      </w:r>
    </w:p>
    <w:p>
      <w:pPr>
        <w:keepNext w:val="0"/>
        <w:keepLines w:val="0"/>
        <w:widowControl/>
        <w:suppressLineNumbers w:val="0"/>
        <w:ind w:firstLine="542" w:firstLineChars="300"/>
        <w:jc w:val="left"/>
        <w:rPr>
          <w:rFonts w:hint="eastAsia" w:ascii="宋体" w:hAnsi="宋体" w:eastAsia="宋体" w:cs="宋体"/>
          <w:b/>
          <w:bCs/>
          <w:color w:val="000000"/>
          <w:kern w:val="0"/>
          <w:sz w:val="18"/>
          <w:szCs w:val="18"/>
          <w:highlight w:val="none"/>
          <w:lang w:val="en-US" w:eastAsia="zh-CN" w:bidi="ar"/>
        </w:rPr>
      </w:pPr>
      <w:r>
        <w:rPr>
          <w:rFonts w:hint="eastAsia" w:ascii="宋体" w:hAnsi="宋体" w:eastAsia="宋体" w:cs="宋体"/>
          <w:b/>
          <w:bCs/>
          <w:color w:val="000000"/>
          <w:kern w:val="0"/>
          <w:sz w:val="18"/>
          <w:szCs w:val="18"/>
          <w:highlight w:val="none"/>
          <w:lang w:val="en-US" w:eastAsia="zh-CN" w:bidi="ar"/>
        </w:rPr>
        <w:t>2、投标人为中小企业时需提供本声明函，并完整填写从业人员、营业收入、资产总额等内容，具体以招标文件格式为准。</w:t>
      </w:r>
    </w:p>
    <w:p>
      <w:pPr>
        <w:widowControl/>
        <w:shd w:val="clear" w:color="auto" w:fill="auto"/>
        <w:spacing w:before="100" w:beforeAutospacing="1" w:after="100" w:afterAutospacing="1" w:line="330" w:lineRule="atLeast"/>
        <w:ind w:firstLine="3120" w:firstLineChars="13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p>
    <w:p>
      <w:pPr>
        <w:shd w:val="clear" w:color="auto" w:fill="auto"/>
        <w:spacing w:line="240" w:lineRule="atLeast"/>
        <w:jc w:val="both"/>
        <w:rPr>
          <w:rFonts w:hint="eastAsia"/>
          <w:color w:val="auto"/>
          <w:highlight w:val="none"/>
        </w:rPr>
      </w:pPr>
      <w:bookmarkStart w:id="211" w:name="_Toc10877"/>
      <w:bookmarkStart w:id="212" w:name="_Toc10977"/>
      <w:bookmarkStart w:id="213" w:name="_Toc11803"/>
      <w:bookmarkStart w:id="214" w:name="_Toc515647824"/>
    </w:p>
    <w:p>
      <w:pPr>
        <w:shd w:val="clear" w:color="auto" w:fill="auto"/>
        <w:bidi w:val="0"/>
        <w:rPr>
          <w:rFonts w:hint="eastAsia"/>
          <w:color w:val="auto"/>
          <w:highlight w:val="none"/>
        </w:rPr>
      </w:pPr>
    </w:p>
    <w:p>
      <w:pPr>
        <w:pStyle w:val="20"/>
        <w:rPr>
          <w:rFonts w:hint="eastAsia"/>
          <w:highlight w:val="none"/>
        </w:rPr>
      </w:pPr>
    </w:p>
    <w:p>
      <w:pPr>
        <w:pStyle w:val="4"/>
        <w:numPr>
          <w:ilvl w:val="0"/>
          <w:numId w:val="0"/>
        </w:numPr>
        <w:shd w:val="clear" w:color="auto" w:fill="auto"/>
        <w:spacing w:before="0" w:line="240" w:lineRule="atLeast"/>
        <w:jc w:val="both"/>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6</w:t>
      </w:r>
      <w:r>
        <w:rPr>
          <w:rFonts w:hint="eastAsia" w:ascii="宋体" w:hAnsi="宋体" w:eastAsia="宋体" w:cs="宋体"/>
          <w:b/>
          <w:bCs/>
          <w:color w:val="auto"/>
          <w:sz w:val="24"/>
          <w:highlight w:val="none"/>
        </w:rPr>
        <w:t>-2   制造商企业（单位）类型声明函（投标文件格式十</w:t>
      </w:r>
      <w:r>
        <w:rPr>
          <w:rFonts w:hint="eastAsia" w:ascii="宋体" w:hAnsi="宋体" w:eastAsia="宋体" w:cs="宋体"/>
          <w:b/>
          <w:bCs/>
          <w:color w:val="auto"/>
          <w:sz w:val="24"/>
          <w:highlight w:val="none"/>
          <w:lang w:eastAsia="zh-CN"/>
        </w:rPr>
        <w:t>一</w:t>
      </w:r>
      <w:r>
        <w:rPr>
          <w:rFonts w:hint="eastAsia" w:ascii="宋体" w:hAnsi="宋体" w:eastAsia="宋体" w:cs="宋体"/>
          <w:b/>
          <w:bCs/>
          <w:color w:val="auto"/>
          <w:sz w:val="24"/>
          <w:highlight w:val="none"/>
        </w:rPr>
        <w:t>）</w:t>
      </w:r>
      <w:bookmarkEnd w:id="211"/>
      <w:bookmarkEnd w:id="212"/>
      <w:bookmarkEnd w:id="213"/>
      <w:bookmarkEnd w:id="214"/>
    </w:p>
    <w:p>
      <w:pPr>
        <w:shd w:val="clear" w:color="auto" w:fill="auto"/>
        <w:spacing w:line="240" w:lineRule="atLeast"/>
        <w:ind w:left="1080" w:leftChars="257" w:hanging="540"/>
        <w:jc w:val="center"/>
        <w:rPr>
          <w:rFonts w:hint="eastAsia" w:ascii="宋体" w:hAnsi="宋体" w:eastAsia="宋体" w:cs="宋体"/>
          <w:b/>
          <w:color w:val="auto"/>
          <w:kern w:val="0"/>
          <w:sz w:val="24"/>
          <w:szCs w:val="20"/>
          <w:highlight w:val="none"/>
        </w:rPr>
      </w:pPr>
    </w:p>
    <w:p>
      <w:pPr>
        <w:widowControl/>
        <w:shd w:val="clear" w:color="auto" w:fill="auto"/>
        <w:spacing w:before="100" w:beforeAutospacing="1" w:after="100" w:afterAutospacing="1" w:line="330" w:lineRule="atLeast"/>
        <w:ind w:firstLine="4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本企业（单位）作为______单位的______ 项目的设备制造商，参加政府采购活动。根据《政府采购促进中小企业发展暂行办法》（财库[20</w:t>
      </w:r>
      <w:r>
        <w:rPr>
          <w:rFonts w:hint="eastAsia" w:ascii="宋体" w:hAnsi="宋体" w:eastAsia="宋体" w:cs="宋体"/>
          <w:color w:val="auto"/>
          <w:kern w:val="0"/>
          <w:sz w:val="24"/>
          <w:highlight w:val="none"/>
          <w:lang w:val="en-US" w:eastAsia="zh-CN"/>
        </w:rPr>
        <w:t>20</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46</w:t>
      </w:r>
      <w:r>
        <w:rPr>
          <w:rFonts w:hint="eastAsia" w:ascii="宋体" w:hAnsi="宋体" w:eastAsia="宋体" w:cs="宋体"/>
          <w:color w:val="auto"/>
          <w:kern w:val="0"/>
          <w:sz w:val="24"/>
          <w:highlight w:val="none"/>
        </w:rPr>
        <w:t>号），《工业和信息化部、国家统计局、国家发展和改革委员会、财政部关于印发中小企业划型标准规定的通知》（工信部联企业[2011]300号）、《财政部、司法部关于政府采购支持监狱企业发展有关问题的通知》（财库〔2014〕68号）以及《关于促进残疾人就业政府采购政策的通知》（财库〔2017〕141号）的有关规定，作出如下声明：</w:t>
      </w:r>
    </w:p>
    <w:p>
      <w:pPr>
        <w:widowControl/>
        <w:shd w:val="clear" w:color="auto" w:fill="auto"/>
        <w:spacing w:before="100" w:beforeAutospacing="1" w:after="100" w:afterAutospacing="1" w:line="330" w:lineRule="atLeast"/>
        <w:ind w:firstLine="4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本企业为______（请填写：中型、小型、微型）企业。</w:t>
      </w:r>
    </w:p>
    <w:p>
      <w:pPr>
        <w:widowControl/>
        <w:shd w:val="clear" w:color="auto" w:fill="auto"/>
        <w:spacing w:before="100" w:beforeAutospacing="1" w:after="100" w:afterAutospacing="1" w:line="330" w:lineRule="atLeast"/>
        <w:ind w:firstLine="4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本企业</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（请填写：是、不是）监狱企业。后附省级以上监狱管理局、戒毒管理局（含新疆生产建设兵团）出具的属于监狱企业的证明文件。</w:t>
      </w:r>
    </w:p>
    <w:p>
      <w:pPr>
        <w:widowControl/>
        <w:shd w:val="clear" w:color="auto" w:fill="auto"/>
        <w:spacing w:before="100" w:beforeAutospacing="1" w:after="100" w:afterAutospacing="1" w:line="330" w:lineRule="atLeast"/>
        <w:ind w:firstLine="4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本单位为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（请填写：是、不是）残疾人福利性单位。</w:t>
      </w:r>
    </w:p>
    <w:p>
      <w:pPr>
        <w:widowControl/>
        <w:shd w:val="clear" w:color="auto" w:fill="auto"/>
        <w:spacing w:before="100" w:beforeAutospacing="1" w:after="100" w:afterAutospacing="1" w:line="330" w:lineRule="atLeast"/>
        <w:ind w:firstLine="4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本企业（单位）提供本企业（单位）制造的货物。</w:t>
      </w:r>
    </w:p>
    <w:p>
      <w:pPr>
        <w:widowControl/>
        <w:shd w:val="clear" w:color="auto" w:fill="auto"/>
        <w:spacing w:before="100" w:beforeAutospacing="1" w:after="100" w:afterAutospacing="1" w:line="330" w:lineRule="atLeast"/>
        <w:ind w:firstLine="4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本企业（单位）对上述声明的真实性负责。如有虚假，将依法承担相应责任。</w:t>
      </w:r>
    </w:p>
    <w:p>
      <w:pPr>
        <w:widowControl/>
        <w:shd w:val="clear" w:color="auto" w:fill="auto"/>
        <w:spacing w:before="100" w:beforeAutospacing="1" w:after="100" w:afterAutospacing="1" w:line="330" w:lineRule="atLeast"/>
        <w:ind w:firstLine="420"/>
        <w:jc w:val="left"/>
        <w:rPr>
          <w:rFonts w:hint="eastAsia" w:ascii="宋体" w:hAnsi="宋体" w:eastAsia="宋体" w:cs="宋体"/>
          <w:color w:val="auto"/>
          <w:kern w:val="0"/>
          <w:sz w:val="24"/>
          <w:highlight w:val="none"/>
          <w:u w:val="single" w:color="FFFFFF"/>
        </w:rPr>
      </w:pPr>
      <w:r>
        <w:rPr>
          <w:rFonts w:hint="eastAsia" w:ascii="宋体" w:hAnsi="宋体" w:eastAsia="宋体" w:cs="宋体"/>
          <w:color w:val="auto"/>
          <w:kern w:val="0"/>
          <w:sz w:val="24"/>
          <w:highlight w:val="none"/>
          <w:u w:val="single" w:color="FFFFFF"/>
        </w:rPr>
        <w:t>本声明函经制造商和投标人共同盖章生效。</w:t>
      </w:r>
    </w:p>
    <w:p>
      <w:pPr>
        <w:widowControl/>
        <w:shd w:val="clear" w:color="auto" w:fill="auto"/>
        <w:spacing w:before="100" w:beforeAutospacing="1" w:after="100" w:afterAutospacing="1" w:line="330" w:lineRule="atLeast"/>
        <w:ind w:firstLine="5160" w:firstLineChars="2150"/>
        <w:jc w:val="left"/>
        <w:rPr>
          <w:rFonts w:hint="eastAsia" w:ascii="宋体" w:hAnsi="宋体" w:eastAsia="宋体" w:cs="宋体"/>
          <w:color w:val="auto"/>
          <w:kern w:val="0"/>
          <w:sz w:val="24"/>
          <w:highlight w:val="none"/>
        </w:rPr>
      </w:pPr>
    </w:p>
    <w:p>
      <w:pPr>
        <w:widowControl/>
        <w:shd w:val="clear" w:color="auto" w:fill="auto"/>
        <w:spacing w:before="100" w:beforeAutospacing="1" w:after="100" w:afterAutospacing="1" w:line="330" w:lineRule="atLeast"/>
        <w:ind w:firstLine="5160" w:firstLineChars="2150"/>
        <w:jc w:val="left"/>
        <w:rPr>
          <w:rFonts w:hint="eastAsia" w:ascii="宋体" w:hAnsi="宋体" w:eastAsia="宋体" w:cs="宋体"/>
          <w:color w:val="auto"/>
          <w:kern w:val="0"/>
          <w:sz w:val="24"/>
          <w:highlight w:val="none"/>
        </w:rPr>
      </w:pPr>
    </w:p>
    <w:p>
      <w:pPr>
        <w:widowControl/>
        <w:shd w:val="clear" w:color="auto" w:fill="auto"/>
        <w:spacing w:before="100" w:beforeAutospacing="1" w:after="100" w:afterAutospacing="1" w:line="330" w:lineRule="atLeast"/>
        <w:ind w:firstLine="5160" w:firstLineChars="2150"/>
        <w:jc w:val="left"/>
        <w:rPr>
          <w:rFonts w:hint="eastAsia" w:ascii="宋体" w:hAnsi="宋体" w:eastAsia="宋体" w:cs="宋体"/>
          <w:color w:val="auto"/>
          <w:kern w:val="0"/>
          <w:sz w:val="24"/>
          <w:highlight w:val="none"/>
        </w:rPr>
      </w:pPr>
    </w:p>
    <w:p>
      <w:pPr>
        <w:widowControl/>
        <w:shd w:val="clear" w:color="auto" w:fill="auto"/>
        <w:spacing w:before="100" w:beforeAutospacing="1" w:after="100" w:afterAutospacing="1" w:line="330" w:lineRule="atLeast"/>
        <w:ind w:firstLine="5160" w:firstLineChars="2150"/>
        <w:jc w:val="left"/>
        <w:rPr>
          <w:rFonts w:hint="eastAsia" w:ascii="宋体" w:hAnsi="宋体" w:eastAsia="宋体" w:cs="宋体"/>
          <w:color w:val="auto"/>
          <w:kern w:val="0"/>
          <w:sz w:val="24"/>
          <w:highlight w:val="none"/>
        </w:rPr>
      </w:pPr>
    </w:p>
    <w:p>
      <w:pPr>
        <w:widowControl/>
        <w:shd w:val="clear" w:color="auto" w:fill="auto"/>
        <w:spacing w:before="100" w:beforeAutospacing="1" w:after="100" w:afterAutospacing="1" w:line="330" w:lineRule="atLeast"/>
        <w:jc w:val="left"/>
        <w:rPr>
          <w:rFonts w:hint="eastAsia" w:ascii="宋体" w:hAnsi="宋体" w:eastAsia="宋体" w:cs="宋体"/>
          <w:color w:val="auto"/>
          <w:kern w:val="0"/>
          <w:sz w:val="24"/>
          <w:highlight w:val="none"/>
        </w:rPr>
      </w:pPr>
    </w:p>
    <w:p>
      <w:pPr>
        <w:widowControl/>
        <w:shd w:val="clear" w:color="auto" w:fill="auto"/>
        <w:spacing w:before="100" w:beforeAutospacing="1" w:after="100" w:afterAutospacing="1" w:line="330" w:lineRule="atLeast"/>
        <w:ind w:firstLine="3120" w:firstLineChars="13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u w:val="single" w:color="FFFFFF"/>
        </w:rPr>
        <w:t>制造商名称（盖单位章）</w:t>
      </w:r>
      <w:r>
        <w:rPr>
          <w:rFonts w:hint="eastAsia" w:ascii="宋体" w:hAnsi="宋体" w:eastAsia="宋体" w:cs="宋体"/>
          <w:color w:val="auto"/>
          <w:kern w:val="0"/>
          <w:sz w:val="24"/>
          <w:highlight w:val="none"/>
        </w:rPr>
        <w:t xml:space="preserve">：___________   </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 xml:space="preserve">       </w:t>
      </w:r>
    </w:p>
    <w:p>
      <w:pPr>
        <w:widowControl/>
        <w:shd w:val="clear" w:color="auto" w:fill="auto"/>
        <w:spacing w:before="100" w:beforeAutospacing="1" w:after="100" w:afterAutospacing="1" w:line="330" w:lineRule="atLeast"/>
        <w:ind w:firstLine="3120" w:firstLineChars="13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投标人名称（盖单位章）：___________   </w:t>
      </w:r>
    </w:p>
    <w:p>
      <w:pPr>
        <w:widowControl/>
        <w:shd w:val="clear" w:color="auto" w:fill="auto"/>
        <w:spacing w:before="100" w:beforeAutospacing="1" w:after="100" w:afterAutospacing="1" w:line="330" w:lineRule="atLeast"/>
        <w:ind w:firstLine="3120" w:firstLineChars="13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日　期：____________                     </w:t>
      </w:r>
    </w:p>
    <w:p>
      <w:pPr>
        <w:widowControl/>
        <w:shd w:val="clear" w:color="auto" w:fill="auto"/>
        <w:spacing w:before="100" w:beforeAutospacing="1" w:after="100" w:afterAutospacing="1" w:line="330" w:lineRule="atLeast"/>
        <w:ind w:firstLine="420"/>
        <w:jc w:val="left"/>
        <w:rPr>
          <w:rFonts w:hint="eastAsia" w:ascii="宋体" w:hAnsi="宋体" w:eastAsia="宋体" w:cs="宋体"/>
          <w:color w:val="auto"/>
          <w:kern w:val="0"/>
          <w:szCs w:val="21"/>
          <w:highlight w:val="none"/>
        </w:rPr>
      </w:pPr>
    </w:p>
    <w:p>
      <w:pPr>
        <w:rPr>
          <w:rFonts w:hint="default"/>
          <w:highlight w:val="none"/>
          <w:lang w:val="en-US" w:eastAsia="zh-CN"/>
        </w:rPr>
      </w:pPr>
      <w:r>
        <w:rPr>
          <w:rFonts w:hint="eastAsia"/>
          <w:highlight w:val="none"/>
          <w:lang w:val="en-US" w:eastAsia="zh-CN"/>
        </w:rPr>
        <w:t>备注：无可不填写</w:t>
      </w:r>
    </w:p>
    <w:p>
      <w:pPr>
        <w:pStyle w:val="4"/>
        <w:numPr>
          <w:ilvl w:val="0"/>
          <w:numId w:val="0"/>
        </w:numPr>
        <w:shd w:val="clear" w:color="auto" w:fill="auto"/>
        <w:spacing w:before="0" w:line="240" w:lineRule="atLeast"/>
        <w:jc w:val="left"/>
        <w:rPr>
          <w:rFonts w:hint="eastAsia" w:ascii="宋体" w:hAnsi="宋体" w:eastAsia="宋体" w:cs="宋体"/>
          <w:b/>
          <w:bCs/>
          <w:color w:val="auto"/>
          <w:sz w:val="24"/>
          <w:highlight w:val="none"/>
          <w:lang w:val="en-US" w:eastAsia="zh-CN"/>
        </w:rPr>
      </w:pPr>
      <w:bookmarkStart w:id="215" w:name="_Toc19284"/>
      <w:bookmarkStart w:id="216" w:name="_Toc23068"/>
      <w:bookmarkStart w:id="217" w:name="_Toc515647825"/>
      <w:bookmarkStart w:id="218" w:name="_Toc8010"/>
      <w:bookmarkStart w:id="219" w:name="OLE_LINK14"/>
      <w:bookmarkStart w:id="220" w:name="OLE_LINK13"/>
    </w:p>
    <w:p>
      <w:pPr>
        <w:pStyle w:val="4"/>
        <w:numPr>
          <w:ilvl w:val="0"/>
          <w:numId w:val="0"/>
        </w:numPr>
        <w:shd w:val="clear" w:color="auto" w:fill="auto"/>
        <w:spacing w:before="0" w:line="240" w:lineRule="atLeas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6</w:t>
      </w:r>
      <w:r>
        <w:rPr>
          <w:rFonts w:hint="eastAsia" w:ascii="宋体" w:hAnsi="宋体" w:eastAsia="宋体" w:cs="宋体"/>
          <w:b/>
          <w:bCs/>
          <w:color w:val="auto"/>
          <w:sz w:val="24"/>
          <w:highlight w:val="none"/>
        </w:rPr>
        <w:t>-3   残疾人福利性单位声明函（投标文件格式十</w:t>
      </w:r>
      <w:r>
        <w:rPr>
          <w:rFonts w:hint="eastAsia" w:ascii="宋体" w:hAnsi="宋体" w:eastAsia="宋体" w:cs="宋体"/>
          <w:b/>
          <w:bCs/>
          <w:color w:val="auto"/>
          <w:sz w:val="24"/>
          <w:highlight w:val="none"/>
          <w:lang w:eastAsia="zh-CN"/>
        </w:rPr>
        <w:t>二</w:t>
      </w:r>
      <w:r>
        <w:rPr>
          <w:rFonts w:hint="eastAsia" w:ascii="宋体" w:hAnsi="宋体" w:eastAsia="宋体" w:cs="宋体"/>
          <w:b/>
          <w:bCs/>
          <w:color w:val="auto"/>
          <w:sz w:val="24"/>
          <w:highlight w:val="none"/>
        </w:rPr>
        <w:t>）</w:t>
      </w:r>
      <w:bookmarkEnd w:id="215"/>
      <w:bookmarkEnd w:id="216"/>
      <w:bookmarkEnd w:id="217"/>
      <w:bookmarkEnd w:id="218"/>
    </w:p>
    <w:bookmarkEnd w:id="219"/>
    <w:bookmarkEnd w:id="220"/>
    <w:p>
      <w:pPr>
        <w:shd w:val="clear" w:color="auto" w:fill="auto"/>
        <w:spacing w:line="240" w:lineRule="atLeast"/>
        <w:ind w:left="1080" w:leftChars="257" w:hanging="540"/>
        <w:jc w:val="center"/>
        <w:rPr>
          <w:rFonts w:hint="eastAsia" w:ascii="宋体" w:hAnsi="宋体" w:eastAsia="宋体" w:cs="宋体"/>
          <w:color w:val="auto"/>
          <w:kern w:val="0"/>
          <w:sz w:val="24"/>
          <w:szCs w:val="20"/>
          <w:highlight w:val="none"/>
        </w:rPr>
      </w:pPr>
    </w:p>
    <w:p>
      <w:pPr>
        <w:shd w:val="clear" w:color="auto" w:fill="auto"/>
        <w:spacing w:line="240" w:lineRule="atLeast"/>
        <w:ind w:firstLine="567"/>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pPr>
        <w:shd w:val="clear" w:color="auto" w:fill="auto"/>
        <w:spacing w:line="240" w:lineRule="atLeast"/>
        <w:ind w:left="1080" w:leftChars="257" w:hanging="540"/>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本单位对上述声明的真实性负责。如有虚假，将依法承担相应责任。</w:t>
      </w:r>
    </w:p>
    <w:p>
      <w:pPr>
        <w:shd w:val="clear" w:color="auto" w:fill="auto"/>
        <w:spacing w:line="240" w:lineRule="atLeast"/>
        <w:ind w:left="1080" w:leftChars="257" w:hanging="540"/>
        <w:jc w:val="center"/>
        <w:rPr>
          <w:rFonts w:hint="eastAsia" w:ascii="宋体" w:hAnsi="宋体" w:eastAsia="宋体" w:cs="宋体"/>
          <w:color w:val="auto"/>
          <w:kern w:val="0"/>
          <w:sz w:val="24"/>
          <w:szCs w:val="20"/>
          <w:highlight w:val="none"/>
        </w:rPr>
      </w:pPr>
    </w:p>
    <w:p>
      <w:pPr>
        <w:shd w:val="clear" w:color="auto" w:fill="auto"/>
        <w:spacing w:line="240" w:lineRule="atLeast"/>
        <w:ind w:left="1080" w:leftChars="257" w:hanging="540"/>
        <w:jc w:val="center"/>
        <w:rPr>
          <w:rFonts w:hint="eastAsia" w:ascii="宋体" w:hAnsi="宋体" w:eastAsia="宋体" w:cs="宋体"/>
          <w:color w:val="auto"/>
          <w:kern w:val="0"/>
          <w:sz w:val="24"/>
          <w:szCs w:val="20"/>
          <w:highlight w:val="none"/>
        </w:rPr>
      </w:pPr>
    </w:p>
    <w:p>
      <w:pPr>
        <w:shd w:val="clear" w:color="auto" w:fill="auto"/>
        <w:spacing w:line="240" w:lineRule="atLeast"/>
        <w:ind w:left="1080" w:leftChars="257" w:hanging="540"/>
        <w:jc w:val="center"/>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 xml:space="preserve">              残疾人福利性单位名称（盖单位章）：______________</w:t>
      </w:r>
    </w:p>
    <w:p>
      <w:pPr>
        <w:shd w:val="clear" w:color="auto" w:fill="auto"/>
        <w:spacing w:line="240" w:lineRule="atLeast"/>
        <w:ind w:left="1080" w:leftChars="257" w:hanging="540"/>
        <w:jc w:val="center"/>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 xml:space="preserve">  </w:t>
      </w:r>
      <w:r>
        <w:rPr>
          <w:rFonts w:hint="eastAsia" w:ascii="宋体" w:hAnsi="宋体" w:eastAsia="宋体" w:cs="宋体"/>
          <w:color w:val="auto"/>
          <w:kern w:val="0"/>
          <w:sz w:val="24"/>
          <w:szCs w:val="20"/>
          <w:highlight w:val="none"/>
          <w:u w:val="single" w:color="FFFFFF"/>
        </w:rPr>
        <w:t xml:space="preserve">       </w:t>
      </w:r>
      <w:r>
        <w:rPr>
          <w:rFonts w:hint="eastAsia" w:ascii="宋体" w:hAnsi="宋体" w:eastAsia="宋体" w:cs="宋体"/>
          <w:color w:val="auto"/>
          <w:kern w:val="0"/>
          <w:sz w:val="24"/>
          <w:szCs w:val="20"/>
          <w:highlight w:val="none"/>
        </w:rPr>
        <w:t>日  期：_____________________________________________</w:t>
      </w:r>
    </w:p>
    <w:p>
      <w:pPr>
        <w:shd w:val="clear" w:color="auto" w:fill="auto"/>
        <w:spacing w:line="240" w:lineRule="atLeast"/>
        <w:ind w:left="1080" w:leftChars="257" w:hanging="540"/>
        <w:jc w:val="center"/>
        <w:rPr>
          <w:rFonts w:hint="eastAsia" w:ascii="宋体" w:hAnsi="宋体" w:eastAsia="宋体" w:cs="宋体"/>
          <w:b/>
          <w:color w:val="auto"/>
          <w:kern w:val="0"/>
          <w:sz w:val="24"/>
          <w:szCs w:val="20"/>
          <w:highlight w:val="none"/>
        </w:rPr>
      </w:pPr>
    </w:p>
    <w:p>
      <w:pPr>
        <w:shd w:val="clear" w:color="auto" w:fill="auto"/>
        <w:spacing w:line="240" w:lineRule="atLeast"/>
        <w:ind w:left="1080" w:leftChars="257" w:hanging="540"/>
        <w:jc w:val="center"/>
        <w:rPr>
          <w:rFonts w:hint="eastAsia" w:ascii="宋体" w:hAnsi="宋体" w:eastAsia="宋体" w:cs="宋体"/>
          <w:b/>
          <w:color w:val="auto"/>
          <w:kern w:val="0"/>
          <w:sz w:val="24"/>
          <w:szCs w:val="20"/>
          <w:highlight w:val="none"/>
        </w:rPr>
      </w:pPr>
    </w:p>
    <w:p>
      <w:pPr>
        <w:pStyle w:val="4"/>
        <w:numPr>
          <w:ilvl w:val="0"/>
          <w:numId w:val="0"/>
        </w:numPr>
        <w:shd w:val="clear" w:color="auto" w:fill="auto"/>
        <w:spacing w:before="0" w:line="240" w:lineRule="atLeast"/>
        <w:ind w:leftChars="257"/>
        <w:outlineLvl w:val="9"/>
        <w:rPr>
          <w:rFonts w:hint="eastAsia" w:ascii="宋体" w:hAnsi="宋体" w:eastAsia="宋体" w:cs="宋体"/>
          <w:color w:val="auto"/>
          <w:sz w:val="24"/>
          <w:highlight w:val="none"/>
        </w:rPr>
      </w:pPr>
    </w:p>
    <w:p>
      <w:pPr>
        <w:rPr>
          <w:rFonts w:hint="default"/>
          <w:highlight w:val="none"/>
          <w:lang w:val="en-US" w:eastAsia="zh-CN"/>
        </w:rPr>
      </w:pPr>
      <w:bookmarkStart w:id="221" w:name="_Toc6386"/>
      <w:r>
        <w:rPr>
          <w:rFonts w:hint="eastAsia"/>
          <w:highlight w:val="none"/>
          <w:lang w:val="en-US" w:eastAsia="zh-CN"/>
        </w:rPr>
        <w:t>备注：无可不填写</w:t>
      </w:r>
    </w:p>
    <w:p>
      <w:pPr>
        <w:pStyle w:val="4"/>
        <w:numPr>
          <w:ilvl w:val="0"/>
          <w:numId w:val="0"/>
        </w:numPr>
        <w:shd w:val="clear" w:color="auto" w:fill="auto"/>
        <w:spacing w:before="0" w:line="240" w:lineRule="atLeast"/>
        <w:ind w:leftChars="257"/>
        <w:jc w:val="center"/>
        <w:outlineLvl w:val="9"/>
        <w:rPr>
          <w:rFonts w:hint="eastAsia" w:ascii="宋体" w:hAnsi="宋体" w:eastAsia="宋体" w:cs="宋体"/>
          <w:color w:val="auto"/>
          <w:sz w:val="24"/>
          <w:highlight w:val="none"/>
        </w:rPr>
      </w:pPr>
    </w:p>
    <w:p>
      <w:pPr>
        <w:pStyle w:val="4"/>
        <w:numPr>
          <w:ilvl w:val="0"/>
          <w:numId w:val="0"/>
        </w:numPr>
        <w:shd w:val="clear" w:color="auto" w:fill="auto"/>
        <w:spacing w:before="0" w:line="240" w:lineRule="atLeast"/>
        <w:ind w:leftChars="257"/>
        <w:jc w:val="center"/>
        <w:outlineLvl w:val="9"/>
        <w:rPr>
          <w:rFonts w:hint="eastAsia" w:ascii="宋体" w:hAnsi="宋体" w:eastAsia="宋体" w:cs="宋体"/>
          <w:color w:val="auto"/>
          <w:sz w:val="24"/>
          <w:highlight w:val="none"/>
        </w:rPr>
      </w:pPr>
    </w:p>
    <w:p>
      <w:pPr>
        <w:pStyle w:val="4"/>
        <w:numPr>
          <w:ilvl w:val="0"/>
          <w:numId w:val="0"/>
        </w:numPr>
        <w:shd w:val="clear" w:color="auto" w:fill="auto"/>
        <w:spacing w:before="0" w:line="240" w:lineRule="atLeast"/>
        <w:ind w:leftChars="257"/>
        <w:jc w:val="center"/>
        <w:outlineLvl w:val="9"/>
        <w:rPr>
          <w:rFonts w:hint="eastAsia" w:ascii="宋体" w:hAnsi="宋体" w:eastAsia="宋体" w:cs="宋体"/>
          <w:color w:val="auto"/>
          <w:sz w:val="24"/>
          <w:highlight w:val="none"/>
        </w:rPr>
      </w:pPr>
    </w:p>
    <w:p>
      <w:pPr>
        <w:pStyle w:val="4"/>
        <w:numPr>
          <w:ilvl w:val="0"/>
          <w:numId w:val="0"/>
        </w:numPr>
        <w:shd w:val="clear" w:color="auto" w:fill="auto"/>
        <w:spacing w:before="0" w:line="240" w:lineRule="atLeast"/>
        <w:ind w:leftChars="257"/>
        <w:jc w:val="center"/>
        <w:outlineLvl w:val="9"/>
        <w:rPr>
          <w:rFonts w:hint="eastAsia" w:ascii="宋体" w:hAnsi="宋体" w:eastAsia="宋体" w:cs="宋体"/>
          <w:color w:val="auto"/>
          <w:sz w:val="24"/>
          <w:highlight w:val="none"/>
        </w:rPr>
      </w:pPr>
    </w:p>
    <w:p>
      <w:pPr>
        <w:shd w:val="clear" w:color="auto" w:fill="auto"/>
        <w:rPr>
          <w:rFonts w:hint="eastAsia" w:ascii="宋体" w:hAnsi="宋体" w:eastAsia="宋体" w:cs="宋体"/>
          <w:color w:val="auto"/>
          <w:sz w:val="24"/>
          <w:highlight w:val="none"/>
        </w:rPr>
      </w:pPr>
    </w:p>
    <w:p>
      <w:pPr>
        <w:pStyle w:val="81"/>
        <w:shd w:val="clear" w:color="auto" w:fill="auto"/>
        <w:rPr>
          <w:rFonts w:hint="eastAsia" w:ascii="宋体" w:hAnsi="宋体" w:eastAsia="宋体" w:cs="宋体"/>
          <w:color w:val="auto"/>
          <w:sz w:val="24"/>
          <w:highlight w:val="none"/>
        </w:rPr>
      </w:pPr>
    </w:p>
    <w:p>
      <w:pPr>
        <w:pStyle w:val="81"/>
        <w:shd w:val="clear" w:color="auto" w:fill="auto"/>
        <w:rPr>
          <w:rFonts w:hint="eastAsia" w:ascii="宋体" w:hAnsi="宋体" w:eastAsia="宋体" w:cs="宋体"/>
          <w:color w:val="auto"/>
          <w:sz w:val="24"/>
          <w:highlight w:val="none"/>
        </w:rPr>
      </w:pPr>
    </w:p>
    <w:p>
      <w:pPr>
        <w:pStyle w:val="81"/>
        <w:shd w:val="clear" w:color="auto" w:fill="auto"/>
        <w:rPr>
          <w:rFonts w:hint="eastAsia" w:ascii="宋体" w:hAnsi="宋体" w:eastAsia="宋体" w:cs="宋体"/>
          <w:color w:val="auto"/>
          <w:sz w:val="24"/>
          <w:highlight w:val="none"/>
        </w:rPr>
      </w:pPr>
    </w:p>
    <w:p>
      <w:pPr>
        <w:pStyle w:val="81"/>
        <w:shd w:val="clear" w:color="auto" w:fill="auto"/>
        <w:rPr>
          <w:rFonts w:hint="eastAsia" w:ascii="宋体" w:hAnsi="宋体" w:eastAsia="宋体" w:cs="宋体"/>
          <w:color w:val="auto"/>
          <w:sz w:val="24"/>
          <w:highlight w:val="none"/>
        </w:rPr>
      </w:pPr>
    </w:p>
    <w:p>
      <w:pPr>
        <w:pStyle w:val="81"/>
        <w:shd w:val="clear" w:color="auto" w:fill="auto"/>
        <w:rPr>
          <w:rFonts w:hint="eastAsia" w:ascii="宋体" w:hAnsi="宋体" w:eastAsia="宋体" w:cs="宋体"/>
          <w:color w:val="auto"/>
          <w:sz w:val="24"/>
          <w:highlight w:val="none"/>
        </w:rPr>
      </w:pPr>
    </w:p>
    <w:p>
      <w:pPr>
        <w:pStyle w:val="81"/>
        <w:shd w:val="clear" w:color="auto" w:fill="auto"/>
        <w:rPr>
          <w:rFonts w:hint="eastAsia" w:ascii="宋体" w:hAnsi="宋体" w:eastAsia="宋体" w:cs="宋体"/>
          <w:color w:val="auto"/>
          <w:sz w:val="24"/>
          <w:highlight w:val="none"/>
        </w:rPr>
      </w:pPr>
    </w:p>
    <w:p>
      <w:pPr>
        <w:pStyle w:val="81"/>
        <w:shd w:val="clear" w:color="auto" w:fill="auto"/>
        <w:rPr>
          <w:rFonts w:hint="eastAsia" w:ascii="宋体" w:hAnsi="宋体" w:eastAsia="宋体" w:cs="宋体"/>
          <w:color w:val="auto"/>
          <w:sz w:val="24"/>
          <w:highlight w:val="none"/>
        </w:rPr>
      </w:pPr>
    </w:p>
    <w:p>
      <w:pPr>
        <w:pStyle w:val="81"/>
        <w:shd w:val="clear" w:color="auto" w:fill="auto"/>
        <w:rPr>
          <w:rFonts w:hint="eastAsia" w:ascii="宋体" w:hAnsi="宋体" w:eastAsia="宋体" w:cs="宋体"/>
          <w:color w:val="auto"/>
          <w:sz w:val="24"/>
          <w:highlight w:val="none"/>
        </w:rPr>
      </w:pPr>
    </w:p>
    <w:p>
      <w:pPr>
        <w:pStyle w:val="81"/>
        <w:shd w:val="clear" w:color="auto" w:fill="auto"/>
        <w:rPr>
          <w:rFonts w:hint="eastAsia" w:ascii="宋体" w:hAnsi="宋体" w:eastAsia="宋体" w:cs="宋体"/>
          <w:color w:val="auto"/>
          <w:sz w:val="24"/>
          <w:highlight w:val="none"/>
        </w:rPr>
      </w:pPr>
    </w:p>
    <w:p>
      <w:pPr>
        <w:pStyle w:val="81"/>
        <w:shd w:val="clear" w:color="auto" w:fill="auto"/>
        <w:rPr>
          <w:rFonts w:hint="eastAsia" w:ascii="宋体" w:hAnsi="宋体" w:eastAsia="宋体" w:cs="宋体"/>
          <w:color w:val="auto"/>
          <w:sz w:val="24"/>
          <w:highlight w:val="none"/>
        </w:rPr>
      </w:pPr>
    </w:p>
    <w:p>
      <w:pPr>
        <w:pStyle w:val="81"/>
        <w:shd w:val="clear" w:color="auto" w:fill="auto"/>
        <w:rPr>
          <w:rFonts w:hint="eastAsia" w:ascii="宋体" w:hAnsi="宋体" w:eastAsia="宋体" w:cs="宋体"/>
          <w:color w:val="auto"/>
          <w:sz w:val="24"/>
          <w:highlight w:val="none"/>
        </w:rPr>
      </w:pPr>
    </w:p>
    <w:p>
      <w:pPr>
        <w:pStyle w:val="81"/>
        <w:shd w:val="clear" w:color="auto" w:fill="auto"/>
        <w:rPr>
          <w:rFonts w:hint="eastAsia" w:ascii="宋体" w:hAnsi="宋体" w:eastAsia="宋体" w:cs="宋体"/>
          <w:color w:val="auto"/>
          <w:sz w:val="24"/>
          <w:highlight w:val="none"/>
        </w:rPr>
      </w:pPr>
    </w:p>
    <w:p>
      <w:pPr>
        <w:pStyle w:val="81"/>
        <w:shd w:val="clear" w:color="auto" w:fill="auto"/>
        <w:rPr>
          <w:rFonts w:hint="eastAsia" w:ascii="宋体" w:hAnsi="宋体" w:eastAsia="宋体" w:cs="宋体"/>
          <w:color w:val="auto"/>
          <w:sz w:val="24"/>
          <w:highlight w:val="none"/>
        </w:rPr>
      </w:pPr>
    </w:p>
    <w:p>
      <w:pPr>
        <w:pStyle w:val="81"/>
        <w:shd w:val="clear" w:color="auto" w:fill="auto"/>
        <w:rPr>
          <w:rFonts w:hint="eastAsia" w:ascii="宋体" w:hAnsi="宋体" w:eastAsia="宋体" w:cs="宋体"/>
          <w:color w:val="auto"/>
          <w:sz w:val="24"/>
          <w:highlight w:val="none"/>
        </w:rPr>
      </w:pPr>
    </w:p>
    <w:p>
      <w:pPr>
        <w:pStyle w:val="4"/>
        <w:numPr>
          <w:ilvl w:val="0"/>
          <w:numId w:val="0"/>
        </w:numPr>
        <w:shd w:val="clear" w:color="auto" w:fill="auto"/>
        <w:spacing w:before="0" w:line="240" w:lineRule="atLeas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7</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投标人关联单位的说明</w:t>
      </w:r>
      <w:bookmarkEnd w:id="208"/>
      <w:bookmarkEnd w:id="209"/>
      <w:bookmarkEnd w:id="210"/>
      <w:bookmarkEnd w:id="221"/>
    </w:p>
    <w:p>
      <w:pPr>
        <w:pStyle w:val="14"/>
        <w:shd w:val="clear" w:color="auto" w:fill="auto"/>
        <w:jc w:val="center"/>
        <w:rPr>
          <w:rFonts w:hint="eastAsia" w:ascii="宋体" w:hAnsi="宋体" w:eastAsia="宋体" w:cs="宋体"/>
          <w:color w:val="auto"/>
          <w:highlight w:val="none"/>
        </w:rPr>
      </w:pPr>
    </w:p>
    <w:p>
      <w:pPr>
        <w:pStyle w:val="14"/>
        <w:shd w:val="clear" w:color="auto" w:fill="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说明：投标人应当如实披露与本单位存在下列关联关系的单位名称：</w:t>
      </w:r>
    </w:p>
    <w:p>
      <w:pPr>
        <w:pStyle w:val="14"/>
        <w:shd w:val="clear" w:color="auto" w:fill="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（1）与投标人单位负责人为同一人的其他单位；</w:t>
      </w:r>
      <w:r>
        <w:rPr>
          <w:rFonts w:hint="eastAsia" w:ascii="宋体" w:hAnsi="宋体" w:eastAsia="宋体" w:cs="宋体"/>
          <w:color w:val="auto"/>
          <w:highlight w:val="none"/>
        </w:rPr>
        <w:br w:type="textWrapping"/>
      </w:r>
      <w:r>
        <w:rPr>
          <w:rFonts w:hint="eastAsia" w:ascii="宋体" w:hAnsi="宋体" w:eastAsia="宋体" w:cs="宋体"/>
          <w:color w:val="auto"/>
          <w:highlight w:val="none"/>
        </w:rPr>
        <w:t xml:space="preserve">    （2）与投标人存在直接控股、管理关系的其他单位。</w:t>
      </w:r>
    </w:p>
    <w:p>
      <w:pPr>
        <w:pStyle w:val="14"/>
        <w:shd w:val="clear" w:color="auto" w:fill="auto"/>
        <w:ind w:firstLine="0"/>
        <w:rPr>
          <w:rFonts w:hint="eastAsia" w:ascii="宋体" w:hAnsi="宋体" w:eastAsia="宋体" w:cs="宋体"/>
          <w:color w:val="auto"/>
          <w:highlight w:val="none"/>
        </w:rPr>
      </w:pPr>
      <w:bookmarkStart w:id="222" w:name="_Toc7414"/>
      <w:bookmarkStart w:id="223" w:name="_Toc17333"/>
      <w:bookmarkStart w:id="224" w:name="_Toc515647828"/>
    </w:p>
    <w:p>
      <w:pPr>
        <w:pStyle w:val="14"/>
        <w:shd w:val="clear" w:color="auto" w:fill="auto"/>
        <w:ind w:firstLine="0"/>
        <w:rPr>
          <w:rFonts w:hint="eastAsia" w:ascii="宋体" w:hAnsi="宋体" w:eastAsia="宋体" w:cs="宋体"/>
          <w:color w:val="auto"/>
          <w:highlight w:val="none"/>
        </w:rPr>
      </w:pPr>
    </w:p>
    <w:p>
      <w:pPr>
        <w:pStyle w:val="14"/>
        <w:shd w:val="clear" w:color="auto" w:fill="auto"/>
        <w:ind w:firstLine="0"/>
        <w:rPr>
          <w:rFonts w:hint="eastAsia" w:ascii="宋体" w:hAnsi="宋体" w:eastAsia="宋体" w:cs="宋体"/>
          <w:color w:val="auto"/>
          <w:highlight w:val="none"/>
        </w:rPr>
      </w:pPr>
    </w:p>
    <w:p>
      <w:pPr>
        <w:pStyle w:val="14"/>
        <w:shd w:val="clear" w:color="auto" w:fill="auto"/>
        <w:ind w:firstLine="0"/>
        <w:rPr>
          <w:rFonts w:hint="eastAsia" w:ascii="宋体" w:hAnsi="宋体" w:eastAsia="宋体" w:cs="宋体"/>
          <w:color w:val="auto"/>
          <w:highlight w:val="none"/>
        </w:rPr>
      </w:pPr>
    </w:p>
    <w:p>
      <w:pPr>
        <w:pStyle w:val="14"/>
        <w:shd w:val="clear" w:color="auto" w:fill="auto"/>
        <w:ind w:firstLine="0"/>
        <w:rPr>
          <w:rFonts w:hint="eastAsia" w:ascii="宋体" w:hAnsi="宋体" w:eastAsia="宋体" w:cs="宋体"/>
          <w:color w:val="auto"/>
          <w:highlight w:val="none"/>
        </w:rPr>
      </w:pPr>
    </w:p>
    <w:p>
      <w:pPr>
        <w:pStyle w:val="14"/>
        <w:shd w:val="clear" w:color="auto" w:fill="auto"/>
        <w:ind w:firstLine="0"/>
        <w:rPr>
          <w:rFonts w:hint="eastAsia" w:ascii="宋体" w:hAnsi="宋体" w:eastAsia="宋体" w:cs="宋体"/>
          <w:color w:val="auto"/>
          <w:highlight w:val="none"/>
        </w:rPr>
      </w:pPr>
    </w:p>
    <w:p>
      <w:pPr>
        <w:rPr>
          <w:rFonts w:hint="default"/>
          <w:highlight w:val="none"/>
          <w:lang w:val="en-US" w:eastAsia="zh-CN"/>
        </w:rPr>
      </w:pPr>
      <w:r>
        <w:rPr>
          <w:rFonts w:hint="eastAsia"/>
          <w:highlight w:val="none"/>
          <w:lang w:val="en-US" w:eastAsia="zh-CN"/>
        </w:rPr>
        <w:t>备注：无可不填写</w:t>
      </w:r>
    </w:p>
    <w:p>
      <w:pPr>
        <w:pStyle w:val="14"/>
        <w:shd w:val="clear" w:color="auto" w:fill="auto"/>
        <w:ind w:firstLine="0"/>
        <w:rPr>
          <w:rFonts w:hint="eastAsia" w:ascii="宋体" w:hAnsi="宋体" w:eastAsia="宋体" w:cs="宋体"/>
          <w:color w:val="auto"/>
          <w:highlight w:val="none"/>
        </w:rPr>
      </w:pPr>
    </w:p>
    <w:p>
      <w:pPr>
        <w:shd w:val="clear" w:color="auto" w:fill="auto"/>
        <w:rPr>
          <w:rFonts w:hint="eastAsia" w:ascii="宋体" w:hAnsi="宋体" w:eastAsia="宋体" w:cs="宋体"/>
          <w:color w:val="auto"/>
          <w:highlight w:val="none"/>
        </w:rPr>
      </w:pPr>
    </w:p>
    <w:p>
      <w:pPr>
        <w:pStyle w:val="5"/>
        <w:shd w:val="clear" w:color="auto" w:fill="auto"/>
        <w:outlineLvl w:val="9"/>
        <w:rPr>
          <w:rFonts w:hint="eastAsia" w:ascii="宋体" w:hAnsi="宋体" w:eastAsia="宋体" w:cs="宋体"/>
          <w:color w:val="auto"/>
          <w:highlight w:val="none"/>
        </w:rPr>
      </w:pPr>
    </w:p>
    <w:p>
      <w:pPr>
        <w:shd w:val="clear" w:color="auto" w:fill="auto"/>
        <w:rPr>
          <w:rFonts w:hint="eastAsia" w:ascii="宋体" w:hAnsi="宋体" w:eastAsia="宋体" w:cs="宋体"/>
          <w:color w:val="auto"/>
          <w:highlight w:val="none"/>
        </w:rPr>
      </w:pPr>
    </w:p>
    <w:p>
      <w:pPr>
        <w:pStyle w:val="5"/>
        <w:shd w:val="clear" w:color="auto" w:fill="auto"/>
        <w:outlineLvl w:val="9"/>
        <w:rPr>
          <w:rFonts w:hint="eastAsia" w:ascii="宋体" w:hAnsi="宋体" w:eastAsia="宋体" w:cs="宋体"/>
          <w:color w:val="auto"/>
          <w:highlight w:val="none"/>
        </w:rPr>
      </w:pPr>
    </w:p>
    <w:p>
      <w:pPr>
        <w:shd w:val="clear" w:color="auto" w:fill="auto"/>
        <w:rPr>
          <w:rFonts w:hint="eastAsia" w:ascii="宋体" w:hAnsi="宋体" w:eastAsia="宋体" w:cs="宋体"/>
          <w:color w:val="auto"/>
          <w:highlight w:val="none"/>
        </w:rPr>
      </w:pPr>
    </w:p>
    <w:p>
      <w:pPr>
        <w:pStyle w:val="5"/>
        <w:shd w:val="clear" w:color="auto" w:fill="auto"/>
        <w:outlineLvl w:val="9"/>
        <w:rPr>
          <w:rFonts w:hint="eastAsia" w:ascii="宋体" w:hAnsi="宋体" w:eastAsia="宋体" w:cs="宋体"/>
          <w:color w:val="auto"/>
          <w:highlight w:val="none"/>
        </w:rPr>
      </w:pPr>
    </w:p>
    <w:p>
      <w:pPr>
        <w:shd w:val="clear" w:color="auto" w:fill="auto"/>
        <w:rPr>
          <w:rFonts w:hint="eastAsia" w:ascii="宋体" w:hAnsi="宋体" w:eastAsia="宋体" w:cs="宋体"/>
          <w:color w:val="auto"/>
          <w:highlight w:val="none"/>
        </w:rPr>
      </w:pPr>
    </w:p>
    <w:p>
      <w:pPr>
        <w:pStyle w:val="81"/>
        <w:shd w:val="clear" w:color="auto" w:fill="auto"/>
        <w:rPr>
          <w:rFonts w:hint="eastAsia" w:ascii="宋体" w:hAnsi="宋体" w:eastAsia="宋体" w:cs="宋体"/>
          <w:color w:val="auto"/>
          <w:highlight w:val="none"/>
        </w:rPr>
      </w:pPr>
    </w:p>
    <w:p>
      <w:pPr>
        <w:pStyle w:val="81"/>
        <w:shd w:val="clear" w:color="auto" w:fill="auto"/>
        <w:rPr>
          <w:rFonts w:hint="eastAsia" w:ascii="宋体" w:hAnsi="宋体" w:eastAsia="宋体" w:cs="宋体"/>
          <w:color w:val="auto"/>
          <w:highlight w:val="none"/>
        </w:rPr>
      </w:pPr>
    </w:p>
    <w:p>
      <w:pPr>
        <w:pStyle w:val="81"/>
        <w:shd w:val="clear" w:color="auto" w:fill="auto"/>
        <w:rPr>
          <w:rFonts w:hint="eastAsia" w:ascii="宋体" w:hAnsi="宋体" w:eastAsia="宋体" w:cs="宋体"/>
          <w:color w:val="auto"/>
          <w:highlight w:val="none"/>
        </w:rPr>
      </w:pPr>
    </w:p>
    <w:p>
      <w:pPr>
        <w:pStyle w:val="81"/>
        <w:shd w:val="clear" w:color="auto" w:fill="auto"/>
        <w:rPr>
          <w:rFonts w:hint="eastAsia" w:ascii="宋体" w:hAnsi="宋体" w:eastAsia="宋体" w:cs="宋体"/>
          <w:color w:val="auto"/>
          <w:highlight w:val="none"/>
        </w:rPr>
      </w:pPr>
    </w:p>
    <w:p>
      <w:pPr>
        <w:pStyle w:val="81"/>
        <w:shd w:val="clear" w:color="auto" w:fill="auto"/>
        <w:rPr>
          <w:rFonts w:hint="eastAsia" w:ascii="宋体" w:hAnsi="宋体" w:eastAsia="宋体" w:cs="宋体"/>
          <w:color w:val="auto"/>
          <w:highlight w:val="none"/>
        </w:rPr>
      </w:pPr>
    </w:p>
    <w:p>
      <w:pPr>
        <w:pStyle w:val="81"/>
        <w:shd w:val="clear" w:color="auto" w:fill="auto"/>
        <w:rPr>
          <w:rFonts w:hint="eastAsia" w:ascii="宋体" w:hAnsi="宋体" w:eastAsia="宋体" w:cs="宋体"/>
          <w:color w:val="auto"/>
          <w:highlight w:val="none"/>
        </w:rPr>
      </w:pPr>
    </w:p>
    <w:p>
      <w:pPr>
        <w:pStyle w:val="81"/>
        <w:shd w:val="clear" w:color="auto" w:fill="auto"/>
        <w:rPr>
          <w:rFonts w:hint="eastAsia" w:ascii="宋体" w:hAnsi="宋体" w:eastAsia="宋体" w:cs="宋体"/>
          <w:color w:val="auto"/>
          <w:highlight w:val="none"/>
        </w:rPr>
      </w:pPr>
    </w:p>
    <w:p>
      <w:pPr>
        <w:pStyle w:val="81"/>
        <w:shd w:val="clear" w:color="auto" w:fill="auto"/>
        <w:rPr>
          <w:rFonts w:hint="eastAsia" w:ascii="宋体" w:hAnsi="宋体" w:eastAsia="宋体" w:cs="宋体"/>
          <w:color w:val="auto"/>
          <w:highlight w:val="none"/>
        </w:rPr>
      </w:pPr>
    </w:p>
    <w:p>
      <w:pPr>
        <w:pStyle w:val="81"/>
        <w:shd w:val="clear" w:color="auto" w:fill="auto"/>
        <w:rPr>
          <w:rFonts w:hint="eastAsia" w:ascii="宋体" w:hAnsi="宋体" w:eastAsia="宋体" w:cs="宋体"/>
          <w:color w:val="auto"/>
          <w:highlight w:val="none"/>
        </w:rPr>
      </w:pPr>
    </w:p>
    <w:p>
      <w:pPr>
        <w:pStyle w:val="81"/>
        <w:shd w:val="clear" w:color="auto" w:fill="auto"/>
        <w:rPr>
          <w:rFonts w:hint="eastAsia" w:ascii="宋体" w:hAnsi="宋体" w:eastAsia="宋体" w:cs="宋体"/>
          <w:color w:val="auto"/>
          <w:highlight w:val="none"/>
        </w:rPr>
      </w:pPr>
    </w:p>
    <w:p>
      <w:pPr>
        <w:pStyle w:val="81"/>
        <w:shd w:val="clear" w:color="auto" w:fill="auto"/>
        <w:rPr>
          <w:rFonts w:hint="eastAsia" w:ascii="宋体" w:hAnsi="宋体" w:eastAsia="宋体" w:cs="宋体"/>
          <w:color w:val="auto"/>
          <w:highlight w:val="none"/>
        </w:rPr>
      </w:pPr>
    </w:p>
    <w:p>
      <w:pPr>
        <w:pStyle w:val="81"/>
        <w:shd w:val="clear" w:color="auto" w:fill="auto"/>
        <w:rPr>
          <w:rFonts w:hint="eastAsia" w:ascii="宋体" w:hAnsi="宋体" w:eastAsia="宋体" w:cs="宋体"/>
          <w:color w:val="auto"/>
          <w:highlight w:val="none"/>
        </w:rPr>
      </w:pPr>
    </w:p>
    <w:bookmarkEnd w:id="222"/>
    <w:bookmarkEnd w:id="223"/>
    <w:bookmarkEnd w:id="224"/>
    <w:p>
      <w:pPr>
        <w:pStyle w:val="4"/>
        <w:numPr>
          <w:ilvl w:val="1"/>
          <w:numId w:val="0"/>
        </w:numPr>
        <w:shd w:val="clear" w:color="auto" w:fill="auto"/>
        <w:spacing w:before="0" w:line="240" w:lineRule="atLeast"/>
        <w:jc w:val="left"/>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val="en-US" w:eastAsia="zh-CN"/>
        </w:rPr>
        <w:t>8、</w:t>
      </w:r>
      <w:r>
        <w:rPr>
          <w:rFonts w:hint="eastAsia" w:ascii="宋体" w:hAnsi="宋体" w:eastAsia="宋体" w:cs="宋体"/>
          <w:b/>
          <w:bCs/>
          <w:color w:val="auto"/>
          <w:sz w:val="24"/>
          <w:highlight w:val="none"/>
          <w:lang w:eastAsia="zh-CN"/>
        </w:rPr>
        <w:t>评分标准和细则中技术部分证明材料（格式自拟）</w:t>
      </w:r>
    </w:p>
    <w:p>
      <w:pPr>
        <w:pStyle w:val="4"/>
        <w:numPr>
          <w:ilvl w:val="1"/>
          <w:numId w:val="0"/>
        </w:numPr>
        <w:shd w:val="clear" w:color="auto" w:fill="auto"/>
        <w:spacing w:before="0" w:line="240" w:lineRule="atLeast"/>
        <w:ind w:leftChars="257"/>
        <w:jc w:val="center"/>
        <w:outlineLvl w:val="9"/>
        <w:rPr>
          <w:rFonts w:hint="eastAsia" w:ascii="宋体" w:hAnsi="宋体" w:eastAsia="宋体" w:cs="宋体"/>
          <w:color w:val="auto"/>
          <w:sz w:val="24"/>
          <w:highlight w:val="none"/>
          <w:lang w:val="en-US" w:eastAsia="zh-CN"/>
        </w:rPr>
      </w:pPr>
    </w:p>
    <w:p>
      <w:pPr>
        <w:pStyle w:val="4"/>
        <w:numPr>
          <w:ilvl w:val="1"/>
          <w:numId w:val="0"/>
        </w:numPr>
        <w:shd w:val="clear" w:color="auto" w:fill="auto"/>
        <w:spacing w:before="0" w:line="240" w:lineRule="atLeast"/>
        <w:ind w:leftChars="257"/>
        <w:jc w:val="center"/>
        <w:outlineLvl w:val="9"/>
        <w:rPr>
          <w:rFonts w:hint="eastAsia" w:ascii="宋体" w:hAnsi="宋体" w:eastAsia="宋体" w:cs="宋体"/>
          <w:color w:val="auto"/>
          <w:sz w:val="24"/>
          <w:highlight w:val="none"/>
          <w:lang w:val="en-US" w:eastAsia="zh-CN"/>
        </w:rPr>
      </w:pPr>
    </w:p>
    <w:p>
      <w:pPr>
        <w:pStyle w:val="25"/>
        <w:shd w:val="clear" w:color="auto" w:fill="auto"/>
        <w:tabs>
          <w:tab w:val="left" w:pos="5580"/>
        </w:tabs>
        <w:spacing w:line="240" w:lineRule="atLeast"/>
        <w:ind w:left="1080"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说明：1.应提供</w:t>
      </w:r>
      <w:r>
        <w:rPr>
          <w:rFonts w:hint="eastAsia" w:ascii="宋体" w:hAnsi="宋体" w:eastAsia="宋体" w:cs="宋体"/>
          <w:color w:val="auto"/>
          <w:sz w:val="24"/>
          <w:highlight w:val="none"/>
          <w:u w:val="single" w:color="auto"/>
          <w:lang w:eastAsia="zh-CN"/>
        </w:rPr>
        <w:t>评分标准和细则中技术部分</w:t>
      </w:r>
      <w:r>
        <w:rPr>
          <w:rFonts w:hint="eastAsia" w:ascii="宋体" w:hAnsi="宋体" w:eastAsia="宋体" w:cs="宋体"/>
          <w:color w:val="auto"/>
          <w:sz w:val="24"/>
          <w:highlight w:val="none"/>
        </w:rPr>
        <w:t>要求的其他资格证明文件</w:t>
      </w:r>
      <w:r>
        <w:rPr>
          <w:rFonts w:hint="eastAsia" w:ascii="宋体" w:hAnsi="宋体" w:eastAsia="宋体" w:cs="宋体"/>
          <w:color w:val="auto"/>
          <w:sz w:val="24"/>
          <w:highlight w:val="none"/>
          <w:lang w:eastAsia="zh-CN"/>
        </w:rPr>
        <w:t>（主要包括：技术指标、参数；项目实施方案；供货方案；交货期等）</w:t>
      </w:r>
      <w:r>
        <w:rPr>
          <w:rFonts w:hint="eastAsia" w:ascii="宋体" w:hAnsi="宋体" w:eastAsia="宋体" w:cs="宋体"/>
          <w:color w:val="auto"/>
          <w:sz w:val="24"/>
          <w:highlight w:val="none"/>
        </w:rPr>
        <w:t>。</w:t>
      </w:r>
    </w:p>
    <w:p>
      <w:pPr>
        <w:pStyle w:val="25"/>
        <w:shd w:val="clear" w:color="auto" w:fill="auto"/>
        <w:tabs>
          <w:tab w:val="left" w:pos="5580"/>
        </w:tabs>
        <w:spacing w:line="240" w:lineRule="atLeast"/>
        <w:ind w:firstLine="1200" w:firstLineChars="500"/>
        <w:rPr>
          <w:rFonts w:hint="eastAsia" w:ascii="宋体" w:hAnsi="宋体" w:eastAsia="宋体" w:cs="宋体"/>
          <w:color w:val="auto"/>
          <w:sz w:val="24"/>
          <w:highlight w:val="none"/>
        </w:rPr>
      </w:pPr>
      <w:r>
        <w:rPr>
          <w:rFonts w:hint="eastAsia" w:ascii="宋体" w:hAnsi="宋体" w:eastAsia="宋体" w:cs="宋体"/>
          <w:color w:val="auto"/>
          <w:sz w:val="24"/>
          <w:highlight w:val="none"/>
        </w:rPr>
        <w:t>2.复印件上应加盖本单位章（自然人投标的无需盖章，需要签字）。</w:t>
      </w:r>
    </w:p>
    <w:p>
      <w:pPr>
        <w:pStyle w:val="25"/>
        <w:shd w:val="clear" w:color="auto" w:fill="auto"/>
        <w:tabs>
          <w:tab w:val="left" w:pos="5580"/>
        </w:tabs>
        <w:spacing w:line="240" w:lineRule="atLeast"/>
        <w:ind w:left="1260" w:leftChars="344" w:hanging="538"/>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3. （本项目不接受联合体）如果是联合体投标，联合体各方需提供的满足招标文件要求的其他资格证明文件。</w:t>
      </w:r>
    </w:p>
    <w:p>
      <w:pPr>
        <w:shd w:val="clear" w:color="auto" w:fill="auto"/>
        <w:rPr>
          <w:rFonts w:hint="eastAsia" w:ascii="宋体" w:hAnsi="宋体" w:eastAsia="宋体" w:cs="宋体"/>
          <w:color w:val="auto"/>
          <w:sz w:val="24"/>
          <w:highlight w:val="none"/>
          <w:lang w:val="en-US" w:eastAsia="zh-CN"/>
        </w:rPr>
      </w:pPr>
    </w:p>
    <w:p>
      <w:pPr>
        <w:pStyle w:val="5"/>
        <w:shd w:val="clear" w:color="auto" w:fill="auto"/>
        <w:outlineLvl w:val="9"/>
        <w:rPr>
          <w:rFonts w:hint="eastAsia"/>
          <w:color w:val="auto"/>
          <w:highlight w:val="none"/>
          <w:lang w:val="en-US" w:eastAsia="zh-CN"/>
        </w:rPr>
      </w:pPr>
    </w:p>
    <w:p>
      <w:pPr>
        <w:shd w:val="clear" w:color="auto" w:fill="auto"/>
        <w:rPr>
          <w:rFonts w:hint="eastAsia"/>
          <w:color w:val="auto"/>
          <w:highlight w:val="none"/>
          <w:lang w:val="en-US" w:eastAsia="zh-CN"/>
        </w:rPr>
      </w:pPr>
    </w:p>
    <w:p>
      <w:pPr>
        <w:pStyle w:val="81"/>
        <w:shd w:val="clear" w:color="auto" w:fill="auto"/>
        <w:rPr>
          <w:rFonts w:hint="eastAsia"/>
          <w:color w:val="auto"/>
          <w:highlight w:val="none"/>
          <w:lang w:val="en-US" w:eastAsia="zh-CN"/>
        </w:rPr>
      </w:pPr>
    </w:p>
    <w:p>
      <w:pPr>
        <w:pStyle w:val="81"/>
        <w:shd w:val="clear" w:color="auto" w:fill="auto"/>
        <w:rPr>
          <w:rFonts w:hint="eastAsia"/>
          <w:color w:val="auto"/>
          <w:highlight w:val="none"/>
          <w:lang w:val="en-US" w:eastAsia="zh-CN"/>
        </w:rPr>
      </w:pPr>
    </w:p>
    <w:p>
      <w:pPr>
        <w:pStyle w:val="81"/>
        <w:shd w:val="clear" w:color="auto" w:fill="auto"/>
        <w:rPr>
          <w:rFonts w:hint="eastAsia"/>
          <w:color w:val="auto"/>
          <w:highlight w:val="none"/>
          <w:lang w:val="en-US" w:eastAsia="zh-CN"/>
        </w:rPr>
      </w:pPr>
    </w:p>
    <w:p>
      <w:pPr>
        <w:pStyle w:val="81"/>
        <w:shd w:val="clear" w:color="auto" w:fill="auto"/>
        <w:rPr>
          <w:rFonts w:hint="eastAsia"/>
          <w:color w:val="auto"/>
          <w:highlight w:val="none"/>
          <w:lang w:val="en-US" w:eastAsia="zh-CN"/>
        </w:rPr>
      </w:pPr>
    </w:p>
    <w:p>
      <w:pPr>
        <w:pStyle w:val="81"/>
        <w:shd w:val="clear" w:color="auto" w:fill="auto"/>
        <w:rPr>
          <w:rFonts w:hint="eastAsia"/>
          <w:color w:val="auto"/>
          <w:highlight w:val="none"/>
          <w:lang w:val="en-US" w:eastAsia="zh-CN"/>
        </w:rPr>
      </w:pPr>
    </w:p>
    <w:p>
      <w:pPr>
        <w:pStyle w:val="81"/>
        <w:shd w:val="clear" w:color="auto" w:fill="auto"/>
        <w:rPr>
          <w:rFonts w:hint="eastAsia"/>
          <w:color w:val="auto"/>
          <w:highlight w:val="none"/>
          <w:lang w:val="en-US" w:eastAsia="zh-CN"/>
        </w:rPr>
      </w:pPr>
    </w:p>
    <w:p>
      <w:pPr>
        <w:pStyle w:val="81"/>
        <w:shd w:val="clear" w:color="auto" w:fill="auto"/>
        <w:rPr>
          <w:rFonts w:hint="eastAsia"/>
          <w:color w:val="auto"/>
          <w:highlight w:val="none"/>
          <w:lang w:val="en-US" w:eastAsia="zh-CN"/>
        </w:rPr>
      </w:pPr>
    </w:p>
    <w:p>
      <w:pPr>
        <w:pStyle w:val="81"/>
        <w:shd w:val="clear" w:color="auto" w:fill="auto"/>
        <w:rPr>
          <w:rFonts w:hint="eastAsia"/>
          <w:color w:val="auto"/>
          <w:highlight w:val="none"/>
          <w:lang w:val="en-US" w:eastAsia="zh-CN"/>
        </w:rPr>
      </w:pPr>
    </w:p>
    <w:p>
      <w:pPr>
        <w:pStyle w:val="81"/>
        <w:shd w:val="clear" w:color="auto" w:fill="auto"/>
        <w:rPr>
          <w:rFonts w:hint="eastAsia"/>
          <w:color w:val="auto"/>
          <w:highlight w:val="none"/>
          <w:lang w:val="en-US" w:eastAsia="zh-CN"/>
        </w:rPr>
      </w:pPr>
    </w:p>
    <w:p>
      <w:pPr>
        <w:pStyle w:val="81"/>
        <w:shd w:val="clear" w:color="auto" w:fill="auto"/>
        <w:rPr>
          <w:rFonts w:hint="eastAsia"/>
          <w:color w:val="auto"/>
          <w:highlight w:val="none"/>
          <w:lang w:val="en-US" w:eastAsia="zh-CN"/>
        </w:rPr>
      </w:pPr>
    </w:p>
    <w:p>
      <w:pPr>
        <w:pStyle w:val="81"/>
        <w:shd w:val="clear" w:color="auto" w:fill="auto"/>
        <w:rPr>
          <w:rFonts w:hint="eastAsia"/>
          <w:color w:val="auto"/>
          <w:highlight w:val="none"/>
          <w:lang w:val="en-US" w:eastAsia="zh-CN"/>
        </w:rPr>
      </w:pPr>
    </w:p>
    <w:p>
      <w:pPr>
        <w:pStyle w:val="81"/>
        <w:shd w:val="clear" w:color="auto" w:fill="auto"/>
        <w:rPr>
          <w:rFonts w:hint="eastAsia"/>
          <w:color w:val="auto"/>
          <w:highlight w:val="none"/>
          <w:lang w:val="en-US" w:eastAsia="zh-CN"/>
        </w:rPr>
      </w:pPr>
    </w:p>
    <w:p>
      <w:pPr>
        <w:pStyle w:val="81"/>
        <w:shd w:val="clear" w:color="auto" w:fill="auto"/>
        <w:rPr>
          <w:rFonts w:hint="eastAsia"/>
          <w:color w:val="auto"/>
          <w:highlight w:val="none"/>
          <w:lang w:val="en-US" w:eastAsia="zh-CN"/>
        </w:rPr>
      </w:pPr>
    </w:p>
    <w:p>
      <w:pPr>
        <w:pStyle w:val="81"/>
        <w:shd w:val="clear" w:color="auto" w:fill="auto"/>
        <w:rPr>
          <w:rFonts w:hint="eastAsia"/>
          <w:color w:val="auto"/>
          <w:highlight w:val="none"/>
          <w:lang w:val="en-US" w:eastAsia="zh-CN"/>
        </w:rPr>
      </w:pPr>
    </w:p>
    <w:p>
      <w:pPr>
        <w:pStyle w:val="81"/>
        <w:shd w:val="clear" w:color="auto" w:fill="auto"/>
        <w:rPr>
          <w:rFonts w:hint="eastAsia"/>
          <w:color w:val="auto"/>
          <w:highlight w:val="none"/>
          <w:lang w:val="en-US" w:eastAsia="zh-CN"/>
        </w:rPr>
      </w:pPr>
    </w:p>
    <w:p>
      <w:pPr>
        <w:pStyle w:val="81"/>
        <w:shd w:val="clear" w:color="auto" w:fill="auto"/>
        <w:rPr>
          <w:rFonts w:hint="eastAsia"/>
          <w:color w:val="auto"/>
          <w:highlight w:val="none"/>
          <w:lang w:val="en-US" w:eastAsia="zh-CN"/>
        </w:rPr>
      </w:pPr>
    </w:p>
    <w:p>
      <w:pPr>
        <w:pStyle w:val="81"/>
        <w:shd w:val="clear" w:color="auto" w:fill="auto"/>
        <w:rPr>
          <w:rFonts w:hint="eastAsia"/>
          <w:color w:val="auto"/>
          <w:highlight w:val="none"/>
          <w:lang w:val="en-US" w:eastAsia="zh-CN"/>
        </w:rPr>
      </w:pPr>
    </w:p>
    <w:p>
      <w:pPr>
        <w:pStyle w:val="81"/>
        <w:shd w:val="clear" w:color="auto" w:fill="auto"/>
        <w:rPr>
          <w:rFonts w:hint="eastAsia"/>
          <w:color w:val="auto"/>
          <w:highlight w:val="none"/>
          <w:lang w:val="en-US" w:eastAsia="zh-CN"/>
        </w:rPr>
      </w:pPr>
    </w:p>
    <w:p>
      <w:pPr>
        <w:pStyle w:val="81"/>
        <w:shd w:val="clear" w:color="auto" w:fill="auto"/>
        <w:rPr>
          <w:rFonts w:hint="eastAsia"/>
          <w:color w:val="auto"/>
          <w:highlight w:val="none"/>
          <w:lang w:val="en-US" w:eastAsia="zh-CN"/>
        </w:rPr>
      </w:pPr>
    </w:p>
    <w:p>
      <w:pPr>
        <w:pStyle w:val="81"/>
        <w:shd w:val="clear" w:color="auto" w:fill="auto"/>
        <w:rPr>
          <w:rFonts w:hint="eastAsia"/>
          <w:color w:val="auto"/>
          <w:highlight w:val="none"/>
          <w:lang w:val="en-US" w:eastAsia="zh-CN"/>
        </w:rPr>
      </w:pPr>
    </w:p>
    <w:p>
      <w:pPr>
        <w:pStyle w:val="81"/>
        <w:shd w:val="clear" w:color="auto" w:fill="auto"/>
        <w:rPr>
          <w:rFonts w:hint="eastAsia"/>
          <w:color w:val="auto"/>
          <w:highlight w:val="none"/>
          <w:lang w:val="en-US" w:eastAsia="zh-CN"/>
        </w:rPr>
      </w:pPr>
    </w:p>
    <w:p>
      <w:pPr>
        <w:pStyle w:val="81"/>
        <w:shd w:val="clear" w:color="auto" w:fill="auto"/>
        <w:rPr>
          <w:rFonts w:hint="eastAsia"/>
          <w:color w:val="auto"/>
          <w:highlight w:val="none"/>
          <w:lang w:val="en-US" w:eastAsia="zh-CN"/>
        </w:rPr>
      </w:pPr>
    </w:p>
    <w:p>
      <w:pPr>
        <w:pStyle w:val="4"/>
        <w:numPr>
          <w:ilvl w:val="1"/>
          <w:numId w:val="0"/>
        </w:numPr>
        <w:shd w:val="clear" w:color="auto" w:fill="auto"/>
        <w:spacing w:before="0" w:line="240" w:lineRule="atLeast"/>
        <w:ind w:leftChars="257"/>
        <w:jc w:val="center"/>
        <w:outlineLvl w:val="9"/>
        <w:rPr>
          <w:rFonts w:hint="eastAsia" w:ascii="宋体" w:hAnsi="宋体" w:eastAsia="宋体" w:cs="宋体"/>
          <w:color w:val="auto"/>
          <w:sz w:val="24"/>
          <w:highlight w:val="none"/>
          <w:lang w:val="en-US" w:eastAsia="zh-CN"/>
        </w:rPr>
      </w:pPr>
    </w:p>
    <w:p>
      <w:pPr>
        <w:pStyle w:val="4"/>
        <w:numPr>
          <w:ilvl w:val="1"/>
          <w:numId w:val="0"/>
        </w:numPr>
        <w:shd w:val="clear" w:color="auto" w:fill="auto"/>
        <w:spacing w:before="0" w:line="240" w:lineRule="atLeast"/>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lang w:eastAsia="zh-CN"/>
        </w:rPr>
        <w:t>评分标准和细则中商务部分证明材料（格式自拟）</w:t>
      </w:r>
    </w:p>
    <w:p>
      <w:pPr>
        <w:pStyle w:val="25"/>
        <w:shd w:val="clear" w:color="auto" w:fill="auto"/>
        <w:tabs>
          <w:tab w:val="left" w:pos="5580"/>
        </w:tabs>
        <w:spacing w:line="240" w:lineRule="atLeast"/>
        <w:ind w:left="1080" w:leftChars="257" w:hanging="540"/>
        <w:rPr>
          <w:rFonts w:hint="eastAsia" w:ascii="宋体" w:hAnsi="宋体" w:eastAsia="宋体" w:cs="宋体"/>
          <w:color w:val="auto"/>
          <w:sz w:val="24"/>
          <w:highlight w:val="none"/>
        </w:rPr>
      </w:pPr>
    </w:p>
    <w:p>
      <w:pPr>
        <w:pStyle w:val="25"/>
        <w:shd w:val="clear" w:color="auto" w:fill="auto"/>
        <w:tabs>
          <w:tab w:val="left" w:pos="5580"/>
        </w:tabs>
        <w:spacing w:line="240" w:lineRule="atLeast"/>
        <w:ind w:left="1080" w:leftChars="257" w:hanging="540"/>
        <w:rPr>
          <w:rFonts w:hint="eastAsia" w:ascii="宋体" w:hAnsi="宋体" w:eastAsia="宋体" w:cs="宋体"/>
          <w:color w:val="auto"/>
          <w:sz w:val="24"/>
          <w:highlight w:val="none"/>
        </w:rPr>
      </w:pPr>
    </w:p>
    <w:p>
      <w:pPr>
        <w:pStyle w:val="25"/>
        <w:shd w:val="clear" w:color="auto" w:fill="auto"/>
        <w:tabs>
          <w:tab w:val="left" w:pos="5580"/>
        </w:tabs>
        <w:spacing w:line="240" w:lineRule="atLeast"/>
        <w:ind w:left="1080"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说明：1.应提供</w:t>
      </w:r>
      <w:r>
        <w:rPr>
          <w:rFonts w:hint="eastAsia" w:ascii="宋体" w:hAnsi="宋体" w:eastAsia="宋体" w:cs="宋体"/>
          <w:color w:val="auto"/>
          <w:sz w:val="24"/>
          <w:highlight w:val="none"/>
          <w:u w:val="single" w:color="auto"/>
          <w:lang w:eastAsia="zh-CN"/>
        </w:rPr>
        <w:t>评分标准和细则中商务部分</w:t>
      </w:r>
      <w:r>
        <w:rPr>
          <w:rFonts w:hint="eastAsia" w:ascii="宋体" w:hAnsi="宋体" w:eastAsia="宋体" w:cs="宋体"/>
          <w:color w:val="auto"/>
          <w:sz w:val="24"/>
          <w:highlight w:val="none"/>
        </w:rPr>
        <w:t>要求的其他资格证明文件</w:t>
      </w:r>
      <w:r>
        <w:rPr>
          <w:rFonts w:hint="eastAsia" w:ascii="宋体" w:hAnsi="宋体" w:eastAsia="宋体" w:cs="宋体"/>
          <w:color w:val="auto"/>
          <w:sz w:val="24"/>
          <w:highlight w:val="none"/>
          <w:lang w:eastAsia="zh-CN"/>
        </w:rPr>
        <w:t>（主要包括：类似；业绩投标企业信誉；售后服务体系；培训计划等）</w:t>
      </w:r>
      <w:r>
        <w:rPr>
          <w:rFonts w:hint="eastAsia" w:ascii="宋体" w:hAnsi="宋体" w:eastAsia="宋体" w:cs="宋体"/>
          <w:color w:val="auto"/>
          <w:sz w:val="24"/>
          <w:highlight w:val="none"/>
        </w:rPr>
        <w:t>。</w:t>
      </w:r>
    </w:p>
    <w:p>
      <w:pPr>
        <w:pStyle w:val="25"/>
        <w:shd w:val="clear" w:color="auto" w:fill="auto"/>
        <w:tabs>
          <w:tab w:val="left" w:pos="5580"/>
        </w:tabs>
        <w:spacing w:line="240" w:lineRule="atLeast"/>
        <w:ind w:firstLine="1200" w:firstLineChars="500"/>
        <w:rPr>
          <w:rFonts w:hint="eastAsia" w:ascii="宋体" w:hAnsi="宋体" w:eastAsia="宋体" w:cs="宋体"/>
          <w:color w:val="auto"/>
          <w:sz w:val="24"/>
          <w:highlight w:val="none"/>
        </w:rPr>
      </w:pPr>
      <w:r>
        <w:rPr>
          <w:rFonts w:hint="eastAsia" w:ascii="宋体" w:hAnsi="宋体" w:eastAsia="宋体" w:cs="宋体"/>
          <w:color w:val="auto"/>
          <w:sz w:val="24"/>
          <w:highlight w:val="none"/>
        </w:rPr>
        <w:t>2.复印件上应加盖本单位章（自然人投标的无需盖章，需要签字）。</w:t>
      </w:r>
    </w:p>
    <w:p>
      <w:pPr>
        <w:pStyle w:val="25"/>
        <w:shd w:val="clear" w:color="auto" w:fill="auto"/>
        <w:tabs>
          <w:tab w:val="left" w:pos="5580"/>
        </w:tabs>
        <w:spacing w:line="240" w:lineRule="atLeast"/>
        <w:ind w:left="1260" w:leftChars="344" w:hanging="538"/>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3. （本项目不接受联合体）如果是联合体投标，联合体各方需提供的满足招标文件要求的其他资格证明文件。</w:t>
      </w:r>
    </w:p>
    <w:p>
      <w:pPr>
        <w:pStyle w:val="4"/>
        <w:numPr>
          <w:ilvl w:val="1"/>
          <w:numId w:val="0"/>
        </w:numPr>
        <w:shd w:val="clear" w:color="auto" w:fill="auto"/>
        <w:spacing w:before="0" w:line="240" w:lineRule="atLeast"/>
        <w:ind w:leftChars="257"/>
        <w:jc w:val="center"/>
        <w:outlineLvl w:val="9"/>
        <w:rPr>
          <w:rFonts w:hint="eastAsia" w:ascii="宋体" w:hAnsi="宋体" w:eastAsia="宋体" w:cs="宋体"/>
          <w:color w:val="auto"/>
          <w:sz w:val="24"/>
          <w:highlight w:val="none"/>
          <w:lang w:val="en-US" w:eastAsia="zh-CN"/>
        </w:rPr>
      </w:pPr>
    </w:p>
    <w:p>
      <w:pPr>
        <w:pStyle w:val="5"/>
        <w:shd w:val="clear" w:color="auto" w:fill="auto"/>
        <w:outlineLvl w:val="9"/>
        <w:rPr>
          <w:rFonts w:hint="eastAsia" w:ascii="宋体" w:hAnsi="宋体" w:eastAsia="宋体" w:cs="宋体"/>
          <w:color w:val="auto"/>
          <w:sz w:val="24"/>
          <w:highlight w:val="none"/>
          <w:lang w:val="en-US" w:eastAsia="zh-CN"/>
        </w:rPr>
      </w:pPr>
    </w:p>
    <w:p>
      <w:pPr>
        <w:shd w:val="clear" w:color="auto" w:fill="auto"/>
        <w:rPr>
          <w:rFonts w:hint="eastAsia"/>
          <w:color w:val="auto"/>
          <w:highlight w:val="none"/>
          <w:lang w:val="en-US" w:eastAsia="zh-CN"/>
        </w:rPr>
      </w:pPr>
    </w:p>
    <w:p>
      <w:pPr>
        <w:pStyle w:val="4"/>
        <w:numPr>
          <w:ilvl w:val="1"/>
          <w:numId w:val="0"/>
        </w:numPr>
        <w:shd w:val="clear" w:color="auto" w:fill="auto"/>
        <w:spacing w:before="0" w:line="240" w:lineRule="atLeast"/>
        <w:ind w:leftChars="257"/>
        <w:jc w:val="center"/>
        <w:outlineLvl w:val="9"/>
        <w:rPr>
          <w:rFonts w:hint="eastAsia" w:ascii="宋体" w:hAnsi="宋体" w:eastAsia="宋体" w:cs="宋体"/>
          <w:color w:val="auto"/>
          <w:sz w:val="24"/>
          <w:highlight w:val="none"/>
          <w:lang w:val="en-US" w:eastAsia="zh-CN"/>
        </w:rPr>
      </w:pPr>
    </w:p>
    <w:p>
      <w:pPr>
        <w:shd w:val="clear" w:color="auto" w:fill="auto"/>
        <w:rPr>
          <w:rFonts w:hint="eastAsia" w:ascii="宋体" w:hAnsi="宋体" w:eastAsia="宋体" w:cs="宋体"/>
          <w:color w:val="auto"/>
          <w:sz w:val="24"/>
          <w:highlight w:val="none"/>
          <w:lang w:val="en-US" w:eastAsia="zh-CN"/>
        </w:rPr>
      </w:pPr>
    </w:p>
    <w:p>
      <w:pPr>
        <w:pStyle w:val="81"/>
        <w:shd w:val="clear" w:color="auto" w:fill="auto"/>
        <w:rPr>
          <w:rFonts w:hint="eastAsia" w:ascii="宋体" w:hAnsi="宋体" w:eastAsia="宋体" w:cs="宋体"/>
          <w:color w:val="auto"/>
          <w:sz w:val="24"/>
          <w:highlight w:val="none"/>
          <w:lang w:val="en-US" w:eastAsia="zh-CN"/>
        </w:rPr>
      </w:pPr>
    </w:p>
    <w:p>
      <w:pPr>
        <w:pStyle w:val="81"/>
        <w:shd w:val="clear" w:color="auto" w:fill="auto"/>
        <w:rPr>
          <w:rFonts w:hint="eastAsia" w:ascii="宋体" w:hAnsi="宋体" w:eastAsia="宋体" w:cs="宋体"/>
          <w:color w:val="auto"/>
          <w:sz w:val="24"/>
          <w:highlight w:val="none"/>
          <w:lang w:val="en-US" w:eastAsia="zh-CN"/>
        </w:rPr>
      </w:pPr>
    </w:p>
    <w:p>
      <w:pPr>
        <w:pStyle w:val="81"/>
        <w:shd w:val="clear" w:color="auto" w:fill="auto"/>
        <w:rPr>
          <w:rFonts w:hint="eastAsia" w:ascii="宋体" w:hAnsi="宋体" w:eastAsia="宋体" w:cs="宋体"/>
          <w:color w:val="auto"/>
          <w:sz w:val="24"/>
          <w:highlight w:val="none"/>
          <w:lang w:val="en-US" w:eastAsia="zh-CN"/>
        </w:rPr>
      </w:pPr>
    </w:p>
    <w:p>
      <w:pPr>
        <w:pStyle w:val="81"/>
        <w:shd w:val="clear" w:color="auto" w:fill="auto"/>
        <w:rPr>
          <w:rFonts w:hint="eastAsia" w:ascii="宋体" w:hAnsi="宋体" w:eastAsia="宋体" w:cs="宋体"/>
          <w:color w:val="auto"/>
          <w:sz w:val="24"/>
          <w:highlight w:val="none"/>
          <w:lang w:val="en-US" w:eastAsia="zh-CN"/>
        </w:rPr>
      </w:pPr>
    </w:p>
    <w:p>
      <w:pPr>
        <w:pStyle w:val="81"/>
        <w:shd w:val="clear" w:color="auto" w:fill="auto"/>
        <w:rPr>
          <w:rFonts w:hint="eastAsia" w:ascii="宋体" w:hAnsi="宋体" w:eastAsia="宋体" w:cs="宋体"/>
          <w:color w:val="auto"/>
          <w:sz w:val="24"/>
          <w:highlight w:val="none"/>
          <w:lang w:val="en-US" w:eastAsia="zh-CN"/>
        </w:rPr>
      </w:pPr>
    </w:p>
    <w:p>
      <w:pPr>
        <w:pStyle w:val="81"/>
        <w:shd w:val="clear" w:color="auto" w:fill="auto"/>
        <w:rPr>
          <w:rFonts w:hint="eastAsia" w:ascii="宋体" w:hAnsi="宋体" w:eastAsia="宋体" w:cs="宋体"/>
          <w:color w:val="auto"/>
          <w:sz w:val="24"/>
          <w:highlight w:val="none"/>
          <w:lang w:val="en-US" w:eastAsia="zh-CN"/>
        </w:rPr>
      </w:pPr>
    </w:p>
    <w:p>
      <w:pPr>
        <w:pStyle w:val="81"/>
        <w:shd w:val="clear" w:color="auto" w:fill="auto"/>
        <w:rPr>
          <w:rFonts w:hint="eastAsia" w:ascii="宋体" w:hAnsi="宋体" w:eastAsia="宋体" w:cs="宋体"/>
          <w:color w:val="auto"/>
          <w:sz w:val="24"/>
          <w:highlight w:val="none"/>
          <w:lang w:val="en-US" w:eastAsia="zh-CN"/>
        </w:rPr>
      </w:pPr>
    </w:p>
    <w:p>
      <w:pPr>
        <w:pStyle w:val="81"/>
        <w:shd w:val="clear" w:color="auto" w:fill="auto"/>
        <w:rPr>
          <w:rFonts w:hint="eastAsia" w:ascii="宋体" w:hAnsi="宋体" w:eastAsia="宋体" w:cs="宋体"/>
          <w:color w:val="auto"/>
          <w:sz w:val="24"/>
          <w:highlight w:val="none"/>
          <w:lang w:val="en-US" w:eastAsia="zh-CN"/>
        </w:rPr>
      </w:pPr>
    </w:p>
    <w:p>
      <w:pPr>
        <w:pStyle w:val="81"/>
        <w:shd w:val="clear" w:color="auto" w:fill="auto"/>
        <w:rPr>
          <w:rFonts w:hint="eastAsia" w:ascii="宋体" w:hAnsi="宋体" w:eastAsia="宋体" w:cs="宋体"/>
          <w:color w:val="auto"/>
          <w:sz w:val="24"/>
          <w:highlight w:val="none"/>
          <w:lang w:val="en-US" w:eastAsia="zh-CN"/>
        </w:rPr>
      </w:pPr>
    </w:p>
    <w:p>
      <w:pPr>
        <w:pStyle w:val="81"/>
        <w:shd w:val="clear" w:color="auto" w:fill="auto"/>
        <w:rPr>
          <w:rFonts w:hint="eastAsia" w:ascii="宋体" w:hAnsi="宋体" w:eastAsia="宋体" w:cs="宋体"/>
          <w:color w:val="auto"/>
          <w:sz w:val="24"/>
          <w:highlight w:val="none"/>
          <w:lang w:val="en-US" w:eastAsia="zh-CN"/>
        </w:rPr>
      </w:pPr>
    </w:p>
    <w:p>
      <w:pPr>
        <w:pStyle w:val="81"/>
        <w:shd w:val="clear" w:color="auto" w:fill="auto"/>
        <w:rPr>
          <w:rFonts w:hint="eastAsia" w:ascii="宋体" w:hAnsi="宋体" w:eastAsia="宋体" w:cs="宋体"/>
          <w:color w:val="auto"/>
          <w:sz w:val="24"/>
          <w:highlight w:val="none"/>
          <w:lang w:val="en-US" w:eastAsia="zh-CN"/>
        </w:rPr>
      </w:pPr>
    </w:p>
    <w:p>
      <w:pPr>
        <w:pStyle w:val="81"/>
        <w:shd w:val="clear" w:color="auto" w:fill="auto"/>
        <w:rPr>
          <w:rFonts w:hint="eastAsia" w:ascii="宋体" w:hAnsi="宋体" w:eastAsia="宋体" w:cs="宋体"/>
          <w:color w:val="auto"/>
          <w:sz w:val="24"/>
          <w:highlight w:val="none"/>
          <w:lang w:val="en-US" w:eastAsia="zh-CN"/>
        </w:rPr>
      </w:pPr>
    </w:p>
    <w:p>
      <w:pPr>
        <w:pStyle w:val="81"/>
        <w:shd w:val="clear" w:color="auto" w:fill="auto"/>
        <w:rPr>
          <w:rFonts w:hint="eastAsia" w:ascii="宋体" w:hAnsi="宋体" w:eastAsia="宋体" w:cs="宋体"/>
          <w:color w:val="auto"/>
          <w:sz w:val="24"/>
          <w:highlight w:val="none"/>
          <w:lang w:val="en-US" w:eastAsia="zh-CN"/>
        </w:rPr>
      </w:pPr>
    </w:p>
    <w:p>
      <w:pPr>
        <w:pStyle w:val="81"/>
        <w:shd w:val="clear" w:color="auto" w:fill="auto"/>
        <w:rPr>
          <w:rFonts w:hint="eastAsia" w:ascii="宋体" w:hAnsi="宋体" w:eastAsia="宋体" w:cs="宋体"/>
          <w:color w:val="auto"/>
          <w:sz w:val="24"/>
          <w:highlight w:val="none"/>
          <w:lang w:val="en-US" w:eastAsia="zh-CN"/>
        </w:rPr>
      </w:pPr>
    </w:p>
    <w:p>
      <w:pPr>
        <w:pStyle w:val="81"/>
        <w:shd w:val="clear" w:color="auto" w:fill="auto"/>
        <w:rPr>
          <w:rFonts w:hint="eastAsia" w:ascii="宋体" w:hAnsi="宋体" w:eastAsia="宋体" w:cs="宋体"/>
          <w:color w:val="auto"/>
          <w:sz w:val="24"/>
          <w:highlight w:val="none"/>
          <w:lang w:val="en-US" w:eastAsia="zh-CN"/>
        </w:rPr>
      </w:pPr>
    </w:p>
    <w:p>
      <w:pPr>
        <w:pStyle w:val="81"/>
        <w:shd w:val="clear" w:color="auto" w:fill="auto"/>
        <w:rPr>
          <w:rFonts w:hint="eastAsia" w:ascii="宋体" w:hAnsi="宋体" w:eastAsia="宋体" w:cs="宋体"/>
          <w:color w:val="auto"/>
          <w:sz w:val="24"/>
          <w:highlight w:val="none"/>
          <w:lang w:val="en-US" w:eastAsia="zh-CN"/>
        </w:rPr>
      </w:pPr>
    </w:p>
    <w:p>
      <w:pPr>
        <w:pStyle w:val="81"/>
        <w:shd w:val="clear" w:color="auto" w:fill="auto"/>
        <w:rPr>
          <w:rFonts w:hint="eastAsia" w:ascii="宋体" w:hAnsi="宋体" w:eastAsia="宋体" w:cs="宋体"/>
          <w:color w:val="auto"/>
          <w:sz w:val="24"/>
          <w:highlight w:val="none"/>
          <w:lang w:val="en-US" w:eastAsia="zh-CN"/>
        </w:rPr>
      </w:pPr>
    </w:p>
    <w:p>
      <w:pPr>
        <w:pStyle w:val="81"/>
        <w:shd w:val="clear" w:color="auto" w:fill="auto"/>
        <w:rPr>
          <w:rFonts w:hint="eastAsia" w:ascii="宋体" w:hAnsi="宋体" w:eastAsia="宋体" w:cs="宋体"/>
          <w:color w:val="auto"/>
          <w:sz w:val="24"/>
          <w:highlight w:val="none"/>
          <w:lang w:val="en-US" w:eastAsia="zh-CN"/>
        </w:rPr>
      </w:pPr>
    </w:p>
    <w:p>
      <w:pPr>
        <w:pStyle w:val="81"/>
        <w:shd w:val="clear" w:color="auto" w:fill="auto"/>
        <w:rPr>
          <w:rFonts w:hint="eastAsia" w:ascii="宋体" w:hAnsi="宋体" w:eastAsia="宋体" w:cs="宋体"/>
          <w:color w:val="auto"/>
          <w:sz w:val="24"/>
          <w:highlight w:val="none"/>
          <w:lang w:val="en-US" w:eastAsia="zh-CN"/>
        </w:rPr>
      </w:pPr>
    </w:p>
    <w:p>
      <w:pPr>
        <w:pStyle w:val="81"/>
        <w:shd w:val="clear" w:color="auto" w:fill="auto"/>
        <w:rPr>
          <w:rFonts w:hint="eastAsia" w:ascii="宋体" w:hAnsi="宋体" w:eastAsia="宋体" w:cs="宋体"/>
          <w:color w:val="auto"/>
          <w:sz w:val="24"/>
          <w:highlight w:val="none"/>
          <w:lang w:val="en-US" w:eastAsia="zh-CN"/>
        </w:rPr>
      </w:pPr>
    </w:p>
    <w:p>
      <w:pPr>
        <w:pStyle w:val="4"/>
        <w:numPr>
          <w:ilvl w:val="1"/>
          <w:numId w:val="0"/>
        </w:numPr>
        <w:shd w:val="clear" w:color="auto" w:fill="auto"/>
        <w:spacing w:before="0" w:line="240" w:lineRule="atLeast"/>
        <w:jc w:val="left"/>
        <w:outlineLvl w:val="9"/>
        <w:rPr>
          <w:rFonts w:hint="eastAsia" w:ascii="宋体" w:hAnsi="宋体" w:eastAsia="宋体" w:cs="宋体"/>
          <w:color w:val="auto"/>
          <w:sz w:val="24"/>
          <w:highlight w:val="none"/>
          <w:lang w:val="en-US" w:eastAsia="zh-CN"/>
        </w:rPr>
      </w:pPr>
    </w:p>
    <w:p>
      <w:pPr>
        <w:pStyle w:val="4"/>
        <w:numPr>
          <w:ilvl w:val="1"/>
          <w:numId w:val="0"/>
        </w:numPr>
        <w:shd w:val="clear" w:color="auto" w:fill="auto"/>
        <w:spacing w:before="0" w:line="240" w:lineRule="atLeast"/>
        <w:jc w:val="left"/>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val="en-US" w:eastAsia="zh-CN"/>
        </w:rPr>
        <w:t>10、</w:t>
      </w:r>
      <w:r>
        <w:rPr>
          <w:rFonts w:hint="eastAsia" w:ascii="宋体" w:hAnsi="宋体" w:eastAsia="宋体" w:cs="宋体"/>
          <w:b/>
          <w:bCs/>
          <w:color w:val="auto"/>
          <w:sz w:val="24"/>
          <w:highlight w:val="none"/>
          <w:lang w:eastAsia="zh-CN"/>
        </w:rPr>
        <w:t>投标人认为有必要提供的其他证明材料（格式自拟）</w:t>
      </w:r>
    </w:p>
    <w:p>
      <w:pPr>
        <w:shd w:val="clear" w:color="auto" w:fill="auto"/>
        <w:rPr>
          <w:rFonts w:hint="eastAsia" w:ascii="宋体" w:hAnsi="宋体" w:eastAsia="宋体" w:cs="宋体"/>
          <w:color w:val="auto"/>
          <w:highlight w:val="none"/>
        </w:rPr>
      </w:pPr>
    </w:p>
    <w:p>
      <w:pPr>
        <w:pStyle w:val="25"/>
        <w:shd w:val="clear" w:color="auto" w:fill="auto"/>
        <w:tabs>
          <w:tab w:val="left" w:pos="5580"/>
        </w:tabs>
        <w:spacing w:line="240" w:lineRule="atLeast"/>
        <w:ind w:firstLine="1200" w:firstLineChars="500"/>
        <w:rPr>
          <w:rFonts w:hint="eastAsia" w:ascii="宋体" w:hAnsi="宋体" w:eastAsia="宋体" w:cs="宋体"/>
          <w:color w:val="auto"/>
          <w:sz w:val="24"/>
          <w:highlight w:val="none"/>
        </w:rPr>
      </w:pPr>
    </w:p>
    <w:p>
      <w:pPr>
        <w:pStyle w:val="25"/>
        <w:shd w:val="clear" w:color="auto" w:fill="auto"/>
        <w:tabs>
          <w:tab w:val="left" w:pos="5580"/>
        </w:tabs>
        <w:spacing w:line="240" w:lineRule="atLeast"/>
        <w:ind w:firstLine="1200" w:firstLineChars="500"/>
        <w:rPr>
          <w:rFonts w:hint="eastAsia" w:ascii="宋体" w:hAnsi="宋体" w:eastAsia="宋体" w:cs="宋体"/>
          <w:color w:val="auto"/>
          <w:sz w:val="24"/>
          <w:highlight w:val="none"/>
        </w:rPr>
      </w:pPr>
    </w:p>
    <w:p>
      <w:pPr>
        <w:pStyle w:val="25"/>
        <w:shd w:val="clear" w:color="auto" w:fill="auto"/>
        <w:tabs>
          <w:tab w:val="left" w:pos="5580"/>
        </w:tabs>
        <w:spacing w:line="240" w:lineRule="atLeast"/>
        <w:ind w:firstLine="1200" w:firstLineChars="500"/>
        <w:rPr>
          <w:rFonts w:hint="eastAsia" w:ascii="宋体" w:hAnsi="宋体" w:eastAsia="宋体" w:cs="宋体"/>
          <w:color w:val="auto"/>
          <w:sz w:val="24"/>
          <w:highlight w:val="none"/>
        </w:rPr>
      </w:pPr>
      <w:r>
        <w:rPr>
          <w:rFonts w:hint="eastAsia" w:ascii="宋体" w:hAnsi="宋体" w:eastAsia="宋体" w:cs="宋体"/>
          <w:color w:val="auto"/>
          <w:sz w:val="24"/>
          <w:highlight w:val="none"/>
        </w:rPr>
        <w:t>说明：1.复印件上应加盖本单位章（自然人投标的无需盖章，需要签字）。</w:t>
      </w:r>
    </w:p>
    <w:p>
      <w:pPr>
        <w:pStyle w:val="25"/>
        <w:shd w:val="clear" w:color="auto" w:fill="auto"/>
        <w:tabs>
          <w:tab w:val="left" w:pos="5580"/>
        </w:tabs>
        <w:spacing w:line="240" w:lineRule="atLeast"/>
        <w:ind w:left="1915" w:leftChars="912" w:firstLine="0" w:firstLineChars="0"/>
        <w:rPr>
          <w:rFonts w:hint="eastAsia" w:ascii="宋体" w:hAnsi="宋体" w:eastAsia="宋体" w:cs="宋体"/>
          <w:b w:val="0"/>
          <w:bCs w:val="0"/>
          <w:color w:val="auto"/>
          <w:kern w:val="2"/>
          <w:sz w:val="24"/>
          <w:szCs w:val="20"/>
          <w:highlight w:val="none"/>
          <w:u w:val="none" w:color="000000"/>
          <w:lang w:val="en-US" w:eastAsia="zh-CN" w:bidi="ar-SA"/>
        </w:rPr>
      </w:pPr>
      <w:r>
        <w:rPr>
          <w:rFonts w:hint="eastAsia" w:ascii="宋体" w:hAnsi="宋体" w:eastAsia="宋体" w:cs="宋体"/>
          <w:b w:val="0"/>
          <w:bCs w:val="0"/>
          <w:color w:val="auto"/>
          <w:kern w:val="2"/>
          <w:sz w:val="24"/>
          <w:szCs w:val="20"/>
          <w:highlight w:val="none"/>
          <w:u w:val="none" w:color="000000"/>
          <w:lang w:val="en-US" w:eastAsia="zh-CN" w:bidi="ar-SA"/>
        </w:rPr>
        <w:t>2.（本项目不接受联合体）如果是联合体投标，联合体各方需提供的满足招标文件要求的其他资格证明文件。</w:t>
      </w:r>
    </w:p>
    <w:p>
      <w:pPr>
        <w:pStyle w:val="26"/>
        <w:rPr>
          <w:rFonts w:hint="eastAsia"/>
          <w:highlight w:val="none"/>
        </w:rPr>
      </w:pPr>
    </w:p>
    <w:p>
      <w:pPr>
        <w:rPr>
          <w:rFonts w:hint="eastAsia"/>
          <w:highlight w:val="none"/>
        </w:rPr>
      </w:pPr>
    </w:p>
    <w:p>
      <w:pPr>
        <w:pStyle w:val="35"/>
        <w:rPr>
          <w:rFonts w:hint="eastAsia"/>
          <w:highlight w:val="none"/>
        </w:rPr>
      </w:pPr>
    </w:p>
    <w:p>
      <w:pPr>
        <w:pStyle w:val="35"/>
        <w:rPr>
          <w:rFonts w:hint="eastAsia"/>
          <w:highlight w:val="none"/>
        </w:rPr>
      </w:pPr>
    </w:p>
    <w:p>
      <w:pPr>
        <w:pStyle w:val="35"/>
        <w:rPr>
          <w:rFonts w:hint="eastAsia"/>
          <w:highlight w:val="none"/>
        </w:rPr>
      </w:pPr>
    </w:p>
    <w:p>
      <w:pPr>
        <w:pStyle w:val="35"/>
        <w:rPr>
          <w:rFonts w:hint="eastAsia"/>
          <w:highlight w:val="none"/>
        </w:rPr>
      </w:pPr>
    </w:p>
    <w:p>
      <w:pPr>
        <w:pStyle w:val="35"/>
        <w:rPr>
          <w:rFonts w:hint="eastAsia"/>
          <w:highlight w:val="none"/>
        </w:rPr>
      </w:pPr>
    </w:p>
    <w:p>
      <w:pPr>
        <w:pStyle w:val="35"/>
        <w:rPr>
          <w:rFonts w:hint="eastAsia"/>
          <w:highlight w:val="none"/>
        </w:rPr>
      </w:pPr>
    </w:p>
    <w:p>
      <w:pPr>
        <w:pStyle w:val="35"/>
        <w:rPr>
          <w:rFonts w:hint="eastAsia"/>
          <w:highlight w:val="none"/>
        </w:rPr>
      </w:pPr>
    </w:p>
    <w:p>
      <w:pPr>
        <w:pStyle w:val="35"/>
        <w:rPr>
          <w:rFonts w:hint="eastAsia"/>
          <w:highlight w:val="none"/>
        </w:rPr>
      </w:pPr>
    </w:p>
    <w:p>
      <w:pPr>
        <w:pStyle w:val="35"/>
        <w:rPr>
          <w:rFonts w:hint="eastAsia"/>
          <w:highlight w:val="none"/>
        </w:rPr>
      </w:pPr>
    </w:p>
    <w:p>
      <w:pPr>
        <w:pStyle w:val="35"/>
        <w:rPr>
          <w:rFonts w:hint="eastAsia"/>
          <w:highlight w:val="none"/>
        </w:rPr>
      </w:pPr>
    </w:p>
    <w:p>
      <w:pPr>
        <w:pStyle w:val="35"/>
        <w:rPr>
          <w:rFonts w:hint="eastAsia"/>
          <w:highlight w:val="none"/>
        </w:rPr>
      </w:pPr>
    </w:p>
    <w:p>
      <w:pPr>
        <w:pStyle w:val="35"/>
        <w:rPr>
          <w:rFonts w:hint="eastAsia"/>
          <w:highlight w:val="none"/>
        </w:rPr>
      </w:pPr>
    </w:p>
    <w:p>
      <w:pPr>
        <w:pStyle w:val="35"/>
        <w:rPr>
          <w:rFonts w:hint="eastAsia"/>
          <w:highlight w:val="none"/>
        </w:rPr>
      </w:pPr>
    </w:p>
    <w:p>
      <w:pPr>
        <w:pStyle w:val="35"/>
        <w:rPr>
          <w:rFonts w:hint="eastAsia"/>
          <w:highlight w:val="none"/>
        </w:rPr>
      </w:pPr>
    </w:p>
    <w:p>
      <w:pPr>
        <w:pStyle w:val="35"/>
        <w:rPr>
          <w:rFonts w:hint="eastAsia"/>
          <w:highlight w:val="none"/>
        </w:rPr>
      </w:pPr>
    </w:p>
    <w:p>
      <w:pPr>
        <w:pStyle w:val="35"/>
        <w:rPr>
          <w:rFonts w:hint="eastAsia"/>
          <w:highlight w:val="none"/>
        </w:rPr>
      </w:pPr>
    </w:p>
    <w:p>
      <w:pPr>
        <w:pStyle w:val="35"/>
        <w:rPr>
          <w:rFonts w:hint="eastAsia"/>
          <w:highlight w:val="none"/>
        </w:rPr>
      </w:pPr>
    </w:p>
    <w:p>
      <w:pPr>
        <w:pStyle w:val="35"/>
        <w:rPr>
          <w:rFonts w:hint="eastAsia"/>
          <w:highlight w:val="none"/>
        </w:rPr>
      </w:pPr>
    </w:p>
    <w:p>
      <w:pPr>
        <w:pStyle w:val="35"/>
        <w:rPr>
          <w:rFonts w:hint="eastAsia"/>
          <w:highlight w:val="none"/>
        </w:rPr>
      </w:pPr>
    </w:p>
    <w:p>
      <w:pPr>
        <w:pStyle w:val="35"/>
        <w:rPr>
          <w:rFonts w:hint="eastAsia"/>
          <w:highlight w:val="none"/>
        </w:rPr>
      </w:pPr>
    </w:p>
    <w:p>
      <w:pPr>
        <w:pStyle w:val="35"/>
        <w:rPr>
          <w:rFonts w:hint="eastAsia"/>
          <w:highlight w:val="none"/>
        </w:rPr>
      </w:pPr>
    </w:p>
    <w:p>
      <w:pPr>
        <w:pStyle w:val="35"/>
        <w:rPr>
          <w:rFonts w:hint="eastAsia"/>
          <w:highlight w:val="none"/>
        </w:rPr>
      </w:pPr>
    </w:p>
    <w:p>
      <w:pPr>
        <w:pStyle w:val="35"/>
        <w:rPr>
          <w:rFonts w:hint="eastAsia"/>
          <w:highlight w:val="none"/>
        </w:rPr>
      </w:pPr>
    </w:p>
    <w:p>
      <w:pPr>
        <w:pStyle w:val="35"/>
        <w:rPr>
          <w:rFonts w:hint="eastAsia"/>
          <w:highlight w:val="none"/>
        </w:rPr>
      </w:pPr>
    </w:p>
    <w:p>
      <w:pPr>
        <w:pStyle w:val="35"/>
        <w:rPr>
          <w:rFonts w:hint="eastAsia"/>
          <w:highlight w:val="none"/>
        </w:rPr>
      </w:pPr>
    </w:p>
    <w:p>
      <w:pPr>
        <w:pStyle w:val="35"/>
        <w:rPr>
          <w:rFonts w:hint="eastAsia"/>
          <w:highlight w:val="none"/>
        </w:rPr>
      </w:pPr>
    </w:p>
    <w:p>
      <w:pPr>
        <w:pStyle w:val="35"/>
        <w:rPr>
          <w:rFonts w:hint="eastAsia"/>
          <w:highlight w:val="none"/>
        </w:rPr>
      </w:pPr>
    </w:p>
    <w:p>
      <w:pPr>
        <w:pStyle w:val="35"/>
        <w:rPr>
          <w:rFonts w:hint="eastAsia"/>
          <w:highlight w:val="none"/>
        </w:rPr>
      </w:pPr>
    </w:p>
    <w:p>
      <w:pPr>
        <w:pStyle w:val="35"/>
        <w:rPr>
          <w:rFonts w:hint="eastAsia"/>
          <w:highlight w:val="none"/>
        </w:rPr>
      </w:pPr>
    </w:p>
    <w:p>
      <w:pPr>
        <w:pStyle w:val="35"/>
        <w:rPr>
          <w:rFonts w:hint="eastAsia"/>
          <w:highlight w:val="none"/>
        </w:rPr>
      </w:pPr>
    </w:p>
    <w:p>
      <w:pPr>
        <w:pStyle w:val="35"/>
        <w:rPr>
          <w:rFonts w:hint="eastAsia"/>
          <w:highlight w:val="none"/>
        </w:rPr>
      </w:pPr>
    </w:p>
    <w:p>
      <w:pPr>
        <w:pStyle w:val="35"/>
        <w:rPr>
          <w:rFonts w:hint="eastAsia"/>
          <w:highlight w:val="none"/>
        </w:rPr>
      </w:pPr>
    </w:p>
    <w:p>
      <w:pPr>
        <w:pStyle w:val="35"/>
        <w:rPr>
          <w:rFonts w:hint="eastAsia"/>
          <w:highlight w:val="none"/>
        </w:rPr>
      </w:pPr>
    </w:p>
    <w:p>
      <w:pPr>
        <w:pStyle w:val="35"/>
        <w:rPr>
          <w:rFonts w:hint="eastAsia"/>
          <w:highlight w:val="none"/>
        </w:rPr>
      </w:pPr>
    </w:p>
    <w:p>
      <w:pPr>
        <w:pStyle w:val="35"/>
        <w:rPr>
          <w:rFonts w:hint="eastAsia"/>
          <w:highlight w:val="none"/>
        </w:rPr>
      </w:pPr>
    </w:p>
    <w:p>
      <w:pPr>
        <w:pStyle w:val="35"/>
        <w:rPr>
          <w:rFonts w:hint="eastAsia"/>
          <w:highlight w:val="none"/>
        </w:rPr>
      </w:pPr>
    </w:p>
    <w:p>
      <w:pPr>
        <w:pStyle w:val="35"/>
        <w:rPr>
          <w:rFonts w:hint="eastAsia"/>
          <w:highlight w:val="none"/>
        </w:rPr>
      </w:pPr>
    </w:p>
    <w:p>
      <w:pPr>
        <w:pStyle w:val="35"/>
        <w:rPr>
          <w:rFonts w:hint="eastAsia"/>
          <w:highlight w:val="none"/>
        </w:rPr>
      </w:pPr>
    </w:p>
    <w:p>
      <w:pPr>
        <w:pStyle w:val="35"/>
        <w:rPr>
          <w:rFonts w:hint="eastAsia"/>
          <w:highlight w:val="none"/>
        </w:rPr>
      </w:pPr>
    </w:p>
    <w:p>
      <w:pPr>
        <w:pStyle w:val="35"/>
        <w:rPr>
          <w:rFonts w:hint="eastAsia"/>
          <w:highlight w:val="none"/>
        </w:rPr>
      </w:pPr>
    </w:p>
    <w:p>
      <w:pPr>
        <w:pStyle w:val="35"/>
        <w:rPr>
          <w:rFonts w:hint="eastAsia"/>
          <w:highlight w:val="none"/>
        </w:rPr>
      </w:pPr>
    </w:p>
    <w:p>
      <w:pPr>
        <w:pStyle w:val="35"/>
        <w:rPr>
          <w:rFonts w:hint="eastAsia"/>
          <w:highlight w:val="none"/>
        </w:rPr>
      </w:pPr>
    </w:p>
    <w:p>
      <w:pPr>
        <w:pStyle w:val="35"/>
        <w:rPr>
          <w:rFonts w:hint="eastAsia"/>
          <w:highlight w:val="none"/>
        </w:rPr>
      </w:pPr>
    </w:p>
    <w:p>
      <w:pPr>
        <w:pStyle w:val="35"/>
        <w:rPr>
          <w:rFonts w:hint="eastAsia"/>
          <w:highlight w:val="none"/>
        </w:rPr>
      </w:pPr>
    </w:p>
    <w:p>
      <w:pPr>
        <w:pStyle w:val="35"/>
        <w:rPr>
          <w:rFonts w:hint="eastAsia"/>
          <w:highlight w:val="none"/>
        </w:rPr>
      </w:pPr>
    </w:p>
    <w:p>
      <w:pPr>
        <w:pStyle w:val="35"/>
        <w:rPr>
          <w:rFonts w:hint="eastAsia"/>
          <w:highlight w:val="none"/>
        </w:rPr>
      </w:pPr>
    </w:p>
    <w:p>
      <w:pPr>
        <w:pStyle w:val="35"/>
        <w:rPr>
          <w:rFonts w:hint="eastAsia"/>
          <w:highlight w:val="none"/>
        </w:rPr>
      </w:pPr>
    </w:p>
    <w:p>
      <w:pPr>
        <w:pStyle w:val="35"/>
        <w:rPr>
          <w:rFonts w:hint="eastAsia"/>
          <w:highlight w:val="none"/>
        </w:rPr>
      </w:pPr>
    </w:p>
    <w:p>
      <w:pPr>
        <w:pStyle w:val="35"/>
        <w:rPr>
          <w:rFonts w:hint="eastAsia"/>
          <w:highlight w:val="none"/>
        </w:rPr>
      </w:pPr>
    </w:p>
    <w:p>
      <w:pPr>
        <w:pStyle w:val="35"/>
        <w:rPr>
          <w:rFonts w:hint="eastAsia"/>
          <w:highlight w:val="none"/>
        </w:rPr>
      </w:pPr>
    </w:p>
    <w:tbl>
      <w:tblPr>
        <w:tblStyle w:val="47"/>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1650"/>
        <w:gridCol w:w="518"/>
        <w:gridCol w:w="715"/>
        <w:gridCol w:w="726"/>
        <w:gridCol w:w="657"/>
        <w:gridCol w:w="801"/>
        <w:gridCol w:w="636"/>
        <w:gridCol w:w="672"/>
        <w:gridCol w:w="672"/>
        <w:gridCol w:w="606"/>
        <w:gridCol w:w="683"/>
        <w:gridCol w:w="612"/>
        <w:gridCol w:w="4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9" w:hRule="atLeast"/>
          <w:jc w:val="center"/>
        </w:trPr>
        <w:tc>
          <w:tcPr>
            <w:tcW w:w="879" w:type="pct"/>
            <w:vMerge w:val="restart"/>
            <w:tcBorders>
              <w:top w:val="single" w:color="000000" w:sz="12" w:space="0"/>
              <w:left w:val="single" w:color="000000" w:sz="12"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11"/>
                <w:szCs w:val="11"/>
                <w:highlight w:val="none"/>
                <w:u w:val="none"/>
              </w:rPr>
            </w:pPr>
            <w:r>
              <w:rPr>
                <w:rFonts w:hint="eastAsia" w:ascii="仿宋" w:hAnsi="仿宋" w:eastAsia="仿宋" w:cs="仿宋"/>
                <w:i w:val="0"/>
                <w:color w:val="000000"/>
                <w:kern w:val="0"/>
                <w:sz w:val="11"/>
                <w:szCs w:val="11"/>
                <w:highlight w:val="none"/>
                <w:u w:val="none"/>
                <w:lang w:val="en-US" w:eastAsia="zh-CN" w:bidi="ar"/>
              </w:rPr>
              <w:t>行业</w:t>
            </w:r>
          </w:p>
        </w:tc>
        <w:tc>
          <w:tcPr>
            <w:tcW w:w="1044" w:type="pct"/>
            <w:gridSpan w:val="3"/>
            <w:tcBorders>
              <w:top w:val="single" w:color="000000" w:sz="12"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auto"/>
                <w:sz w:val="11"/>
                <w:szCs w:val="11"/>
                <w:highlight w:val="none"/>
                <w:u w:val="none"/>
              </w:rPr>
            </w:pPr>
            <w:r>
              <w:rPr>
                <w:rFonts w:hint="eastAsia" w:ascii="仿宋" w:hAnsi="仿宋" w:eastAsia="仿宋" w:cs="仿宋"/>
                <w:i w:val="0"/>
                <w:color w:val="auto"/>
                <w:kern w:val="0"/>
                <w:sz w:val="11"/>
                <w:szCs w:val="11"/>
                <w:highlight w:val="none"/>
                <w:u w:val="none"/>
                <w:lang w:val="en-US" w:eastAsia="zh-CN" w:bidi="ar"/>
              </w:rPr>
              <w:t>中小微型企业（</w:t>
            </w:r>
            <w:r>
              <w:rPr>
                <w:rFonts w:hint="eastAsia" w:ascii="仿宋" w:hAnsi="仿宋" w:eastAsia="仿宋" w:cs="仿宋"/>
                <w:b/>
                <w:i w:val="0"/>
                <w:color w:val="auto"/>
                <w:kern w:val="0"/>
                <w:sz w:val="11"/>
                <w:szCs w:val="11"/>
                <w:highlight w:val="none"/>
                <w:u w:val="none"/>
                <w:lang w:val="en-US" w:eastAsia="zh-CN" w:bidi="ar"/>
              </w:rPr>
              <w:t>或</w:t>
            </w:r>
            <w:r>
              <w:rPr>
                <w:rStyle w:val="181"/>
                <w:color w:val="auto"/>
                <w:sz w:val="11"/>
                <w:szCs w:val="11"/>
                <w:highlight w:val="none"/>
                <w:lang w:val="en-US" w:eastAsia="zh-CN" w:bidi="ar"/>
              </w:rPr>
              <w:t>）</w:t>
            </w:r>
          </w:p>
        </w:tc>
        <w:tc>
          <w:tcPr>
            <w:tcW w:w="1116" w:type="pct"/>
            <w:gridSpan w:val="3"/>
            <w:tcBorders>
              <w:top w:val="single" w:color="000000" w:sz="12"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auto"/>
                <w:sz w:val="11"/>
                <w:szCs w:val="11"/>
                <w:highlight w:val="none"/>
                <w:u w:val="none"/>
              </w:rPr>
            </w:pPr>
            <w:r>
              <w:rPr>
                <w:rFonts w:hint="eastAsia" w:ascii="仿宋" w:hAnsi="仿宋" w:eastAsia="仿宋" w:cs="仿宋"/>
                <w:i w:val="0"/>
                <w:color w:val="auto"/>
                <w:kern w:val="0"/>
                <w:sz w:val="11"/>
                <w:szCs w:val="11"/>
                <w:highlight w:val="none"/>
                <w:u w:val="none"/>
                <w:lang w:val="en-US" w:eastAsia="zh-CN" w:bidi="ar"/>
              </w:rPr>
              <w:t>中型企业（</w:t>
            </w:r>
            <w:r>
              <w:rPr>
                <w:rFonts w:hint="eastAsia" w:ascii="仿宋" w:hAnsi="仿宋" w:eastAsia="仿宋" w:cs="仿宋"/>
                <w:b/>
                <w:i w:val="0"/>
                <w:color w:val="auto"/>
                <w:kern w:val="0"/>
                <w:sz w:val="11"/>
                <w:szCs w:val="11"/>
                <w:highlight w:val="none"/>
                <w:u w:val="none"/>
                <w:lang w:val="en-US" w:eastAsia="zh-CN" w:bidi="ar"/>
              </w:rPr>
              <w:t>且</w:t>
            </w:r>
            <w:r>
              <w:rPr>
                <w:rStyle w:val="181"/>
                <w:color w:val="auto"/>
                <w:sz w:val="11"/>
                <w:szCs w:val="11"/>
                <w:highlight w:val="none"/>
                <w:lang w:val="en-US" w:eastAsia="zh-CN" w:bidi="ar"/>
              </w:rPr>
              <w:t>）</w:t>
            </w:r>
          </w:p>
        </w:tc>
        <w:tc>
          <w:tcPr>
            <w:tcW w:w="1039" w:type="pct"/>
            <w:gridSpan w:val="3"/>
            <w:tcBorders>
              <w:top w:val="single" w:color="000000" w:sz="12"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auto"/>
                <w:sz w:val="11"/>
                <w:szCs w:val="11"/>
                <w:highlight w:val="none"/>
                <w:u w:val="none"/>
              </w:rPr>
            </w:pPr>
            <w:r>
              <w:rPr>
                <w:rFonts w:hint="eastAsia" w:ascii="仿宋" w:hAnsi="仿宋" w:eastAsia="仿宋" w:cs="仿宋"/>
                <w:i w:val="0"/>
                <w:color w:val="auto"/>
                <w:kern w:val="0"/>
                <w:sz w:val="11"/>
                <w:szCs w:val="11"/>
                <w:highlight w:val="none"/>
                <w:u w:val="none"/>
                <w:lang w:val="en-US" w:eastAsia="zh-CN" w:bidi="ar"/>
              </w:rPr>
              <w:t>小型企业（</w:t>
            </w:r>
            <w:r>
              <w:rPr>
                <w:rFonts w:hint="eastAsia" w:ascii="仿宋" w:hAnsi="仿宋" w:eastAsia="仿宋" w:cs="仿宋"/>
                <w:b/>
                <w:i w:val="0"/>
                <w:color w:val="auto"/>
                <w:kern w:val="0"/>
                <w:sz w:val="11"/>
                <w:szCs w:val="11"/>
                <w:highlight w:val="none"/>
                <w:u w:val="none"/>
                <w:lang w:val="en-US" w:eastAsia="zh-CN" w:bidi="ar"/>
              </w:rPr>
              <w:t>且</w:t>
            </w:r>
            <w:r>
              <w:rPr>
                <w:rStyle w:val="181"/>
                <w:color w:val="auto"/>
                <w:sz w:val="11"/>
                <w:szCs w:val="11"/>
                <w:highlight w:val="none"/>
                <w:lang w:val="en-US" w:eastAsia="zh-CN" w:bidi="ar"/>
              </w:rPr>
              <w:t>）</w:t>
            </w:r>
          </w:p>
        </w:tc>
        <w:tc>
          <w:tcPr>
            <w:tcW w:w="920" w:type="pct"/>
            <w:gridSpan w:val="3"/>
            <w:tcBorders>
              <w:top w:val="single" w:color="000000" w:sz="12" w:space="0"/>
              <w:left w:val="single" w:color="000000" w:sz="4" w:space="0"/>
              <w:bottom w:val="single" w:color="000000" w:sz="4" w:space="0"/>
              <w:right w:val="single" w:color="000000" w:sz="12" w:space="0"/>
            </w:tcBorders>
            <w:noWrap w:val="0"/>
            <w:vAlign w:val="center"/>
          </w:tcPr>
          <w:p>
            <w:pPr>
              <w:keepNext w:val="0"/>
              <w:keepLines w:val="0"/>
              <w:widowControl/>
              <w:suppressLineNumbers w:val="0"/>
              <w:spacing w:before="0" w:beforeAutospacing="0" w:after="0" w:afterAutospacing="0"/>
              <w:ind w:left="0" w:right="-99" w:rightChars="-47"/>
              <w:jc w:val="center"/>
              <w:textAlignment w:val="center"/>
              <w:rPr>
                <w:rFonts w:hint="eastAsia" w:ascii="仿宋" w:hAnsi="仿宋" w:eastAsia="仿宋" w:cs="仿宋"/>
                <w:i w:val="0"/>
                <w:color w:val="auto"/>
                <w:sz w:val="11"/>
                <w:szCs w:val="11"/>
                <w:highlight w:val="none"/>
                <w:u w:val="none"/>
              </w:rPr>
            </w:pPr>
            <w:r>
              <w:rPr>
                <w:rFonts w:hint="eastAsia" w:ascii="仿宋" w:hAnsi="仿宋" w:eastAsia="仿宋" w:cs="仿宋"/>
                <w:i w:val="0"/>
                <w:color w:val="auto"/>
                <w:kern w:val="0"/>
                <w:sz w:val="11"/>
                <w:szCs w:val="11"/>
                <w:highlight w:val="none"/>
                <w:u w:val="none"/>
                <w:lang w:val="en-US" w:eastAsia="zh-CN" w:bidi="ar"/>
              </w:rPr>
              <w:t>微型企业（</w:t>
            </w:r>
            <w:r>
              <w:rPr>
                <w:rFonts w:hint="eastAsia" w:ascii="仿宋" w:hAnsi="仿宋" w:eastAsia="仿宋" w:cs="仿宋"/>
                <w:b/>
                <w:i w:val="0"/>
                <w:color w:val="auto"/>
                <w:kern w:val="0"/>
                <w:sz w:val="11"/>
                <w:szCs w:val="11"/>
                <w:highlight w:val="none"/>
                <w:u w:val="none"/>
                <w:lang w:val="en-US" w:eastAsia="zh-CN" w:bidi="ar"/>
              </w:rPr>
              <w:t>或</w:t>
            </w:r>
            <w:r>
              <w:rPr>
                <w:rStyle w:val="181"/>
                <w:color w:val="auto"/>
                <w:sz w:val="11"/>
                <w:szCs w:val="11"/>
                <w:highlight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9" w:hRule="atLeast"/>
          <w:jc w:val="center"/>
        </w:trPr>
        <w:tc>
          <w:tcPr>
            <w:tcW w:w="879" w:type="pct"/>
            <w:vMerge w:val="continue"/>
            <w:tcBorders>
              <w:top w:val="single" w:color="000000" w:sz="12" w:space="0"/>
              <w:left w:val="single" w:color="000000" w:sz="12"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color w:val="000000"/>
                <w:sz w:val="11"/>
                <w:szCs w:val="11"/>
                <w:highlight w:val="none"/>
                <w:u w:val="none"/>
              </w:rPr>
            </w:pPr>
          </w:p>
        </w:tc>
        <w:tc>
          <w:tcPr>
            <w:tcW w:w="2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11"/>
                <w:szCs w:val="11"/>
                <w:highlight w:val="none"/>
                <w:u w:val="none"/>
              </w:rPr>
            </w:pPr>
            <w:r>
              <w:rPr>
                <w:rFonts w:hint="eastAsia" w:ascii="仿宋" w:hAnsi="仿宋" w:eastAsia="仿宋" w:cs="仿宋"/>
                <w:i w:val="0"/>
                <w:color w:val="000000"/>
                <w:kern w:val="0"/>
                <w:sz w:val="11"/>
                <w:szCs w:val="11"/>
                <w:highlight w:val="none"/>
                <w:u w:val="none"/>
                <w:lang w:val="en-US" w:eastAsia="zh-CN" w:bidi="ar"/>
              </w:rPr>
              <w:t>从业人员</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11"/>
                <w:szCs w:val="11"/>
                <w:highlight w:val="none"/>
                <w:u w:val="none"/>
              </w:rPr>
            </w:pPr>
            <w:r>
              <w:rPr>
                <w:rFonts w:hint="eastAsia" w:ascii="仿宋" w:hAnsi="仿宋" w:eastAsia="仿宋" w:cs="仿宋"/>
                <w:i w:val="0"/>
                <w:color w:val="000000"/>
                <w:kern w:val="0"/>
                <w:sz w:val="11"/>
                <w:szCs w:val="11"/>
                <w:highlight w:val="none"/>
                <w:u w:val="none"/>
                <w:lang w:val="en-US" w:eastAsia="zh-CN" w:bidi="ar"/>
              </w:rPr>
              <w:t>营业收入</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11"/>
                <w:szCs w:val="11"/>
                <w:highlight w:val="none"/>
                <w:u w:val="none"/>
              </w:rPr>
            </w:pPr>
            <w:r>
              <w:rPr>
                <w:rFonts w:hint="eastAsia" w:ascii="仿宋" w:hAnsi="仿宋" w:eastAsia="仿宋" w:cs="仿宋"/>
                <w:i w:val="0"/>
                <w:color w:val="000000"/>
                <w:kern w:val="0"/>
                <w:sz w:val="11"/>
                <w:szCs w:val="11"/>
                <w:highlight w:val="none"/>
                <w:u w:val="none"/>
                <w:lang w:val="en-US" w:eastAsia="zh-CN" w:bidi="ar"/>
              </w:rPr>
              <w:t>资产总额</w:t>
            </w:r>
          </w:p>
        </w:tc>
        <w:tc>
          <w:tcPr>
            <w:tcW w:w="3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11"/>
                <w:szCs w:val="11"/>
                <w:highlight w:val="none"/>
                <w:u w:val="none"/>
              </w:rPr>
            </w:pPr>
            <w:r>
              <w:rPr>
                <w:rFonts w:hint="eastAsia" w:ascii="仿宋" w:hAnsi="仿宋" w:eastAsia="仿宋" w:cs="仿宋"/>
                <w:i w:val="0"/>
                <w:color w:val="000000"/>
                <w:kern w:val="0"/>
                <w:sz w:val="11"/>
                <w:szCs w:val="11"/>
                <w:highlight w:val="none"/>
                <w:u w:val="none"/>
                <w:lang w:val="en-US" w:eastAsia="zh-CN" w:bidi="ar"/>
              </w:rPr>
              <w:t>从业人员</w:t>
            </w:r>
          </w:p>
        </w:tc>
        <w:tc>
          <w:tcPr>
            <w:tcW w:w="4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11"/>
                <w:szCs w:val="11"/>
                <w:highlight w:val="none"/>
                <w:u w:val="none"/>
              </w:rPr>
            </w:pPr>
            <w:r>
              <w:rPr>
                <w:rFonts w:hint="eastAsia" w:ascii="仿宋" w:hAnsi="仿宋" w:eastAsia="仿宋" w:cs="仿宋"/>
                <w:i w:val="0"/>
                <w:color w:val="000000"/>
                <w:kern w:val="0"/>
                <w:sz w:val="11"/>
                <w:szCs w:val="11"/>
                <w:highlight w:val="none"/>
                <w:u w:val="none"/>
                <w:lang w:val="en-US" w:eastAsia="zh-CN" w:bidi="ar"/>
              </w:rPr>
              <w:t>营业收入</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11"/>
                <w:szCs w:val="11"/>
                <w:highlight w:val="none"/>
                <w:u w:val="none"/>
              </w:rPr>
            </w:pPr>
            <w:r>
              <w:rPr>
                <w:rFonts w:hint="eastAsia" w:ascii="仿宋" w:hAnsi="仿宋" w:eastAsia="仿宋" w:cs="仿宋"/>
                <w:i w:val="0"/>
                <w:color w:val="000000"/>
                <w:kern w:val="0"/>
                <w:sz w:val="11"/>
                <w:szCs w:val="11"/>
                <w:highlight w:val="none"/>
                <w:u w:val="none"/>
                <w:lang w:val="en-US" w:eastAsia="zh-CN" w:bidi="ar"/>
              </w:rPr>
              <w:t>资产总额</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11"/>
                <w:szCs w:val="11"/>
                <w:highlight w:val="none"/>
                <w:u w:val="none"/>
              </w:rPr>
            </w:pPr>
            <w:r>
              <w:rPr>
                <w:rFonts w:hint="eastAsia" w:ascii="仿宋" w:hAnsi="仿宋" w:eastAsia="仿宋" w:cs="仿宋"/>
                <w:i w:val="0"/>
                <w:color w:val="000000"/>
                <w:kern w:val="0"/>
                <w:sz w:val="11"/>
                <w:szCs w:val="11"/>
                <w:highlight w:val="none"/>
                <w:u w:val="none"/>
                <w:lang w:val="en-US" w:eastAsia="zh-CN" w:bidi="ar"/>
              </w:rPr>
              <w:t>从业人员</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11"/>
                <w:szCs w:val="11"/>
                <w:highlight w:val="none"/>
                <w:u w:val="none"/>
              </w:rPr>
            </w:pPr>
            <w:r>
              <w:rPr>
                <w:rFonts w:hint="eastAsia" w:ascii="仿宋" w:hAnsi="仿宋" w:eastAsia="仿宋" w:cs="仿宋"/>
                <w:i w:val="0"/>
                <w:color w:val="000000"/>
                <w:kern w:val="0"/>
                <w:sz w:val="11"/>
                <w:szCs w:val="11"/>
                <w:highlight w:val="none"/>
                <w:u w:val="none"/>
                <w:lang w:val="en-US" w:eastAsia="zh-CN" w:bidi="ar"/>
              </w:rPr>
              <w:t>营业收入</w:t>
            </w:r>
          </w:p>
        </w:tc>
        <w:tc>
          <w:tcPr>
            <w:tcW w:w="3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11"/>
                <w:szCs w:val="11"/>
                <w:highlight w:val="none"/>
                <w:u w:val="none"/>
              </w:rPr>
            </w:pPr>
            <w:r>
              <w:rPr>
                <w:rFonts w:hint="eastAsia" w:ascii="仿宋" w:hAnsi="仿宋" w:eastAsia="仿宋" w:cs="仿宋"/>
                <w:i w:val="0"/>
                <w:color w:val="000000"/>
                <w:kern w:val="0"/>
                <w:sz w:val="11"/>
                <w:szCs w:val="11"/>
                <w:highlight w:val="none"/>
                <w:u w:val="none"/>
                <w:lang w:val="en-US" w:eastAsia="zh-CN" w:bidi="ar"/>
              </w:rPr>
              <w:t>资产总额</w:t>
            </w:r>
          </w:p>
        </w:tc>
        <w:tc>
          <w:tcPr>
            <w:tcW w:w="3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11"/>
                <w:szCs w:val="11"/>
                <w:highlight w:val="none"/>
                <w:u w:val="none"/>
              </w:rPr>
            </w:pPr>
            <w:r>
              <w:rPr>
                <w:rFonts w:hint="eastAsia" w:ascii="仿宋" w:hAnsi="仿宋" w:eastAsia="仿宋" w:cs="仿宋"/>
                <w:i w:val="0"/>
                <w:color w:val="000000"/>
                <w:kern w:val="0"/>
                <w:sz w:val="11"/>
                <w:szCs w:val="11"/>
                <w:highlight w:val="none"/>
                <w:u w:val="none"/>
                <w:lang w:val="en-US" w:eastAsia="zh-CN" w:bidi="ar"/>
              </w:rPr>
              <w:t>从业人员</w:t>
            </w:r>
          </w:p>
        </w:tc>
        <w:tc>
          <w:tcPr>
            <w:tcW w:w="3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11"/>
                <w:szCs w:val="11"/>
                <w:highlight w:val="none"/>
                <w:u w:val="none"/>
              </w:rPr>
            </w:pPr>
            <w:r>
              <w:rPr>
                <w:rFonts w:hint="eastAsia" w:ascii="仿宋" w:hAnsi="仿宋" w:eastAsia="仿宋" w:cs="仿宋"/>
                <w:i w:val="0"/>
                <w:color w:val="000000"/>
                <w:kern w:val="0"/>
                <w:sz w:val="11"/>
                <w:szCs w:val="11"/>
                <w:highlight w:val="none"/>
                <w:u w:val="none"/>
                <w:lang w:val="en-US" w:eastAsia="zh-CN" w:bidi="ar"/>
              </w:rPr>
              <w:t>营业收入</w:t>
            </w:r>
          </w:p>
        </w:tc>
        <w:tc>
          <w:tcPr>
            <w:tcW w:w="229" w:type="pct"/>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11"/>
                <w:szCs w:val="11"/>
                <w:highlight w:val="none"/>
                <w:u w:val="none"/>
              </w:rPr>
            </w:pPr>
            <w:r>
              <w:rPr>
                <w:rFonts w:hint="eastAsia" w:ascii="仿宋" w:hAnsi="仿宋" w:eastAsia="仿宋" w:cs="仿宋"/>
                <w:i w:val="0"/>
                <w:color w:val="000000"/>
                <w:kern w:val="0"/>
                <w:sz w:val="11"/>
                <w:szCs w:val="11"/>
                <w:highlight w:val="none"/>
                <w:u w:val="none"/>
                <w:lang w:val="en-US" w:eastAsia="zh-CN" w:bidi="ar"/>
              </w:rPr>
              <w:t>资产总额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8" w:hRule="atLeast"/>
          <w:jc w:val="center"/>
        </w:trPr>
        <w:tc>
          <w:tcPr>
            <w:tcW w:w="879" w:type="pct"/>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highlight w:val="none"/>
                <w:u w:val="none"/>
              </w:rPr>
            </w:pPr>
            <w:r>
              <w:rPr>
                <w:rFonts w:hint="eastAsia" w:ascii="仿宋" w:hAnsi="仿宋" w:eastAsia="仿宋" w:cs="仿宋"/>
                <w:i w:val="0"/>
                <w:color w:val="000000"/>
                <w:kern w:val="0"/>
                <w:sz w:val="11"/>
                <w:szCs w:val="11"/>
                <w:highlight w:val="none"/>
                <w:u w:val="none"/>
                <w:lang w:val="en-US" w:eastAsia="zh-CN" w:bidi="ar"/>
              </w:rPr>
              <w:t>农、林、牧、渔业</w:t>
            </w:r>
          </w:p>
        </w:tc>
        <w:tc>
          <w:tcPr>
            <w:tcW w:w="2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highlight w:val="none"/>
                <w:u w:val="none"/>
              </w:rPr>
            </w:pP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kern w:val="0"/>
                <w:sz w:val="11"/>
                <w:szCs w:val="11"/>
                <w:highlight w:val="none"/>
                <w:u w:val="none"/>
                <w:lang w:val="en-US" w:eastAsia="zh-CN" w:bidi="ar"/>
              </w:rPr>
            </w:pPr>
            <w:r>
              <w:rPr>
                <w:rFonts w:hint="eastAsia" w:ascii="仿宋" w:hAnsi="仿宋" w:eastAsia="仿宋" w:cs="仿宋"/>
                <w:i w:val="0"/>
                <w:color w:val="000000"/>
                <w:kern w:val="0"/>
                <w:sz w:val="11"/>
                <w:szCs w:val="11"/>
                <w:highlight w:val="none"/>
                <w:u w:val="none"/>
                <w:lang w:val="en-US" w:eastAsia="zh-CN" w:bidi="ar"/>
              </w:rPr>
              <w:t>20000万元</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highlight w:val="none"/>
                <w:u w:val="none"/>
              </w:rPr>
            </w:pPr>
            <w:r>
              <w:rPr>
                <w:rFonts w:hint="eastAsia" w:ascii="仿宋" w:hAnsi="仿宋" w:eastAsia="仿宋" w:cs="仿宋"/>
                <w:i w:val="0"/>
                <w:color w:val="000000"/>
                <w:kern w:val="0"/>
                <w:sz w:val="11"/>
                <w:szCs w:val="11"/>
                <w:highlight w:val="none"/>
                <w:u w:val="none"/>
                <w:lang w:val="en-US" w:eastAsia="zh-CN" w:bidi="ar"/>
              </w:rPr>
              <w:t>以下</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highlight w:val="none"/>
                <w:u w:val="none"/>
              </w:rPr>
            </w:pPr>
          </w:p>
        </w:tc>
        <w:tc>
          <w:tcPr>
            <w:tcW w:w="3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highlight w:val="none"/>
                <w:u w:val="none"/>
              </w:rPr>
            </w:pPr>
          </w:p>
        </w:tc>
        <w:tc>
          <w:tcPr>
            <w:tcW w:w="4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highlight w:val="none"/>
                <w:u w:val="none"/>
              </w:rPr>
            </w:pPr>
            <w:r>
              <w:rPr>
                <w:rFonts w:hint="eastAsia" w:ascii="仿宋" w:hAnsi="仿宋" w:eastAsia="仿宋" w:cs="仿宋"/>
                <w:i w:val="0"/>
                <w:color w:val="000000"/>
                <w:kern w:val="0"/>
                <w:sz w:val="11"/>
                <w:szCs w:val="11"/>
                <w:highlight w:val="none"/>
                <w:u w:val="none"/>
                <w:lang w:val="en-US" w:eastAsia="zh-CN" w:bidi="ar"/>
              </w:rPr>
              <w:t>500万元及以上</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highlight w:val="none"/>
                <w:u w:val="none"/>
              </w:rPr>
            </w:pPr>
          </w:p>
        </w:tc>
        <w:tc>
          <w:tcPr>
            <w:tcW w:w="3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highlight w:val="none"/>
                <w:u w:val="none"/>
              </w:rPr>
            </w:pPr>
          </w:p>
        </w:tc>
        <w:tc>
          <w:tcPr>
            <w:tcW w:w="3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highlight w:val="none"/>
                <w:u w:val="none"/>
              </w:rPr>
            </w:pPr>
            <w:r>
              <w:rPr>
                <w:rFonts w:hint="eastAsia" w:ascii="仿宋" w:hAnsi="仿宋" w:eastAsia="仿宋" w:cs="仿宋"/>
                <w:i w:val="0"/>
                <w:color w:val="000000"/>
                <w:kern w:val="0"/>
                <w:sz w:val="11"/>
                <w:szCs w:val="11"/>
                <w:highlight w:val="none"/>
                <w:u w:val="none"/>
                <w:lang w:val="en-US" w:eastAsia="zh-CN" w:bidi="ar"/>
              </w:rPr>
              <w:t>50万元及以上</w:t>
            </w:r>
          </w:p>
        </w:tc>
        <w:tc>
          <w:tcPr>
            <w:tcW w:w="3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highlight w:val="none"/>
                <w:u w:val="none"/>
              </w:rPr>
            </w:pPr>
          </w:p>
        </w:tc>
        <w:tc>
          <w:tcPr>
            <w:tcW w:w="3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highlight w:val="none"/>
                <w:u w:val="none"/>
              </w:rPr>
            </w:pPr>
          </w:p>
        </w:tc>
        <w:tc>
          <w:tcPr>
            <w:tcW w:w="3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highlight w:val="none"/>
                <w:u w:val="none"/>
              </w:rPr>
            </w:pPr>
            <w:r>
              <w:rPr>
                <w:rFonts w:hint="eastAsia" w:ascii="仿宋" w:hAnsi="仿宋" w:eastAsia="仿宋" w:cs="仿宋"/>
                <w:i w:val="0"/>
                <w:color w:val="000000"/>
                <w:kern w:val="0"/>
                <w:sz w:val="11"/>
                <w:szCs w:val="11"/>
                <w:highlight w:val="none"/>
                <w:u w:val="none"/>
                <w:lang w:val="en-US" w:eastAsia="zh-CN" w:bidi="ar"/>
              </w:rPr>
              <w:t>50万元以下</w:t>
            </w:r>
          </w:p>
        </w:tc>
        <w:tc>
          <w:tcPr>
            <w:tcW w:w="229" w:type="pct"/>
            <w:tcBorders>
              <w:top w:val="single" w:color="000000" w:sz="4" w:space="0"/>
              <w:left w:val="single" w:color="000000" w:sz="4" w:space="0"/>
              <w:bottom w:val="single" w:color="000000" w:sz="4" w:space="0"/>
              <w:right w:val="single" w:color="000000" w:sz="12"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8" w:hRule="atLeast"/>
          <w:jc w:val="center"/>
        </w:trPr>
        <w:tc>
          <w:tcPr>
            <w:tcW w:w="879" w:type="pct"/>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highlight w:val="none"/>
                <w:u w:val="none"/>
              </w:rPr>
            </w:pPr>
            <w:r>
              <w:rPr>
                <w:rFonts w:hint="eastAsia" w:ascii="仿宋" w:hAnsi="仿宋" w:eastAsia="仿宋" w:cs="仿宋"/>
                <w:i w:val="0"/>
                <w:color w:val="000000"/>
                <w:kern w:val="0"/>
                <w:sz w:val="11"/>
                <w:szCs w:val="11"/>
                <w:highlight w:val="none"/>
                <w:u w:val="none"/>
                <w:lang w:val="en-US" w:eastAsia="zh-CN" w:bidi="ar"/>
              </w:rPr>
              <w:t>工业（包括采矿业，制造业，电力、热力、燃气及水生产和供应业）</w:t>
            </w:r>
          </w:p>
        </w:tc>
        <w:tc>
          <w:tcPr>
            <w:tcW w:w="2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highlight w:val="none"/>
                <w:u w:val="none"/>
              </w:rPr>
            </w:pPr>
            <w:r>
              <w:rPr>
                <w:rFonts w:hint="eastAsia" w:ascii="仿宋" w:hAnsi="仿宋" w:eastAsia="仿宋" w:cs="仿宋"/>
                <w:i w:val="0"/>
                <w:color w:val="000000"/>
                <w:kern w:val="0"/>
                <w:sz w:val="11"/>
                <w:szCs w:val="11"/>
                <w:highlight w:val="none"/>
                <w:u w:val="none"/>
                <w:lang w:val="en-US" w:eastAsia="zh-CN" w:bidi="ar"/>
              </w:rPr>
              <w:t>1000人以下</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kern w:val="0"/>
                <w:sz w:val="11"/>
                <w:szCs w:val="11"/>
                <w:highlight w:val="none"/>
                <w:u w:val="none"/>
                <w:lang w:val="en-US" w:eastAsia="zh-CN" w:bidi="ar"/>
              </w:rPr>
            </w:pPr>
            <w:r>
              <w:rPr>
                <w:rFonts w:hint="eastAsia" w:ascii="仿宋" w:hAnsi="仿宋" w:eastAsia="仿宋" w:cs="仿宋"/>
                <w:i w:val="0"/>
                <w:color w:val="000000"/>
                <w:kern w:val="0"/>
                <w:sz w:val="11"/>
                <w:szCs w:val="11"/>
                <w:highlight w:val="none"/>
                <w:u w:val="none"/>
                <w:lang w:val="en-US" w:eastAsia="zh-CN" w:bidi="ar"/>
              </w:rPr>
              <w:t>40000万元</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highlight w:val="none"/>
                <w:u w:val="none"/>
              </w:rPr>
            </w:pPr>
            <w:r>
              <w:rPr>
                <w:rFonts w:hint="eastAsia" w:ascii="仿宋" w:hAnsi="仿宋" w:eastAsia="仿宋" w:cs="仿宋"/>
                <w:i w:val="0"/>
                <w:color w:val="000000"/>
                <w:kern w:val="0"/>
                <w:sz w:val="11"/>
                <w:szCs w:val="11"/>
                <w:highlight w:val="none"/>
                <w:u w:val="none"/>
                <w:lang w:val="en-US" w:eastAsia="zh-CN" w:bidi="ar"/>
              </w:rPr>
              <w:t>以下</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highlight w:val="none"/>
                <w:u w:val="none"/>
              </w:rPr>
            </w:pPr>
          </w:p>
        </w:tc>
        <w:tc>
          <w:tcPr>
            <w:tcW w:w="3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highlight w:val="none"/>
                <w:u w:val="none"/>
              </w:rPr>
            </w:pPr>
            <w:r>
              <w:rPr>
                <w:rFonts w:hint="eastAsia" w:ascii="仿宋" w:hAnsi="仿宋" w:eastAsia="仿宋" w:cs="仿宋"/>
                <w:i w:val="0"/>
                <w:color w:val="000000"/>
                <w:kern w:val="0"/>
                <w:sz w:val="11"/>
                <w:szCs w:val="11"/>
                <w:highlight w:val="none"/>
                <w:u w:val="none"/>
                <w:lang w:val="en-US" w:eastAsia="zh-CN" w:bidi="ar"/>
              </w:rPr>
              <w:t>300人及以上</w:t>
            </w:r>
          </w:p>
        </w:tc>
        <w:tc>
          <w:tcPr>
            <w:tcW w:w="4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highlight w:val="none"/>
                <w:u w:val="none"/>
              </w:rPr>
            </w:pPr>
            <w:r>
              <w:rPr>
                <w:rFonts w:hint="eastAsia" w:ascii="仿宋" w:hAnsi="仿宋" w:eastAsia="仿宋" w:cs="仿宋"/>
                <w:i w:val="0"/>
                <w:color w:val="000000"/>
                <w:kern w:val="0"/>
                <w:sz w:val="11"/>
                <w:szCs w:val="11"/>
                <w:highlight w:val="none"/>
                <w:u w:val="none"/>
                <w:lang w:val="en-US" w:eastAsia="zh-CN" w:bidi="ar"/>
              </w:rPr>
              <w:t>2000万元及以上</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highlight w:val="none"/>
                <w:u w:val="none"/>
              </w:rPr>
            </w:pPr>
          </w:p>
        </w:tc>
        <w:tc>
          <w:tcPr>
            <w:tcW w:w="3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highlight w:val="none"/>
                <w:u w:val="none"/>
              </w:rPr>
            </w:pPr>
            <w:r>
              <w:rPr>
                <w:rFonts w:hint="eastAsia" w:ascii="仿宋" w:hAnsi="仿宋" w:eastAsia="仿宋" w:cs="仿宋"/>
                <w:i w:val="0"/>
                <w:color w:val="000000"/>
                <w:kern w:val="0"/>
                <w:sz w:val="11"/>
                <w:szCs w:val="11"/>
                <w:highlight w:val="none"/>
                <w:u w:val="none"/>
                <w:lang w:val="en-US" w:eastAsia="zh-CN" w:bidi="ar"/>
              </w:rPr>
              <w:t>20人及以上</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highlight w:val="none"/>
                <w:u w:val="none"/>
              </w:rPr>
            </w:pPr>
            <w:r>
              <w:rPr>
                <w:rFonts w:hint="eastAsia" w:ascii="仿宋" w:hAnsi="仿宋" w:eastAsia="仿宋" w:cs="仿宋"/>
                <w:i w:val="0"/>
                <w:color w:val="000000"/>
                <w:kern w:val="0"/>
                <w:sz w:val="11"/>
                <w:szCs w:val="11"/>
                <w:highlight w:val="none"/>
                <w:u w:val="none"/>
                <w:lang w:val="en-US" w:eastAsia="zh-CN" w:bidi="ar"/>
              </w:rPr>
              <w:t>300万元及以上</w:t>
            </w:r>
          </w:p>
        </w:tc>
        <w:tc>
          <w:tcPr>
            <w:tcW w:w="3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highlight w:val="none"/>
                <w:u w:val="none"/>
              </w:rPr>
            </w:pPr>
          </w:p>
        </w:tc>
        <w:tc>
          <w:tcPr>
            <w:tcW w:w="3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highlight w:val="none"/>
                <w:u w:val="none"/>
              </w:rPr>
            </w:pPr>
            <w:r>
              <w:rPr>
                <w:rFonts w:hint="eastAsia" w:ascii="仿宋" w:hAnsi="仿宋" w:eastAsia="仿宋" w:cs="仿宋"/>
                <w:i w:val="0"/>
                <w:color w:val="000000"/>
                <w:kern w:val="0"/>
                <w:sz w:val="11"/>
                <w:szCs w:val="11"/>
                <w:highlight w:val="none"/>
                <w:u w:val="none"/>
                <w:lang w:val="en-US" w:eastAsia="zh-CN" w:bidi="ar"/>
              </w:rPr>
              <w:t>20人以下</w:t>
            </w:r>
          </w:p>
        </w:tc>
        <w:tc>
          <w:tcPr>
            <w:tcW w:w="3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highlight w:val="none"/>
                <w:u w:val="none"/>
              </w:rPr>
            </w:pPr>
            <w:r>
              <w:rPr>
                <w:rFonts w:hint="eastAsia" w:ascii="仿宋" w:hAnsi="仿宋" w:eastAsia="仿宋" w:cs="仿宋"/>
                <w:i w:val="0"/>
                <w:color w:val="000000"/>
                <w:kern w:val="0"/>
                <w:sz w:val="11"/>
                <w:szCs w:val="11"/>
                <w:highlight w:val="none"/>
                <w:u w:val="none"/>
                <w:lang w:val="en-US" w:eastAsia="zh-CN" w:bidi="ar"/>
              </w:rPr>
              <w:t>300万元以下</w:t>
            </w:r>
          </w:p>
        </w:tc>
        <w:tc>
          <w:tcPr>
            <w:tcW w:w="229" w:type="pct"/>
            <w:tcBorders>
              <w:top w:val="single" w:color="000000" w:sz="4" w:space="0"/>
              <w:left w:val="single" w:color="000000" w:sz="4" w:space="0"/>
              <w:bottom w:val="single" w:color="000000" w:sz="4" w:space="0"/>
              <w:right w:val="single" w:color="000000" w:sz="12"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8" w:hRule="atLeast"/>
          <w:jc w:val="center"/>
        </w:trPr>
        <w:tc>
          <w:tcPr>
            <w:tcW w:w="879" w:type="pct"/>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highlight w:val="none"/>
                <w:u w:val="none"/>
              </w:rPr>
            </w:pPr>
            <w:r>
              <w:rPr>
                <w:rFonts w:hint="eastAsia" w:ascii="仿宋" w:hAnsi="仿宋" w:eastAsia="仿宋" w:cs="仿宋"/>
                <w:i w:val="0"/>
                <w:color w:val="000000"/>
                <w:kern w:val="0"/>
                <w:sz w:val="11"/>
                <w:szCs w:val="11"/>
                <w:highlight w:val="none"/>
                <w:u w:val="none"/>
                <w:lang w:val="en-US" w:eastAsia="zh-CN" w:bidi="ar"/>
              </w:rPr>
              <w:t>建筑业</w:t>
            </w:r>
          </w:p>
        </w:tc>
        <w:tc>
          <w:tcPr>
            <w:tcW w:w="2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highlight w:val="none"/>
                <w:u w:val="none"/>
              </w:rPr>
            </w:pP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kern w:val="0"/>
                <w:sz w:val="11"/>
                <w:szCs w:val="11"/>
                <w:highlight w:val="none"/>
                <w:u w:val="none"/>
                <w:lang w:val="en-US" w:eastAsia="zh-CN" w:bidi="ar"/>
              </w:rPr>
            </w:pPr>
            <w:r>
              <w:rPr>
                <w:rFonts w:hint="eastAsia" w:ascii="仿宋" w:hAnsi="仿宋" w:eastAsia="仿宋" w:cs="仿宋"/>
                <w:i w:val="0"/>
                <w:color w:val="000000"/>
                <w:kern w:val="0"/>
                <w:sz w:val="11"/>
                <w:szCs w:val="11"/>
                <w:highlight w:val="none"/>
                <w:u w:val="none"/>
                <w:lang w:val="en-US" w:eastAsia="zh-CN" w:bidi="ar"/>
              </w:rPr>
              <w:t>80000万元</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highlight w:val="none"/>
                <w:u w:val="none"/>
              </w:rPr>
            </w:pPr>
            <w:r>
              <w:rPr>
                <w:rFonts w:hint="eastAsia" w:ascii="仿宋" w:hAnsi="仿宋" w:eastAsia="仿宋" w:cs="仿宋"/>
                <w:i w:val="0"/>
                <w:color w:val="000000"/>
                <w:kern w:val="0"/>
                <w:sz w:val="11"/>
                <w:szCs w:val="11"/>
                <w:highlight w:val="none"/>
                <w:u w:val="none"/>
                <w:lang w:val="en-US" w:eastAsia="zh-CN" w:bidi="ar"/>
              </w:rPr>
              <w:t>以下</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highlight w:val="none"/>
                <w:u w:val="none"/>
              </w:rPr>
            </w:pPr>
            <w:r>
              <w:rPr>
                <w:rFonts w:hint="eastAsia" w:ascii="仿宋" w:hAnsi="仿宋" w:eastAsia="仿宋" w:cs="仿宋"/>
                <w:i w:val="0"/>
                <w:color w:val="000000"/>
                <w:kern w:val="0"/>
                <w:sz w:val="11"/>
                <w:szCs w:val="11"/>
                <w:highlight w:val="none"/>
                <w:u w:val="none"/>
                <w:lang w:val="en-US" w:eastAsia="zh-CN" w:bidi="ar"/>
              </w:rPr>
              <w:t>80000万元以下</w:t>
            </w:r>
          </w:p>
        </w:tc>
        <w:tc>
          <w:tcPr>
            <w:tcW w:w="3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highlight w:val="none"/>
                <w:u w:val="none"/>
              </w:rPr>
            </w:pPr>
          </w:p>
        </w:tc>
        <w:tc>
          <w:tcPr>
            <w:tcW w:w="4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highlight w:val="none"/>
                <w:u w:val="none"/>
              </w:rPr>
            </w:pPr>
            <w:r>
              <w:rPr>
                <w:rFonts w:hint="eastAsia" w:ascii="仿宋" w:hAnsi="仿宋" w:eastAsia="仿宋" w:cs="仿宋"/>
                <w:i w:val="0"/>
                <w:color w:val="000000"/>
                <w:kern w:val="0"/>
                <w:sz w:val="11"/>
                <w:szCs w:val="11"/>
                <w:highlight w:val="none"/>
                <w:u w:val="none"/>
                <w:lang w:val="en-US" w:eastAsia="zh-CN" w:bidi="ar"/>
              </w:rPr>
              <w:t>6000万元及以上</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highlight w:val="none"/>
                <w:u w:val="none"/>
              </w:rPr>
            </w:pPr>
            <w:r>
              <w:rPr>
                <w:rFonts w:hint="eastAsia" w:ascii="仿宋" w:hAnsi="仿宋" w:eastAsia="仿宋" w:cs="仿宋"/>
                <w:i w:val="0"/>
                <w:color w:val="000000"/>
                <w:kern w:val="0"/>
                <w:sz w:val="11"/>
                <w:szCs w:val="11"/>
                <w:highlight w:val="none"/>
                <w:u w:val="none"/>
                <w:lang w:val="en-US" w:eastAsia="zh-CN" w:bidi="ar"/>
              </w:rPr>
              <w:t>5000万元及以上</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highlight w:val="none"/>
                <w:u w:val="none"/>
              </w:rPr>
            </w:pPr>
          </w:p>
        </w:tc>
        <w:tc>
          <w:tcPr>
            <w:tcW w:w="3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highlight w:val="none"/>
                <w:u w:val="none"/>
              </w:rPr>
            </w:pPr>
            <w:r>
              <w:rPr>
                <w:rFonts w:hint="eastAsia" w:ascii="仿宋" w:hAnsi="仿宋" w:eastAsia="仿宋" w:cs="仿宋"/>
                <w:i w:val="0"/>
                <w:color w:val="000000"/>
                <w:kern w:val="0"/>
                <w:sz w:val="11"/>
                <w:szCs w:val="11"/>
                <w:highlight w:val="none"/>
                <w:u w:val="none"/>
                <w:lang w:val="en-US" w:eastAsia="zh-CN" w:bidi="ar"/>
              </w:rPr>
              <w:t>300万元及以上</w:t>
            </w:r>
          </w:p>
        </w:tc>
        <w:tc>
          <w:tcPr>
            <w:tcW w:w="3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highlight w:val="none"/>
                <w:u w:val="none"/>
              </w:rPr>
            </w:pPr>
            <w:r>
              <w:rPr>
                <w:rFonts w:hint="eastAsia" w:ascii="仿宋" w:hAnsi="仿宋" w:eastAsia="仿宋" w:cs="仿宋"/>
                <w:i w:val="0"/>
                <w:color w:val="000000"/>
                <w:kern w:val="0"/>
                <w:sz w:val="11"/>
                <w:szCs w:val="11"/>
                <w:highlight w:val="none"/>
                <w:u w:val="none"/>
                <w:lang w:val="en-US" w:eastAsia="zh-CN" w:bidi="ar"/>
              </w:rPr>
              <w:t>300万元及以上</w:t>
            </w:r>
          </w:p>
        </w:tc>
        <w:tc>
          <w:tcPr>
            <w:tcW w:w="3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highlight w:val="none"/>
                <w:u w:val="none"/>
              </w:rPr>
            </w:pPr>
          </w:p>
        </w:tc>
        <w:tc>
          <w:tcPr>
            <w:tcW w:w="3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highlight w:val="none"/>
                <w:u w:val="none"/>
              </w:rPr>
            </w:pPr>
            <w:r>
              <w:rPr>
                <w:rFonts w:hint="eastAsia" w:ascii="仿宋" w:hAnsi="仿宋" w:eastAsia="仿宋" w:cs="仿宋"/>
                <w:i w:val="0"/>
                <w:color w:val="000000"/>
                <w:kern w:val="0"/>
                <w:sz w:val="11"/>
                <w:szCs w:val="11"/>
                <w:highlight w:val="none"/>
                <w:u w:val="none"/>
                <w:lang w:val="en-US" w:eastAsia="zh-CN" w:bidi="ar"/>
              </w:rPr>
              <w:t>300万元以下</w:t>
            </w:r>
          </w:p>
        </w:tc>
        <w:tc>
          <w:tcPr>
            <w:tcW w:w="229" w:type="pct"/>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highlight w:val="none"/>
                <w:u w:val="none"/>
              </w:rPr>
            </w:pPr>
            <w:r>
              <w:rPr>
                <w:rFonts w:hint="eastAsia" w:ascii="仿宋" w:hAnsi="仿宋" w:eastAsia="仿宋" w:cs="仿宋"/>
                <w:i w:val="0"/>
                <w:color w:val="000000"/>
                <w:kern w:val="0"/>
                <w:sz w:val="11"/>
                <w:szCs w:val="11"/>
                <w:highlight w:val="none"/>
                <w:u w:val="none"/>
                <w:lang w:val="en-US" w:eastAsia="zh-CN" w:bidi="ar"/>
              </w:rPr>
              <w:t>300万元以下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8" w:hRule="atLeast"/>
          <w:jc w:val="center"/>
        </w:trPr>
        <w:tc>
          <w:tcPr>
            <w:tcW w:w="879" w:type="pct"/>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highlight w:val="none"/>
                <w:u w:val="none"/>
              </w:rPr>
            </w:pPr>
            <w:r>
              <w:rPr>
                <w:rFonts w:hint="eastAsia" w:ascii="仿宋" w:hAnsi="仿宋" w:eastAsia="仿宋" w:cs="仿宋"/>
                <w:i w:val="0"/>
                <w:color w:val="000000"/>
                <w:kern w:val="0"/>
                <w:sz w:val="11"/>
                <w:szCs w:val="11"/>
                <w:highlight w:val="none"/>
                <w:u w:val="none"/>
                <w:lang w:val="en-US" w:eastAsia="zh-CN" w:bidi="ar"/>
              </w:rPr>
              <w:t>批发业</w:t>
            </w:r>
          </w:p>
        </w:tc>
        <w:tc>
          <w:tcPr>
            <w:tcW w:w="2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highlight w:val="none"/>
                <w:u w:val="none"/>
              </w:rPr>
            </w:pPr>
            <w:r>
              <w:rPr>
                <w:rFonts w:hint="eastAsia" w:ascii="仿宋" w:hAnsi="仿宋" w:eastAsia="仿宋" w:cs="仿宋"/>
                <w:i w:val="0"/>
                <w:color w:val="000000"/>
                <w:kern w:val="0"/>
                <w:sz w:val="11"/>
                <w:szCs w:val="11"/>
                <w:highlight w:val="none"/>
                <w:u w:val="none"/>
                <w:lang w:val="en-US" w:eastAsia="zh-CN" w:bidi="ar"/>
              </w:rPr>
              <w:t>200人以下</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kern w:val="0"/>
                <w:sz w:val="11"/>
                <w:szCs w:val="11"/>
                <w:highlight w:val="none"/>
                <w:u w:val="none"/>
                <w:lang w:val="en-US" w:eastAsia="zh-CN" w:bidi="ar"/>
              </w:rPr>
            </w:pPr>
            <w:r>
              <w:rPr>
                <w:rFonts w:hint="eastAsia" w:ascii="仿宋" w:hAnsi="仿宋" w:eastAsia="仿宋" w:cs="仿宋"/>
                <w:i w:val="0"/>
                <w:color w:val="000000"/>
                <w:kern w:val="0"/>
                <w:sz w:val="11"/>
                <w:szCs w:val="11"/>
                <w:highlight w:val="none"/>
                <w:u w:val="none"/>
                <w:lang w:val="en-US" w:eastAsia="zh-CN" w:bidi="ar"/>
              </w:rPr>
              <w:t>40000万元</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highlight w:val="none"/>
                <w:u w:val="none"/>
              </w:rPr>
            </w:pPr>
            <w:r>
              <w:rPr>
                <w:rFonts w:hint="eastAsia" w:ascii="仿宋" w:hAnsi="仿宋" w:eastAsia="仿宋" w:cs="仿宋"/>
                <w:i w:val="0"/>
                <w:color w:val="000000"/>
                <w:kern w:val="0"/>
                <w:sz w:val="11"/>
                <w:szCs w:val="11"/>
                <w:highlight w:val="none"/>
                <w:u w:val="none"/>
                <w:lang w:val="en-US" w:eastAsia="zh-CN" w:bidi="ar"/>
              </w:rPr>
              <w:t>以下</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highlight w:val="none"/>
                <w:u w:val="none"/>
              </w:rPr>
            </w:pPr>
          </w:p>
        </w:tc>
        <w:tc>
          <w:tcPr>
            <w:tcW w:w="3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highlight w:val="none"/>
                <w:u w:val="none"/>
              </w:rPr>
            </w:pPr>
            <w:r>
              <w:rPr>
                <w:rFonts w:hint="eastAsia" w:ascii="仿宋" w:hAnsi="仿宋" w:eastAsia="仿宋" w:cs="仿宋"/>
                <w:i w:val="0"/>
                <w:color w:val="000000"/>
                <w:kern w:val="0"/>
                <w:sz w:val="11"/>
                <w:szCs w:val="11"/>
                <w:highlight w:val="none"/>
                <w:u w:val="none"/>
                <w:lang w:val="en-US" w:eastAsia="zh-CN" w:bidi="ar"/>
              </w:rPr>
              <w:t>20人及以上</w:t>
            </w:r>
          </w:p>
        </w:tc>
        <w:tc>
          <w:tcPr>
            <w:tcW w:w="4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highlight w:val="none"/>
                <w:u w:val="none"/>
              </w:rPr>
            </w:pPr>
            <w:r>
              <w:rPr>
                <w:rFonts w:hint="eastAsia" w:ascii="仿宋" w:hAnsi="仿宋" w:eastAsia="仿宋" w:cs="仿宋"/>
                <w:i w:val="0"/>
                <w:color w:val="000000"/>
                <w:kern w:val="0"/>
                <w:sz w:val="11"/>
                <w:szCs w:val="11"/>
                <w:highlight w:val="none"/>
                <w:u w:val="none"/>
                <w:lang w:val="en-US" w:eastAsia="zh-CN" w:bidi="ar"/>
              </w:rPr>
              <w:t>5000万元及以上</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highlight w:val="none"/>
                <w:u w:val="none"/>
              </w:rPr>
            </w:pPr>
          </w:p>
        </w:tc>
        <w:tc>
          <w:tcPr>
            <w:tcW w:w="3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highlight w:val="none"/>
                <w:u w:val="none"/>
              </w:rPr>
            </w:pPr>
            <w:r>
              <w:rPr>
                <w:rFonts w:hint="eastAsia" w:ascii="仿宋" w:hAnsi="仿宋" w:eastAsia="仿宋" w:cs="仿宋"/>
                <w:i w:val="0"/>
                <w:color w:val="000000"/>
                <w:kern w:val="0"/>
                <w:sz w:val="11"/>
                <w:szCs w:val="11"/>
                <w:highlight w:val="none"/>
                <w:u w:val="none"/>
                <w:lang w:val="en-US" w:eastAsia="zh-CN" w:bidi="ar"/>
              </w:rPr>
              <w:t>5人及以上</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highlight w:val="none"/>
                <w:u w:val="none"/>
              </w:rPr>
            </w:pPr>
            <w:r>
              <w:rPr>
                <w:rFonts w:hint="eastAsia" w:ascii="仿宋" w:hAnsi="仿宋" w:eastAsia="仿宋" w:cs="仿宋"/>
                <w:i w:val="0"/>
                <w:color w:val="000000"/>
                <w:kern w:val="0"/>
                <w:sz w:val="11"/>
                <w:szCs w:val="11"/>
                <w:highlight w:val="none"/>
                <w:u w:val="none"/>
                <w:lang w:val="en-US" w:eastAsia="zh-CN" w:bidi="ar"/>
              </w:rPr>
              <w:t>1000万元及以上</w:t>
            </w:r>
          </w:p>
        </w:tc>
        <w:tc>
          <w:tcPr>
            <w:tcW w:w="3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highlight w:val="none"/>
                <w:u w:val="none"/>
              </w:rPr>
            </w:pPr>
          </w:p>
        </w:tc>
        <w:tc>
          <w:tcPr>
            <w:tcW w:w="3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highlight w:val="none"/>
                <w:u w:val="none"/>
              </w:rPr>
            </w:pPr>
            <w:r>
              <w:rPr>
                <w:rFonts w:hint="eastAsia" w:ascii="仿宋" w:hAnsi="仿宋" w:eastAsia="仿宋" w:cs="仿宋"/>
                <w:i w:val="0"/>
                <w:color w:val="000000"/>
                <w:kern w:val="0"/>
                <w:sz w:val="11"/>
                <w:szCs w:val="11"/>
                <w:highlight w:val="none"/>
                <w:u w:val="none"/>
                <w:lang w:val="en-US" w:eastAsia="zh-CN" w:bidi="ar"/>
              </w:rPr>
              <w:t>5人以下</w:t>
            </w:r>
          </w:p>
        </w:tc>
        <w:tc>
          <w:tcPr>
            <w:tcW w:w="3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highlight w:val="none"/>
                <w:u w:val="none"/>
              </w:rPr>
            </w:pPr>
            <w:r>
              <w:rPr>
                <w:rFonts w:hint="eastAsia" w:ascii="仿宋" w:hAnsi="仿宋" w:eastAsia="仿宋" w:cs="仿宋"/>
                <w:i w:val="0"/>
                <w:color w:val="000000"/>
                <w:kern w:val="0"/>
                <w:sz w:val="11"/>
                <w:szCs w:val="11"/>
                <w:highlight w:val="none"/>
                <w:u w:val="none"/>
                <w:lang w:val="en-US" w:eastAsia="zh-CN" w:bidi="ar"/>
              </w:rPr>
              <w:t>1000万元以下</w:t>
            </w:r>
          </w:p>
        </w:tc>
        <w:tc>
          <w:tcPr>
            <w:tcW w:w="229" w:type="pct"/>
            <w:tcBorders>
              <w:top w:val="single" w:color="000000" w:sz="4" w:space="0"/>
              <w:left w:val="single" w:color="000000" w:sz="4" w:space="0"/>
              <w:bottom w:val="single" w:color="000000" w:sz="4" w:space="0"/>
              <w:right w:val="single" w:color="000000" w:sz="12"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8" w:hRule="atLeast"/>
          <w:jc w:val="center"/>
        </w:trPr>
        <w:tc>
          <w:tcPr>
            <w:tcW w:w="879" w:type="pct"/>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highlight w:val="none"/>
                <w:u w:val="none"/>
              </w:rPr>
            </w:pPr>
            <w:r>
              <w:rPr>
                <w:rFonts w:hint="eastAsia" w:ascii="仿宋" w:hAnsi="仿宋" w:eastAsia="仿宋" w:cs="仿宋"/>
                <w:i w:val="0"/>
                <w:color w:val="000000"/>
                <w:kern w:val="0"/>
                <w:sz w:val="11"/>
                <w:szCs w:val="11"/>
                <w:highlight w:val="none"/>
                <w:u w:val="none"/>
                <w:lang w:val="en-US" w:eastAsia="zh-CN" w:bidi="ar"/>
              </w:rPr>
              <w:t>零售业</w:t>
            </w:r>
          </w:p>
        </w:tc>
        <w:tc>
          <w:tcPr>
            <w:tcW w:w="2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highlight w:val="none"/>
                <w:u w:val="none"/>
              </w:rPr>
            </w:pPr>
            <w:r>
              <w:rPr>
                <w:rFonts w:hint="eastAsia" w:ascii="仿宋" w:hAnsi="仿宋" w:eastAsia="仿宋" w:cs="仿宋"/>
                <w:i w:val="0"/>
                <w:color w:val="000000"/>
                <w:kern w:val="0"/>
                <w:sz w:val="11"/>
                <w:szCs w:val="11"/>
                <w:highlight w:val="none"/>
                <w:u w:val="none"/>
                <w:lang w:val="en-US" w:eastAsia="zh-CN" w:bidi="ar"/>
              </w:rPr>
              <w:t>300人以下</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kern w:val="0"/>
                <w:sz w:val="11"/>
                <w:szCs w:val="11"/>
                <w:highlight w:val="none"/>
                <w:u w:val="none"/>
                <w:lang w:val="en-US" w:eastAsia="zh-CN" w:bidi="ar"/>
              </w:rPr>
            </w:pPr>
            <w:r>
              <w:rPr>
                <w:rFonts w:hint="eastAsia" w:ascii="仿宋" w:hAnsi="仿宋" w:eastAsia="仿宋" w:cs="仿宋"/>
                <w:i w:val="0"/>
                <w:color w:val="000000"/>
                <w:kern w:val="0"/>
                <w:sz w:val="11"/>
                <w:szCs w:val="11"/>
                <w:highlight w:val="none"/>
                <w:u w:val="none"/>
                <w:lang w:val="en-US" w:eastAsia="zh-CN" w:bidi="ar"/>
              </w:rPr>
              <w:t>20000万元</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highlight w:val="none"/>
                <w:u w:val="none"/>
              </w:rPr>
            </w:pPr>
            <w:r>
              <w:rPr>
                <w:rFonts w:hint="eastAsia" w:ascii="仿宋" w:hAnsi="仿宋" w:eastAsia="仿宋" w:cs="仿宋"/>
                <w:i w:val="0"/>
                <w:color w:val="000000"/>
                <w:kern w:val="0"/>
                <w:sz w:val="11"/>
                <w:szCs w:val="11"/>
                <w:highlight w:val="none"/>
                <w:u w:val="none"/>
                <w:lang w:val="en-US" w:eastAsia="zh-CN" w:bidi="ar"/>
              </w:rPr>
              <w:t>以下</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highlight w:val="none"/>
                <w:u w:val="none"/>
              </w:rPr>
            </w:pPr>
          </w:p>
        </w:tc>
        <w:tc>
          <w:tcPr>
            <w:tcW w:w="3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highlight w:val="none"/>
                <w:u w:val="none"/>
              </w:rPr>
            </w:pPr>
            <w:r>
              <w:rPr>
                <w:rFonts w:hint="eastAsia" w:ascii="仿宋" w:hAnsi="仿宋" w:eastAsia="仿宋" w:cs="仿宋"/>
                <w:i w:val="0"/>
                <w:color w:val="000000"/>
                <w:kern w:val="0"/>
                <w:sz w:val="11"/>
                <w:szCs w:val="11"/>
                <w:highlight w:val="none"/>
                <w:u w:val="none"/>
                <w:lang w:val="en-US" w:eastAsia="zh-CN" w:bidi="ar"/>
              </w:rPr>
              <w:t>50人及以上</w:t>
            </w:r>
          </w:p>
        </w:tc>
        <w:tc>
          <w:tcPr>
            <w:tcW w:w="4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highlight w:val="none"/>
                <w:u w:val="none"/>
              </w:rPr>
            </w:pPr>
            <w:r>
              <w:rPr>
                <w:rFonts w:hint="eastAsia" w:ascii="仿宋" w:hAnsi="仿宋" w:eastAsia="仿宋" w:cs="仿宋"/>
                <w:i w:val="0"/>
                <w:color w:val="000000"/>
                <w:kern w:val="0"/>
                <w:sz w:val="11"/>
                <w:szCs w:val="11"/>
                <w:highlight w:val="none"/>
                <w:u w:val="none"/>
                <w:lang w:val="en-US" w:eastAsia="zh-CN" w:bidi="ar"/>
              </w:rPr>
              <w:t>500万元及以上</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highlight w:val="none"/>
                <w:u w:val="none"/>
              </w:rPr>
            </w:pPr>
          </w:p>
        </w:tc>
        <w:tc>
          <w:tcPr>
            <w:tcW w:w="3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highlight w:val="none"/>
                <w:u w:val="none"/>
              </w:rPr>
            </w:pPr>
            <w:r>
              <w:rPr>
                <w:rFonts w:hint="eastAsia" w:ascii="仿宋" w:hAnsi="仿宋" w:eastAsia="仿宋" w:cs="仿宋"/>
                <w:i w:val="0"/>
                <w:color w:val="000000"/>
                <w:kern w:val="0"/>
                <w:sz w:val="11"/>
                <w:szCs w:val="11"/>
                <w:highlight w:val="none"/>
                <w:u w:val="none"/>
                <w:lang w:val="en-US" w:eastAsia="zh-CN" w:bidi="ar"/>
              </w:rPr>
              <w:t>10人及以上</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highlight w:val="none"/>
                <w:u w:val="none"/>
              </w:rPr>
            </w:pPr>
            <w:r>
              <w:rPr>
                <w:rFonts w:hint="eastAsia" w:ascii="仿宋" w:hAnsi="仿宋" w:eastAsia="仿宋" w:cs="仿宋"/>
                <w:i w:val="0"/>
                <w:color w:val="000000"/>
                <w:kern w:val="0"/>
                <w:sz w:val="11"/>
                <w:szCs w:val="11"/>
                <w:highlight w:val="none"/>
                <w:u w:val="none"/>
                <w:lang w:val="en-US" w:eastAsia="zh-CN" w:bidi="ar"/>
              </w:rPr>
              <w:t>100万元及以上</w:t>
            </w:r>
          </w:p>
        </w:tc>
        <w:tc>
          <w:tcPr>
            <w:tcW w:w="3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highlight w:val="none"/>
                <w:u w:val="none"/>
              </w:rPr>
            </w:pPr>
          </w:p>
        </w:tc>
        <w:tc>
          <w:tcPr>
            <w:tcW w:w="3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highlight w:val="none"/>
                <w:u w:val="none"/>
              </w:rPr>
            </w:pPr>
            <w:r>
              <w:rPr>
                <w:rFonts w:hint="eastAsia" w:ascii="仿宋" w:hAnsi="仿宋" w:eastAsia="仿宋" w:cs="仿宋"/>
                <w:i w:val="0"/>
                <w:color w:val="000000"/>
                <w:kern w:val="0"/>
                <w:sz w:val="11"/>
                <w:szCs w:val="11"/>
                <w:highlight w:val="none"/>
                <w:u w:val="none"/>
                <w:lang w:val="en-US" w:eastAsia="zh-CN" w:bidi="ar"/>
              </w:rPr>
              <w:t>10人以下</w:t>
            </w:r>
          </w:p>
        </w:tc>
        <w:tc>
          <w:tcPr>
            <w:tcW w:w="3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highlight w:val="none"/>
                <w:u w:val="none"/>
              </w:rPr>
            </w:pPr>
            <w:r>
              <w:rPr>
                <w:rFonts w:hint="eastAsia" w:ascii="仿宋" w:hAnsi="仿宋" w:eastAsia="仿宋" w:cs="仿宋"/>
                <w:i w:val="0"/>
                <w:color w:val="000000"/>
                <w:kern w:val="0"/>
                <w:sz w:val="11"/>
                <w:szCs w:val="11"/>
                <w:highlight w:val="none"/>
                <w:u w:val="none"/>
                <w:lang w:val="en-US" w:eastAsia="zh-CN" w:bidi="ar"/>
              </w:rPr>
              <w:t>100万元以下</w:t>
            </w:r>
          </w:p>
        </w:tc>
        <w:tc>
          <w:tcPr>
            <w:tcW w:w="229" w:type="pct"/>
            <w:tcBorders>
              <w:top w:val="single" w:color="000000" w:sz="4" w:space="0"/>
              <w:left w:val="single" w:color="000000" w:sz="4" w:space="0"/>
              <w:bottom w:val="single" w:color="000000" w:sz="4" w:space="0"/>
              <w:right w:val="single" w:color="000000" w:sz="12"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8" w:hRule="atLeast"/>
          <w:jc w:val="center"/>
        </w:trPr>
        <w:tc>
          <w:tcPr>
            <w:tcW w:w="879" w:type="pct"/>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highlight w:val="none"/>
                <w:u w:val="none"/>
              </w:rPr>
            </w:pPr>
            <w:r>
              <w:rPr>
                <w:rFonts w:hint="eastAsia" w:ascii="仿宋" w:hAnsi="仿宋" w:eastAsia="仿宋" w:cs="仿宋"/>
                <w:i w:val="0"/>
                <w:color w:val="000000"/>
                <w:kern w:val="0"/>
                <w:sz w:val="11"/>
                <w:szCs w:val="11"/>
                <w:highlight w:val="none"/>
                <w:u w:val="none"/>
                <w:lang w:val="en-US" w:eastAsia="zh-CN" w:bidi="ar"/>
              </w:rPr>
              <w:t>交通运输业（不含铁路运输业）</w:t>
            </w:r>
          </w:p>
        </w:tc>
        <w:tc>
          <w:tcPr>
            <w:tcW w:w="2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highlight w:val="none"/>
                <w:u w:val="none"/>
              </w:rPr>
            </w:pPr>
            <w:r>
              <w:rPr>
                <w:rFonts w:hint="eastAsia" w:ascii="仿宋" w:hAnsi="仿宋" w:eastAsia="仿宋" w:cs="仿宋"/>
                <w:i w:val="0"/>
                <w:color w:val="000000"/>
                <w:kern w:val="0"/>
                <w:sz w:val="11"/>
                <w:szCs w:val="11"/>
                <w:highlight w:val="none"/>
                <w:u w:val="none"/>
                <w:lang w:val="en-US" w:eastAsia="zh-CN" w:bidi="ar"/>
              </w:rPr>
              <w:t>1000人以下</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kern w:val="0"/>
                <w:sz w:val="11"/>
                <w:szCs w:val="11"/>
                <w:highlight w:val="none"/>
                <w:u w:val="none"/>
                <w:lang w:val="en-US" w:eastAsia="zh-CN" w:bidi="ar"/>
              </w:rPr>
            </w:pPr>
            <w:r>
              <w:rPr>
                <w:rFonts w:hint="eastAsia" w:ascii="仿宋" w:hAnsi="仿宋" w:eastAsia="仿宋" w:cs="仿宋"/>
                <w:i w:val="0"/>
                <w:color w:val="000000"/>
                <w:kern w:val="0"/>
                <w:sz w:val="11"/>
                <w:szCs w:val="11"/>
                <w:highlight w:val="none"/>
                <w:u w:val="none"/>
                <w:lang w:val="en-US" w:eastAsia="zh-CN" w:bidi="ar"/>
              </w:rPr>
              <w:t>30000万元</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highlight w:val="none"/>
                <w:u w:val="none"/>
              </w:rPr>
            </w:pPr>
            <w:r>
              <w:rPr>
                <w:rFonts w:hint="eastAsia" w:ascii="仿宋" w:hAnsi="仿宋" w:eastAsia="仿宋" w:cs="仿宋"/>
                <w:i w:val="0"/>
                <w:color w:val="000000"/>
                <w:kern w:val="0"/>
                <w:sz w:val="11"/>
                <w:szCs w:val="11"/>
                <w:highlight w:val="none"/>
                <w:u w:val="none"/>
                <w:lang w:val="en-US" w:eastAsia="zh-CN" w:bidi="ar"/>
              </w:rPr>
              <w:t>以下</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highlight w:val="none"/>
                <w:u w:val="none"/>
              </w:rPr>
            </w:pPr>
          </w:p>
        </w:tc>
        <w:tc>
          <w:tcPr>
            <w:tcW w:w="3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highlight w:val="none"/>
                <w:u w:val="none"/>
              </w:rPr>
            </w:pPr>
            <w:r>
              <w:rPr>
                <w:rFonts w:hint="eastAsia" w:ascii="仿宋" w:hAnsi="仿宋" w:eastAsia="仿宋" w:cs="仿宋"/>
                <w:i w:val="0"/>
                <w:color w:val="000000"/>
                <w:kern w:val="0"/>
                <w:sz w:val="11"/>
                <w:szCs w:val="11"/>
                <w:highlight w:val="none"/>
                <w:u w:val="none"/>
                <w:lang w:val="en-US" w:eastAsia="zh-CN" w:bidi="ar"/>
              </w:rPr>
              <w:t>300人及以上</w:t>
            </w:r>
          </w:p>
        </w:tc>
        <w:tc>
          <w:tcPr>
            <w:tcW w:w="4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highlight w:val="none"/>
                <w:u w:val="none"/>
              </w:rPr>
            </w:pPr>
            <w:r>
              <w:rPr>
                <w:rFonts w:hint="eastAsia" w:ascii="仿宋" w:hAnsi="仿宋" w:eastAsia="仿宋" w:cs="仿宋"/>
                <w:i w:val="0"/>
                <w:color w:val="000000"/>
                <w:kern w:val="0"/>
                <w:sz w:val="11"/>
                <w:szCs w:val="11"/>
                <w:highlight w:val="none"/>
                <w:u w:val="none"/>
                <w:lang w:val="en-US" w:eastAsia="zh-CN" w:bidi="ar"/>
              </w:rPr>
              <w:t>3000万元及以上</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highlight w:val="none"/>
                <w:u w:val="none"/>
              </w:rPr>
            </w:pPr>
          </w:p>
        </w:tc>
        <w:tc>
          <w:tcPr>
            <w:tcW w:w="3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highlight w:val="none"/>
                <w:u w:val="none"/>
              </w:rPr>
            </w:pPr>
            <w:r>
              <w:rPr>
                <w:rFonts w:hint="eastAsia" w:ascii="仿宋" w:hAnsi="仿宋" w:eastAsia="仿宋" w:cs="仿宋"/>
                <w:i w:val="0"/>
                <w:color w:val="000000"/>
                <w:kern w:val="0"/>
                <w:sz w:val="11"/>
                <w:szCs w:val="11"/>
                <w:highlight w:val="none"/>
                <w:u w:val="none"/>
                <w:lang w:val="en-US" w:eastAsia="zh-CN" w:bidi="ar"/>
              </w:rPr>
              <w:t>20人及以上</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highlight w:val="none"/>
                <w:u w:val="none"/>
              </w:rPr>
            </w:pPr>
            <w:r>
              <w:rPr>
                <w:rFonts w:hint="eastAsia" w:ascii="仿宋" w:hAnsi="仿宋" w:eastAsia="仿宋" w:cs="仿宋"/>
                <w:i w:val="0"/>
                <w:color w:val="000000"/>
                <w:kern w:val="0"/>
                <w:sz w:val="11"/>
                <w:szCs w:val="11"/>
                <w:highlight w:val="none"/>
                <w:u w:val="none"/>
                <w:lang w:val="en-US" w:eastAsia="zh-CN" w:bidi="ar"/>
              </w:rPr>
              <w:t>200万元及以上</w:t>
            </w:r>
          </w:p>
        </w:tc>
        <w:tc>
          <w:tcPr>
            <w:tcW w:w="3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highlight w:val="none"/>
                <w:u w:val="none"/>
              </w:rPr>
            </w:pPr>
          </w:p>
        </w:tc>
        <w:tc>
          <w:tcPr>
            <w:tcW w:w="3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highlight w:val="none"/>
                <w:u w:val="none"/>
              </w:rPr>
            </w:pPr>
            <w:r>
              <w:rPr>
                <w:rFonts w:hint="eastAsia" w:ascii="仿宋" w:hAnsi="仿宋" w:eastAsia="仿宋" w:cs="仿宋"/>
                <w:i w:val="0"/>
                <w:color w:val="000000"/>
                <w:kern w:val="0"/>
                <w:sz w:val="11"/>
                <w:szCs w:val="11"/>
                <w:highlight w:val="none"/>
                <w:u w:val="none"/>
                <w:lang w:val="en-US" w:eastAsia="zh-CN" w:bidi="ar"/>
              </w:rPr>
              <w:t>20人以下</w:t>
            </w:r>
          </w:p>
        </w:tc>
        <w:tc>
          <w:tcPr>
            <w:tcW w:w="3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highlight w:val="none"/>
                <w:u w:val="none"/>
              </w:rPr>
            </w:pPr>
            <w:r>
              <w:rPr>
                <w:rFonts w:hint="eastAsia" w:ascii="仿宋" w:hAnsi="仿宋" w:eastAsia="仿宋" w:cs="仿宋"/>
                <w:i w:val="0"/>
                <w:color w:val="000000"/>
                <w:kern w:val="0"/>
                <w:sz w:val="11"/>
                <w:szCs w:val="11"/>
                <w:highlight w:val="none"/>
                <w:u w:val="none"/>
                <w:lang w:val="en-US" w:eastAsia="zh-CN" w:bidi="ar"/>
              </w:rPr>
              <w:t>200万元以下</w:t>
            </w:r>
          </w:p>
        </w:tc>
        <w:tc>
          <w:tcPr>
            <w:tcW w:w="229" w:type="pct"/>
            <w:tcBorders>
              <w:top w:val="single" w:color="000000" w:sz="4" w:space="0"/>
              <w:left w:val="single" w:color="000000" w:sz="4" w:space="0"/>
              <w:bottom w:val="single" w:color="000000" w:sz="4" w:space="0"/>
              <w:right w:val="single" w:color="000000" w:sz="12"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7" w:hRule="atLeast"/>
          <w:jc w:val="center"/>
        </w:trPr>
        <w:tc>
          <w:tcPr>
            <w:tcW w:w="879" w:type="pct"/>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highlight w:val="none"/>
                <w:u w:val="none"/>
              </w:rPr>
            </w:pPr>
            <w:r>
              <w:rPr>
                <w:rFonts w:hint="eastAsia" w:ascii="仿宋" w:hAnsi="仿宋" w:eastAsia="仿宋" w:cs="仿宋"/>
                <w:i w:val="0"/>
                <w:color w:val="000000"/>
                <w:kern w:val="0"/>
                <w:sz w:val="11"/>
                <w:szCs w:val="11"/>
                <w:highlight w:val="none"/>
                <w:u w:val="none"/>
                <w:lang w:val="en-US" w:eastAsia="zh-CN" w:bidi="ar"/>
              </w:rPr>
              <w:t>仓储业</w:t>
            </w:r>
          </w:p>
        </w:tc>
        <w:tc>
          <w:tcPr>
            <w:tcW w:w="2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highlight w:val="none"/>
                <w:u w:val="none"/>
              </w:rPr>
            </w:pPr>
            <w:r>
              <w:rPr>
                <w:rFonts w:hint="eastAsia" w:ascii="仿宋" w:hAnsi="仿宋" w:eastAsia="仿宋" w:cs="仿宋"/>
                <w:i w:val="0"/>
                <w:color w:val="000000"/>
                <w:kern w:val="0"/>
                <w:sz w:val="11"/>
                <w:szCs w:val="11"/>
                <w:highlight w:val="none"/>
                <w:u w:val="none"/>
                <w:lang w:val="en-US" w:eastAsia="zh-CN" w:bidi="ar"/>
              </w:rPr>
              <w:t>200人以下</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highlight w:val="none"/>
                <w:u w:val="none"/>
              </w:rPr>
            </w:pPr>
            <w:r>
              <w:rPr>
                <w:rFonts w:hint="eastAsia" w:ascii="仿宋" w:hAnsi="仿宋" w:eastAsia="仿宋" w:cs="仿宋"/>
                <w:i w:val="0"/>
                <w:color w:val="000000"/>
                <w:kern w:val="0"/>
                <w:sz w:val="11"/>
                <w:szCs w:val="11"/>
                <w:highlight w:val="none"/>
                <w:u w:val="none"/>
                <w:lang w:val="en-US" w:eastAsia="zh-CN" w:bidi="ar"/>
              </w:rPr>
              <w:t>30000万元以下</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highlight w:val="none"/>
                <w:u w:val="none"/>
              </w:rPr>
            </w:pPr>
          </w:p>
        </w:tc>
        <w:tc>
          <w:tcPr>
            <w:tcW w:w="3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highlight w:val="none"/>
                <w:u w:val="none"/>
              </w:rPr>
            </w:pPr>
            <w:r>
              <w:rPr>
                <w:rFonts w:hint="eastAsia" w:ascii="仿宋" w:hAnsi="仿宋" w:eastAsia="仿宋" w:cs="仿宋"/>
                <w:i w:val="0"/>
                <w:color w:val="000000"/>
                <w:kern w:val="0"/>
                <w:sz w:val="11"/>
                <w:szCs w:val="11"/>
                <w:highlight w:val="none"/>
                <w:u w:val="none"/>
                <w:lang w:val="en-US" w:eastAsia="zh-CN" w:bidi="ar"/>
              </w:rPr>
              <w:t>100人及以上</w:t>
            </w:r>
          </w:p>
        </w:tc>
        <w:tc>
          <w:tcPr>
            <w:tcW w:w="4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highlight w:val="none"/>
                <w:u w:val="none"/>
              </w:rPr>
            </w:pPr>
            <w:r>
              <w:rPr>
                <w:rFonts w:hint="eastAsia" w:ascii="仿宋" w:hAnsi="仿宋" w:eastAsia="仿宋" w:cs="仿宋"/>
                <w:i w:val="0"/>
                <w:color w:val="000000"/>
                <w:kern w:val="0"/>
                <w:sz w:val="11"/>
                <w:szCs w:val="11"/>
                <w:highlight w:val="none"/>
                <w:u w:val="none"/>
                <w:lang w:val="en-US" w:eastAsia="zh-CN" w:bidi="ar"/>
              </w:rPr>
              <w:t>1000万元及以上</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highlight w:val="none"/>
                <w:u w:val="none"/>
              </w:rPr>
            </w:pPr>
          </w:p>
        </w:tc>
        <w:tc>
          <w:tcPr>
            <w:tcW w:w="3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highlight w:val="none"/>
                <w:u w:val="none"/>
              </w:rPr>
            </w:pPr>
            <w:r>
              <w:rPr>
                <w:rFonts w:hint="eastAsia" w:ascii="仿宋" w:hAnsi="仿宋" w:eastAsia="仿宋" w:cs="仿宋"/>
                <w:i w:val="0"/>
                <w:color w:val="000000"/>
                <w:kern w:val="0"/>
                <w:sz w:val="11"/>
                <w:szCs w:val="11"/>
                <w:highlight w:val="none"/>
                <w:u w:val="none"/>
                <w:lang w:val="en-US" w:eastAsia="zh-CN" w:bidi="ar"/>
              </w:rPr>
              <w:t>20人及以上</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highlight w:val="none"/>
                <w:u w:val="none"/>
              </w:rPr>
            </w:pPr>
            <w:r>
              <w:rPr>
                <w:rFonts w:hint="eastAsia" w:ascii="仿宋" w:hAnsi="仿宋" w:eastAsia="仿宋" w:cs="仿宋"/>
                <w:i w:val="0"/>
                <w:color w:val="000000"/>
                <w:kern w:val="0"/>
                <w:sz w:val="11"/>
                <w:szCs w:val="11"/>
                <w:highlight w:val="none"/>
                <w:u w:val="none"/>
                <w:lang w:val="en-US" w:eastAsia="zh-CN" w:bidi="ar"/>
              </w:rPr>
              <w:t>100万元及以上</w:t>
            </w:r>
          </w:p>
        </w:tc>
        <w:tc>
          <w:tcPr>
            <w:tcW w:w="3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highlight w:val="none"/>
                <w:u w:val="none"/>
              </w:rPr>
            </w:pPr>
          </w:p>
        </w:tc>
        <w:tc>
          <w:tcPr>
            <w:tcW w:w="3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highlight w:val="none"/>
                <w:u w:val="none"/>
              </w:rPr>
            </w:pPr>
            <w:r>
              <w:rPr>
                <w:rFonts w:hint="eastAsia" w:ascii="仿宋" w:hAnsi="仿宋" w:eastAsia="仿宋" w:cs="仿宋"/>
                <w:i w:val="0"/>
                <w:color w:val="000000"/>
                <w:kern w:val="0"/>
                <w:sz w:val="11"/>
                <w:szCs w:val="11"/>
                <w:highlight w:val="none"/>
                <w:u w:val="none"/>
                <w:lang w:val="en-US" w:eastAsia="zh-CN" w:bidi="ar"/>
              </w:rPr>
              <w:t>20人以下</w:t>
            </w:r>
          </w:p>
        </w:tc>
        <w:tc>
          <w:tcPr>
            <w:tcW w:w="3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highlight w:val="none"/>
                <w:u w:val="none"/>
              </w:rPr>
            </w:pPr>
            <w:r>
              <w:rPr>
                <w:rFonts w:hint="eastAsia" w:ascii="仿宋" w:hAnsi="仿宋" w:eastAsia="仿宋" w:cs="仿宋"/>
                <w:i w:val="0"/>
                <w:color w:val="000000"/>
                <w:kern w:val="0"/>
                <w:sz w:val="11"/>
                <w:szCs w:val="11"/>
                <w:highlight w:val="none"/>
                <w:u w:val="none"/>
                <w:lang w:val="en-US" w:eastAsia="zh-CN" w:bidi="ar"/>
              </w:rPr>
              <w:t>100万元以下</w:t>
            </w:r>
          </w:p>
        </w:tc>
        <w:tc>
          <w:tcPr>
            <w:tcW w:w="229" w:type="pct"/>
            <w:tcBorders>
              <w:top w:val="single" w:color="000000" w:sz="4" w:space="0"/>
              <w:left w:val="single" w:color="000000" w:sz="4" w:space="0"/>
              <w:bottom w:val="single" w:color="000000" w:sz="4" w:space="0"/>
              <w:right w:val="single" w:color="000000" w:sz="12"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7" w:hRule="atLeast"/>
          <w:jc w:val="center"/>
        </w:trPr>
        <w:tc>
          <w:tcPr>
            <w:tcW w:w="879" w:type="pct"/>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highlight w:val="none"/>
                <w:u w:val="none"/>
              </w:rPr>
            </w:pPr>
            <w:r>
              <w:rPr>
                <w:rFonts w:hint="eastAsia" w:ascii="仿宋" w:hAnsi="仿宋" w:eastAsia="仿宋" w:cs="仿宋"/>
                <w:i w:val="0"/>
                <w:color w:val="000000"/>
                <w:kern w:val="0"/>
                <w:sz w:val="11"/>
                <w:szCs w:val="11"/>
                <w:highlight w:val="none"/>
                <w:u w:val="none"/>
                <w:lang w:val="en-US" w:eastAsia="zh-CN" w:bidi="ar"/>
              </w:rPr>
              <w:t>邮政业</w:t>
            </w:r>
          </w:p>
        </w:tc>
        <w:tc>
          <w:tcPr>
            <w:tcW w:w="2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highlight w:val="none"/>
                <w:u w:val="none"/>
              </w:rPr>
            </w:pPr>
            <w:r>
              <w:rPr>
                <w:rFonts w:hint="eastAsia" w:ascii="仿宋" w:hAnsi="仿宋" w:eastAsia="仿宋" w:cs="仿宋"/>
                <w:i w:val="0"/>
                <w:color w:val="000000"/>
                <w:kern w:val="0"/>
                <w:sz w:val="11"/>
                <w:szCs w:val="11"/>
                <w:highlight w:val="none"/>
                <w:u w:val="none"/>
                <w:lang w:val="en-US" w:eastAsia="zh-CN" w:bidi="ar"/>
              </w:rPr>
              <w:t>1000人以下</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highlight w:val="none"/>
                <w:u w:val="none"/>
              </w:rPr>
            </w:pPr>
            <w:r>
              <w:rPr>
                <w:rFonts w:hint="eastAsia" w:ascii="仿宋" w:hAnsi="仿宋" w:eastAsia="仿宋" w:cs="仿宋"/>
                <w:i w:val="0"/>
                <w:color w:val="000000"/>
                <w:kern w:val="0"/>
                <w:sz w:val="11"/>
                <w:szCs w:val="11"/>
                <w:highlight w:val="none"/>
                <w:u w:val="none"/>
                <w:lang w:val="en-US" w:eastAsia="zh-CN" w:bidi="ar"/>
              </w:rPr>
              <w:t>30000万元以下</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highlight w:val="none"/>
                <w:u w:val="none"/>
              </w:rPr>
            </w:pPr>
          </w:p>
        </w:tc>
        <w:tc>
          <w:tcPr>
            <w:tcW w:w="3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highlight w:val="none"/>
                <w:u w:val="none"/>
              </w:rPr>
            </w:pPr>
            <w:r>
              <w:rPr>
                <w:rFonts w:hint="eastAsia" w:ascii="仿宋" w:hAnsi="仿宋" w:eastAsia="仿宋" w:cs="仿宋"/>
                <w:i w:val="0"/>
                <w:color w:val="000000"/>
                <w:kern w:val="0"/>
                <w:sz w:val="11"/>
                <w:szCs w:val="11"/>
                <w:highlight w:val="none"/>
                <w:u w:val="none"/>
                <w:lang w:val="en-US" w:eastAsia="zh-CN" w:bidi="ar"/>
              </w:rPr>
              <w:t>300人及以上</w:t>
            </w:r>
          </w:p>
        </w:tc>
        <w:tc>
          <w:tcPr>
            <w:tcW w:w="4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highlight w:val="none"/>
                <w:u w:val="none"/>
              </w:rPr>
            </w:pPr>
            <w:r>
              <w:rPr>
                <w:rFonts w:hint="eastAsia" w:ascii="仿宋" w:hAnsi="仿宋" w:eastAsia="仿宋" w:cs="仿宋"/>
                <w:i w:val="0"/>
                <w:color w:val="000000"/>
                <w:kern w:val="0"/>
                <w:sz w:val="11"/>
                <w:szCs w:val="11"/>
                <w:highlight w:val="none"/>
                <w:u w:val="none"/>
                <w:lang w:val="en-US" w:eastAsia="zh-CN" w:bidi="ar"/>
              </w:rPr>
              <w:t>2000万元及以上</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highlight w:val="none"/>
                <w:u w:val="none"/>
              </w:rPr>
            </w:pPr>
          </w:p>
        </w:tc>
        <w:tc>
          <w:tcPr>
            <w:tcW w:w="3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highlight w:val="none"/>
                <w:u w:val="none"/>
              </w:rPr>
            </w:pPr>
            <w:r>
              <w:rPr>
                <w:rFonts w:hint="eastAsia" w:ascii="仿宋" w:hAnsi="仿宋" w:eastAsia="仿宋" w:cs="仿宋"/>
                <w:i w:val="0"/>
                <w:color w:val="000000"/>
                <w:kern w:val="0"/>
                <w:sz w:val="11"/>
                <w:szCs w:val="11"/>
                <w:highlight w:val="none"/>
                <w:u w:val="none"/>
                <w:lang w:val="en-US" w:eastAsia="zh-CN" w:bidi="ar"/>
              </w:rPr>
              <w:t>20人及以上</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highlight w:val="none"/>
                <w:u w:val="none"/>
              </w:rPr>
            </w:pPr>
            <w:r>
              <w:rPr>
                <w:rFonts w:hint="eastAsia" w:ascii="仿宋" w:hAnsi="仿宋" w:eastAsia="仿宋" w:cs="仿宋"/>
                <w:i w:val="0"/>
                <w:color w:val="000000"/>
                <w:kern w:val="0"/>
                <w:sz w:val="11"/>
                <w:szCs w:val="11"/>
                <w:highlight w:val="none"/>
                <w:u w:val="none"/>
                <w:lang w:val="en-US" w:eastAsia="zh-CN" w:bidi="ar"/>
              </w:rPr>
              <w:t>100万元及以上</w:t>
            </w:r>
          </w:p>
        </w:tc>
        <w:tc>
          <w:tcPr>
            <w:tcW w:w="3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highlight w:val="none"/>
                <w:u w:val="none"/>
              </w:rPr>
            </w:pPr>
          </w:p>
        </w:tc>
        <w:tc>
          <w:tcPr>
            <w:tcW w:w="3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highlight w:val="none"/>
                <w:u w:val="none"/>
              </w:rPr>
            </w:pPr>
            <w:r>
              <w:rPr>
                <w:rFonts w:hint="eastAsia" w:ascii="仿宋" w:hAnsi="仿宋" w:eastAsia="仿宋" w:cs="仿宋"/>
                <w:i w:val="0"/>
                <w:color w:val="000000"/>
                <w:kern w:val="0"/>
                <w:sz w:val="11"/>
                <w:szCs w:val="11"/>
                <w:highlight w:val="none"/>
                <w:u w:val="none"/>
                <w:lang w:val="en-US" w:eastAsia="zh-CN" w:bidi="ar"/>
              </w:rPr>
              <w:t>20人以下</w:t>
            </w:r>
          </w:p>
        </w:tc>
        <w:tc>
          <w:tcPr>
            <w:tcW w:w="3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highlight w:val="none"/>
                <w:u w:val="none"/>
              </w:rPr>
            </w:pPr>
            <w:r>
              <w:rPr>
                <w:rFonts w:hint="eastAsia" w:ascii="仿宋" w:hAnsi="仿宋" w:eastAsia="仿宋" w:cs="仿宋"/>
                <w:i w:val="0"/>
                <w:color w:val="000000"/>
                <w:kern w:val="0"/>
                <w:sz w:val="11"/>
                <w:szCs w:val="11"/>
                <w:highlight w:val="none"/>
                <w:u w:val="none"/>
                <w:lang w:val="en-US" w:eastAsia="zh-CN" w:bidi="ar"/>
              </w:rPr>
              <w:t>100万元以下</w:t>
            </w:r>
          </w:p>
        </w:tc>
        <w:tc>
          <w:tcPr>
            <w:tcW w:w="229" w:type="pct"/>
            <w:tcBorders>
              <w:top w:val="single" w:color="000000" w:sz="4" w:space="0"/>
              <w:left w:val="single" w:color="000000" w:sz="4" w:space="0"/>
              <w:bottom w:val="single" w:color="000000" w:sz="4" w:space="0"/>
              <w:right w:val="single" w:color="000000" w:sz="12"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7" w:hRule="atLeast"/>
          <w:jc w:val="center"/>
        </w:trPr>
        <w:tc>
          <w:tcPr>
            <w:tcW w:w="879" w:type="pct"/>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highlight w:val="none"/>
                <w:u w:val="none"/>
              </w:rPr>
            </w:pPr>
            <w:r>
              <w:rPr>
                <w:rFonts w:hint="eastAsia" w:ascii="仿宋" w:hAnsi="仿宋" w:eastAsia="仿宋" w:cs="仿宋"/>
                <w:i w:val="0"/>
                <w:color w:val="000000"/>
                <w:kern w:val="0"/>
                <w:sz w:val="11"/>
                <w:szCs w:val="11"/>
                <w:highlight w:val="none"/>
                <w:u w:val="none"/>
                <w:lang w:val="en-US" w:eastAsia="zh-CN" w:bidi="ar"/>
              </w:rPr>
              <w:t>住宿业</w:t>
            </w:r>
          </w:p>
        </w:tc>
        <w:tc>
          <w:tcPr>
            <w:tcW w:w="2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highlight w:val="none"/>
                <w:u w:val="none"/>
              </w:rPr>
            </w:pPr>
            <w:r>
              <w:rPr>
                <w:rFonts w:hint="eastAsia" w:ascii="仿宋" w:hAnsi="仿宋" w:eastAsia="仿宋" w:cs="仿宋"/>
                <w:i w:val="0"/>
                <w:color w:val="000000"/>
                <w:kern w:val="0"/>
                <w:sz w:val="11"/>
                <w:szCs w:val="11"/>
                <w:highlight w:val="none"/>
                <w:u w:val="none"/>
                <w:lang w:val="en-US" w:eastAsia="zh-CN" w:bidi="ar"/>
              </w:rPr>
              <w:t>300人以下</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highlight w:val="none"/>
                <w:u w:val="none"/>
              </w:rPr>
            </w:pPr>
            <w:r>
              <w:rPr>
                <w:rFonts w:hint="eastAsia" w:ascii="仿宋" w:hAnsi="仿宋" w:eastAsia="仿宋" w:cs="仿宋"/>
                <w:i w:val="0"/>
                <w:color w:val="000000"/>
                <w:kern w:val="0"/>
                <w:sz w:val="11"/>
                <w:szCs w:val="11"/>
                <w:highlight w:val="none"/>
                <w:u w:val="none"/>
                <w:lang w:val="en-US" w:eastAsia="zh-CN" w:bidi="ar"/>
              </w:rPr>
              <w:t>10000万元以下</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highlight w:val="none"/>
                <w:u w:val="none"/>
              </w:rPr>
            </w:pPr>
          </w:p>
        </w:tc>
        <w:tc>
          <w:tcPr>
            <w:tcW w:w="3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highlight w:val="none"/>
                <w:u w:val="none"/>
              </w:rPr>
            </w:pPr>
            <w:r>
              <w:rPr>
                <w:rFonts w:hint="eastAsia" w:ascii="仿宋" w:hAnsi="仿宋" w:eastAsia="仿宋" w:cs="仿宋"/>
                <w:i w:val="0"/>
                <w:color w:val="000000"/>
                <w:kern w:val="0"/>
                <w:sz w:val="11"/>
                <w:szCs w:val="11"/>
                <w:highlight w:val="none"/>
                <w:u w:val="none"/>
                <w:lang w:val="en-US" w:eastAsia="zh-CN" w:bidi="ar"/>
              </w:rPr>
              <w:t>100人及以上</w:t>
            </w:r>
          </w:p>
        </w:tc>
        <w:tc>
          <w:tcPr>
            <w:tcW w:w="4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highlight w:val="none"/>
                <w:u w:val="none"/>
              </w:rPr>
            </w:pPr>
            <w:r>
              <w:rPr>
                <w:rFonts w:hint="eastAsia" w:ascii="仿宋" w:hAnsi="仿宋" w:eastAsia="仿宋" w:cs="仿宋"/>
                <w:i w:val="0"/>
                <w:color w:val="000000"/>
                <w:kern w:val="0"/>
                <w:sz w:val="11"/>
                <w:szCs w:val="11"/>
                <w:highlight w:val="none"/>
                <w:u w:val="none"/>
                <w:lang w:val="en-US" w:eastAsia="zh-CN" w:bidi="ar"/>
              </w:rPr>
              <w:t>2000万元及以上</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highlight w:val="none"/>
                <w:u w:val="none"/>
              </w:rPr>
            </w:pPr>
          </w:p>
        </w:tc>
        <w:tc>
          <w:tcPr>
            <w:tcW w:w="3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highlight w:val="none"/>
                <w:u w:val="none"/>
              </w:rPr>
            </w:pPr>
            <w:r>
              <w:rPr>
                <w:rFonts w:hint="eastAsia" w:ascii="仿宋" w:hAnsi="仿宋" w:eastAsia="仿宋" w:cs="仿宋"/>
                <w:i w:val="0"/>
                <w:color w:val="000000"/>
                <w:kern w:val="0"/>
                <w:sz w:val="11"/>
                <w:szCs w:val="11"/>
                <w:highlight w:val="none"/>
                <w:u w:val="none"/>
                <w:lang w:val="en-US" w:eastAsia="zh-CN" w:bidi="ar"/>
              </w:rPr>
              <w:t>10人及以上</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highlight w:val="none"/>
                <w:u w:val="none"/>
              </w:rPr>
            </w:pPr>
            <w:r>
              <w:rPr>
                <w:rFonts w:hint="eastAsia" w:ascii="仿宋" w:hAnsi="仿宋" w:eastAsia="仿宋" w:cs="仿宋"/>
                <w:i w:val="0"/>
                <w:color w:val="000000"/>
                <w:kern w:val="0"/>
                <w:sz w:val="11"/>
                <w:szCs w:val="11"/>
                <w:highlight w:val="none"/>
                <w:u w:val="none"/>
                <w:lang w:val="en-US" w:eastAsia="zh-CN" w:bidi="ar"/>
              </w:rPr>
              <w:t>100万元及以上</w:t>
            </w:r>
          </w:p>
        </w:tc>
        <w:tc>
          <w:tcPr>
            <w:tcW w:w="3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highlight w:val="none"/>
                <w:u w:val="none"/>
              </w:rPr>
            </w:pPr>
          </w:p>
        </w:tc>
        <w:tc>
          <w:tcPr>
            <w:tcW w:w="3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highlight w:val="none"/>
                <w:u w:val="none"/>
              </w:rPr>
            </w:pPr>
            <w:r>
              <w:rPr>
                <w:rFonts w:hint="eastAsia" w:ascii="仿宋" w:hAnsi="仿宋" w:eastAsia="仿宋" w:cs="仿宋"/>
                <w:i w:val="0"/>
                <w:color w:val="000000"/>
                <w:kern w:val="0"/>
                <w:sz w:val="11"/>
                <w:szCs w:val="11"/>
                <w:highlight w:val="none"/>
                <w:u w:val="none"/>
                <w:lang w:val="en-US" w:eastAsia="zh-CN" w:bidi="ar"/>
              </w:rPr>
              <w:t>10人以下</w:t>
            </w:r>
          </w:p>
        </w:tc>
        <w:tc>
          <w:tcPr>
            <w:tcW w:w="3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highlight w:val="none"/>
                <w:u w:val="none"/>
              </w:rPr>
            </w:pPr>
            <w:r>
              <w:rPr>
                <w:rFonts w:hint="eastAsia" w:ascii="仿宋" w:hAnsi="仿宋" w:eastAsia="仿宋" w:cs="仿宋"/>
                <w:i w:val="0"/>
                <w:color w:val="000000"/>
                <w:kern w:val="0"/>
                <w:sz w:val="11"/>
                <w:szCs w:val="11"/>
                <w:highlight w:val="none"/>
                <w:u w:val="none"/>
                <w:lang w:val="en-US" w:eastAsia="zh-CN" w:bidi="ar"/>
              </w:rPr>
              <w:t>100万元以下</w:t>
            </w:r>
          </w:p>
        </w:tc>
        <w:tc>
          <w:tcPr>
            <w:tcW w:w="229" w:type="pct"/>
            <w:tcBorders>
              <w:top w:val="single" w:color="000000" w:sz="4" w:space="0"/>
              <w:left w:val="single" w:color="000000" w:sz="4" w:space="0"/>
              <w:bottom w:val="single" w:color="000000" w:sz="4" w:space="0"/>
              <w:right w:val="single" w:color="000000" w:sz="12"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7" w:hRule="atLeast"/>
          <w:jc w:val="center"/>
        </w:trPr>
        <w:tc>
          <w:tcPr>
            <w:tcW w:w="879" w:type="pct"/>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highlight w:val="none"/>
                <w:u w:val="none"/>
              </w:rPr>
            </w:pPr>
            <w:r>
              <w:rPr>
                <w:rFonts w:hint="eastAsia" w:ascii="仿宋" w:hAnsi="仿宋" w:eastAsia="仿宋" w:cs="仿宋"/>
                <w:i w:val="0"/>
                <w:color w:val="000000"/>
                <w:kern w:val="0"/>
                <w:sz w:val="11"/>
                <w:szCs w:val="11"/>
                <w:highlight w:val="none"/>
                <w:u w:val="none"/>
                <w:lang w:val="en-US" w:eastAsia="zh-CN" w:bidi="ar"/>
              </w:rPr>
              <w:t>餐饮业</w:t>
            </w:r>
          </w:p>
        </w:tc>
        <w:tc>
          <w:tcPr>
            <w:tcW w:w="2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highlight w:val="none"/>
                <w:u w:val="none"/>
              </w:rPr>
            </w:pPr>
            <w:r>
              <w:rPr>
                <w:rFonts w:hint="eastAsia" w:ascii="仿宋" w:hAnsi="仿宋" w:eastAsia="仿宋" w:cs="仿宋"/>
                <w:i w:val="0"/>
                <w:color w:val="000000"/>
                <w:kern w:val="0"/>
                <w:sz w:val="11"/>
                <w:szCs w:val="11"/>
                <w:highlight w:val="none"/>
                <w:u w:val="none"/>
                <w:lang w:val="en-US" w:eastAsia="zh-CN" w:bidi="ar"/>
              </w:rPr>
              <w:t>300人以下</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highlight w:val="none"/>
                <w:u w:val="none"/>
              </w:rPr>
            </w:pPr>
            <w:r>
              <w:rPr>
                <w:rFonts w:hint="eastAsia" w:ascii="仿宋" w:hAnsi="仿宋" w:eastAsia="仿宋" w:cs="仿宋"/>
                <w:i w:val="0"/>
                <w:color w:val="000000"/>
                <w:kern w:val="0"/>
                <w:sz w:val="11"/>
                <w:szCs w:val="11"/>
                <w:highlight w:val="none"/>
                <w:u w:val="none"/>
                <w:lang w:val="en-US" w:eastAsia="zh-CN" w:bidi="ar"/>
              </w:rPr>
              <w:t>10000万元以下</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highlight w:val="none"/>
                <w:u w:val="none"/>
              </w:rPr>
            </w:pPr>
          </w:p>
        </w:tc>
        <w:tc>
          <w:tcPr>
            <w:tcW w:w="3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highlight w:val="none"/>
                <w:u w:val="none"/>
              </w:rPr>
            </w:pPr>
            <w:r>
              <w:rPr>
                <w:rFonts w:hint="eastAsia" w:ascii="仿宋" w:hAnsi="仿宋" w:eastAsia="仿宋" w:cs="仿宋"/>
                <w:i w:val="0"/>
                <w:color w:val="000000"/>
                <w:kern w:val="0"/>
                <w:sz w:val="11"/>
                <w:szCs w:val="11"/>
                <w:highlight w:val="none"/>
                <w:u w:val="none"/>
                <w:lang w:val="en-US" w:eastAsia="zh-CN" w:bidi="ar"/>
              </w:rPr>
              <w:t>100人及以上</w:t>
            </w:r>
          </w:p>
        </w:tc>
        <w:tc>
          <w:tcPr>
            <w:tcW w:w="4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highlight w:val="none"/>
                <w:u w:val="none"/>
              </w:rPr>
            </w:pPr>
            <w:r>
              <w:rPr>
                <w:rFonts w:hint="eastAsia" w:ascii="仿宋" w:hAnsi="仿宋" w:eastAsia="仿宋" w:cs="仿宋"/>
                <w:i w:val="0"/>
                <w:color w:val="000000"/>
                <w:kern w:val="0"/>
                <w:sz w:val="11"/>
                <w:szCs w:val="11"/>
                <w:highlight w:val="none"/>
                <w:u w:val="none"/>
                <w:lang w:val="en-US" w:eastAsia="zh-CN" w:bidi="ar"/>
              </w:rPr>
              <w:t>2000万元及以上</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highlight w:val="none"/>
                <w:u w:val="none"/>
              </w:rPr>
            </w:pPr>
          </w:p>
        </w:tc>
        <w:tc>
          <w:tcPr>
            <w:tcW w:w="3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highlight w:val="none"/>
                <w:u w:val="none"/>
              </w:rPr>
            </w:pPr>
            <w:r>
              <w:rPr>
                <w:rFonts w:hint="eastAsia" w:ascii="仿宋" w:hAnsi="仿宋" w:eastAsia="仿宋" w:cs="仿宋"/>
                <w:i w:val="0"/>
                <w:color w:val="000000"/>
                <w:kern w:val="0"/>
                <w:sz w:val="11"/>
                <w:szCs w:val="11"/>
                <w:highlight w:val="none"/>
                <w:u w:val="none"/>
                <w:lang w:val="en-US" w:eastAsia="zh-CN" w:bidi="ar"/>
              </w:rPr>
              <w:t>10人及以上</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highlight w:val="none"/>
                <w:u w:val="none"/>
              </w:rPr>
            </w:pPr>
            <w:r>
              <w:rPr>
                <w:rFonts w:hint="eastAsia" w:ascii="仿宋" w:hAnsi="仿宋" w:eastAsia="仿宋" w:cs="仿宋"/>
                <w:i w:val="0"/>
                <w:color w:val="000000"/>
                <w:kern w:val="0"/>
                <w:sz w:val="11"/>
                <w:szCs w:val="11"/>
                <w:highlight w:val="none"/>
                <w:u w:val="none"/>
                <w:lang w:val="en-US" w:eastAsia="zh-CN" w:bidi="ar"/>
              </w:rPr>
              <w:t>100万元及以上</w:t>
            </w:r>
          </w:p>
        </w:tc>
        <w:tc>
          <w:tcPr>
            <w:tcW w:w="3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highlight w:val="none"/>
                <w:u w:val="none"/>
              </w:rPr>
            </w:pPr>
          </w:p>
        </w:tc>
        <w:tc>
          <w:tcPr>
            <w:tcW w:w="3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highlight w:val="none"/>
                <w:u w:val="none"/>
              </w:rPr>
            </w:pPr>
            <w:r>
              <w:rPr>
                <w:rFonts w:hint="eastAsia" w:ascii="仿宋" w:hAnsi="仿宋" w:eastAsia="仿宋" w:cs="仿宋"/>
                <w:i w:val="0"/>
                <w:color w:val="000000"/>
                <w:kern w:val="0"/>
                <w:sz w:val="11"/>
                <w:szCs w:val="11"/>
                <w:highlight w:val="none"/>
                <w:u w:val="none"/>
                <w:lang w:val="en-US" w:eastAsia="zh-CN" w:bidi="ar"/>
              </w:rPr>
              <w:t>10人以下</w:t>
            </w:r>
          </w:p>
        </w:tc>
        <w:tc>
          <w:tcPr>
            <w:tcW w:w="3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highlight w:val="none"/>
                <w:u w:val="none"/>
              </w:rPr>
            </w:pPr>
            <w:r>
              <w:rPr>
                <w:rFonts w:hint="eastAsia" w:ascii="仿宋" w:hAnsi="仿宋" w:eastAsia="仿宋" w:cs="仿宋"/>
                <w:i w:val="0"/>
                <w:color w:val="000000"/>
                <w:kern w:val="0"/>
                <w:sz w:val="11"/>
                <w:szCs w:val="11"/>
                <w:highlight w:val="none"/>
                <w:u w:val="none"/>
                <w:lang w:val="en-US" w:eastAsia="zh-CN" w:bidi="ar"/>
              </w:rPr>
              <w:t>100万元以下</w:t>
            </w:r>
          </w:p>
        </w:tc>
        <w:tc>
          <w:tcPr>
            <w:tcW w:w="229" w:type="pct"/>
            <w:tcBorders>
              <w:top w:val="single" w:color="000000" w:sz="4" w:space="0"/>
              <w:left w:val="single" w:color="000000" w:sz="4" w:space="0"/>
              <w:bottom w:val="single" w:color="000000" w:sz="4" w:space="0"/>
              <w:right w:val="single" w:color="000000" w:sz="12"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8" w:hRule="atLeast"/>
          <w:jc w:val="center"/>
        </w:trPr>
        <w:tc>
          <w:tcPr>
            <w:tcW w:w="879" w:type="pct"/>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highlight w:val="none"/>
                <w:u w:val="none"/>
              </w:rPr>
            </w:pPr>
            <w:r>
              <w:rPr>
                <w:rFonts w:hint="eastAsia" w:ascii="仿宋" w:hAnsi="仿宋" w:eastAsia="仿宋" w:cs="仿宋"/>
                <w:i w:val="0"/>
                <w:color w:val="000000"/>
                <w:kern w:val="0"/>
                <w:sz w:val="11"/>
                <w:szCs w:val="11"/>
                <w:highlight w:val="none"/>
                <w:u w:val="none"/>
                <w:lang w:val="en-US" w:eastAsia="zh-CN" w:bidi="ar"/>
              </w:rPr>
              <w:t>信息传输业（包括电信、互联网和相关服务）</w:t>
            </w:r>
          </w:p>
        </w:tc>
        <w:tc>
          <w:tcPr>
            <w:tcW w:w="2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highlight w:val="none"/>
                <w:u w:val="none"/>
              </w:rPr>
            </w:pPr>
            <w:r>
              <w:rPr>
                <w:rFonts w:hint="eastAsia" w:ascii="仿宋" w:hAnsi="仿宋" w:eastAsia="仿宋" w:cs="仿宋"/>
                <w:i w:val="0"/>
                <w:color w:val="000000"/>
                <w:kern w:val="0"/>
                <w:sz w:val="11"/>
                <w:szCs w:val="11"/>
                <w:highlight w:val="none"/>
                <w:u w:val="none"/>
                <w:lang w:val="en-US" w:eastAsia="zh-CN" w:bidi="ar"/>
              </w:rPr>
              <w:t>2000人以下</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highlight w:val="none"/>
                <w:u w:val="none"/>
              </w:rPr>
            </w:pPr>
            <w:r>
              <w:rPr>
                <w:rFonts w:hint="eastAsia" w:ascii="仿宋" w:hAnsi="仿宋" w:eastAsia="仿宋" w:cs="仿宋"/>
                <w:i w:val="0"/>
                <w:color w:val="000000"/>
                <w:kern w:val="0"/>
                <w:sz w:val="11"/>
                <w:szCs w:val="11"/>
                <w:highlight w:val="none"/>
                <w:u w:val="none"/>
                <w:lang w:val="en-US" w:eastAsia="zh-CN" w:bidi="ar"/>
              </w:rPr>
              <w:t>100000万元以下</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highlight w:val="none"/>
                <w:u w:val="none"/>
              </w:rPr>
            </w:pPr>
          </w:p>
        </w:tc>
        <w:tc>
          <w:tcPr>
            <w:tcW w:w="3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highlight w:val="none"/>
                <w:u w:val="none"/>
              </w:rPr>
            </w:pPr>
            <w:r>
              <w:rPr>
                <w:rFonts w:hint="eastAsia" w:ascii="仿宋" w:hAnsi="仿宋" w:eastAsia="仿宋" w:cs="仿宋"/>
                <w:i w:val="0"/>
                <w:color w:val="000000"/>
                <w:kern w:val="0"/>
                <w:sz w:val="11"/>
                <w:szCs w:val="11"/>
                <w:highlight w:val="none"/>
                <w:u w:val="none"/>
                <w:lang w:val="en-US" w:eastAsia="zh-CN" w:bidi="ar"/>
              </w:rPr>
              <w:t>100人及以上</w:t>
            </w:r>
          </w:p>
        </w:tc>
        <w:tc>
          <w:tcPr>
            <w:tcW w:w="4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highlight w:val="none"/>
                <w:u w:val="none"/>
              </w:rPr>
            </w:pPr>
            <w:r>
              <w:rPr>
                <w:rFonts w:hint="eastAsia" w:ascii="仿宋" w:hAnsi="仿宋" w:eastAsia="仿宋" w:cs="仿宋"/>
                <w:i w:val="0"/>
                <w:color w:val="000000"/>
                <w:kern w:val="0"/>
                <w:sz w:val="11"/>
                <w:szCs w:val="11"/>
                <w:highlight w:val="none"/>
                <w:u w:val="none"/>
                <w:lang w:val="en-US" w:eastAsia="zh-CN" w:bidi="ar"/>
              </w:rPr>
              <w:t>1000万元及以上</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highlight w:val="none"/>
                <w:u w:val="none"/>
              </w:rPr>
            </w:pPr>
          </w:p>
        </w:tc>
        <w:tc>
          <w:tcPr>
            <w:tcW w:w="3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highlight w:val="none"/>
                <w:u w:val="none"/>
              </w:rPr>
            </w:pPr>
            <w:r>
              <w:rPr>
                <w:rFonts w:hint="eastAsia" w:ascii="仿宋" w:hAnsi="仿宋" w:eastAsia="仿宋" w:cs="仿宋"/>
                <w:i w:val="0"/>
                <w:color w:val="000000"/>
                <w:kern w:val="0"/>
                <w:sz w:val="11"/>
                <w:szCs w:val="11"/>
                <w:highlight w:val="none"/>
                <w:u w:val="none"/>
                <w:lang w:val="en-US" w:eastAsia="zh-CN" w:bidi="ar"/>
              </w:rPr>
              <w:t>10人及以上</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highlight w:val="none"/>
                <w:u w:val="none"/>
              </w:rPr>
            </w:pPr>
            <w:r>
              <w:rPr>
                <w:rFonts w:hint="eastAsia" w:ascii="仿宋" w:hAnsi="仿宋" w:eastAsia="仿宋" w:cs="仿宋"/>
                <w:i w:val="0"/>
                <w:color w:val="000000"/>
                <w:kern w:val="0"/>
                <w:sz w:val="11"/>
                <w:szCs w:val="11"/>
                <w:highlight w:val="none"/>
                <w:u w:val="none"/>
                <w:lang w:val="en-US" w:eastAsia="zh-CN" w:bidi="ar"/>
              </w:rPr>
              <w:t>100万元及以上</w:t>
            </w:r>
          </w:p>
        </w:tc>
        <w:tc>
          <w:tcPr>
            <w:tcW w:w="3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highlight w:val="none"/>
                <w:u w:val="none"/>
              </w:rPr>
            </w:pPr>
          </w:p>
        </w:tc>
        <w:tc>
          <w:tcPr>
            <w:tcW w:w="3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highlight w:val="none"/>
                <w:u w:val="none"/>
              </w:rPr>
            </w:pPr>
            <w:r>
              <w:rPr>
                <w:rFonts w:hint="eastAsia" w:ascii="仿宋" w:hAnsi="仿宋" w:eastAsia="仿宋" w:cs="仿宋"/>
                <w:i w:val="0"/>
                <w:color w:val="000000"/>
                <w:kern w:val="0"/>
                <w:sz w:val="11"/>
                <w:szCs w:val="11"/>
                <w:highlight w:val="none"/>
                <w:u w:val="none"/>
                <w:lang w:val="en-US" w:eastAsia="zh-CN" w:bidi="ar"/>
              </w:rPr>
              <w:t>10人以下</w:t>
            </w:r>
          </w:p>
        </w:tc>
        <w:tc>
          <w:tcPr>
            <w:tcW w:w="3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highlight w:val="none"/>
                <w:u w:val="none"/>
              </w:rPr>
            </w:pPr>
            <w:r>
              <w:rPr>
                <w:rFonts w:hint="eastAsia" w:ascii="仿宋" w:hAnsi="仿宋" w:eastAsia="仿宋" w:cs="仿宋"/>
                <w:i w:val="0"/>
                <w:color w:val="000000"/>
                <w:kern w:val="0"/>
                <w:sz w:val="11"/>
                <w:szCs w:val="11"/>
                <w:highlight w:val="none"/>
                <w:u w:val="none"/>
                <w:lang w:val="en-US" w:eastAsia="zh-CN" w:bidi="ar"/>
              </w:rPr>
              <w:t>100万元以下</w:t>
            </w:r>
          </w:p>
        </w:tc>
        <w:tc>
          <w:tcPr>
            <w:tcW w:w="229" w:type="pct"/>
            <w:tcBorders>
              <w:top w:val="single" w:color="000000" w:sz="4" w:space="0"/>
              <w:left w:val="single" w:color="000000" w:sz="4" w:space="0"/>
              <w:bottom w:val="single" w:color="000000" w:sz="4" w:space="0"/>
              <w:right w:val="single" w:color="000000" w:sz="12"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7" w:hRule="atLeast"/>
          <w:jc w:val="center"/>
        </w:trPr>
        <w:tc>
          <w:tcPr>
            <w:tcW w:w="879" w:type="pct"/>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highlight w:val="none"/>
                <w:u w:val="none"/>
              </w:rPr>
            </w:pPr>
            <w:r>
              <w:rPr>
                <w:rFonts w:hint="eastAsia" w:ascii="仿宋" w:hAnsi="仿宋" w:eastAsia="仿宋" w:cs="仿宋"/>
                <w:i w:val="0"/>
                <w:color w:val="000000"/>
                <w:kern w:val="0"/>
                <w:sz w:val="11"/>
                <w:szCs w:val="11"/>
                <w:highlight w:val="none"/>
                <w:u w:val="none"/>
                <w:lang w:val="en-US" w:eastAsia="zh-CN" w:bidi="ar"/>
              </w:rPr>
              <w:t>软件和信息技术服务业</w:t>
            </w:r>
          </w:p>
        </w:tc>
        <w:tc>
          <w:tcPr>
            <w:tcW w:w="2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highlight w:val="none"/>
                <w:u w:val="none"/>
              </w:rPr>
            </w:pPr>
            <w:r>
              <w:rPr>
                <w:rFonts w:hint="eastAsia" w:ascii="仿宋" w:hAnsi="仿宋" w:eastAsia="仿宋" w:cs="仿宋"/>
                <w:i w:val="0"/>
                <w:color w:val="000000"/>
                <w:kern w:val="0"/>
                <w:sz w:val="11"/>
                <w:szCs w:val="11"/>
                <w:highlight w:val="none"/>
                <w:u w:val="none"/>
                <w:lang w:val="en-US" w:eastAsia="zh-CN" w:bidi="ar"/>
              </w:rPr>
              <w:t>300人以下</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highlight w:val="none"/>
                <w:u w:val="none"/>
              </w:rPr>
            </w:pPr>
            <w:r>
              <w:rPr>
                <w:rFonts w:hint="eastAsia" w:ascii="仿宋" w:hAnsi="仿宋" w:eastAsia="仿宋" w:cs="仿宋"/>
                <w:i w:val="0"/>
                <w:color w:val="000000"/>
                <w:kern w:val="0"/>
                <w:sz w:val="11"/>
                <w:szCs w:val="11"/>
                <w:highlight w:val="none"/>
                <w:u w:val="none"/>
                <w:lang w:val="en-US" w:eastAsia="zh-CN" w:bidi="ar"/>
              </w:rPr>
              <w:t>10000万元以下</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highlight w:val="none"/>
                <w:u w:val="none"/>
              </w:rPr>
            </w:pPr>
          </w:p>
        </w:tc>
        <w:tc>
          <w:tcPr>
            <w:tcW w:w="3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highlight w:val="none"/>
                <w:u w:val="none"/>
              </w:rPr>
            </w:pPr>
            <w:r>
              <w:rPr>
                <w:rFonts w:hint="eastAsia" w:ascii="仿宋" w:hAnsi="仿宋" w:eastAsia="仿宋" w:cs="仿宋"/>
                <w:i w:val="0"/>
                <w:color w:val="000000"/>
                <w:kern w:val="0"/>
                <w:sz w:val="11"/>
                <w:szCs w:val="11"/>
                <w:highlight w:val="none"/>
                <w:u w:val="none"/>
                <w:lang w:val="en-US" w:eastAsia="zh-CN" w:bidi="ar"/>
              </w:rPr>
              <w:t>100人及以上</w:t>
            </w:r>
          </w:p>
        </w:tc>
        <w:tc>
          <w:tcPr>
            <w:tcW w:w="4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highlight w:val="none"/>
                <w:u w:val="none"/>
              </w:rPr>
            </w:pPr>
            <w:r>
              <w:rPr>
                <w:rFonts w:hint="eastAsia" w:ascii="仿宋" w:hAnsi="仿宋" w:eastAsia="仿宋" w:cs="仿宋"/>
                <w:i w:val="0"/>
                <w:color w:val="000000"/>
                <w:kern w:val="0"/>
                <w:sz w:val="11"/>
                <w:szCs w:val="11"/>
                <w:highlight w:val="none"/>
                <w:u w:val="none"/>
                <w:lang w:val="en-US" w:eastAsia="zh-CN" w:bidi="ar"/>
              </w:rPr>
              <w:t>1000万元及以上</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highlight w:val="none"/>
                <w:u w:val="none"/>
              </w:rPr>
            </w:pPr>
          </w:p>
        </w:tc>
        <w:tc>
          <w:tcPr>
            <w:tcW w:w="3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highlight w:val="none"/>
                <w:u w:val="none"/>
              </w:rPr>
            </w:pPr>
            <w:r>
              <w:rPr>
                <w:rFonts w:hint="eastAsia" w:ascii="仿宋" w:hAnsi="仿宋" w:eastAsia="仿宋" w:cs="仿宋"/>
                <w:i w:val="0"/>
                <w:color w:val="000000"/>
                <w:kern w:val="0"/>
                <w:sz w:val="11"/>
                <w:szCs w:val="11"/>
                <w:highlight w:val="none"/>
                <w:u w:val="none"/>
                <w:lang w:val="en-US" w:eastAsia="zh-CN" w:bidi="ar"/>
              </w:rPr>
              <w:t>10人及以上</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highlight w:val="none"/>
                <w:u w:val="none"/>
              </w:rPr>
            </w:pPr>
            <w:r>
              <w:rPr>
                <w:rFonts w:hint="eastAsia" w:ascii="仿宋" w:hAnsi="仿宋" w:eastAsia="仿宋" w:cs="仿宋"/>
                <w:i w:val="0"/>
                <w:color w:val="000000"/>
                <w:kern w:val="0"/>
                <w:sz w:val="11"/>
                <w:szCs w:val="11"/>
                <w:highlight w:val="none"/>
                <w:u w:val="none"/>
                <w:lang w:val="en-US" w:eastAsia="zh-CN" w:bidi="ar"/>
              </w:rPr>
              <w:t>50万元及以上</w:t>
            </w:r>
          </w:p>
        </w:tc>
        <w:tc>
          <w:tcPr>
            <w:tcW w:w="3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highlight w:val="none"/>
                <w:u w:val="none"/>
              </w:rPr>
            </w:pPr>
          </w:p>
        </w:tc>
        <w:tc>
          <w:tcPr>
            <w:tcW w:w="3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highlight w:val="none"/>
                <w:u w:val="none"/>
              </w:rPr>
            </w:pPr>
            <w:r>
              <w:rPr>
                <w:rFonts w:hint="eastAsia" w:ascii="仿宋" w:hAnsi="仿宋" w:eastAsia="仿宋" w:cs="仿宋"/>
                <w:i w:val="0"/>
                <w:color w:val="000000"/>
                <w:kern w:val="0"/>
                <w:sz w:val="11"/>
                <w:szCs w:val="11"/>
                <w:highlight w:val="none"/>
                <w:u w:val="none"/>
                <w:lang w:val="en-US" w:eastAsia="zh-CN" w:bidi="ar"/>
              </w:rPr>
              <w:t>10人以下</w:t>
            </w:r>
          </w:p>
        </w:tc>
        <w:tc>
          <w:tcPr>
            <w:tcW w:w="3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highlight w:val="none"/>
                <w:u w:val="none"/>
              </w:rPr>
            </w:pPr>
            <w:r>
              <w:rPr>
                <w:rFonts w:hint="eastAsia" w:ascii="仿宋" w:hAnsi="仿宋" w:eastAsia="仿宋" w:cs="仿宋"/>
                <w:i w:val="0"/>
                <w:color w:val="000000"/>
                <w:kern w:val="0"/>
                <w:sz w:val="11"/>
                <w:szCs w:val="11"/>
                <w:highlight w:val="none"/>
                <w:u w:val="none"/>
                <w:lang w:val="en-US" w:eastAsia="zh-CN" w:bidi="ar"/>
              </w:rPr>
              <w:t>50万元以下</w:t>
            </w:r>
          </w:p>
        </w:tc>
        <w:tc>
          <w:tcPr>
            <w:tcW w:w="229" w:type="pct"/>
            <w:tcBorders>
              <w:top w:val="single" w:color="000000" w:sz="4" w:space="0"/>
              <w:left w:val="single" w:color="000000" w:sz="4" w:space="0"/>
              <w:bottom w:val="single" w:color="000000" w:sz="4" w:space="0"/>
              <w:right w:val="single" w:color="000000" w:sz="12"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8" w:hRule="atLeast"/>
          <w:jc w:val="center"/>
        </w:trPr>
        <w:tc>
          <w:tcPr>
            <w:tcW w:w="879" w:type="pct"/>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highlight w:val="none"/>
                <w:u w:val="none"/>
              </w:rPr>
            </w:pPr>
            <w:r>
              <w:rPr>
                <w:rFonts w:hint="eastAsia" w:ascii="仿宋" w:hAnsi="仿宋" w:eastAsia="仿宋" w:cs="仿宋"/>
                <w:i w:val="0"/>
                <w:color w:val="000000"/>
                <w:kern w:val="0"/>
                <w:sz w:val="11"/>
                <w:szCs w:val="11"/>
                <w:highlight w:val="none"/>
                <w:u w:val="none"/>
                <w:lang w:val="en-US" w:eastAsia="zh-CN" w:bidi="ar"/>
              </w:rPr>
              <w:t>房地产开发经营</w:t>
            </w:r>
          </w:p>
        </w:tc>
        <w:tc>
          <w:tcPr>
            <w:tcW w:w="2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highlight w:val="none"/>
                <w:u w:val="none"/>
              </w:rPr>
            </w:pPr>
            <w:r>
              <w:rPr>
                <w:rFonts w:hint="eastAsia" w:ascii="仿宋" w:hAnsi="仿宋" w:eastAsia="仿宋" w:cs="仿宋"/>
                <w:i w:val="0"/>
                <w:color w:val="000000"/>
                <w:kern w:val="0"/>
                <w:sz w:val="11"/>
                <w:szCs w:val="11"/>
                <w:highlight w:val="none"/>
                <w:u w:val="none"/>
                <w:lang w:val="en-US" w:eastAsia="zh-CN" w:bidi="ar"/>
              </w:rPr>
              <w:t>200000万元以下</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highlight w:val="none"/>
                <w:u w:val="none"/>
              </w:rPr>
            </w:pPr>
            <w:r>
              <w:rPr>
                <w:rFonts w:hint="eastAsia" w:ascii="仿宋" w:hAnsi="仿宋" w:eastAsia="仿宋" w:cs="仿宋"/>
                <w:i w:val="0"/>
                <w:color w:val="000000"/>
                <w:kern w:val="0"/>
                <w:sz w:val="11"/>
                <w:szCs w:val="11"/>
                <w:highlight w:val="none"/>
                <w:u w:val="none"/>
                <w:lang w:val="en-US" w:eastAsia="zh-CN" w:bidi="ar"/>
              </w:rPr>
              <w:t>10000万元以下</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highlight w:val="none"/>
                <w:u w:val="none"/>
              </w:rPr>
            </w:pPr>
          </w:p>
        </w:tc>
        <w:tc>
          <w:tcPr>
            <w:tcW w:w="3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highlight w:val="none"/>
                <w:u w:val="none"/>
              </w:rPr>
            </w:pPr>
          </w:p>
        </w:tc>
        <w:tc>
          <w:tcPr>
            <w:tcW w:w="4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highlight w:val="none"/>
                <w:u w:val="none"/>
              </w:rPr>
            </w:pPr>
            <w:r>
              <w:rPr>
                <w:rFonts w:hint="eastAsia" w:ascii="仿宋" w:hAnsi="仿宋" w:eastAsia="仿宋" w:cs="仿宋"/>
                <w:i w:val="0"/>
                <w:color w:val="000000"/>
                <w:kern w:val="0"/>
                <w:sz w:val="11"/>
                <w:szCs w:val="11"/>
                <w:highlight w:val="none"/>
                <w:u w:val="none"/>
                <w:lang w:val="en-US" w:eastAsia="zh-CN" w:bidi="ar"/>
              </w:rPr>
              <w:t>1000万元及以上</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highlight w:val="none"/>
                <w:u w:val="none"/>
              </w:rPr>
            </w:pPr>
            <w:r>
              <w:rPr>
                <w:rFonts w:hint="eastAsia" w:ascii="仿宋" w:hAnsi="仿宋" w:eastAsia="仿宋" w:cs="仿宋"/>
                <w:i w:val="0"/>
                <w:color w:val="000000"/>
                <w:kern w:val="0"/>
                <w:sz w:val="11"/>
                <w:szCs w:val="11"/>
                <w:highlight w:val="none"/>
                <w:u w:val="none"/>
                <w:lang w:val="en-US" w:eastAsia="zh-CN" w:bidi="ar"/>
              </w:rPr>
              <w:t>5000万元及以上</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highlight w:val="none"/>
                <w:u w:val="none"/>
              </w:rPr>
            </w:pPr>
          </w:p>
        </w:tc>
        <w:tc>
          <w:tcPr>
            <w:tcW w:w="3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highlight w:val="none"/>
                <w:u w:val="none"/>
              </w:rPr>
            </w:pPr>
            <w:r>
              <w:rPr>
                <w:rFonts w:hint="eastAsia" w:ascii="仿宋" w:hAnsi="仿宋" w:eastAsia="仿宋" w:cs="仿宋"/>
                <w:i w:val="0"/>
                <w:color w:val="000000"/>
                <w:kern w:val="0"/>
                <w:sz w:val="11"/>
                <w:szCs w:val="11"/>
                <w:highlight w:val="none"/>
                <w:u w:val="none"/>
                <w:lang w:val="en-US" w:eastAsia="zh-CN" w:bidi="ar"/>
              </w:rPr>
              <w:t>100万元及以上</w:t>
            </w:r>
          </w:p>
        </w:tc>
        <w:tc>
          <w:tcPr>
            <w:tcW w:w="3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highlight w:val="none"/>
                <w:u w:val="none"/>
              </w:rPr>
            </w:pPr>
            <w:r>
              <w:rPr>
                <w:rFonts w:hint="eastAsia" w:ascii="仿宋" w:hAnsi="仿宋" w:eastAsia="仿宋" w:cs="仿宋"/>
                <w:i w:val="0"/>
                <w:color w:val="000000"/>
                <w:kern w:val="0"/>
                <w:sz w:val="11"/>
                <w:szCs w:val="11"/>
                <w:highlight w:val="none"/>
                <w:u w:val="none"/>
                <w:lang w:val="en-US" w:eastAsia="zh-CN" w:bidi="ar"/>
              </w:rPr>
              <w:t>2000万元及以上</w:t>
            </w:r>
          </w:p>
        </w:tc>
        <w:tc>
          <w:tcPr>
            <w:tcW w:w="3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highlight w:val="none"/>
                <w:u w:val="none"/>
              </w:rPr>
            </w:pPr>
          </w:p>
        </w:tc>
        <w:tc>
          <w:tcPr>
            <w:tcW w:w="3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highlight w:val="none"/>
                <w:u w:val="none"/>
              </w:rPr>
            </w:pPr>
            <w:r>
              <w:rPr>
                <w:rFonts w:hint="eastAsia" w:ascii="仿宋" w:hAnsi="仿宋" w:eastAsia="仿宋" w:cs="仿宋"/>
                <w:i w:val="0"/>
                <w:color w:val="000000"/>
                <w:kern w:val="0"/>
                <w:sz w:val="11"/>
                <w:szCs w:val="11"/>
                <w:highlight w:val="none"/>
                <w:u w:val="none"/>
                <w:lang w:val="en-US" w:eastAsia="zh-CN" w:bidi="ar"/>
              </w:rPr>
              <w:t>100万元以下</w:t>
            </w:r>
          </w:p>
        </w:tc>
        <w:tc>
          <w:tcPr>
            <w:tcW w:w="229" w:type="pct"/>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highlight w:val="none"/>
                <w:u w:val="none"/>
              </w:rPr>
            </w:pPr>
            <w:r>
              <w:rPr>
                <w:rFonts w:hint="eastAsia" w:ascii="仿宋" w:hAnsi="仿宋" w:eastAsia="仿宋" w:cs="仿宋"/>
                <w:i w:val="0"/>
                <w:color w:val="000000"/>
                <w:kern w:val="0"/>
                <w:sz w:val="11"/>
                <w:szCs w:val="11"/>
                <w:highlight w:val="none"/>
                <w:u w:val="none"/>
                <w:lang w:val="en-US" w:eastAsia="zh-CN" w:bidi="ar"/>
              </w:rPr>
              <w:t>2000万元以下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7" w:hRule="atLeast"/>
          <w:jc w:val="center"/>
        </w:trPr>
        <w:tc>
          <w:tcPr>
            <w:tcW w:w="879" w:type="pct"/>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highlight w:val="none"/>
                <w:u w:val="none"/>
              </w:rPr>
            </w:pPr>
            <w:r>
              <w:rPr>
                <w:rFonts w:hint="eastAsia" w:ascii="仿宋" w:hAnsi="仿宋" w:eastAsia="仿宋" w:cs="仿宋"/>
                <w:i w:val="0"/>
                <w:color w:val="000000"/>
                <w:kern w:val="0"/>
                <w:sz w:val="11"/>
                <w:szCs w:val="11"/>
                <w:highlight w:val="none"/>
                <w:u w:val="none"/>
                <w:lang w:val="en-US" w:eastAsia="zh-CN" w:bidi="ar"/>
              </w:rPr>
              <w:t>物业管理</w:t>
            </w:r>
          </w:p>
        </w:tc>
        <w:tc>
          <w:tcPr>
            <w:tcW w:w="2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highlight w:val="none"/>
                <w:u w:val="none"/>
              </w:rPr>
            </w:pPr>
            <w:r>
              <w:rPr>
                <w:rFonts w:hint="eastAsia" w:ascii="仿宋" w:hAnsi="仿宋" w:eastAsia="仿宋" w:cs="仿宋"/>
                <w:i w:val="0"/>
                <w:color w:val="000000"/>
                <w:kern w:val="0"/>
                <w:sz w:val="11"/>
                <w:szCs w:val="11"/>
                <w:highlight w:val="none"/>
                <w:u w:val="none"/>
                <w:lang w:val="en-US" w:eastAsia="zh-CN" w:bidi="ar"/>
              </w:rPr>
              <w:t>1000人以下</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highlight w:val="none"/>
                <w:u w:val="none"/>
              </w:rPr>
            </w:pPr>
            <w:r>
              <w:rPr>
                <w:rFonts w:hint="eastAsia" w:ascii="仿宋" w:hAnsi="仿宋" w:eastAsia="仿宋" w:cs="仿宋"/>
                <w:i w:val="0"/>
                <w:color w:val="000000"/>
                <w:kern w:val="0"/>
                <w:sz w:val="11"/>
                <w:szCs w:val="11"/>
                <w:highlight w:val="none"/>
                <w:u w:val="none"/>
                <w:lang w:val="en-US" w:eastAsia="zh-CN" w:bidi="ar"/>
              </w:rPr>
              <w:t>5000万元以下</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highlight w:val="none"/>
                <w:u w:val="none"/>
              </w:rPr>
            </w:pPr>
          </w:p>
        </w:tc>
        <w:tc>
          <w:tcPr>
            <w:tcW w:w="3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highlight w:val="none"/>
                <w:u w:val="none"/>
              </w:rPr>
            </w:pPr>
            <w:r>
              <w:rPr>
                <w:rFonts w:hint="eastAsia" w:ascii="仿宋" w:hAnsi="仿宋" w:eastAsia="仿宋" w:cs="仿宋"/>
                <w:i w:val="0"/>
                <w:color w:val="000000"/>
                <w:kern w:val="0"/>
                <w:sz w:val="11"/>
                <w:szCs w:val="11"/>
                <w:highlight w:val="none"/>
                <w:u w:val="none"/>
                <w:lang w:val="en-US" w:eastAsia="zh-CN" w:bidi="ar"/>
              </w:rPr>
              <w:t>300人及以上</w:t>
            </w:r>
          </w:p>
        </w:tc>
        <w:tc>
          <w:tcPr>
            <w:tcW w:w="4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highlight w:val="none"/>
                <w:u w:val="none"/>
              </w:rPr>
            </w:pPr>
            <w:r>
              <w:rPr>
                <w:rFonts w:hint="eastAsia" w:ascii="仿宋" w:hAnsi="仿宋" w:eastAsia="仿宋" w:cs="仿宋"/>
                <w:i w:val="0"/>
                <w:color w:val="000000"/>
                <w:kern w:val="0"/>
                <w:sz w:val="11"/>
                <w:szCs w:val="11"/>
                <w:highlight w:val="none"/>
                <w:u w:val="none"/>
                <w:lang w:val="en-US" w:eastAsia="zh-CN" w:bidi="ar"/>
              </w:rPr>
              <w:t>1000万元及以上</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highlight w:val="none"/>
                <w:u w:val="none"/>
              </w:rPr>
            </w:pPr>
          </w:p>
        </w:tc>
        <w:tc>
          <w:tcPr>
            <w:tcW w:w="3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highlight w:val="none"/>
                <w:u w:val="none"/>
              </w:rPr>
            </w:pPr>
            <w:r>
              <w:rPr>
                <w:rFonts w:hint="eastAsia" w:ascii="仿宋" w:hAnsi="仿宋" w:eastAsia="仿宋" w:cs="仿宋"/>
                <w:i w:val="0"/>
                <w:color w:val="000000"/>
                <w:kern w:val="0"/>
                <w:sz w:val="11"/>
                <w:szCs w:val="11"/>
                <w:highlight w:val="none"/>
                <w:u w:val="none"/>
                <w:lang w:val="en-US" w:eastAsia="zh-CN" w:bidi="ar"/>
              </w:rPr>
              <w:t>100人及以上</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highlight w:val="none"/>
                <w:u w:val="none"/>
              </w:rPr>
            </w:pPr>
            <w:r>
              <w:rPr>
                <w:rFonts w:hint="eastAsia" w:ascii="仿宋" w:hAnsi="仿宋" w:eastAsia="仿宋" w:cs="仿宋"/>
                <w:i w:val="0"/>
                <w:color w:val="000000"/>
                <w:kern w:val="0"/>
                <w:sz w:val="11"/>
                <w:szCs w:val="11"/>
                <w:highlight w:val="none"/>
                <w:u w:val="none"/>
                <w:lang w:val="en-US" w:eastAsia="zh-CN" w:bidi="ar"/>
              </w:rPr>
              <w:t>500万元及以上</w:t>
            </w:r>
          </w:p>
        </w:tc>
        <w:tc>
          <w:tcPr>
            <w:tcW w:w="3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highlight w:val="none"/>
                <w:u w:val="none"/>
              </w:rPr>
            </w:pPr>
          </w:p>
        </w:tc>
        <w:tc>
          <w:tcPr>
            <w:tcW w:w="3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highlight w:val="none"/>
                <w:u w:val="none"/>
              </w:rPr>
            </w:pPr>
            <w:r>
              <w:rPr>
                <w:rFonts w:hint="eastAsia" w:ascii="仿宋" w:hAnsi="仿宋" w:eastAsia="仿宋" w:cs="仿宋"/>
                <w:i w:val="0"/>
                <w:color w:val="000000"/>
                <w:kern w:val="0"/>
                <w:sz w:val="11"/>
                <w:szCs w:val="11"/>
                <w:highlight w:val="none"/>
                <w:u w:val="none"/>
                <w:lang w:val="en-US" w:eastAsia="zh-CN" w:bidi="ar"/>
              </w:rPr>
              <w:t>100人以下</w:t>
            </w:r>
          </w:p>
        </w:tc>
        <w:tc>
          <w:tcPr>
            <w:tcW w:w="3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highlight w:val="none"/>
                <w:u w:val="none"/>
              </w:rPr>
            </w:pPr>
            <w:r>
              <w:rPr>
                <w:rFonts w:hint="eastAsia" w:ascii="仿宋" w:hAnsi="仿宋" w:eastAsia="仿宋" w:cs="仿宋"/>
                <w:i w:val="0"/>
                <w:color w:val="000000"/>
                <w:kern w:val="0"/>
                <w:sz w:val="11"/>
                <w:szCs w:val="11"/>
                <w:highlight w:val="none"/>
                <w:u w:val="none"/>
                <w:lang w:val="en-US" w:eastAsia="zh-CN" w:bidi="ar"/>
              </w:rPr>
              <w:t>500万元以下</w:t>
            </w:r>
          </w:p>
        </w:tc>
        <w:tc>
          <w:tcPr>
            <w:tcW w:w="229" w:type="pct"/>
            <w:tcBorders>
              <w:top w:val="single" w:color="000000" w:sz="4" w:space="0"/>
              <w:left w:val="single" w:color="000000" w:sz="4" w:space="0"/>
              <w:bottom w:val="single" w:color="000000" w:sz="4" w:space="0"/>
              <w:right w:val="single" w:color="000000" w:sz="12"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8" w:hRule="atLeast"/>
          <w:jc w:val="center"/>
        </w:trPr>
        <w:tc>
          <w:tcPr>
            <w:tcW w:w="879" w:type="pct"/>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highlight w:val="none"/>
                <w:u w:val="none"/>
              </w:rPr>
            </w:pPr>
            <w:r>
              <w:rPr>
                <w:rFonts w:hint="eastAsia" w:ascii="仿宋" w:hAnsi="仿宋" w:eastAsia="仿宋" w:cs="仿宋"/>
                <w:i w:val="0"/>
                <w:color w:val="000000"/>
                <w:kern w:val="0"/>
                <w:sz w:val="11"/>
                <w:szCs w:val="11"/>
                <w:highlight w:val="none"/>
                <w:u w:val="none"/>
                <w:lang w:val="en-US" w:eastAsia="zh-CN" w:bidi="ar"/>
              </w:rPr>
              <w:t>租赁和商务服务业</w:t>
            </w:r>
          </w:p>
        </w:tc>
        <w:tc>
          <w:tcPr>
            <w:tcW w:w="2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highlight w:val="none"/>
                <w:u w:val="none"/>
              </w:rPr>
            </w:pPr>
            <w:r>
              <w:rPr>
                <w:rFonts w:hint="eastAsia" w:ascii="仿宋" w:hAnsi="仿宋" w:eastAsia="仿宋" w:cs="仿宋"/>
                <w:i w:val="0"/>
                <w:color w:val="000000"/>
                <w:kern w:val="0"/>
                <w:sz w:val="11"/>
                <w:szCs w:val="11"/>
                <w:highlight w:val="none"/>
                <w:u w:val="none"/>
                <w:lang w:val="en-US" w:eastAsia="zh-CN" w:bidi="ar"/>
              </w:rPr>
              <w:t>300人以下</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highlight w:val="none"/>
                <w:u w:val="none"/>
              </w:rPr>
            </w:pPr>
          </w:p>
        </w:tc>
        <w:tc>
          <w:tcPr>
            <w:tcW w:w="3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highlight w:val="none"/>
                <w:u w:val="none"/>
              </w:rPr>
            </w:pPr>
            <w:r>
              <w:rPr>
                <w:rFonts w:hint="eastAsia" w:ascii="仿宋" w:hAnsi="仿宋" w:eastAsia="仿宋" w:cs="仿宋"/>
                <w:i w:val="0"/>
                <w:color w:val="000000"/>
                <w:kern w:val="0"/>
                <w:sz w:val="11"/>
                <w:szCs w:val="11"/>
                <w:highlight w:val="none"/>
                <w:u w:val="none"/>
                <w:lang w:val="en-US" w:eastAsia="zh-CN" w:bidi="ar"/>
              </w:rPr>
              <w:t>120000万元以下</w:t>
            </w:r>
          </w:p>
        </w:tc>
        <w:tc>
          <w:tcPr>
            <w:tcW w:w="3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highlight w:val="none"/>
                <w:u w:val="none"/>
              </w:rPr>
            </w:pPr>
            <w:r>
              <w:rPr>
                <w:rFonts w:hint="eastAsia" w:ascii="仿宋" w:hAnsi="仿宋" w:eastAsia="仿宋" w:cs="仿宋"/>
                <w:i w:val="0"/>
                <w:color w:val="000000"/>
                <w:kern w:val="0"/>
                <w:sz w:val="11"/>
                <w:szCs w:val="11"/>
                <w:highlight w:val="none"/>
                <w:u w:val="none"/>
                <w:lang w:val="en-US" w:eastAsia="zh-CN" w:bidi="ar"/>
              </w:rPr>
              <w:t>100人及以上</w:t>
            </w:r>
          </w:p>
        </w:tc>
        <w:tc>
          <w:tcPr>
            <w:tcW w:w="4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highlight w:val="none"/>
                <w:u w:val="none"/>
              </w:rPr>
            </w:pP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highlight w:val="none"/>
                <w:u w:val="none"/>
              </w:rPr>
            </w:pPr>
            <w:r>
              <w:rPr>
                <w:rFonts w:hint="eastAsia" w:ascii="仿宋" w:hAnsi="仿宋" w:eastAsia="仿宋" w:cs="仿宋"/>
                <w:i w:val="0"/>
                <w:color w:val="000000"/>
                <w:kern w:val="0"/>
                <w:sz w:val="11"/>
                <w:szCs w:val="11"/>
                <w:highlight w:val="none"/>
                <w:u w:val="none"/>
                <w:lang w:val="en-US" w:eastAsia="zh-CN" w:bidi="ar"/>
              </w:rPr>
              <w:t>8000万元及以上</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highlight w:val="none"/>
                <w:u w:val="none"/>
              </w:rPr>
            </w:pPr>
            <w:r>
              <w:rPr>
                <w:rFonts w:hint="eastAsia" w:ascii="仿宋" w:hAnsi="仿宋" w:eastAsia="仿宋" w:cs="仿宋"/>
                <w:i w:val="0"/>
                <w:color w:val="000000"/>
                <w:kern w:val="0"/>
                <w:sz w:val="11"/>
                <w:szCs w:val="11"/>
                <w:highlight w:val="none"/>
                <w:u w:val="none"/>
                <w:lang w:val="en-US" w:eastAsia="zh-CN" w:bidi="ar"/>
              </w:rPr>
              <w:t>10人及以上</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highlight w:val="none"/>
                <w:u w:val="none"/>
              </w:rPr>
            </w:pPr>
          </w:p>
        </w:tc>
        <w:tc>
          <w:tcPr>
            <w:tcW w:w="3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highlight w:val="none"/>
                <w:u w:val="none"/>
              </w:rPr>
            </w:pPr>
            <w:r>
              <w:rPr>
                <w:rFonts w:hint="eastAsia" w:ascii="仿宋" w:hAnsi="仿宋" w:eastAsia="仿宋" w:cs="仿宋"/>
                <w:i w:val="0"/>
                <w:color w:val="000000"/>
                <w:kern w:val="0"/>
                <w:sz w:val="11"/>
                <w:szCs w:val="11"/>
                <w:highlight w:val="none"/>
                <w:u w:val="none"/>
                <w:lang w:val="en-US" w:eastAsia="zh-CN" w:bidi="ar"/>
              </w:rPr>
              <w:t>100万元及以上</w:t>
            </w:r>
          </w:p>
        </w:tc>
        <w:tc>
          <w:tcPr>
            <w:tcW w:w="3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highlight w:val="none"/>
                <w:u w:val="none"/>
              </w:rPr>
            </w:pPr>
            <w:r>
              <w:rPr>
                <w:rFonts w:hint="eastAsia" w:ascii="仿宋" w:hAnsi="仿宋" w:eastAsia="仿宋" w:cs="仿宋"/>
                <w:i w:val="0"/>
                <w:color w:val="000000"/>
                <w:kern w:val="0"/>
                <w:sz w:val="11"/>
                <w:szCs w:val="11"/>
                <w:highlight w:val="none"/>
                <w:u w:val="none"/>
                <w:lang w:val="en-US" w:eastAsia="zh-CN" w:bidi="ar"/>
              </w:rPr>
              <w:t>10人以下</w:t>
            </w:r>
          </w:p>
        </w:tc>
        <w:tc>
          <w:tcPr>
            <w:tcW w:w="3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highlight w:val="none"/>
                <w:u w:val="none"/>
              </w:rPr>
            </w:pPr>
          </w:p>
        </w:tc>
        <w:tc>
          <w:tcPr>
            <w:tcW w:w="229" w:type="pct"/>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highlight w:val="none"/>
                <w:u w:val="none"/>
              </w:rPr>
            </w:pPr>
            <w:r>
              <w:rPr>
                <w:rFonts w:hint="eastAsia" w:ascii="仿宋" w:hAnsi="仿宋" w:eastAsia="仿宋" w:cs="仿宋"/>
                <w:i w:val="0"/>
                <w:color w:val="000000"/>
                <w:kern w:val="0"/>
                <w:sz w:val="11"/>
                <w:szCs w:val="11"/>
                <w:highlight w:val="none"/>
                <w:u w:val="none"/>
                <w:lang w:val="en-US" w:eastAsia="zh-CN" w:bidi="ar"/>
              </w:rPr>
              <w:t>100万元以下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25" w:hRule="atLeast"/>
          <w:jc w:val="center"/>
        </w:trPr>
        <w:tc>
          <w:tcPr>
            <w:tcW w:w="879" w:type="pct"/>
            <w:tcBorders>
              <w:top w:val="single" w:color="000000" w:sz="4" w:space="0"/>
              <w:left w:val="single" w:color="000000" w:sz="12" w:space="0"/>
              <w:bottom w:val="single" w:color="000000" w:sz="12"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highlight w:val="none"/>
                <w:u w:val="none"/>
              </w:rPr>
            </w:pPr>
            <w:r>
              <w:rPr>
                <w:rFonts w:hint="eastAsia" w:ascii="仿宋" w:hAnsi="仿宋" w:eastAsia="仿宋" w:cs="仿宋"/>
                <w:i w:val="0"/>
                <w:color w:val="000000"/>
                <w:kern w:val="0"/>
                <w:sz w:val="11"/>
                <w:szCs w:val="11"/>
                <w:highlight w:val="none"/>
                <w:u w:val="none"/>
                <w:lang w:val="en-US" w:eastAsia="zh-CN" w:bidi="ar"/>
              </w:rPr>
              <w:t>其他未列明行业（包括科学研究和技术服务业，水利、环境和公共设施管理业，居民服务、修理和其他服务业，社会工作，文化、体育和娱乐业等）</w:t>
            </w:r>
          </w:p>
        </w:tc>
        <w:tc>
          <w:tcPr>
            <w:tcW w:w="276" w:type="pct"/>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highlight w:val="none"/>
                <w:u w:val="none"/>
              </w:rPr>
            </w:pPr>
            <w:r>
              <w:rPr>
                <w:rFonts w:hint="eastAsia" w:ascii="仿宋" w:hAnsi="仿宋" w:eastAsia="仿宋" w:cs="仿宋"/>
                <w:i w:val="0"/>
                <w:color w:val="000000"/>
                <w:kern w:val="0"/>
                <w:sz w:val="11"/>
                <w:szCs w:val="11"/>
                <w:highlight w:val="none"/>
                <w:u w:val="none"/>
                <w:lang w:val="en-US" w:eastAsia="zh-CN" w:bidi="ar"/>
              </w:rPr>
              <w:t>300人以下</w:t>
            </w:r>
          </w:p>
        </w:tc>
        <w:tc>
          <w:tcPr>
            <w:tcW w:w="381" w:type="pct"/>
            <w:tcBorders>
              <w:top w:val="single" w:color="000000" w:sz="4" w:space="0"/>
              <w:left w:val="single" w:color="000000" w:sz="4" w:space="0"/>
              <w:bottom w:val="single" w:color="000000" w:sz="12"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highlight w:val="none"/>
                <w:u w:val="none"/>
              </w:rPr>
            </w:pPr>
          </w:p>
        </w:tc>
        <w:tc>
          <w:tcPr>
            <w:tcW w:w="385" w:type="pct"/>
            <w:tcBorders>
              <w:top w:val="single" w:color="000000" w:sz="4" w:space="0"/>
              <w:left w:val="single" w:color="000000" w:sz="4" w:space="0"/>
              <w:bottom w:val="single" w:color="000000" w:sz="12"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highlight w:val="none"/>
                <w:u w:val="none"/>
              </w:rPr>
            </w:pPr>
          </w:p>
        </w:tc>
        <w:tc>
          <w:tcPr>
            <w:tcW w:w="350" w:type="pct"/>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highlight w:val="none"/>
                <w:u w:val="none"/>
              </w:rPr>
            </w:pPr>
            <w:r>
              <w:rPr>
                <w:rFonts w:hint="eastAsia" w:ascii="仿宋" w:hAnsi="仿宋" w:eastAsia="仿宋" w:cs="仿宋"/>
                <w:i w:val="0"/>
                <w:color w:val="000000"/>
                <w:kern w:val="0"/>
                <w:sz w:val="11"/>
                <w:szCs w:val="11"/>
                <w:highlight w:val="none"/>
                <w:u w:val="none"/>
                <w:lang w:val="en-US" w:eastAsia="zh-CN" w:bidi="ar"/>
              </w:rPr>
              <w:t>100人及以上</w:t>
            </w:r>
          </w:p>
        </w:tc>
        <w:tc>
          <w:tcPr>
            <w:tcW w:w="427" w:type="pct"/>
            <w:tcBorders>
              <w:top w:val="single" w:color="000000" w:sz="4" w:space="0"/>
              <w:left w:val="single" w:color="000000" w:sz="4" w:space="0"/>
              <w:bottom w:val="single" w:color="000000" w:sz="12"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highlight w:val="none"/>
                <w:u w:val="none"/>
              </w:rPr>
            </w:pPr>
          </w:p>
        </w:tc>
        <w:tc>
          <w:tcPr>
            <w:tcW w:w="338" w:type="pct"/>
            <w:tcBorders>
              <w:top w:val="single" w:color="000000" w:sz="4" w:space="0"/>
              <w:left w:val="single" w:color="000000" w:sz="4" w:space="0"/>
              <w:bottom w:val="single" w:color="000000" w:sz="12"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highlight w:val="none"/>
                <w:u w:val="none"/>
              </w:rPr>
            </w:pPr>
          </w:p>
        </w:tc>
        <w:tc>
          <w:tcPr>
            <w:tcW w:w="358" w:type="pct"/>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highlight w:val="none"/>
                <w:u w:val="none"/>
              </w:rPr>
            </w:pPr>
            <w:r>
              <w:rPr>
                <w:rFonts w:hint="eastAsia" w:ascii="仿宋" w:hAnsi="仿宋" w:eastAsia="仿宋" w:cs="仿宋"/>
                <w:i w:val="0"/>
                <w:color w:val="000000"/>
                <w:kern w:val="0"/>
                <w:sz w:val="11"/>
                <w:szCs w:val="11"/>
                <w:highlight w:val="none"/>
                <w:u w:val="none"/>
                <w:lang w:val="en-US" w:eastAsia="zh-CN" w:bidi="ar"/>
              </w:rPr>
              <w:t>10人及以上</w:t>
            </w:r>
          </w:p>
        </w:tc>
        <w:tc>
          <w:tcPr>
            <w:tcW w:w="358" w:type="pct"/>
            <w:tcBorders>
              <w:top w:val="single" w:color="000000" w:sz="4" w:space="0"/>
              <w:left w:val="single" w:color="000000" w:sz="4" w:space="0"/>
              <w:bottom w:val="single" w:color="000000" w:sz="12"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highlight w:val="none"/>
                <w:u w:val="none"/>
              </w:rPr>
            </w:pPr>
          </w:p>
        </w:tc>
        <w:tc>
          <w:tcPr>
            <w:tcW w:w="321" w:type="pct"/>
            <w:tcBorders>
              <w:top w:val="single" w:color="000000" w:sz="4" w:space="0"/>
              <w:left w:val="single" w:color="000000" w:sz="4" w:space="0"/>
              <w:bottom w:val="single" w:color="000000" w:sz="12"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highlight w:val="none"/>
                <w:u w:val="none"/>
              </w:rPr>
            </w:pPr>
          </w:p>
        </w:tc>
        <w:tc>
          <w:tcPr>
            <w:tcW w:w="364" w:type="pct"/>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highlight w:val="none"/>
                <w:u w:val="none"/>
              </w:rPr>
            </w:pPr>
            <w:r>
              <w:rPr>
                <w:rFonts w:hint="eastAsia" w:ascii="仿宋" w:hAnsi="仿宋" w:eastAsia="仿宋" w:cs="仿宋"/>
                <w:i w:val="0"/>
                <w:color w:val="000000"/>
                <w:kern w:val="0"/>
                <w:sz w:val="11"/>
                <w:szCs w:val="11"/>
                <w:highlight w:val="none"/>
                <w:u w:val="none"/>
                <w:lang w:val="en-US" w:eastAsia="zh-CN" w:bidi="ar"/>
              </w:rPr>
              <w:t>10人以下</w:t>
            </w:r>
          </w:p>
        </w:tc>
        <w:tc>
          <w:tcPr>
            <w:tcW w:w="326" w:type="pct"/>
            <w:tcBorders>
              <w:top w:val="single" w:color="000000" w:sz="4" w:space="0"/>
              <w:left w:val="single" w:color="000000" w:sz="4" w:space="0"/>
              <w:bottom w:val="single" w:color="000000" w:sz="12"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highlight w:val="none"/>
                <w:u w:val="none"/>
              </w:rPr>
            </w:pPr>
          </w:p>
        </w:tc>
        <w:tc>
          <w:tcPr>
            <w:tcW w:w="229" w:type="pct"/>
            <w:tcBorders>
              <w:top w:val="single" w:color="000000" w:sz="4" w:space="0"/>
              <w:left w:val="single" w:color="000000" w:sz="4" w:space="0"/>
              <w:bottom w:val="single" w:color="000000" w:sz="12" w:space="0"/>
              <w:right w:val="single" w:color="000000" w:sz="12"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highlight w:val="none"/>
                <w:u w:val="none"/>
              </w:rPr>
            </w:pPr>
          </w:p>
        </w:tc>
      </w:tr>
    </w:tbl>
    <w:p>
      <w:pPr>
        <w:pStyle w:val="35"/>
        <w:rPr>
          <w:rFonts w:hint="eastAsia"/>
          <w:highlight w:val="none"/>
        </w:rPr>
      </w:pPr>
    </w:p>
    <w:sectPr>
      <w:headerReference r:id="rId11" w:type="default"/>
      <w:footerReference r:id="rId12" w:type="default"/>
      <w:pgSz w:w="11905" w:h="16838"/>
      <w:pgMar w:top="1134" w:right="1134" w:bottom="1134" w:left="1417" w:header="567" w:footer="737" w:gutter="0"/>
      <w:pgBorders w:offsetFrom="page">
        <w:top w:val="none" w:sz="0" w:space="0"/>
        <w:left w:val="none" w:sz="0" w:space="0"/>
        <w:bottom w:val="none" w:sz="0" w:space="0"/>
        <w:right w:val="none" w:sz="0" w:space="0"/>
      </w:pgBorders>
      <w:pgNumType w:fmt="decimalFullWidth"/>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仿宋体">
    <w:altName w:val="宋体"/>
    <w:panose1 w:val="02010600030001010101"/>
    <w:charset w:val="86"/>
    <w:family w:val="roma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40001" w:csb1="00000000"/>
  </w:font>
  <w:font w:name="_x000B__x000C_">
    <w:altName w:val="Courier New"/>
    <w:panose1 w:val="00000000000000000000"/>
    <w:charset w:val="00"/>
    <w:family w:val="roman"/>
    <w:pitch w:val="default"/>
    <w:sig w:usb0="00000000" w:usb1="00000000" w:usb2="00000000" w:usb3="00000000" w:csb0="00040001" w:csb1="00000000"/>
  </w:font>
  <w:font w:name="Helv">
    <w:altName w:val="Segoe Print"/>
    <w:panose1 w:val="020B0604020202030204"/>
    <w:charset w:val="00"/>
    <w:family w:val="swiss"/>
    <w:pitch w:val="default"/>
    <w:sig w:usb0="00000000" w:usb1="00000000" w:usb2="00000000" w:usb3="00000000" w:csb0="00000001" w:csb1="00000000"/>
  </w:font>
  <w:font w:name="长城仿宋">
    <w:altName w:val="宋体"/>
    <w:panose1 w:val="02010609000101010101"/>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Tms Rmn">
    <w:altName w:val="Segoe Print"/>
    <w:panose1 w:val="02020603040505020304"/>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right="360"/>
    </w:pPr>
    <w:r>
      <w:rPr>
        <w:sz w:val="21"/>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１</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hpgkvTAAAABQEAAA8AAAAA&#10;AAAAAQAgAAAAIgAAAGRycy9kb3ducmV2LnhtbFBLAQIUABQAAAAIAIdO4kCBUEaB4AEAALwDAAAO&#10;AAAAAAAAAAEAIAAAACIBAABkcnMvZTJvRG9jLnhtbFBLBQYAAAAABgAGAFkBAAB0BQAAAAA=&#10;">
              <v:fill on="f" focussize="0,0"/>
              <v:stroke on="f" weight="1.25pt"/>
              <v:imagedata o:title=""/>
              <o:lock v:ext="edit" aspectratio="f"/>
              <v:textbox inset="0mm,0mm,0mm,0mm" style="mso-fit-shape-to-text:t;">
                <w:txbxContent>
                  <w:p>
                    <w:pPr>
                      <w:pStyle w:val="3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１</w:t>
                    </w:r>
                    <w:r>
                      <w:rPr>
                        <w:rFonts w:hint="eastAsia"/>
                        <w:lang w:eastAsia="zh-CN"/>
                      </w:rPr>
                      <w:fldChar w:fldCharType="end"/>
                    </w:r>
                  </w:p>
                </w:txbxContent>
              </v:textbox>
            </v:shape>
          </w:pict>
        </mc:Fallback>
      </mc:AlternateContent>
    </w:r>
    <w:r>
      <w:rPr>
        <w:rFonts w:hint="eastAsia"/>
        <w:color w:val="800000"/>
        <w:sz w:val="21"/>
        <w:szCs w:val="21"/>
      </w:rPr>
      <w:t>Add：</w:t>
    </w:r>
    <w:r>
      <w:rPr>
        <w:rFonts w:hint="eastAsia"/>
        <w:color w:val="800000"/>
        <w:sz w:val="21"/>
        <w:szCs w:val="21"/>
        <w:lang w:val="en-US" w:eastAsia="zh-CN"/>
      </w:rPr>
      <w:t xml:space="preserve">克州阿图什市幸福街道松他克路5院D区301号   </w:t>
    </w:r>
    <w:r>
      <w:rPr>
        <w:rFonts w:hint="eastAsia"/>
        <w:color w:val="800000"/>
        <w:szCs w:val="21"/>
      </w:rPr>
      <w:t xml:space="preserve">        </w:t>
    </w:r>
    <w:r>
      <w:rPr>
        <w:rFonts w:hint="eastAsia"/>
        <w:color w:val="800000"/>
        <w:szCs w:val="21"/>
        <w:lang w:val="en-US" w:eastAsia="zh-CN"/>
      </w:rPr>
      <w:t xml:space="preserve">           </w:t>
    </w:r>
    <w:r>
      <w:rPr>
        <w:rFonts w:hint="eastAsia"/>
        <w:color w:val="800000"/>
        <w:szCs w:val="21"/>
      </w:rPr>
      <w:t xml:space="preserve">   </w:t>
    </w:r>
    <w:r>
      <w:rPr>
        <w:rFonts w:hint="eastAsia"/>
        <w:color w:val="800000"/>
        <w:sz w:val="21"/>
        <w:szCs w:val="21"/>
      </w:rPr>
      <w:t>Tel：0908-42</w:t>
    </w:r>
    <w:r>
      <w:rPr>
        <w:rFonts w:hint="eastAsia"/>
        <w:color w:val="800000"/>
        <w:sz w:val="21"/>
        <w:szCs w:val="21"/>
        <w:lang w:val="en-US" w:eastAsia="zh-CN"/>
      </w:rPr>
      <w:t>30011</w:t>
    </w:r>
    <w:r>
      <w:rPr>
        <w:rFonts w:hint="eastAsia"/>
        <w:color w:val="800000"/>
        <w:sz w:val="21"/>
        <w:szCs w:val="21"/>
      </w:rPr>
      <w:t xml:space="preserve">  </w:t>
    </w:r>
    <w:r>
      <w:rPr>
        <w:rFonts w:hint="eastAsia"/>
        <w:sz w:val="21"/>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tabs>
        <w:tab w:val="center" w:pos="4153"/>
        <w:tab w:val="right" w:pos="8306"/>
        <w:tab w:val="clear" w:pos="4320"/>
        <w:tab w:val="clear" w:pos="8640"/>
      </w:tabs>
      <w:ind w:right="360"/>
      <w:jc w:val="both"/>
      <w:rPr>
        <w:rFonts w:hint="eastAsia"/>
      </w:rPr>
    </w:pPr>
    <w:r>
      <w:rPr>
        <w:sz w:val="16"/>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0"/>
                            <w:tabs>
                              <w:tab w:val="center" w:pos="4153"/>
                              <w:tab w:val="right" w:pos="8306"/>
                              <w:tab w:val="clear" w:pos="4320"/>
                              <w:tab w:val="clear" w:pos="8640"/>
                            </w:tabs>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shape id="文本框 12"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CHyu4e2AEAALEDAAAOAAAAAAAAAAEAIAAA&#10;AB4BAABkcnMvZTJvRG9jLnhtbFBLBQYAAAAABgAGAFkBAABoBQAAAAA=&#10;">
              <v:fill on="f" focussize="0,0"/>
              <v:stroke on="f"/>
              <v:imagedata o:title=""/>
              <o:lock v:ext="edit" aspectratio="f"/>
              <v:textbox inset="0mm,0mm,0mm,0mm" style="mso-fit-shape-to-text:t;">
                <w:txbxContent>
                  <w:p>
                    <w:pPr>
                      <w:pStyle w:val="30"/>
                      <w:tabs>
                        <w:tab w:val="center" w:pos="4153"/>
                        <w:tab w:val="right" w:pos="8306"/>
                        <w:tab w:val="clear" w:pos="4320"/>
                        <w:tab w:val="clear" w:pos="8640"/>
                      </w:tabs>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sz w:val="16"/>
        <w:szCs w:val="16"/>
      </w:rPr>
      <w:t xml:space="preserve"> </w:t>
    </w:r>
    <w:r>
      <w:rPr>
        <w:rFonts w:hint="eastAsia"/>
        <w:color w:val="800000"/>
        <w:sz w:val="21"/>
        <w:szCs w:val="21"/>
      </w:rPr>
      <w:t>Add：</w:t>
    </w:r>
    <w:r>
      <w:rPr>
        <w:rFonts w:hint="eastAsia"/>
        <w:color w:val="800000"/>
        <w:sz w:val="21"/>
        <w:szCs w:val="21"/>
        <w:lang w:val="en-US" w:eastAsia="zh-CN"/>
      </w:rPr>
      <w:t xml:space="preserve">克州阿图什市幸福街道松他克路5院D区301号   </w:t>
    </w:r>
    <w:r>
      <w:rPr>
        <w:rFonts w:hint="eastAsia"/>
        <w:color w:val="800000"/>
        <w:szCs w:val="21"/>
      </w:rPr>
      <w:t xml:space="preserve">           </w:t>
    </w:r>
    <w:r>
      <w:rPr>
        <w:rFonts w:hint="eastAsia"/>
        <w:color w:val="800000"/>
        <w:sz w:val="21"/>
        <w:szCs w:val="21"/>
      </w:rPr>
      <w:t>Tel：0908-42</w:t>
    </w:r>
    <w:r>
      <w:rPr>
        <w:rFonts w:hint="eastAsia"/>
        <w:color w:val="800000"/>
        <w:sz w:val="21"/>
        <w:szCs w:val="21"/>
        <w:lang w:val="en-US" w:eastAsia="zh-CN"/>
      </w:rPr>
      <w:t>30011</w:t>
    </w:r>
    <w:r>
      <w:rPr>
        <w:rFonts w:hint="eastAsia"/>
        <w:color w:val="800000"/>
        <w:sz w:val="16"/>
        <w:szCs w:val="20"/>
        <w:lang w:val="en-US"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tabs>
        <w:tab w:val="center" w:pos="4153"/>
        <w:tab w:val="right" w:pos="8306"/>
        <w:tab w:val="clear" w:pos="4320"/>
        <w:tab w:val="clear" w:pos="8640"/>
      </w:tabs>
      <w:ind w:right="360"/>
      <w:jc w:val="both"/>
      <w:rPr>
        <w:rFonts w:hint="default"/>
        <w:lang w:val="en-US"/>
      </w:rPr>
    </w:pPr>
    <w:r>
      <w:rPr>
        <w:sz w:val="13"/>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0"/>
                            <w:tabs>
                              <w:tab w:val="center" w:pos="4153"/>
                              <w:tab w:val="right" w:pos="8306"/>
                              <w:tab w:val="clear" w:pos="4320"/>
                              <w:tab w:val="clear" w:pos="8640"/>
                            </w:tabs>
                          </w:pPr>
                          <w:r>
                            <w:fldChar w:fldCharType="begin"/>
                          </w:r>
                          <w:r>
                            <w:instrText xml:space="preserve"> PAGE  \* MERGEFORMAT </w:instrText>
                          </w:r>
                          <w:r>
                            <w:fldChar w:fldCharType="separate"/>
                          </w:r>
                          <w:r>
                            <w:t>16</w:t>
                          </w:r>
                          <w:r>
                            <w:fldChar w:fldCharType="end"/>
                          </w:r>
                        </w:p>
                      </w:txbxContent>
                    </wps:txbx>
                    <wps:bodyPr vert="horz" wrap="none" lIns="0" tIns="0" rIns="0" bIns="0" anchor="t" upright="0">
                      <a:spAutoFit/>
                    </wps:bodyPr>
                  </wps:wsp>
                </a:graphicData>
              </a:graphic>
            </wp:anchor>
          </w:drawing>
        </mc:Choice>
        <mc:Fallback>
          <w:pict>
            <v:shape id="文本框 13"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DCCIT02AEAALIDAAAOAAAAAAAAAAEAIAAA&#10;AB4BAABkcnMvZTJvRG9jLnhtbFBLBQYAAAAABgAGAFkBAABoBQAAAAA=&#10;">
              <v:fill on="f" focussize="0,0"/>
              <v:stroke on="f"/>
              <v:imagedata o:title=""/>
              <o:lock v:ext="edit" aspectratio="f"/>
              <v:textbox inset="0mm,0mm,0mm,0mm" style="mso-fit-shape-to-text:t;">
                <w:txbxContent>
                  <w:p>
                    <w:pPr>
                      <w:pStyle w:val="30"/>
                      <w:tabs>
                        <w:tab w:val="center" w:pos="4153"/>
                        <w:tab w:val="right" w:pos="8306"/>
                        <w:tab w:val="clear" w:pos="4320"/>
                        <w:tab w:val="clear" w:pos="8640"/>
                      </w:tabs>
                    </w:pPr>
                    <w:r>
                      <w:fldChar w:fldCharType="begin"/>
                    </w:r>
                    <w:r>
                      <w:instrText xml:space="preserve"> PAGE  \* MERGEFORMAT </w:instrText>
                    </w:r>
                    <w:r>
                      <w:fldChar w:fldCharType="separate"/>
                    </w:r>
                    <w:r>
                      <w:t>16</w:t>
                    </w:r>
                    <w:r>
                      <w:fldChar w:fldCharType="end"/>
                    </w:r>
                  </w:p>
                </w:txbxContent>
              </v:textbox>
            </v:shape>
          </w:pict>
        </mc:Fallback>
      </mc:AlternateContent>
    </w:r>
    <w:r>
      <w:rPr>
        <w:rFonts w:hint="eastAsia"/>
        <w:sz w:val="13"/>
        <w:szCs w:val="13"/>
      </w:rPr>
      <w:t xml:space="preserve"> </w:t>
    </w:r>
    <w:r>
      <w:rPr>
        <w:rFonts w:hint="eastAsia"/>
      </w:rPr>
      <w:t xml:space="preserve"> </w:t>
    </w:r>
    <w:r>
      <w:rPr>
        <w:rFonts w:hint="eastAsia"/>
        <w:sz w:val="15"/>
        <w:szCs w:val="16"/>
      </w:rPr>
      <w:t xml:space="preserve"> </w:t>
    </w:r>
    <w:r>
      <w:rPr>
        <w:rFonts w:hint="eastAsia"/>
        <w:sz w:val="18"/>
        <w:szCs w:val="18"/>
      </w:rPr>
      <w:t xml:space="preserve"> </w:t>
    </w:r>
    <w:r>
      <w:rPr>
        <w:rFonts w:hint="eastAsia"/>
        <w:sz w:val="13"/>
        <w:szCs w:val="13"/>
      </w:rPr>
      <w:t xml:space="preserve"> </w:t>
    </w:r>
    <w:r>
      <w:rPr>
        <w:rFonts w:hint="eastAsia"/>
        <w:color w:val="800000"/>
        <w:sz w:val="16"/>
        <w:szCs w:val="16"/>
      </w:rPr>
      <w:t>Add：</w:t>
    </w:r>
    <w:r>
      <w:rPr>
        <w:rFonts w:hint="eastAsia" w:hAnsi="宋体" w:cs="宋体"/>
        <w:sz w:val="21"/>
        <w:szCs w:val="24"/>
        <w:u w:val="none"/>
        <w:lang w:eastAsia="zh-CN"/>
      </w:rPr>
      <w:t>克州阿图什市幸福街道松他克路5院D区301号</w:t>
    </w:r>
    <w:r>
      <w:rPr>
        <w:rFonts w:hint="eastAsia" w:ascii="宋体" w:hAnsi="宋体" w:eastAsia="宋体" w:cs="宋体"/>
        <w:sz w:val="21"/>
        <w:szCs w:val="24"/>
        <w:u w:val="none"/>
        <w:lang w:val="en-US" w:eastAsia="zh-CN"/>
      </w:rPr>
      <w:t xml:space="preserve">    0908-4230011</w:t>
    </w:r>
  </w:p>
  <w:p>
    <w:pPr>
      <w:pStyle w:val="30"/>
      <w:ind w:right="360"/>
      <w:rPr>
        <w:sz w:val="15"/>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tabs>
        <w:tab w:val="center" w:pos="4153"/>
        <w:tab w:val="right" w:pos="8306"/>
        <w:tab w:val="clear" w:pos="4320"/>
        <w:tab w:val="clear" w:pos="8640"/>
      </w:tabs>
      <w:ind w:right="360"/>
      <w:jc w:val="both"/>
      <w:rPr>
        <w:rFonts w:hint="default"/>
        <w:sz w:val="13"/>
        <w:szCs w:val="15"/>
        <w:lang w:val="en-US"/>
      </w:rPr>
    </w:pPr>
    <w:r>
      <w:rPr>
        <w:sz w:val="13"/>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0"/>
                            <w:tabs>
                              <w:tab w:val="center" w:pos="4153"/>
                              <w:tab w:val="right" w:pos="8306"/>
                              <w:tab w:val="clear" w:pos="4320"/>
                              <w:tab w:val="clear" w:pos="8640"/>
                            </w:tabs>
                            <w:rPr>
                              <w:sz w:val="16"/>
                              <w:szCs w:val="18"/>
                            </w:rPr>
                          </w:pPr>
                          <w:r>
                            <w:rPr>
                              <w:sz w:val="16"/>
                              <w:szCs w:val="18"/>
                            </w:rPr>
                            <w:fldChar w:fldCharType="begin"/>
                          </w:r>
                          <w:r>
                            <w:rPr>
                              <w:sz w:val="16"/>
                              <w:szCs w:val="18"/>
                            </w:rPr>
                            <w:instrText xml:space="preserve"> PAGE  \* MERGEFORMAT </w:instrText>
                          </w:r>
                          <w:r>
                            <w:rPr>
                              <w:sz w:val="16"/>
                              <w:szCs w:val="18"/>
                            </w:rPr>
                            <w:fldChar w:fldCharType="separate"/>
                          </w:r>
                          <w:r>
                            <w:rPr>
                              <w:sz w:val="16"/>
                              <w:szCs w:val="18"/>
                            </w:rPr>
                            <w:t>1</w:t>
                          </w:r>
                          <w:r>
                            <w:rPr>
                              <w:sz w:val="16"/>
                              <w:szCs w:val="18"/>
                            </w:rPr>
                            <w:fldChar w:fldCharType="end"/>
                          </w:r>
                        </w:p>
                      </w:txbxContent>
                    </wps:txbx>
                    <wps:bodyPr vert="horz" wrap="none" lIns="0" tIns="0" rIns="0" bIns="0" anchor="t" upright="0">
                      <a:spAutoFit/>
                    </wps:bodyPr>
                  </wps:wsp>
                </a:graphicData>
              </a:graphic>
            </wp:anchor>
          </w:drawing>
        </mc:Choice>
        <mc:Fallback>
          <w:pict>
            <v:shape id="文本框 14"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OqXm5zwAAAAUBAAAPAAAAAAAAAAEAIAAAACIA&#10;AABkcnMvZG93bnJldi54bWxQSwECFAAUAAAACACHTuJAWx3x1tkBAACyAwAADgAAAAAAAAABACAA&#10;AAAeAQAAZHJzL2Uyb0RvYy54bWxQSwUGAAAAAAYABgBZAQAAaQUAAAAA&#10;">
              <v:fill on="f" focussize="0,0"/>
              <v:stroke on="f"/>
              <v:imagedata o:title=""/>
              <o:lock v:ext="edit" aspectratio="f"/>
              <v:textbox inset="0mm,0mm,0mm,0mm" style="mso-fit-shape-to-text:t;">
                <w:txbxContent>
                  <w:p>
                    <w:pPr>
                      <w:pStyle w:val="30"/>
                      <w:tabs>
                        <w:tab w:val="center" w:pos="4153"/>
                        <w:tab w:val="right" w:pos="8306"/>
                        <w:tab w:val="clear" w:pos="4320"/>
                        <w:tab w:val="clear" w:pos="8640"/>
                      </w:tabs>
                      <w:rPr>
                        <w:sz w:val="16"/>
                        <w:szCs w:val="18"/>
                      </w:rPr>
                    </w:pPr>
                    <w:r>
                      <w:rPr>
                        <w:sz w:val="16"/>
                        <w:szCs w:val="18"/>
                      </w:rPr>
                      <w:fldChar w:fldCharType="begin"/>
                    </w:r>
                    <w:r>
                      <w:rPr>
                        <w:sz w:val="16"/>
                        <w:szCs w:val="18"/>
                      </w:rPr>
                      <w:instrText xml:space="preserve"> PAGE  \* MERGEFORMAT </w:instrText>
                    </w:r>
                    <w:r>
                      <w:rPr>
                        <w:sz w:val="16"/>
                        <w:szCs w:val="18"/>
                      </w:rPr>
                      <w:fldChar w:fldCharType="separate"/>
                    </w:r>
                    <w:r>
                      <w:rPr>
                        <w:sz w:val="16"/>
                        <w:szCs w:val="18"/>
                      </w:rPr>
                      <w:t>1</w:t>
                    </w:r>
                    <w:r>
                      <w:rPr>
                        <w:sz w:val="16"/>
                        <w:szCs w:val="18"/>
                      </w:rPr>
                      <w:fldChar w:fldCharType="end"/>
                    </w:r>
                  </w:p>
                </w:txbxContent>
              </v:textbox>
            </v:shape>
          </w:pict>
        </mc:Fallback>
      </mc:AlternateContent>
    </w:r>
    <w:r>
      <w:rPr>
        <w:rFonts w:hint="eastAsia"/>
        <w:sz w:val="13"/>
        <w:szCs w:val="13"/>
      </w:rPr>
      <w:t xml:space="preserve"> </w:t>
    </w:r>
    <w:r>
      <w:rPr>
        <w:rFonts w:hint="eastAsia"/>
      </w:rPr>
      <w:t xml:space="preserve">  </w:t>
    </w:r>
    <w:r>
      <w:rPr>
        <w:rFonts w:hint="eastAsia"/>
        <w:sz w:val="18"/>
        <w:szCs w:val="18"/>
      </w:rPr>
      <w:t xml:space="preserve"> </w:t>
    </w:r>
    <w:r>
      <w:rPr>
        <w:rFonts w:hint="eastAsia"/>
        <w:sz w:val="13"/>
        <w:szCs w:val="13"/>
      </w:rPr>
      <w:t xml:space="preserve"> </w:t>
    </w:r>
    <w:r>
      <w:rPr>
        <w:rFonts w:hint="eastAsia"/>
        <w:color w:val="800000"/>
        <w:sz w:val="16"/>
        <w:szCs w:val="16"/>
      </w:rPr>
      <w:t>Add：</w:t>
    </w:r>
    <w:r>
      <w:rPr>
        <w:rFonts w:hint="eastAsia" w:hAnsi="宋体" w:cs="宋体"/>
        <w:sz w:val="16"/>
        <w:szCs w:val="20"/>
        <w:u w:val="none"/>
        <w:lang w:eastAsia="zh-CN"/>
      </w:rPr>
      <w:t>克州阿图什市幸福街道松他克路5院D区301号</w:t>
    </w:r>
    <w:r>
      <w:rPr>
        <w:rFonts w:hint="eastAsia" w:ascii="宋体" w:hAnsi="宋体" w:eastAsia="宋体" w:cs="宋体"/>
        <w:sz w:val="16"/>
        <w:szCs w:val="20"/>
        <w:u w:val="none"/>
        <w:lang w:val="en-US" w:eastAsia="zh-CN"/>
      </w:rPr>
      <w:t xml:space="preserve">     0908-4230011</w:t>
    </w:r>
  </w:p>
  <w:p>
    <w:pPr>
      <w:pStyle w:val="30"/>
      <w:ind w:right="360"/>
      <w:rPr>
        <w:sz w:val="16"/>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tabs>
        <w:tab w:val="center" w:pos="4153"/>
        <w:tab w:val="right" w:pos="8306"/>
        <w:tab w:val="clear" w:pos="4320"/>
        <w:tab w:val="clear" w:pos="8640"/>
      </w:tabs>
      <w:ind w:right="360"/>
      <w:jc w:val="both"/>
      <w:rPr>
        <w:rFonts w:hint="eastAsia"/>
      </w:rPr>
    </w:pPr>
    <w:r>
      <w:rPr>
        <w:sz w:val="24"/>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13"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0"/>
                            <w:tabs>
                              <w:tab w:val="center" w:pos="4153"/>
                              <w:tab w:val="right" w:pos="8306"/>
                              <w:tab w:val="clear" w:pos="4320"/>
                              <w:tab w:val="clear" w:pos="8640"/>
                            </w:tabs>
                          </w:pPr>
                          <w:r>
                            <w:fldChar w:fldCharType="begin"/>
                          </w:r>
                          <w:r>
                            <w:instrText xml:space="preserve"> PAGE  \* MERGEFORMAT </w:instrText>
                          </w:r>
                          <w:r>
                            <w:fldChar w:fldCharType="separate"/>
                          </w:r>
                          <w:r>
                            <w:t>13</w:t>
                          </w:r>
                          <w:r>
                            <w:fldChar w:fldCharType="end"/>
                          </w:r>
                        </w:p>
                      </w:txbxContent>
                    </wps:txbx>
                    <wps:bodyPr vert="horz" wrap="none" lIns="0" tIns="0" rIns="0" bIns="0" anchor="t" upright="0">
                      <a:spAutoFit/>
                    </wps:bodyPr>
                  </wps:wsp>
                </a:graphicData>
              </a:graphic>
            </wp:anchor>
          </w:drawing>
        </mc:Choice>
        <mc:Fallback>
          <w:pict>
            <v:shape id="文本框 15"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OqXm5zwAAAAUBAAAPAAAAAAAAAAEAIAAAACIA&#10;AABkcnMvZG93bnJldi54bWxQSwECFAAUAAAACACHTuJA71tJNNkBAACyAwAADgAAAAAAAAABACAA&#10;AAAeAQAAZHJzL2Uyb0RvYy54bWxQSwUGAAAAAAYABgBZAQAAaQUAAAAA&#10;">
              <v:fill on="f" focussize="0,0"/>
              <v:stroke on="f"/>
              <v:imagedata o:title=""/>
              <o:lock v:ext="edit" aspectratio="f"/>
              <v:textbox inset="0mm,0mm,0mm,0mm" style="mso-fit-shape-to-text:t;">
                <w:txbxContent>
                  <w:p>
                    <w:pPr>
                      <w:pStyle w:val="30"/>
                      <w:tabs>
                        <w:tab w:val="center" w:pos="4153"/>
                        <w:tab w:val="right" w:pos="8306"/>
                        <w:tab w:val="clear" w:pos="4320"/>
                        <w:tab w:val="clear" w:pos="8640"/>
                      </w:tabs>
                    </w:pPr>
                    <w:r>
                      <w:fldChar w:fldCharType="begin"/>
                    </w:r>
                    <w:r>
                      <w:instrText xml:space="preserve"> PAGE  \* MERGEFORMAT </w:instrText>
                    </w:r>
                    <w:r>
                      <w:fldChar w:fldCharType="separate"/>
                    </w:r>
                    <w:r>
                      <w:t>13</w:t>
                    </w:r>
                    <w:r>
                      <w:fldChar w:fldCharType="end"/>
                    </w:r>
                  </w:p>
                </w:txbxContent>
              </v:textbox>
            </v:shape>
          </w:pict>
        </mc:Fallback>
      </mc:AlternateContent>
    </w:r>
    <w:r>
      <w:rPr>
        <w:rFonts w:hint="eastAsia" w:ascii="宋体" w:hAnsi="宋体" w:eastAsia="宋体" w:cs="宋体"/>
        <w:b w:val="0"/>
        <w:bCs w:val="0"/>
        <w:color w:val="auto"/>
        <w:sz w:val="24"/>
        <w:szCs w:val="24"/>
        <w:u w:val="none"/>
        <w:lang w:val="en-US" w:eastAsia="zh-CN"/>
      </w:rPr>
      <w:t xml:space="preserve">  </w:t>
    </w:r>
    <w:r>
      <w:rPr>
        <w:rFonts w:hint="eastAsia"/>
        <w:sz w:val="13"/>
        <w:szCs w:val="13"/>
      </w:rPr>
      <w:t xml:space="preserve"> </w:t>
    </w:r>
    <w:r>
      <w:rPr>
        <w:rFonts w:hint="eastAsia"/>
      </w:rPr>
      <w:t xml:space="preserve"> </w:t>
    </w:r>
    <w:r>
      <w:rPr>
        <w:rFonts w:hint="eastAsia"/>
        <w:sz w:val="18"/>
        <w:szCs w:val="18"/>
      </w:rPr>
      <w:t xml:space="preserve"> </w:t>
    </w:r>
    <w:r>
      <w:rPr>
        <w:rFonts w:hint="eastAsia"/>
        <w:sz w:val="13"/>
        <w:szCs w:val="13"/>
      </w:rPr>
      <w:t xml:space="preserve"> </w:t>
    </w:r>
    <w:r>
      <w:rPr>
        <w:rFonts w:hint="eastAsia"/>
        <w:color w:val="800000"/>
        <w:sz w:val="16"/>
        <w:szCs w:val="16"/>
      </w:rPr>
      <w:t>Add：</w:t>
    </w:r>
    <w:r>
      <w:rPr>
        <w:rFonts w:hint="eastAsia" w:hAnsi="宋体" w:cs="宋体"/>
        <w:sz w:val="21"/>
        <w:szCs w:val="24"/>
        <w:u w:val="none"/>
        <w:lang w:eastAsia="zh-CN"/>
      </w:rPr>
      <w:t>克州阿图什市幸福街道松他克路5院D区301号</w:t>
    </w:r>
    <w:r>
      <w:rPr>
        <w:rFonts w:hint="eastAsia" w:ascii="宋体" w:hAnsi="宋体" w:eastAsia="宋体" w:cs="宋体"/>
        <w:sz w:val="21"/>
        <w:szCs w:val="24"/>
        <w:u w:val="none"/>
        <w:lang w:val="en-US" w:eastAsia="zh-CN"/>
      </w:rPr>
      <w:t xml:space="preserve">    0908-4230011</w:t>
    </w:r>
    <w:r>
      <w:rPr>
        <w:rFonts w:hint="eastAsia"/>
        <w:color w:val="800000"/>
        <w:sz w:val="16"/>
        <w:szCs w:val="20"/>
        <w:lang w:val="en-US" w:eastAsia="zh-CN"/>
      </w:rPr>
      <w:t xml:space="preserve">     </w:t>
    </w:r>
  </w:p>
  <w:p>
    <w:pPr>
      <w:pStyle w:val="30"/>
      <w:keepNext w:val="0"/>
      <w:keepLines w:val="0"/>
      <w:pageBreakBefore w:val="0"/>
      <w:widowControl w:val="0"/>
      <w:tabs>
        <w:tab w:val="center" w:pos="4153"/>
        <w:tab w:val="right" w:pos="8306"/>
        <w:tab w:val="clear" w:pos="4320"/>
        <w:tab w:val="clear" w:pos="8640"/>
      </w:tabs>
      <w:kinsoku/>
      <w:wordWrap/>
      <w:overflowPunct/>
      <w:topLinePunct w:val="0"/>
      <w:autoSpaceDE w:val="0"/>
      <w:autoSpaceDN w:val="0"/>
      <w:bidi w:val="0"/>
      <w:adjustRightInd w:val="0"/>
      <w:snapToGrid w:val="0"/>
      <w:spacing w:line="240" w:lineRule="auto"/>
      <w:ind w:left="7200" w:hanging="7200" w:hangingChars="4000"/>
      <w:jc w:val="both"/>
      <w:textAlignment w:val="auto"/>
      <w:rPr>
        <w:rFonts w:hint="default"/>
        <w:lang w:val="en-US"/>
      </w:rPr>
    </w:pPr>
  </w:p>
  <w:p>
    <w:pPr>
      <w:pStyle w:val="30"/>
      <w:tabs>
        <w:tab w:val="center" w:pos="4153"/>
        <w:tab w:val="right" w:pos="8306"/>
        <w:tab w:val="clear" w:pos="4320"/>
        <w:tab w:val="clear" w:pos="8640"/>
      </w:tabs>
      <w:ind w:right="360"/>
      <w:jc w:val="right"/>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right="360"/>
    </w:pPr>
    <w:r>
      <w:rPr>
        <w:sz w:val="13"/>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18</w:t>
                          </w:r>
                          <w:r>
                            <w:rPr>
                              <w:rFonts w:hint="eastAsia"/>
                              <w:sz w:val="18"/>
                            </w:rPr>
                            <w:fldChar w:fldCharType="end"/>
                          </w:r>
                        </w:p>
                      </w:txbxContent>
                    </wps:txbx>
                    <wps:bodyPr vert="horz" wrap="none" lIns="0" tIns="0" rIns="0" bIns="0" anchor="t" upright="0">
                      <a:spAutoFit/>
                    </wps:bodyPr>
                  </wps:wsp>
                </a:graphicData>
              </a:graphic>
            </wp:anchor>
          </w:drawing>
        </mc:Choice>
        <mc:Fallback>
          <w:pict>
            <v:shape id="文本框 5"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oaYJL0wAAAAUBAAAPAAAA&#10;AAAAAAEAIAAAACIAAABkcnMvZG93bnJldi54bWxQSwECFAAUAAAACACHTuJAr7z+3+EBAAC6AwAA&#10;DgAAAAAAAAABACAAAAAiAQAAZHJzL2Uyb0RvYy54bWxQSwUGAAAAAAYABgBZAQAAdQUAAAAA&#10;">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18</w:t>
                    </w:r>
                    <w:r>
                      <w:rPr>
                        <w:rFonts w:hint="eastAsia"/>
                        <w:sz w:val="18"/>
                      </w:rPr>
                      <w:fldChar w:fldCharType="end"/>
                    </w:r>
                  </w:p>
                </w:txbxContent>
              </v:textbox>
            </v:shape>
          </w:pict>
        </mc:Fallback>
      </mc:AlternateContent>
    </w:r>
    <w:r>
      <w:rPr>
        <w:rFonts w:hint="eastAsia"/>
        <w:sz w:val="13"/>
        <w:szCs w:val="13"/>
      </w:rPr>
      <w:t xml:space="preserve"> </w:t>
    </w:r>
    <w:r>
      <w:rPr>
        <w:rFonts w:hint="eastAsia"/>
        <w:sz w:val="18"/>
        <w:szCs w:val="18"/>
      </w:rPr>
      <w:t xml:space="preserve"> </w:t>
    </w:r>
    <w:r>
      <w:rPr>
        <w:rFonts w:hint="eastAsia"/>
        <w:sz w:val="13"/>
        <w:szCs w:val="13"/>
      </w:rPr>
      <w:t xml:space="preserve"> </w:t>
    </w:r>
    <w:r>
      <w:rPr>
        <w:rFonts w:hint="eastAsia"/>
        <w:color w:val="800000"/>
        <w:sz w:val="16"/>
        <w:szCs w:val="16"/>
      </w:rPr>
      <w:t>Add：</w:t>
    </w:r>
    <w:r>
      <w:rPr>
        <w:rFonts w:hint="eastAsia" w:hAnsi="宋体" w:cs="宋体"/>
        <w:sz w:val="21"/>
        <w:szCs w:val="24"/>
        <w:u w:val="none"/>
        <w:lang w:eastAsia="zh-CN"/>
      </w:rPr>
      <w:t>克州阿图什市幸福街道松他克路5院D区301号</w:t>
    </w:r>
    <w:r>
      <w:rPr>
        <w:rFonts w:hint="eastAsia" w:ascii="宋体" w:hAnsi="宋体" w:eastAsia="宋体" w:cs="宋体"/>
        <w:sz w:val="21"/>
        <w:szCs w:val="24"/>
        <w:u w:val="none"/>
        <w:lang w:val="en-US" w:eastAsia="zh-CN"/>
      </w:rPr>
      <w:t xml:space="preserve">    0908-4230011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jc w:val="left"/>
    </w:pPr>
    <w:r>
      <w:rPr>
        <w:rFonts w:hint="eastAsia"/>
        <w:b/>
        <w:bCs/>
        <w:sz w:val="22"/>
        <w:szCs w:val="24"/>
        <w:lang w:val="en-US" w:eastAsia="zh-CN"/>
      </w:rPr>
      <w:t>中科高盛咨询集团有限公司</w:t>
    </w:r>
    <w:r>
      <w:rPr>
        <w:rFonts w:hint="eastAsia"/>
        <w:b/>
        <w:bCs/>
        <w:sz w:val="22"/>
        <w:szCs w:val="24"/>
      </w:rPr>
      <w:t xml:space="preserve"> </w:t>
    </w:r>
    <w:r>
      <w:rPr>
        <w:rFonts w:hint="eastAsia"/>
        <w:b/>
        <w:bCs/>
      </w:rPr>
      <w:t xml:space="preserve"> </w:t>
    </w:r>
    <w:r>
      <w:rPr>
        <w:rFonts w:hint="eastAsia"/>
        <w:b/>
        <w:bCs/>
        <w:sz w:val="15"/>
        <w:szCs w:val="16"/>
      </w:rPr>
      <w:t xml:space="preserve"> </w:t>
    </w:r>
    <w:r>
      <w:rPr>
        <w:rFonts w:hint="eastAsia"/>
      </w:rPr>
      <w:t xml:space="preserve">    </w:t>
    </w:r>
    <w:r>
      <w:rPr>
        <w:rFonts w:hint="eastAsia"/>
        <w:lang w:val="en-US" w:eastAsia="zh-CN"/>
      </w:rPr>
      <w:t xml:space="preserve">          </w:t>
    </w:r>
    <w:r>
      <w:rPr>
        <w:rFonts w:hint="eastAsia"/>
        <w:sz w:val="21"/>
        <w:szCs w:val="21"/>
        <w:lang w:val="en-US" w:eastAsia="zh-CN"/>
      </w:rPr>
      <w:t xml:space="preserve">             </w:t>
    </w:r>
    <w:r>
      <w:rPr>
        <w:rFonts w:hint="eastAsia"/>
        <w:sz w:val="15"/>
        <w:szCs w:val="15"/>
        <w:lang w:val="en-US" w:eastAsia="zh-CN"/>
      </w:rPr>
      <w:t>克州中心血站医疗设备采购项目</w:t>
    </w:r>
    <w:r>
      <w:rPr>
        <w:rFonts w:hint="eastAsia"/>
      </w:rPr>
      <w:t xml:space="preserve">   </w:t>
    </w:r>
    <w:r>
      <w:rPr>
        <w:rFonts w:hint="eastAsia"/>
        <w:sz w:val="24"/>
      </w:rPr>
      <w:t xml:space="preserve">              </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left="6325" w:hanging="7730" w:hangingChars="3500"/>
      <w:jc w:val="both"/>
      <w:rPr>
        <w:rFonts w:hint="eastAsia"/>
        <w:b/>
        <w:bCs/>
        <w:sz w:val="22"/>
        <w:szCs w:val="24"/>
        <w:lang w:val="en-US" w:eastAsia="zh-CN"/>
      </w:rPr>
    </w:pPr>
  </w:p>
  <w:p>
    <w:pPr>
      <w:pStyle w:val="31"/>
      <w:pBdr>
        <w:bottom w:val="none" w:color="auto" w:sz="0" w:space="0"/>
      </w:pBdr>
      <w:tabs>
        <w:tab w:val="clear" w:pos="4153"/>
        <w:tab w:val="clear" w:pos="8306"/>
      </w:tabs>
      <w:jc w:val="both"/>
      <w:rPr>
        <w:rFonts w:hint="eastAsia" w:eastAsia="宋体"/>
        <w:lang w:eastAsia="zh-CN"/>
      </w:rPr>
    </w:pPr>
    <w:r>
      <w:rPr>
        <w:rFonts w:hint="eastAsia"/>
        <w:b/>
        <w:bCs/>
        <w:sz w:val="22"/>
        <w:szCs w:val="24"/>
        <w:lang w:val="en-US" w:eastAsia="zh-CN"/>
      </w:rPr>
      <w:t>中科高盛咨询集团有限公司</w:t>
    </w:r>
    <w:r>
      <w:rPr>
        <w:rFonts w:hint="eastAsia"/>
        <w:b/>
        <w:bCs/>
        <w:sz w:val="22"/>
        <w:szCs w:val="24"/>
      </w:rPr>
      <w:t xml:space="preserve"> </w:t>
    </w:r>
    <w:r>
      <w:rPr>
        <w:rFonts w:hint="eastAsia"/>
        <w:b/>
        <w:bCs/>
      </w:rPr>
      <w:t xml:space="preserve"> </w:t>
    </w:r>
    <w:r>
      <w:rPr>
        <w:rFonts w:hint="eastAsia"/>
        <w:b/>
        <w:bCs/>
        <w:sz w:val="15"/>
        <w:szCs w:val="16"/>
      </w:rPr>
      <w:t xml:space="preserve"> </w:t>
    </w:r>
    <w:r>
      <w:rPr>
        <w:rFonts w:hint="eastAsia"/>
      </w:rPr>
      <w:t xml:space="preserve">    </w:t>
    </w:r>
    <w:r>
      <w:rPr>
        <w:rFonts w:hint="eastAsia"/>
        <w:lang w:val="en-US" w:eastAsia="zh-CN"/>
      </w:rPr>
      <w:t xml:space="preserve">                   </w:t>
    </w:r>
    <w:r>
      <w:rPr>
        <w:rFonts w:hint="eastAsia"/>
        <w:sz w:val="21"/>
        <w:szCs w:val="21"/>
        <w:lang w:val="en-US" w:eastAsia="zh-CN"/>
      </w:rPr>
      <w:t xml:space="preserve">   </w:t>
    </w:r>
    <w:r>
      <w:rPr>
        <w:rFonts w:hint="eastAsia"/>
        <w:sz w:val="16"/>
        <w:szCs w:val="16"/>
        <w:lang w:val="en-US" w:eastAsia="zh-CN"/>
      </w:rPr>
      <w:t>克州中心血站医疗设备采购项目</w:t>
    </w: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both"/>
      <w:rPr>
        <w:rFonts w:hint="eastAsia" w:ascii="宋体" w:hAnsi="宋体" w:eastAsia="宋体" w:cs="宋体"/>
        <w:sz w:val="20"/>
        <w:szCs w:val="20"/>
        <w:lang w:val="en-US" w:eastAsia="zh-CN"/>
      </w:rPr>
    </w:pPr>
  </w:p>
  <w:p>
    <w:pPr>
      <w:pStyle w:val="31"/>
      <w:ind w:left="6325" w:hanging="7730" w:hangingChars="3500"/>
      <w:jc w:val="both"/>
      <w:rPr>
        <w:rFonts w:hint="eastAsia"/>
        <w:lang w:val="en-US" w:eastAsia="zh-CN"/>
      </w:rPr>
    </w:pPr>
    <w:r>
      <w:rPr>
        <w:rFonts w:hint="eastAsia"/>
        <w:b/>
        <w:bCs/>
        <w:sz w:val="22"/>
        <w:szCs w:val="24"/>
        <w:lang w:val="en-US" w:eastAsia="zh-CN"/>
      </w:rPr>
      <w:t>中科高盛咨询集团有限公司</w:t>
    </w:r>
    <w:r>
      <w:rPr>
        <w:rFonts w:hint="eastAsia"/>
        <w:b/>
        <w:bCs/>
        <w:sz w:val="22"/>
        <w:szCs w:val="24"/>
      </w:rPr>
      <w:t xml:space="preserve"> </w:t>
    </w:r>
    <w:r>
      <w:rPr>
        <w:rFonts w:hint="eastAsia"/>
        <w:b/>
        <w:bCs/>
      </w:rPr>
      <w:t xml:space="preserve"> </w:t>
    </w:r>
    <w:r>
      <w:rPr>
        <w:rFonts w:hint="eastAsia"/>
        <w:b/>
        <w:bCs/>
        <w:sz w:val="15"/>
        <w:szCs w:val="16"/>
      </w:rPr>
      <w:t xml:space="preserve"> </w:t>
    </w:r>
    <w:r>
      <w:rPr>
        <w:rFonts w:hint="eastAsia"/>
      </w:rPr>
      <w:t xml:space="preserve">    </w:t>
    </w:r>
    <w:r>
      <w:rPr>
        <w:rFonts w:hint="eastAsia"/>
        <w:lang w:val="en-US" w:eastAsia="zh-CN"/>
      </w:rPr>
      <w:t xml:space="preserve">  </w:t>
    </w:r>
  </w:p>
  <w:p>
    <w:pPr>
      <w:pStyle w:val="31"/>
      <w:ind w:left="6325" w:hanging="5600" w:hangingChars="3500"/>
      <w:jc w:val="right"/>
      <w:rPr>
        <w:rFonts w:hint="eastAsia" w:ascii="宋体" w:hAnsi="宋体" w:eastAsia="宋体" w:cs="宋体"/>
        <w:b w:val="0"/>
        <w:bCs w:val="0"/>
        <w:sz w:val="21"/>
        <w:szCs w:val="21"/>
        <w:lang w:val="en-US" w:eastAsia="zh-CN"/>
      </w:rPr>
    </w:pPr>
    <w:r>
      <w:rPr>
        <w:rFonts w:hint="eastAsia"/>
        <w:sz w:val="16"/>
        <w:szCs w:val="16"/>
        <w:lang w:val="en-US" w:eastAsia="zh-CN"/>
      </w:rPr>
      <w:t>克州中心血站医疗设备采购项目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both"/>
      <w:rPr>
        <w:rFonts w:hint="eastAsia" w:ascii="宋体" w:hAnsi="宋体" w:eastAsia="宋体" w:cs="宋体"/>
        <w:b/>
        <w:sz w:val="32"/>
        <w:highlight w:val="none"/>
        <w:lang w:val="en-US" w:eastAsia="zh-CN"/>
      </w:rPr>
    </w:pPr>
    <w:r>
      <w:rPr>
        <w:rFonts w:hint="eastAsia" w:ascii="宋体" w:hAnsi="宋体" w:cs="宋体"/>
        <w:b/>
        <w:sz w:val="28"/>
        <w:szCs w:val="18"/>
        <w:highlight w:val="none"/>
        <w:lang w:eastAsia="zh-CN"/>
      </w:rPr>
      <w:t>中科高盛咨询集团有限公司</w:t>
    </w:r>
    <w:r>
      <w:rPr>
        <w:rFonts w:hint="eastAsia" w:ascii="宋体" w:hAnsi="宋体" w:eastAsia="宋体" w:cs="宋体"/>
        <w:b/>
        <w:sz w:val="32"/>
        <w:highlight w:val="none"/>
        <w:lang w:val="en-US" w:eastAsia="zh-CN"/>
      </w:rPr>
      <w:t xml:space="preserve">      </w:t>
    </w:r>
  </w:p>
  <w:p>
    <w:pPr>
      <w:pStyle w:val="31"/>
      <w:jc w:val="right"/>
      <w:rPr>
        <w:rFonts w:hint="eastAsia" w:ascii="宋体" w:hAnsi="宋体" w:eastAsia="宋体" w:cs="宋体"/>
        <w:b w:val="0"/>
        <w:bCs w:val="0"/>
        <w:sz w:val="22"/>
        <w:szCs w:val="22"/>
        <w:lang w:val="en-US" w:eastAsia="zh-CN"/>
      </w:rPr>
    </w:pPr>
    <w:r>
      <w:rPr>
        <w:rFonts w:hint="eastAsia"/>
        <w:b w:val="0"/>
        <w:bCs w:val="0"/>
        <w:sz w:val="16"/>
        <w:szCs w:val="24"/>
        <w:lang w:val="en-US" w:eastAsia="zh-CN"/>
      </w:rPr>
      <w:t>克州中心血站医疗设备采购项目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DAD01"/>
    <w:multiLevelType w:val="singleLevel"/>
    <w:tmpl w:val="CF0DAD01"/>
    <w:lvl w:ilvl="0" w:tentative="0">
      <w:start w:val="1"/>
      <w:numFmt w:val="decimal"/>
      <w:suff w:val="space"/>
      <w:lvlText w:val="%1."/>
      <w:lvlJc w:val="left"/>
    </w:lvl>
  </w:abstractNum>
  <w:abstractNum w:abstractNumId="1">
    <w:nsid w:val="E368D1E8"/>
    <w:multiLevelType w:val="singleLevel"/>
    <w:tmpl w:val="E368D1E8"/>
    <w:lvl w:ilvl="0" w:tentative="0">
      <w:start w:val="5"/>
      <w:numFmt w:val="chineseCounting"/>
      <w:suff w:val="space"/>
      <w:lvlText w:val="第%1章"/>
      <w:lvlJc w:val="left"/>
      <w:rPr>
        <w:rFonts w:hint="eastAsia"/>
      </w:rPr>
    </w:lvl>
  </w:abstractNum>
  <w:abstractNum w:abstractNumId="2">
    <w:nsid w:val="00000000"/>
    <w:multiLevelType w:val="multilevel"/>
    <w:tmpl w:val="00000000"/>
    <w:lvl w:ilvl="0" w:tentative="0">
      <w:start w:val="1"/>
      <w:numFmt w:val="japaneseCounting"/>
      <w:lvlText w:val="%1"/>
      <w:lvlJc w:val="left"/>
      <w:pPr>
        <w:tabs>
          <w:tab w:val="left" w:pos="0"/>
        </w:tabs>
        <w:ind w:left="360" w:hanging="360"/>
      </w:pPr>
      <w:rPr>
        <w:rFonts w:hint="default" w:ascii="宋体" w:hAnsi="宋体" w:eastAsia="宋体"/>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3">
    <w:nsid w:val="0000000E"/>
    <w:multiLevelType w:val="multilevel"/>
    <w:tmpl w:val="0000000E"/>
    <w:lvl w:ilvl="0" w:tentative="0">
      <w:start w:val="1"/>
      <w:numFmt w:val="decimal"/>
      <w:pStyle w:val="114"/>
      <w:lvlText w:val="附件 %1"/>
      <w:lvlJc w:val="left"/>
      <w:pPr>
        <w:tabs>
          <w:tab w:val="left" w:pos="1080"/>
        </w:tabs>
        <w:ind w:left="720" w:hanging="720"/>
      </w:pPr>
      <w:rPr>
        <w:rFonts w:hint="eastAsia"/>
        <w:sz w:val="28"/>
      </w:rPr>
    </w:lvl>
    <w:lvl w:ilvl="1" w:tentative="0">
      <w:start w:val="1"/>
      <w:numFmt w:val="chineseCountingThousand"/>
      <w:lvlText w:val="%2、"/>
      <w:lvlJc w:val="left"/>
      <w:pPr>
        <w:tabs>
          <w:tab w:val="left" w:pos="1050"/>
        </w:tabs>
        <w:ind w:left="1050" w:hanging="630"/>
      </w:pPr>
      <w:rPr>
        <w:rFonts w:hint="eastAsia"/>
        <w:sz w:val="28"/>
      </w:rPr>
    </w:lvl>
    <w:lvl w:ilvl="2" w:tentative="0">
      <w:start w:val="1"/>
      <w:numFmt w:val="japaneseCounting"/>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decimal"/>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1715540"/>
    <w:multiLevelType w:val="multilevel"/>
    <w:tmpl w:val="11715540"/>
    <w:lvl w:ilvl="0" w:tentative="0">
      <w:start w:val="1"/>
      <w:numFmt w:val="japaneseCounting"/>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5">
    <w:nsid w:val="223F2ACB"/>
    <w:multiLevelType w:val="singleLevel"/>
    <w:tmpl w:val="223F2ACB"/>
    <w:lvl w:ilvl="0" w:tentative="0">
      <w:start w:val="6"/>
      <w:numFmt w:val="chineseCounting"/>
      <w:suff w:val="nothing"/>
      <w:lvlText w:val="%1、"/>
      <w:lvlJc w:val="left"/>
      <w:rPr>
        <w:rFonts w:hint="eastAsia"/>
      </w:rPr>
    </w:lvl>
  </w:abstractNum>
  <w:abstractNum w:abstractNumId="6">
    <w:nsid w:val="2E0F247E"/>
    <w:multiLevelType w:val="multilevel"/>
    <w:tmpl w:val="2E0F247E"/>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330D030A"/>
    <w:multiLevelType w:val="singleLevel"/>
    <w:tmpl w:val="330D030A"/>
    <w:lvl w:ilvl="0" w:tentative="0">
      <w:start w:val="1"/>
      <w:numFmt w:val="decimal"/>
      <w:lvlText w:val="%1."/>
      <w:lvlJc w:val="left"/>
      <w:pPr>
        <w:ind w:left="425" w:hanging="425"/>
      </w:pPr>
      <w:rPr>
        <w:rFonts w:hint="default"/>
      </w:rPr>
    </w:lvl>
  </w:abstractNum>
  <w:abstractNum w:abstractNumId="8">
    <w:nsid w:val="36F4FD3F"/>
    <w:multiLevelType w:val="singleLevel"/>
    <w:tmpl w:val="36F4FD3F"/>
    <w:lvl w:ilvl="0" w:tentative="0">
      <w:start w:val="1"/>
      <w:numFmt w:val="decimal"/>
      <w:suff w:val="nothing"/>
      <w:lvlText w:val="（%1）"/>
      <w:lvlJc w:val="left"/>
    </w:lvl>
  </w:abstractNum>
  <w:abstractNum w:abstractNumId="9">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66"/>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0">
    <w:nsid w:val="446E896A"/>
    <w:multiLevelType w:val="singleLevel"/>
    <w:tmpl w:val="446E896A"/>
    <w:lvl w:ilvl="0" w:tentative="0">
      <w:start w:val="1"/>
      <w:numFmt w:val="chineseCounting"/>
      <w:suff w:val="nothing"/>
      <w:lvlText w:val="（%1）"/>
      <w:lvlJc w:val="left"/>
      <w:rPr>
        <w:rFonts w:hint="eastAsia"/>
      </w:rPr>
    </w:lvl>
  </w:abstractNum>
  <w:abstractNum w:abstractNumId="11">
    <w:nsid w:val="55CD4C99"/>
    <w:multiLevelType w:val="singleLevel"/>
    <w:tmpl w:val="55CD4C99"/>
    <w:lvl w:ilvl="0" w:tentative="0">
      <w:start w:val="1"/>
      <w:numFmt w:val="chineseCounting"/>
      <w:suff w:val="nothing"/>
      <w:lvlText w:val="%1、"/>
      <w:lvlJc w:val="left"/>
      <w:pPr>
        <w:ind w:left="-8"/>
      </w:pPr>
    </w:lvl>
  </w:abstractNum>
  <w:abstractNum w:abstractNumId="12">
    <w:nsid w:val="5FC929BB"/>
    <w:multiLevelType w:val="singleLevel"/>
    <w:tmpl w:val="5FC929BB"/>
    <w:lvl w:ilvl="0" w:tentative="0">
      <w:start w:val="1"/>
      <w:numFmt w:val="decimal"/>
      <w:lvlText w:val="%1."/>
      <w:lvlJc w:val="left"/>
      <w:pPr>
        <w:ind w:left="425" w:hanging="425"/>
      </w:pPr>
      <w:rPr>
        <w:rFonts w:hint="default"/>
      </w:rPr>
    </w:lvl>
  </w:abstractNum>
  <w:abstractNum w:abstractNumId="13">
    <w:nsid w:val="6B7E81C3"/>
    <w:multiLevelType w:val="singleLevel"/>
    <w:tmpl w:val="6B7E81C3"/>
    <w:lvl w:ilvl="0" w:tentative="0">
      <w:start w:val="1"/>
      <w:numFmt w:val="decimal"/>
      <w:lvlText w:val="%1."/>
      <w:lvlJc w:val="left"/>
      <w:pPr>
        <w:ind w:left="425" w:hanging="425"/>
      </w:pPr>
      <w:rPr>
        <w:rFonts w:hint="default"/>
      </w:rPr>
    </w:lvl>
  </w:abstractNum>
  <w:abstractNum w:abstractNumId="14">
    <w:nsid w:val="742E55A5"/>
    <w:multiLevelType w:val="singleLevel"/>
    <w:tmpl w:val="742E55A5"/>
    <w:lvl w:ilvl="0" w:tentative="0">
      <w:start w:val="1"/>
      <w:numFmt w:val="decimal"/>
      <w:suff w:val="nothing"/>
      <w:lvlText w:val="%1、"/>
      <w:lvlJc w:val="left"/>
    </w:lvl>
  </w:abstractNum>
  <w:abstractNum w:abstractNumId="15">
    <w:nsid w:val="78AA6554"/>
    <w:multiLevelType w:val="multilevel"/>
    <w:tmpl w:val="78AA6554"/>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9"/>
  </w:num>
  <w:num w:numId="2">
    <w:abstractNumId w:val="3"/>
  </w:num>
  <w:num w:numId="3">
    <w:abstractNumId w:val="5"/>
  </w:num>
  <w:num w:numId="4">
    <w:abstractNumId w:val="14"/>
  </w:num>
  <w:num w:numId="5">
    <w:abstractNumId w:val="11"/>
  </w:num>
  <w:num w:numId="6">
    <w:abstractNumId w:val="4"/>
  </w:num>
  <w:num w:numId="7">
    <w:abstractNumId w:val="15"/>
  </w:num>
  <w:num w:numId="8">
    <w:abstractNumId w:val="6"/>
  </w:num>
  <w:num w:numId="9">
    <w:abstractNumId w:val="12"/>
  </w:num>
  <w:num w:numId="10">
    <w:abstractNumId w:val="7"/>
  </w:num>
  <w:num w:numId="11">
    <w:abstractNumId w:val="13"/>
  </w:num>
  <w:num w:numId="12">
    <w:abstractNumId w:val="10"/>
  </w:num>
  <w:num w:numId="13">
    <w:abstractNumId w:val="1"/>
  </w:num>
  <w:num w:numId="14">
    <w:abstractNumId w:val="2"/>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kYjEyMjlhYmExMjkyNTI5Mjk5MmRmMWRkNjZmZGUifQ=="/>
  </w:docVars>
  <w:rsids>
    <w:rsidRoot w:val="00172A27"/>
    <w:rsid w:val="0002511D"/>
    <w:rsid w:val="00036F3F"/>
    <w:rsid w:val="00047EDE"/>
    <w:rsid w:val="00084532"/>
    <w:rsid w:val="000A67AE"/>
    <w:rsid w:val="000C2D8D"/>
    <w:rsid w:val="000D0DE7"/>
    <w:rsid w:val="00106E4D"/>
    <w:rsid w:val="00111747"/>
    <w:rsid w:val="001434DB"/>
    <w:rsid w:val="00167C92"/>
    <w:rsid w:val="00195E8E"/>
    <w:rsid w:val="0019657A"/>
    <w:rsid w:val="001F2DDB"/>
    <w:rsid w:val="00225314"/>
    <w:rsid w:val="00254FB2"/>
    <w:rsid w:val="00265F69"/>
    <w:rsid w:val="00277146"/>
    <w:rsid w:val="00283B08"/>
    <w:rsid w:val="00292140"/>
    <w:rsid w:val="002D08B6"/>
    <w:rsid w:val="002D545C"/>
    <w:rsid w:val="00312EC9"/>
    <w:rsid w:val="003B5CE3"/>
    <w:rsid w:val="003D0224"/>
    <w:rsid w:val="003F645F"/>
    <w:rsid w:val="00436338"/>
    <w:rsid w:val="004559DC"/>
    <w:rsid w:val="00486EE5"/>
    <w:rsid w:val="004B667B"/>
    <w:rsid w:val="004E4E5E"/>
    <w:rsid w:val="00650E9A"/>
    <w:rsid w:val="00651F2C"/>
    <w:rsid w:val="00666A79"/>
    <w:rsid w:val="0068112D"/>
    <w:rsid w:val="006E4A9A"/>
    <w:rsid w:val="006F37EC"/>
    <w:rsid w:val="007117E6"/>
    <w:rsid w:val="00725782"/>
    <w:rsid w:val="007424FB"/>
    <w:rsid w:val="007B0112"/>
    <w:rsid w:val="007B637C"/>
    <w:rsid w:val="007E58EC"/>
    <w:rsid w:val="00833EC1"/>
    <w:rsid w:val="00835218"/>
    <w:rsid w:val="00871A71"/>
    <w:rsid w:val="0089412F"/>
    <w:rsid w:val="008A3E97"/>
    <w:rsid w:val="008A6988"/>
    <w:rsid w:val="009053BC"/>
    <w:rsid w:val="00906364"/>
    <w:rsid w:val="00941F83"/>
    <w:rsid w:val="00945AB7"/>
    <w:rsid w:val="009C501C"/>
    <w:rsid w:val="009F2084"/>
    <w:rsid w:val="00A14DE9"/>
    <w:rsid w:val="00A60723"/>
    <w:rsid w:val="00A90A24"/>
    <w:rsid w:val="00B73447"/>
    <w:rsid w:val="00B83BDE"/>
    <w:rsid w:val="00B93419"/>
    <w:rsid w:val="00BA48A7"/>
    <w:rsid w:val="00BC1855"/>
    <w:rsid w:val="00BF7909"/>
    <w:rsid w:val="00C06A2A"/>
    <w:rsid w:val="00C25174"/>
    <w:rsid w:val="00C54881"/>
    <w:rsid w:val="00CF03D7"/>
    <w:rsid w:val="00D16B88"/>
    <w:rsid w:val="00D233A3"/>
    <w:rsid w:val="00D24495"/>
    <w:rsid w:val="00D435CC"/>
    <w:rsid w:val="00DB0645"/>
    <w:rsid w:val="00DD186F"/>
    <w:rsid w:val="00DF4DCA"/>
    <w:rsid w:val="00E25930"/>
    <w:rsid w:val="00E6021D"/>
    <w:rsid w:val="00E82B09"/>
    <w:rsid w:val="00E974C9"/>
    <w:rsid w:val="00E97F73"/>
    <w:rsid w:val="00EC51EC"/>
    <w:rsid w:val="00EC7241"/>
    <w:rsid w:val="00F2142F"/>
    <w:rsid w:val="00F52A8D"/>
    <w:rsid w:val="00F915E6"/>
    <w:rsid w:val="00FA57CD"/>
    <w:rsid w:val="00FD5DE6"/>
    <w:rsid w:val="00FF07C7"/>
    <w:rsid w:val="00FF571B"/>
    <w:rsid w:val="011A281F"/>
    <w:rsid w:val="0165001B"/>
    <w:rsid w:val="018C5289"/>
    <w:rsid w:val="01A06B51"/>
    <w:rsid w:val="01A945D2"/>
    <w:rsid w:val="01B67FC9"/>
    <w:rsid w:val="01C026F0"/>
    <w:rsid w:val="01C92EC3"/>
    <w:rsid w:val="021F5C13"/>
    <w:rsid w:val="025C7977"/>
    <w:rsid w:val="027B73D4"/>
    <w:rsid w:val="02A0268C"/>
    <w:rsid w:val="02DB150F"/>
    <w:rsid w:val="02EF1C23"/>
    <w:rsid w:val="031970B0"/>
    <w:rsid w:val="032F336F"/>
    <w:rsid w:val="0341057D"/>
    <w:rsid w:val="035D4076"/>
    <w:rsid w:val="037F480C"/>
    <w:rsid w:val="03AC7D7B"/>
    <w:rsid w:val="03C9092D"/>
    <w:rsid w:val="03D0228B"/>
    <w:rsid w:val="03EA0A2B"/>
    <w:rsid w:val="03FB3405"/>
    <w:rsid w:val="04540014"/>
    <w:rsid w:val="045F1CA7"/>
    <w:rsid w:val="04674C3A"/>
    <w:rsid w:val="047B1554"/>
    <w:rsid w:val="04805778"/>
    <w:rsid w:val="049C36A7"/>
    <w:rsid w:val="04AA6E1E"/>
    <w:rsid w:val="04AE42FC"/>
    <w:rsid w:val="05610554"/>
    <w:rsid w:val="0561125C"/>
    <w:rsid w:val="05857005"/>
    <w:rsid w:val="05987C23"/>
    <w:rsid w:val="06B46199"/>
    <w:rsid w:val="06CF145B"/>
    <w:rsid w:val="06D25043"/>
    <w:rsid w:val="06E53FC6"/>
    <w:rsid w:val="06EC048E"/>
    <w:rsid w:val="076A68D1"/>
    <w:rsid w:val="07723EE8"/>
    <w:rsid w:val="07907420"/>
    <w:rsid w:val="079C1442"/>
    <w:rsid w:val="07B03B58"/>
    <w:rsid w:val="07C6379D"/>
    <w:rsid w:val="07D415FA"/>
    <w:rsid w:val="081A4C06"/>
    <w:rsid w:val="081F1419"/>
    <w:rsid w:val="08372619"/>
    <w:rsid w:val="08417F6E"/>
    <w:rsid w:val="087C1CCB"/>
    <w:rsid w:val="08D046D7"/>
    <w:rsid w:val="08E14C65"/>
    <w:rsid w:val="08ED2C7E"/>
    <w:rsid w:val="08F05F1E"/>
    <w:rsid w:val="090A5A98"/>
    <w:rsid w:val="09665489"/>
    <w:rsid w:val="096E4F76"/>
    <w:rsid w:val="097D18C9"/>
    <w:rsid w:val="09B36F00"/>
    <w:rsid w:val="09CF6C64"/>
    <w:rsid w:val="09DB3F0D"/>
    <w:rsid w:val="09E32EB2"/>
    <w:rsid w:val="09EA33AB"/>
    <w:rsid w:val="0A157CFC"/>
    <w:rsid w:val="0A610659"/>
    <w:rsid w:val="0B226B74"/>
    <w:rsid w:val="0B524602"/>
    <w:rsid w:val="0BB00F53"/>
    <w:rsid w:val="0BE6493B"/>
    <w:rsid w:val="0C276F78"/>
    <w:rsid w:val="0C54570B"/>
    <w:rsid w:val="0C700C3A"/>
    <w:rsid w:val="0C731D47"/>
    <w:rsid w:val="0C863350"/>
    <w:rsid w:val="0C884F6A"/>
    <w:rsid w:val="0CBE7925"/>
    <w:rsid w:val="0CC41215"/>
    <w:rsid w:val="0CDD71F7"/>
    <w:rsid w:val="0CFB640B"/>
    <w:rsid w:val="0D25150D"/>
    <w:rsid w:val="0D2A511A"/>
    <w:rsid w:val="0DBD759B"/>
    <w:rsid w:val="0DCB34F3"/>
    <w:rsid w:val="0DDD371E"/>
    <w:rsid w:val="0E052B63"/>
    <w:rsid w:val="0E2A12D0"/>
    <w:rsid w:val="0E4F5255"/>
    <w:rsid w:val="0E7246C9"/>
    <w:rsid w:val="0EA81683"/>
    <w:rsid w:val="0EBA3A07"/>
    <w:rsid w:val="0ED6432A"/>
    <w:rsid w:val="0EDD28E9"/>
    <w:rsid w:val="0EEC0B6E"/>
    <w:rsid w:val="0EF9210D"/>
    <w:rsid w:val="0F1C07D6"/>
    <w:rsid w:val="0FA1275E"/>
    <w:rsid w:val="0FAB40D5"/>
    <w:rsid w:val="0FD56F3C"/>
    <w:rsid w:val="0FF91AED"/>
    <w:rsid w:val="10216AAE"/>
    <w:rsid w:val="104445B6"/>
    <w:rsid w:val="10556DB0"/>
    <w:rsid w:val="105E4920"/>
    <w:rsid w:val="10A8576F"/>
    <w:rsid w:val="10EF71F3"/>
    <w:rsid w:val="10F33CDD"/>
    <w:rsid w:val="10FA5D81"/>
    <w:rsid w:val="111F37C6"/>
    <w:rsid w:val="112D4214"/>
    <w:rsid w:val="114247D4"/>
    <w:rsid w:val="1145536B"/>
    <w:rsid w:val="11592B6D"/>
    <w:rsid w:val="11705F9E"/>
    <w:rsid w:val="118C1C45"/>
    <w:rsid w:val="11A76FB4"/>
    <w:rsid w:val="11B278CD"/>
    <w:rsid w:val="11C5689A"/>
    <w:rsid w:val="121647F6"/>
    <w:rsid w:val="12781123"/>
    <w:rsid w:val="12AA7ACB"/>
    <w:rsid w:val="12D23A87"/>
    <w:rsid w:val="1319295F"/>
    <w:rsid w:val="135438D3"/>
    <w:rsid w:val="13616FD9"/>
    <w:rsid w:val="13702EC7"/>
    <w:rsid w:val="13935FF2"/>
    <w:rsid w:val="139B579F"/>
    <w:rsid w:val="13AC700B"/>
    <w:rsid w:val="13CE3C91"/>
    <w:rsid w:val="13DC02C3"/>
    <w:rsid w:val="13FE460F"/>
    <w:rsid w:val="141B4A34"/>
    <w:rsid w:val="14372944"/>
    <w:rsid w:val="143D5451"/>
    <w:rsid w:val="14707F5F"/>
    <w:rsid w:val="14990420"/>
    <w:rsid w:val="14E25D55"/>
    <w:rsid w:val="14FB4812"/>
    <w:rsid w:val="15083DC1"/>
    <w:rsid w:val="154D2DC2"/>
    <w:rsid w:val="156D1081"/>
    <w:rsid w:val="15D43A0A"/>
    <w:rsid w:val="160274DD"/>
    <w:rsid w:val="16526B48"/>
    <w:rsid w:val="165568F0"/>
    <w:rsid w:val="16AC46C9"/>
    <w:rsid w:val="16DA1F0E"/>
    <w:rsid w:val="173F1E3D"/>
    <w:rsid w:val="17495681"/>
    <w:rsid w:val="1771145B"/>
    <w:rsid w:val="179C1284"/>
    <w:rsid w:val="17F14DF1"/>
    <w:rsid w:val="18053AC3"/>
    <w:rsid w:val="180D5935"/>
    <w:rsid w:val="18560FC1"/>
    <w:rsid w:val="185659A6"/>
    <w:rsid w:val="185C7F3B"/>
    <w:rsid w:val="18C87B1C"/>
    <w:rsid w:val="18D44A0E"/>
    <w:rsid w:val="18EC52FC"/>
    <w:rsid w:val="193D77FA"/>
    <w:rsid w:val="19442F6B"/>
    <w:rsid w:val="195F22BB"/>
    <w:rsid w:val="19912DCA"/>
    <w:rsid w:val="19AA31C6"/>
    <w:rsid w:val="1A091EF0"/>
    <w:rsid w:val="1A931D24"/>
    <w:rsid w:val="1AB50DAF"/>
    <w:rsid w:val="1ACB0C71"/>
    <w:rsid w:val="1B1060DF"/>
    <w:rsid w:val="1B121138"/>
    <w:rsid w:val="1BC01F4E"/>
    <w:rsid w:val="1C245758"/>
    <w:rsid w:val="1CB06C92"/>
    <w:rsid w:val="1D2A1AF6"/>
    <w:rsid w:val="1D466CEF"/>
    <w:rsid w:val="1D842F20"/>
    <w:rsid w:val="1D87497D"/>
    <w:rsid w:val="1D921938"/>
    <w:rsid w:val="1DB775F0"/>
    <w:rsid w:val="1DD45DEE"/>
    <w:rsid w:val="1E321C52"/>
    <w:rsid w:val="1E4F4FAD"/>
    <w:rsid w:val="1E837F52"/>
    <w:rsid w:val="1EAF7CA6"/>
    <w:rsid w:val="1EDA7FA6"/>
    <w:rsid w:val="1EEE1DE9"/>
    <w:rsid w:val="1F0701CD"/>
    <w:rsid w:val="1F216443"/>
    <w:rsid w:val="1F801A16"/>
    <w:rsid w:val="1FD004F5"/>
    <w:rsid w:val="1FD978C0"/>
    <w:rsid w:val="1FFE447E"/>
    <w:rsid w:val="205D1203"/>
    <w:rsid w:val="209459C7"/>
    <w:rsid w:val="2128448B"/>
    <w:rsid w:val="21292FEC"/>
    <w:rsid w:val="215F20FC"/>
    <w:rsid w:val="216437EE"/>
    <w:rsid w:val="21F04A4E"/>
    <w:rsid w:val="221445CF"/>
    <w:rsid w:val="228A2E96"/>
    <w:rsid w:val="228E0810"/>
    <w:rsid w:val="22AE7C9C"/>
    <w:rsid w:val="22B25E91"/>
    <w:rsid w:val="22EC6E6E"/>
    <w:rsid w:val="233B021B"/>
    <w:rsid w:val="23703ACC"/>
    <w:rsid w:val="23C745B6"/>
    <w:rsid w:val="23D476D8"/>
    <w:rsid w:val="242248E5"/>
    <w:rsid w:val="24297F34"/>
    <w:rsid w:val="242B76FE"/>
    <w:rsid w:val="24612064"/>
    <w:rsid w:val="247936BE"/>
    <w:rsid w:val="24822E2A"/>
    <w:rsid w:val="24A62401"/>
    <w:rsid w:val="24AB0331"/>
    <w:rsid w:val="24F34A76"/>
    <w:rsid w:val="24F55A74"/>
    <w:rsid w:val="24FC49A1"/>
    <w:rsid w:val="255725AF"/>
    <w:rsid w:val="25653118"/>
    <w:rsid w:val="25ED272C"/>
    <w:rsid w:val="269E134D"/>
    <w:rsid w:val="26AF355A"/>
    <w:rsid w:val="26C34A1A"/>
    <w:rsid w:val="26E30902"/>
    <w:rsid w:val="27285CA3"/>
    <w:rsid w:val="273E22A9"/>
    <w:rsid w:val="27413F22"/>
    <w:rsid w:val="274520AE"/>
    <w:rsid w:val="2792307E"/>
    <w:rsid w:val="27B824A1"/>
    <w:rsid w:val="27E250D9"/>
    <w:rsid w:val="27E52269"/>
    <w:rsid w:val="27F339D2"/>
    <w:rsid w:val="284B2969"/>
    <w:rsid w:val="288708FC"/>
    <w:rsid w:val="2888259C"/>
    <w:rsid w:val="289A1C67"/>
    <w:rsid w:val="289C0641"/>
    <w:rsid w:val="289C74E3"/>
    <w:rsid w:val="28A308F7"/>
    <w:rsid w:val="28ED5830"/>
    <w:rsid w:val="28F70270"/>
    <w:rsid w:val="29151B33"/>
    <w:rsid w:val="292F0A14"/>
    <w:rsid w:val="29522227"/>
    <w:rsid w:val="296B6908"/>
    <w:rsid w:val="2979241D"/>
    <w:rsid w:val="29A818B8"/>
    <w:rsid w:val="29B03851"/>
    <w:rsid w:val="29D160CC"/>
    <w:rsid w:val="29E17235"/>
    <w:rsid w:val="29F76E62"/>
    <w:rsid w:val="29FB6C87"/>
    <w:rsid w:val="2A550204"/>
    <w:rsid w:val="2A6F3881"/>
    <w:rsid w:val="2A943979"/>
    <w:rsid w:val="2A98568E"/>
    <w:rsid w:val="2AA23543"/>
    <w:rsid w:val="2ABC6DFE"/>
    <w:rsid w:val="2B0331F8"/>
    <w:rsid w:val="2B0A689F"/>
    <w:rsid w:val="2B44211C"/>
    <w:rsid w:val="2B464C71"/>
    <w:rsid w:val="2B4D1EC1"/>
    <w:rsid w:val="2B54050D"/>
    <w:rsid w:val="2B895955"/>
    <w:rsid w:val="2B8E458C"/>
    <w:rsid w:val="2BB82658"/>
    <w:rsid w:val="2BD60FAD"/>
    <w:rsid w:val="2BEF7EF3"/>
    <w:rsid w:val="2C094E19"/>
    <w:rsid w:val="2C5650DF"/>
    <w:rsid w:val="2CED4E91"/>
    <w:rsid w:val="2D00748C"/>
    <w:rsid w:val="2D413260"/>
    <w:rsid w:val="2D4F3800"/>
    <w:rsid w:val="2D527573"/>
    <w:rsid w:val="2D585956"/>
    <w:rsid w:val="2DBB51D5"/>
    <w:rsid w:val="2DFF21FE"/>
    <w:rsid w:val="2E026666"/>
    <w:rsid w:val="2E0E6E42"/>
    <w:rsid w:val="2E442E89"/>
    <w:rsid w:val="2E677E15"/>
    <w:rsid w:val="2E9C6723"/>
    <w:rsid w:val="2EC0690E"/>
    <w:rsid w:val="2F406AF1"/>
    <w:rsid w:val="2FD40C83"/>
    <w:rsid w:val="2FED5FAC"/>
    <w:rsid w:val="301036F4"/>
    <w:rsid w:val="301C51EA"/>
    <w:rsid w:val="302C313E"/>
    <w:rsid w:val="30362924"/>
    <w:rsid w:val="30366B4A"/>
    <w:rsid w:val="305A1F87"/>
    <w:rsid w:val="309F3618"/>
    <w:rsid w:val="30B83219"/>
    <w:rsid w:val="30DA132C"/>
    <w:rsid w:val="310229FD"/>
    <w:rsid w:val="3144654F"/>
    <w:rsid w:val="322D3A37"/>
    <w:rsid w:val="325F4087"/>
    <w:rsid w:val="32695DB4"/>
    <w:rsid w:val="326F23FE"/>
    <w:rsid w:val="32A47034"/>
    <w:rsid w:val="32CD18D8"/>
    <w:rsid w:val="32E27462"/>
    <w:rsid w:val="32F35B38"/>
    <w:rsid w:val="337D45FF"/>
    <w:rsid w:val="337E6126"/>
    <w:rsid w:val="33CD3CD0"/>
    <w:rsid w:val="34384B8F"/>
    <w:rsid w:val="344B1AC7"/>
    <w:rsid w:val="348017A5"/>
    <w:rsid w:val="34A55F9D"/>
    <w:rsid w:val="34C23859"/>
    <w:rsid w:val="357E3815"/>
    <w:rsid w:val="358E631D"/>
    <w:rsid w:val="36471838"/>
    <w:rsid w:val="368E358C"/>
    <w:rsid w:val="369C6873"/>
    <w:rsid w:val="36B14ED2"/>
    <w:rsid w:val="373F35D8"/>
    <w:rsid w:val="37B60185"/>
    <w:rsid w:val="37CC695B"/>
    <w:rsid w:val="37E77069"/>
    <w:rsid w:val="38624CF0"/>
    <w:rsid w:val="38A44F81"/>
    <w:rsid w:val="38D746B1"/>
    <w:rsid w:val="39065495"/>
    <w:rsid w:val="39391691"/>
    <w:rsid w:val="39557EB7"/>
    <w:rsid w:val="39595028"/>
    <w:rsid w:val="396F65DB"/>
    <w:rsid w:val="3A152790"/>
    <w:rsid w:val="3A4E25FB"/>
    <w:rsid w:val="3A612BF8"/>
    <w:rsid w:val="3A9375C1"/>
    <w:rsid w:val="3AEB7C3A"/>
    <w:rsid w:val="3AEF1EB1"/>
    <w:rsid w:val="3B020027"/>
    <w:rsid w:val="3B06296E"/>
    <w:rsid w:val="3B266D79"/>
    <w:rsid w:val="3B3C03FD"/>
    <w:rsid w:val="3C5C6360"/>
    <w:rsid w:val="3CBE3AE9"/>
    <w:rsid w:val="3CD91361"/>
    <w:rsid w:val="3CE733FE"/>
    <w:rsid w:val="3CE97F31"/>
    <w:rsid w:val="3D093493"/>
    <w:rsid w:val="3D7F01C0"/>
    <w:rsid w:val="3DA179C0"/>
    <w:rsid w:val="3DD6357C"/>
    <w:rsid w:val="3E100EB6"/>
    <w:rsid w:val="3E2B2CC6"/>
    <w:rsid w:val="3E996A48"/>
    <w:rsid w:val="3F0D6C18"/>
    <w:rsid w:val="3F191F92"/>
    <w:rsid w:val="3F223732"/>
    <w:rsid w:val="3F6F3157"/>
    <w:rsid w:val="3F71535F"/>
    <w:rsid w:val="3FB842B7"/>
    <w:rsid w:val="3FF500F1"/>
    <w:rsid w:val="3FF81B8E"/>
    <w:rsid w:val="400148D8"/>
    <w:rsid w:val="400D04BB"/>
    <w:rsid w:val="401921E3"/>
    <w:rsid w:val="40222A76"/>
    <w:rsid w:val="40674B18"/>
    <w:rsid w:val="40691F29"/>
    <w:rsid w:val="40CF4487"/>
    <w:rsid w:val="413E33B7"/>
    <w:rsid w:val="419A5B5B"/>
    <w:rsid w:val="41A01956"/>
    <w:rsid w:val="41B22A36"/>
    <w:rsid w:val="41C04783"/>
    <w:rsid w:val="41FE3BDA"/>
    <w:rsid w:val="42082067"/>
    <w:rsid w:val="420E3B7F"/>
    <w:rsid w:val="421254AB"/>
    <w:rsid w:val="425C3C27"/>
    <w:rsid w:val="425F073D"/>
    <w:rsid w:val="426F3318"/>
    <w:rsid w:val="42B45D29"/>
    <w:rsid w:val="42BB27DC"/>
    <w:rsid w:val="42F47777"/>
    <w:rsid w:val="431C190A"/>
    <w:rsid w:val="4322460E"/>
    <w:rsid w:val="439045CA"/>
    <w:rsid w:val="439F3B23"/>
    <w:rsid w:val="43A06073"/>
    <w:rsid w:val="43D31F80"/>
    <w:rsid w:val="44100C1A"/>
    <w:rsid w:val="441A4B93"/>
    <w:rsid w:val="445B04A3"/>
    <w:rsid w:val="4477072F"/>
    <w:rsid w:val="44A97B0E"/>
    <w:rsid w:val="450A2A80"/>
    <w:rsid w:val="4576455C"/>
    <w:rsid w:val="45C603F9"/>
    <w:rsid w:val="45F138A5"/>
    <w:rsid w:val="45F615DF"/>
    <w:rsid w:val="460D6B10"/>
    <w:rsid w:val="46283F94"/>
    <w:rsid w:val="463B2A0B"/>
    <w:rsid w:val="463B6733"/>
    <w:rsid w:val="46654C8C"/>
    <w:rsid w:val="466D0F42"/>
    <w:rsid w:val="46711D51"/>
    <w:rsid w:val="46FE0971"/>
    <w:rsid w:val="46FF6C94"/>
    <w:rsid w:val="4710261B"/>
    <w:rsid w:val="472503F9"/>
    <w:rsid w:val="476923C4"/>
    <w:rsid w:val="477912EF"/>
    <w:rsid w:val="47BD4204"/>
    <w:rsid w:val="47D45FB7"/>
    <w:rsid w:val="47FA6459"/>
    <w:rsid w:val="48590325"/>
    <w:rsid w:val="48C971A1"/>
    <w:rsid w:val="48CD7EFD"/>
    <w:rsid w:val="490B4B48"/>
    <w:rsid w:val="491B5180"/>
    <w:rsid w:val="49462C82"/>
    <w:rsid w:val="49783EB2"/>
    <w:rsid w:val="49980D66"/>
    <w:rsid w:val="49C74F80"/>
    <w:rsid w:val="49D64722"/>
    <w:rsid w:val="49E93049"/>
    <w:rsid w:val="4A2B2A70"/>
    <w:rsid w:val="4A3E3BB9"/>
    <w:rsid w:val="4A677885"/>
    <w:rsid w:val="4A776A3E"/>
    <w:rsid w:val="4A8C1893"/>
    <w:rsid w:val="4A983C46"/>
    <w:rsid w:val="4A9976CD"/>
    <w:rsid w:val="4AA6299F"/>
    <w:rsid w:val="4ACD4F47"/>
    <w:rsid w:val="4AE60B12"/>
    <w:rsid w:val="4AF1735F"/>
    <w:rsid w:val="4AFC4194"/>
    <w:rsid w:val="4B032514"/>
    <w:rsid w:val="4B0B35D8"/>
    <w:rsid w:val="4B1604EF"/>
    <w:rsid w:val="4B2424D4"/>
    <w:rsid w:val="4B262979"/>
    <w:rsid w:val="4B2E0D47"/>
    <w:rsid w:val="4B3742F1"/>
    <w:rsid w:val="4B6E7323"/>
    <w:rsid w:val="4B745197"/>
    <w:rsid w:val="4B8017E2"/>
    <w:rsid w:val="4B971D44"/>
    <w:rsid w:val="4B9D30D2"/>
    <w:rsid w:val="4BA648F2"/>
    <w:rsid w:val="4BFB0A2E"/>
    <w:rsid w:val="4C5F28FD"/>
    <w:rsid w:val="4C7F427C"/>
    <w:rsid w:val="4C9648AF"/>
    <w:rsid w:val="4CB60A73"/>
    <w:rsid w:val="4CD3461A"/>
    <w:rsid w:val="4CDC39FE"/>
    <w:rsid w:val="4CF55AB6"/>
    <w:rsid w:val="4D44414D"/>
    <w:rsid w:val="4D7322EB"/>
    <w:rsid w:val="4D837618"/>
    <w:rsid w:val="4DC612D9"/>
    <w:rsid w:val="4E2F24F8"/>
    <w:rsid w:val="4E7D4DFB"/>
    <w:rsid w:val="4E9B2192"/>
    <w:rsid w:val="4E9F698C"/>
    <w:rsid w:val="4EEB068A"/>
    <w:rsid w:val="4F1A156D"/>
    <w:rsid w:val="4F215664"/>
    <w:rsid w:val="4F2526EC"/>
    <w:rsid w:val="4F2537EB"/>
    <w:rsid w:val="4F6C4DEF"/>
    <w:rsid w:val="4F9B1520"/>
    <w:rsid w:val="4FE82503"/>
    <w:rsid w:val="502478E6"/>
    <w:rsid w:val="503F74FE"/>
    <w:rsid w:val="50657257"/>
    <w:rsid w:val="506D48F0"/>
    <w:rsid w:val="50995228"/>
    <w:rsid w:val="509E2155"/>
    <w:rsid w:val="50F209DC"/>
    <w:rsid w:val="513164BD"/>
    <w:rsid w:val="51F10C0B"/>
    <w:rsid w:val="522743C3"/>
    <w:rsid w:val="527C6137"/>
    <w:rsid w:val="528C7B89"/>
    <w:rsid w:val="52910C70"/>
    <w:rsid w:val="52951269"/>
    <w:rsid w:val="52A90961"/>
    <w:rsid w:val="52C60A49"/>
    <w:rsid w:val="52C87D2A"/>
    <w:rsid w:val="52DC76B3"/>
    <w:rsid w:val="53273C1B"/>
    <w:rsid w:val="535E43FB"/>
    <w:rsid w:val="53AF313B"/>
    <w:rsid w:val="53E53042"/>
    <w:rsid w:val="541D3A3F"/>
    <w:rsid w:val="54277503"/>
    <w:rsid w:val="54527E4D"/>
    <w:rsid w:val="549C3E55"/>
    <w:rsid w:val="54E67898"/>
    <w:rsid w:val="54F76A11"/>
    <w:rsid w:val="551446C6"/>
    <w:rsid w:val="55432F3C"/>
    <w:rsid w:val="5556333E"/>
    <w:rsid w:val="559B2582"/>
    <w:rsid w:val="559D0B20"/>
    <w:rsid w:val="55C46B34"/>
    <w:rsid w:val="560A4F31"/>
    <w:rsid w:val="564B4CE7"/>
    <w:rsid w:val="569F6CEC"/>
    <w:rsid w:val="56E235CF"/>
    <w:rsid w:val="56E9515B"/>
    <w:rsid w:val="56EC53FA"/>
    <w:rsid w:val="570C06A2"/>
    <w:rsid w:val="573C5575"/>
    <w:rsid w:val="57584662"/>
    <w:rsid w:val="57836BC7"/>
    <w:rsid w:val="57A26EE6"/>
    <w:rsid w:val="57DC31AE"/>
    <w:rsid w:val="57EF5CB3"/>
    <w:rsid w:val="57FE0CC3"/>
    <w:rsid w:val="581C69D0"/>
    <w:rsid w:val="5862087A"/>
    <w:rsid w:val="58E93FC0"/>
    <w:rsid w:val="58FB5F3D"/>
    <w:rsid w:val="59051F9D"/>
    <w:rsid w:val="594A0692"/>
    <w:rsid w:val="59625812"/>
    <w:rsid w:val="59A73BE2"/>
    <w:rsid w:val="59AD5405"/>
    <w:rsid w:val="59BD150F"/>
    <w:rsid w:val="59C50338"/>
    <w:rsid w:val="59EA61B5"/>
    <w:rsid w:val="5A25075B"/>
    <w:rsid w:val="5A614F74"/>
    <w:rsid w:val="5B303F63"/>
    <w:rsid w:val="5B394BC5"/>
    <w:rsid w:val="5BA00393"/>
    <w:rsid w:val="5BC17E43"/>
    <w:rsid w:val="5BFB0AC3"/>
    <w:rsid w:val="5C121031"/>
    <w:rsid w:val="5C3A10A0"/>
    <w:rsid w:val="5C422104"/>
    <w:rsid w:val="5C4B6D3B"/>
    <w:rsid w:val="5C7733F7"/>
    <w:rsid w:val="5C9C40B1"/>
    <w:rsid w:val="5D163A95"/>
    <w:rsid w:val="5D1B55FB"/>
    <w:rsid w:val="5D311E17"/>
    <w:rsid w:val="5D3E631F"/>
    <w:rsid w:val="5D494018"/>
    <w:rsid w:val="5D6B5936"/>
    <w:rsid w:val="5D97357E"/>
    <w:rsid w:val="5DBA5F58"/>
    <w:rsid w:val="5DE90904"/>
    <w:rsid w:val="5DED613B"/>
    <w:rsid w:val="5E3A68D1"/>
    <w:rsid w:val="5E7B3747"/>
    <w:rsid w:val="5E8920D8"/>
    <w:rsid w:val="5EA76A9F"/>
    <w:rsid w:val="5EA84E65"/>
    <w:rsid w:val="5F036D93"/>
    <w:rsid w:val="5F3E3132"/>
    <w:rsid w:val="5F5A544D"/>
    <w:rsid w:val="5F622211"/>
    <w:rsid w:val="5F6D79AC"/>
    <w:rsid w:val="5FC721DC"/>
    <w:rsid w:val="5FCE1D70"/>
    <w:rsid w:val="5FE43BEE"/>
    <w:rsid w:val="5FEF6CC3"/>
    <w:rsid w:val="60095D3C"/>
    <w:rsid w:val="607D5DF6"/>
    <w:rsid w:val="60B00FBE"/>
    <w:rsid w:val="61050202"/>
    <w:rsid w:val="61333E3D"/>
    <w:rsid w:val="61662A04"/>
    <w:rsid w:val="616E348F"/>
    <w:rsid w:val="619D2574"/>
    <w:rsid w:val="61B807A2"/>
    <w:rsid w:val="61D41CC4"/>
    <w:rsid w:val="6208387C"/>
    <w:rsid w:val="626033AA"/>
    <w:rsid w:val="6292040E"/>
    <w:rsid w:val="62C919AA"/>
    <w:rsid w:val="62DF2BDD"/>
    <w:rsid w:val="62E21FE6"/>
    <w:rsid w:val="63185A08"/>
    <w:rsid w:val="631A48F4"/>
    <w:rsid w:val="632F25DB"/>
    <w:rsid w:val="636A057C"/>
    <w:rsid w:val="63A26EE6"/>
    <w:rsid w:val="63D807ED"/>
    <w:rsid w:val="64147094"/>
    <w:rsid w:val="641E2BAA"/>
    <w:rsid w:val="642F25D4"/>
    <w:rsid w:val="64322AF9"/>
    <w:rsid w:val="64A9768D"/>
    <w:rsid w:val="64E8698D"/>
    <w:rsid w:val="650245A4"/>
    <w:rsid w:val="65607251"/>
    <w:rsid w:val="656A7099"/>
    <w:rsid w:val="659C2B36"/>
    <w:rsid w:val="659D5A43"/>
    <w:rsid w:val="65AF041F"/>
    <w:rsid w:val="65C75521"/>
    <w:rsid w:val="66830EFE"/>
    <w:rsid w:val="668B0000"/>
    <w:rsid w:val="66966E76"/>
    <w:rsid w:val="66AF0431"/>
    <w:rsid w:val="66B34DAA"/>
    <w:rsid w:val="66C87EDF"/>
    <w:rsid w:val="66CA4BD7"/>
    <w:rsid w:val="67255068"/>
    <w:rsid w:val="672B32E7"/>
    <w:rsid w:val="67781D56"/>
    <w:rsid w:val="678C7F32"/>
    <w:rsid w:val="67A0011B"/>
    <w:rsid w:val="67D568BF"/>
    <w:rsid w:val="67DD6A8B"/>
    <w:rsid w:val="67E95B6E"/>
    <w:rsid w:val="68403494"/>
    <w:rsid w:val="68437083"/>
    <w:rsid w:val="686341AC"/>
    <w:rsid w:val="686F1EE7"/>
    <w:rsid w:val="689E075E"/>
    <w:rsid w:val="689F389F"/>
    <w:rsid w:val="68A56F86"/>
    <w:rsid w:val="68F24BB1"/>
    <w:rsid w:val="691D4B72"/>
    <w:rsid w:val="697A621A"/>
    <w:rsid w:val="69E2190C"/>
    <w:rsid w:val="6A6E22EE"/>
    <w:rsid w:val="6A766426"/>
    <w:rsid w:val="6B381523"/>
    <w:rsid w:val="6B7A794A"/>
    <w:rsid w:val="6BA0320E"/>
    <w:rsid w:val="6BFB570F"/>
    <w:rsid w:val="6C4F3B34"/>
    <w:rsid w:val="6C4F47F8"/>
    <w:rsid w:val="6C5E20F3"/>
    <w:rsid w:val="6C827A36"/>
    <w:rsid w:val="6D372F2F"/>
    <w:rsid w:val="6D484F1D"/>
    <w:rsid w:val="6D594BD0"/>
    <w:rsid w:val="6DA86764"/>
    <w:rsid w:val="6DD04C79"/>
    <w:rsid w:val="6E3017D1"/>
    <w:rsid w:val="6E9338CD"/>
    <w:rsid w:val="6E9A19C7"/>
    <w:rsid w:val="6ECF011E"/>
    <w:rsid w:val="6EDC61B2"/>
    <w:rsid w:val="6F090375"/>
    <w:rsid w:val="6F2B21D1"/>
    <w:rsid w:val="6F352200"/>
    <w:rsid w:val="6F9E401B"/>
    <w:rsid w:val="6FC00FB9"/>
    <w:rsid w:val="70013709"/>
    <w:rsid w:val="701A1E28"/>
    <w:rsid w:val="705C3360"/>
    <w:rsid w:val="70EC4675"/>
    <w:rsid w:val="710475CC"/>
    <w:rsid w:val="712E63F7"/>
    <w:rsid w:val="714C7E4E"/>
    <w:rsid w:val="716B764B"/>
    <w:rsid w:val="71762613"/>
    <w:rsid w:val="7187594E"/>
    <w:rsid w:val="71B9022B"/>
    <w:rsid w:val="71BC5DB2"/>
    <w:rsid w:val="72066239"/>
    <w:rsid w:val="720F6EC3"/>
    <w:rsid w:val="722447E8"/>
    <w:rsid w:val="72473D43"/>
    <w:rsid w:val="726A622F"/>
    <w:rsid w:val="728276B4"/>
    <w:rsid w:val="72B6784B"/>
    <w:rsid w:val="72C419F3"/>
    <w:rsid w:val="72CF5F6A"/>
    <w:rsid w:val="73634A7D"/>
    <w:rsid w:val="73B73B1E"/>
    <w:rsid w:val="73C2587F"/>
    <w:rsid w:val="745255A8"/>
    <w:rsid w:val="7470074B"/>
    <w:rsid w:val="747D1621"/>
    <w:rsid w:val="748C1A0B"/>
    <w:rsid w:val="749D6AA0"/>
    <w:rsid w:val="74AA5335"/>
    <w:rsid w:val="74ED48D5"/>
    <w:rsid w:val="74EE10EE"/>
    <w:rsid w:val="74EF4AB7"/>
    <w:rsid w:val="750307BE"/>
    <w:rsid w:val="750740CE"/>
    <w:rsid w:val="756D6DB6"/>
    <w:rsid w:val="75976C60"/>
    <w:rsid w:val="75A52A12"/>
    <w:rsid w:val="75CD487E"/>
    <w:rsid w:val="75D81F88"/>
    <w:rsid w:val="763366F1"/>
    <w:rsid w:val="76472434"/>
    <w:rsid w:val="7653280F"/>
    <w:rsid w:val="768520EA"/>
    <w:rsid w:val="76A77F9C"/>
    <w:rsid w:val="76B15CB2"/>
    <w:rsid w:val="76E04C81"/>
    <w:rsid w:val="76FF645D"/>
    <w:rsid w:val="77085840"/>
    <w:rsid w:val="771546CF"/>
    <w:rsid w:val="77195E8D"/>
    <w:rsid w:val="772A263A"/>
    <w:rsid w:val="774A0D27"/>
    <w:rsid w:val="777B1E49"/>
    <w:rsid w:val="77917099"/>
    <w:rsid w:val="77B00788"/>
    <w:rsid w:val="77BC1CD2"/>
    <w:rsid w:val="77C703FF"/>
    <w:rsid w:val="77F357A1"/>
    <w:rsid w:val="78137B85"/>
    <w:rsid w:val="78353B62"/>
    <w:rsid w:val="786259C7"/>
    <w:rsid w:val="788574B1"/>
    <w:rsid w:val="78891668"/>
    <w:rsid w:val="78DF62A6"/>
    <w:rsid w:val="791730E3"/>
    <w:rsid w:val="79BA3A80"/>
    <w:rsid w:val="7A117672"/>
    <w:rsid w:val="7A5228E0"/>
    <w:rsid w:val="7A6A7223"/>
    <w:rsid w:val="7A6C5B0A"/>
    <w:rsid w:val="7A6C627F"/>
    <w:rsid w:val="7AD204F8"/>
    <w:rsid w:val="7AEF0B6F"/>
    <w:rsid w:val="7B430CF1"/>
    <w:rsid w:val="7B842756"/>
    <w:rsid w:val="7BA362E2"/>
    <w:rsid w:val="7BB50783"/>
    <w:rsid w:val="7C1B2246"/>
    <w:rsid w:val="7C286D39"/>
    <w:rsid w:val="7C332383"/>
    <w:rsid w:val="7C38055A"/>
    <w:rsid w:val="7C3E2B49"/>
    <w:rsid w:val="7C50265C"/>
    <w:rsid w:val="7C5539BA"/>
    <w:rsid w:val="7C8C6FCA"/>
    <w:rsid w:val="7C9C0AC5"/>
    <w:rsid w:val="7CC63956"/>
    <w:rsid w:val="7CDD3B79"/>
    <w:rsid w:val="7CE2065D"/>
    <w:rsid w:val="7CF56FA9"/>
    <w:rsid w:val="7D0915BC"/>
    <w:rsid w:val="7D2878EA"/>
    <w:rsid w:val="7D300A54"/>
    <w:rsid w:val="7D6C00F0"/>
    <w:rsid w:val="7DDA79C9"/>
    <w:rsid w:val="7E355FE1"/>
    <w:rsid w:val="7E462841"/>
    <w:rsid w:val="7E5A4825"/>
    <w:rsid w:val="7E727F5B"/>
    <w:rsid w:val="7E92226F"/>
    <w:rsid w:val="7EC24DE4"/>
    <w:rsid w:val="7EE2421C"/>
    <w:rsid w:val="7EF87748"/>
    <w:rsid w:val="7EFC53E8"/>
    <w:rsid w:val="7F20744B"/>
    <w:rsid w:val="7F2531D5"/>
    <w:rsid w:val="7F352F0A"/>
    <w:rsid w:val="7F741DC0"/>
    <w:rsid w:val="7F8813C8"/>
    <w:rsid w:val="7FCE2DF0"/>
    <w:rsid w:val="7FF058E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4">
    <w:name w:val="heading 2"/>
    <w:basedOn w:val="1"/>
    <w:next w:val="1"/>
    <w:qFormat/>
    <w:uiPriority w:val="0"/>
    <w:pPr>
      <w:keepNext/>
      <w:keepLines/>
      <w:adjustRightInd w:val="0"/>
      <w:spacing w:before="260" w:beforeLines="0" w:after="260" w:afterLines="0" w:line="416" w:lineRule="atLeast"/>
      <w:textAlignment w:val="baseline"/>
      <w:outlineLvl w:val="1"/>
    </w:pPr>
    <w:rPr>
      <w:rFonts w:ascii="Arial" w:hAnsi="Arial" w:eastAsia="黑体"/>
      <w:b/>
      <w:kern w:val="0"/>
      <w:sz w:val="32"/>
      <w:szCs w:val="20"/>
    </w:rPr>
  </w:style>
  <w:style w:type="paragraph" w:styleId="5">
    <w:name w:val="heading 3"/>
    <w:basedOn w:val="1"/>
    <w:next w:val="1"/>
    <w:qFormat/>
    <w:uiPriority w:val="0"/>
    <w:pPr>
      <w:keepNext/>
      <w:keepLines/>
      <w:adjustRightInd w:val="0"/>
      <w:spacing w:before="260" w:beforeLines="0" w:after="260" w:afterLines="0" w:line="416" w:lineRule="atLeast"/>
      <w:textAlignment w:val="baseline"/>
      <w:outlineLvl w:val="2"/>
    </w:pPr>
    <w:rPr>
      <w:b/>
      <w:kern w:val="0"/>
      <w:sz w:val="32"/>
      <w:szCs w:val="20"/>
    </w:rPr>
  </w:style>
  <w:style w:type="paragraph" w:styleId="6">
    <w:name w:val="heading 4"/>
    <w:basedOn w:val="1"/>
    <w:next w:val="1"/>
    <w:qFormat/>
    <w:uiPriority w:val="0"/>
    <w:pPr>
      <w:keepNext/>
      <w:keepLines/>
      <w:spacing w:before="280" w:beforeLines="0" w:after="290" w:afterLines="0" w:line="374" w:lineRule="auto"/>
      <w:outlineLvl w:val="3"/>
    </w:pPr>
    <w:rPr>
      <w:rFonts w:ascii="Arial" w:hAnsi="Arial" w:eastAsia="黑体"/>
      <w:b/>
      <w:bCs/>
      <w:sz w:val="28"/>
      <w:szCs w:val="28"/>
    </w:rPr>
  </w:style>
  <w:style w:type="paragraph" w:styleId="7">
    <w:name w:val="heading 5"/>
    <w:basedOn w:val="1"/>
    <w:next w:val="1"/>
    <w:qFormat/>
    <w:uiPriority w:val="0"/>
    <w:pPr>
      <w:keepNext/>
      <w:keepLines/>
      <w:tabs>
        <w:tab w:val="left" w:pos="1953"/>
      </w:tabs>
      <w:spacing w:before="280" w:beforeLines="0" w:after="290" w:afterLines="0" w:line="374" w:lineRule="auto"/>
      <w:ind w:left="-567"/>
      <w:outlineLvl w:val="4"/>
    </w:pPr>
    <w:rPr>
      <w:b/>
      <w:bCs/>
      <w:sz w:val="28"/>
      <w:szCs w:val="28"/>
    </w:rPr>
  </w:style>
  <w:style w:type="paragraph" w:styleId="8">
    <w:name w:val="heading 6"/>
    <w:basedOn w:val="1"/>
    <w:next w:val="1"/>
    <w:qFormat/>
    <w:uiPriority w:val="0"/>
    <w:pPr>
      <w:keepNext/>
      <w:keepLines/>
      <w:widowControl/>
      <w:spacing w:before="240" w:beforeLines="0" w:after="64" w:afterLines="0" w:line="319" w:lineRule="auto"/>
      <w:jc w:val="left"/>
      <w:outlineLvl w:val="5"/>
    </w:pPr>
    <w:rPr>
      <w:rFonts w:ascii="Arial" w:hAnsi="Arial" w:eastAsia="黑体"/>
      <w:b/>
      <w:bCs/>
      <w:kern w:val="0"/>
      <w:sz w:val="24"/>
    </w:rPr>
  </w:style>
  <w:style w:type="paragraph" w:styleId="9">
    <w:name w:val="heading 7"/>
    <w:basedOn w:val="1"/>
    <w:next w:val="1"/>
    <w:qFormat/>
    <w:uiPriority w:val="0"/>
    <w:pPr>
      <w:keepNext/>
      <w:keepLines/>
      <w:widowControl/>
      <w:spacing w:before="240" w:beforeLines="0" w:after="64" w:afterLines="0" w:line="319" w:lineRule="auto"/>
      <w:jc w:val="left"/>
      <w:outlineLvl w:val="6"/>
    </w:pPr>
    <w:rPr>
      <w:b/>
      <w:bCs/>
      <w:kern w:val="0"/>
      <w:sz w:val="24"/>
    </w:rPr>
  </w:style>
  <w:style w:type="paragraph" w:styleId="10">
    <w:name w:val="heading 8"/>
    <w:basedOn w:val="1"/>
    <w:next w:val="1"/>
    <w:qFormat/>
    <w:uiPriority w:val="0"/>
    <w:pPr>
      <w:keepNext/>
      <w:keepLines/>
      <w:widowControl/>
      <w:spacing w:before="240" w:beforeLines="0" w:after="64" w:afterLines="0" w:line="319" w:lineRule="auto"/>
      <w:jc w:val="left"/>
      <w:outlineLvl w:val="7"/>
    </w:pPr>
    <w:rPr>
      <w:rFonts w:ascii="Arial" w:hAnsi="Arial" w:eastAsia="黑体"/>
      <w:kern w:val="0"/>
      <w:sz w:val="24"/>
    </w:rPr>
  </w:style>
  <w:style w:type="paragraph" w:styleId="11">
    <w:name w:val="heading 9"/>
    <w:basedOn w:val="1"/>
    <w:next w:val="1"/>
    <w:qFormat/>
    <w:uiPriority w:val="0"/>
    <w:pPr>
      <w:keepNext/>
      <w:keepLines/>
      <w:widowControl/>
      <w:spacing w:before="240" w:beforeLines="0" w:after="64" w:afterLines="0" w:line="319" w:lineRule="auto"/>
      <w:jc w:val="left"/>
      <w:outlineLvl w:val="8"/>
    </w:pPr>
    <w:rPr>
      <w:rFonts w:ascii="Arial" w:hAnsi="Arial" w:eastAsia="黑体"/>
      <w:kern w:val="0"/>
      <w:szCs w:val="21"/>
    </w:rPr>
  </w:style>
  <w:style w:type="character" w:default="1" w:styleId="49">
    <w:name w:val="Default Paragraph Font"/>
    <w:qFormat/>
    <w:uiPriority w:val="0"/>
    <w:rPr>
      <w:szCs w:val="21"/>
    </w:rPr>
  </w:style>
  <w:style w:type="table" w:default="1" w:styleId="47">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Indent 2"/>
    <w:basedOn w:val="1"/>
    <w:qFormat/>
    <w:uiPriority w:val="0"/>
    <w:pPr>
      <w:widowControl/>
      <w:autoSpaceDE w:val="0"/>
      <w:autoSpaceDN w:val="0"/>
      <w:spacing w:line="320" w:lineRule="exact"/>
      <w:ind w:left="525" w:leftChars="250" w:firstLine="420" w:firstLineChars="200"/>
      <w:textAlignment w:val="bottom"/>
    </w:pPr>
    <w:rPr>
      <w:rFonts w:ascii="宋体" w:hAnsi="宋体"/>
    </w:rPr>
  </w:style>
  <w:style w:type="paragraph" w:styleId="12">
    <w:name w:val="toc 7"/>
    <w:basedOn w:val="1"/>
    <w:next w:val="1"/>
    <w:qFormat/>
    <w:uiPriority w:val="0"/>
    <w:pPr>
      <w:ind w:left="1260"/>
      <w:jc w:val="left"/>
    </w:pPr>
    <w:rPr>
      <w:sz w:val="18"/>
      <w:szCs w:val="18"/>
    </w:rPr>
  </w:style>
  <w:style w:type="paragraph" w:styleId="13">
    <w:name w:val="table of authorities"/>
    <w:basedOn w:val="1"/>
    <w:next w:val="1"/>
    <w:qFormat/>
    <w:uiPriority w:val="0"/>
    <w:pPr>
      <w:ind w:left="420" w:leftChars="200"/>
    </w:pPr>
    <w:rPr>
      <w:sz w:val="28"/>
      <w:szCs w:val="20"/>
    </w:rPr>
  </w:style>
  <w:style w:type="paragraph" w:styleId="14">
    <w:name w:val="Normal Indent"/>
    <w:basedOn w:val="1"/>
    <w:next w:val="1"/>
    <w:qFormat/>
    <w:uiPriority w:val="0"/>
    <w:pPr>
      <w:adjustRightInd w:val="0"/>
      <w:spacing w:line="312" w:lineRule="atLeast"/>
      <w:ind w:firstLine="420"/>
      <w:textAlignment w:val="baseline"/>
    </w:pPr>
    <w:rPr>
      <w:kern w:val="0"/>
      <w:szCs w:val="20"/>
    </w:rPr>
  </w:style>
  <w:style w:type="paragraph" w:styleId="15">
    <w:name w:val="caption"/>
    <w:basedOn w:val="1"/>
    <w:next w:val="1"/>
    <w:qFormat/>
    <w:uiPriority w:val="0"/>
    <w:pPr>
      <w:spacing w:before="152" w:beforeLines="0" w:after="160" w:afterLines="0"/>
    </w:pPr>
    <w:rPr>
      <w:rFonts w:ascii="Arial" w:hAnsi="Arial" w:eastAsia="黑体" w:cs="Arial"/>
      <w:sz w:val="20"/>
      <w:szCs w:val="20"/>
    </w:rPr>
  </w:style>
  <w:style w:type="paragraph" w:styleId="16">
    <w:name w:val="Document Map"/>
    <w:basedOn w:val="1"/>
    <w:qFormat/>
    <w:uiPriority w:val="0"/>
    <w:pPr>
      <w:shd w:val="clear" w:color="auto" w:fill="000080"/>
    </w:pPr>
  </w:style>
  <w:style w:type="paragraph" w:styleId="17">
    <w:name w:val="toa heading"/>
    <w:basedOn w:val="1"/>
    <w:next w:val="1"/>
    <w:qFormat/>
    <w:uiPriority w:val="0"/>
    <w:pPr>
      <w:autoSpaceDE w:val="0"/>
      <w:autoSpaceDN w:val="0"/>
      <w:adjustRightInd w:val="0"/>
      <w:snapToGrid w:val="0"/>
      <w:spacing w:before="120" w:beforeLines="0" w:line="360" w:lineRule="auto"/>
    </w:pPr>
    <w:rPr>
      <w:rFonts w:ascii="Arial" w:hAnsi="Arial"/>
      <w:snapToGrid w:val="0"/>
      <w:color w:val="000000"/>
      <w:kern w:val="0"/>
      <w:szCs w:val="20"/>
    </w:rPr>
  </w:style>
  <w:style w:type="paragraph" w:styleId="18">
    <w:name w:val="annotation text"/>
    <w:basedOn w:val="1"/>
    <w:qFormat/>
    <w:uiPriority w:val="0"/>
    <w:pPr>
      <w:jc w:val="left"/>
    </w:pPr>
  </w:style>
  <w:style w:type="paragraph" w:styleId="19">
    <w:name w:val="Body Text 3"/>
    <w:basedOn w:val="1"/>
    <w:qFormat/>
    <w:uiPriority w:val="0"/>
    <w:pPr>
      <w:spacing w:line="400" w:lineRule="atLeast"/>
    </w:pPr>
    <w:rPr>
      <w:rFonts w:ascii="宋体" w:hAnsi="宋体"/>
      <w:color w:val="800080"/>
      <w:sz w:val="24"/>
    </w:rPr>
  </w:style>
  <w:style w:type="paragraph" w:styleId="20">
    <w:name w:val="Body Text"/>
    <w:basedOn w:val="1"/>
    <w:next w:val="1"/>
    <w:qFormat/>
    <w:uiPriority w:val="0"/>
    <w:pPr>
      <w:tabs>
        <w:tab w:val="left" w:pos="562"/>
        <w:tab w:val="left" w:pos="3372"/>
        <w:tab w:val="left" w:pos="3653"/>
      </w:tabs>
    </w:pPr>
    <w:rPr>
      <w:sz w:val="24"/>
    </w:rPr>
  </w:style>
  <w:style w:type="paragraph" w:styleId="21">
    <w:name w:val="Body Text Indent"/>
    <w:basedOn w:val="1"/>
    <w:next w:val="1"/>
    <w:qFormat/>
    <w:uiPriority w:val="0"/>
    <w:pPr>
      <w:spacing w:line="400" w:lineRule="atLeast"/>
      <w:ind w:firstLine="432"/>
    </w:pPr>
    <w:rPr>
      <w:sz w:val="24"/>
    </w:rPr>
  </w:style>
  <w:style w:type="paragraph" w:styleId="22">
    <w:name w:val="Block Text"/>
    <w:basedOn w:val="1"/>
    <w:qFormat/>
    <w:uiPriority w:val="0"/>
    <w:pPr>
      <w:widowControl/>
      <w:autoSpaceDE w:val="0"/>
      <w:autoSpaceDN w:val="0"/>
      <w:adjustRightInd w:val="0"/>
      <w:spacing w:line="315" w:lineRule="atLeast"/>
      <w:ind w:left="-540" w:right="893"/>
      <w:jc w:val="left"/>
      <w:textAlignment w:val="bottom"/>
    </w:pPr>
    <w:rPr>
      <w:rFonts w:ascii="宋体"/>
      <w:kern w:val="0"/>
      <w:sz w:val="28"/>
      <w:szCs w:val="20"/>
    </w:rPr>
  </w:style>
  <w:style w:type="paragraph" w:styleId="23">
    <w:name w:val="toc 5"/>
    <w:basedOn w:val="1"/>
    <w:next w:val="1"/>
    <w:qFormat/>
    <w:uiPriority w:val="0"/>
    <w:pPr>
      <w:ind w:left="840"/>
      <w:jc w:val="left"/>
    </w:pPr>
    <w:rPr>
      <w:sz w:val="18"/>
      <w:szCs w:val="18"/>
    </w:rPr>
  </w:style>
  <w:style w:type="paragraph" w:styleId="24">
    <w:name w:val="toc 3"/>
    <w:basedOn w:val="1"/>
    <w:next w:val="1"/>
    <w:qFormat/>
    <w:uiPriority w:val="0"/>
    <w:pPr>
      <w:ind w:left="420"/>
      <w:jc w:val="left"/>
    </w:pPr>
    <w:rPr>
      <w:i/>
      <w:iCs/>
      <w:sz w:val="20"/>
      <w:szCs w:val="20"/>
    </w:rPr>
  </w:style>
  <w:style w:type="paragraph" w:styleId="25">
    <w:name w:val="Plain Text"/>
    <w:basedOn w:val="1"/>
    <w:next w:val="26"/>
    <w:qFormat/>
    <w:uiPriority w:val="0"/>
    <w:rPr>
      <w:rFonts w:ascii="宋体" w:hAnsi="Courier New"/>
      <w:szCs w:val="20"/>
    </w:rPr>
  </w:style>
  <w:style w:type="paragraph" w:styleId="26">
    <w:name w:val="index 7"/>
    <w:basedOn w:val="1"/>
    <w:next w:val="1"/>
    <w:qFormat/>
    <w:uiPriority w:val="0"/>
    <w:pPr>
      <w:autoSpaceDE/>
      <w:autoSpaceDN/>
      <w:adjustRightInd/>
      <w:ind w:left="1200" w:leftChars="1200"/>
    </w:pPr>
    <w:rPr>
      <w:color w:val="auto"/>
      <w:kern w:val="2"/>
      <w:szCs w:val="24"/>
    </w:rPr>
  </w:style>
  <w:style w:type="paragraph" w:styleId="27">
    <w:name w:val="toc 8"/>
    <w:basedOn w:val="1"/>
    <w:next w:val="1"/>
    <w:qFormat/>
    <w:uiPriority w:val="0"/>
    <w:pPr>
      <w:ind w:left="1470"/>
      <w:jc w:val="left"/>
    </w:pPr>
    <w:rPr>
      <w:sz w:val="18"/>
      <w:szCs w:val="18"/>
    </w:rPr>
  </w:style>
  <w:style w:type="paragraph" w:styleId="28">
    <w:name w:val="Date"/>
    <w:basedOn w:val="1"/>
    <w:next w:val="1"/>
    <w:qFormat/>
    <w:uiPriority w:val="0"/>
    <w:pPr>
      <w:ind w:left="100"/>
    </w:pPr>
    <w:rPr>
      <w:sz w:val="24"/>
      <w:szCs w:val="20"/>
    </w:rPr>
  </w:style>
  <w:style w:type="paragraph" w:styleId="29">
    <w:name w:val="Balloon Text"/>
    <w:basedOn w:val="1"/>
    <w:qFormat/>
    <w:uiPriority w:val="0"/>
    <w:rPr>
      <w:sz w:val="18"/>
      <w:szCs w:val="18"/>
    </w:rPr>
  </w:style>
  <w:style w:type="paragraph" w:styleId="30">
    <w:name w:val="footer"/>
    <w:basedOn w:val="1"/>
    <w:qFormat/>
    <w:uiPriority w:val="0"/>
    <w:pPr>
      <w:tabs>
        <w:tab w:val="center" w:pos="4320"/>
        <w:tab w:val="right" w:pos="8640"/>
      </w:tabs>
      <w:adjustRightInd w:val="0"/>
      <w:spacing w:line="240" w:lineRule="atLeast"/>
      <w:jc w:val="left"/>
      <w:textAlignment w:val="baseline"/>
    </w:pPr>
    <w:rPr>
      <w:rFonts w:ascii="宋体"/>
      <w:kern w:val="0"/>
      <w:sz w:val="18"/>
      <w:szCs w:val="20"/>
    </w:rPr>
  </w:style>
  <w:style w:type="paragraph" w:styleId="31">
    <w:name w:val="header"/>
    <w:basedOn w:val="1"/>
    <w:link w:val="172"/>
    <w:qFormat/>
    <w:uiPriority w:val="0"/>
    <w:pPr>
      <w:pBdr>
        <w:bottom w:val="single" w:color="auto" w:sz="6" w:space="1"/>
      </w:pBdr>
      <w:tabs>
        <w:tab w:val="center" w:pos="4153"/>
        <w:tab w:val="right" w:pos="8306"/>
      </w:tabs>
      <w:snapToGrid w:val="0"/>
      <w:jc w:val="center"/>
    </w:pPr>
    <w:rPr>
      <w:sz w:val="18"/>
      <w:szCs w:val="20"/>
    </w:rPr>
  </w:style>
  <w:style w:type="paragraph" w:styleId="32">
    <w:name w:val="toc 1"/>
    <w:basedOn w:val="1"/>
    <w:next w:val="1"/>
    <w:qFormat/>
    <w:uiPriority w:val="0"/>
    <w:pPr>
      <w:tabs>
        <w:tab w:val="left" w:pos="1260"/>
        <w:tab w:val="right" w:leader="dot" w:pos="9060"/>
      </w:tabs>
      <w:spacing w:before="120" w:beforeLines="0" w:after="120" w:afterLines="0" w:line="360" w:lineRule="auto"/>
      <w:ind w:firstLine="418"/>
    </w:pPr>
    <w:rPr>
      <w:rFonts w:ascii="宋体" w:hAnsi="宋体"/>
      <w:b/>
      <w:bCs/>
      <w:caps/>
      <w:color w:val="333300"/>
    </w:rPr>
  </w:style>
  <w:style w:type="paragraph" w:styleId="33">
    <w:name w:val="toc 4"/>
    <w:basedOn w:val="1"/>
    <w:next w:val="1"/>
    <w:qFormat/>
    <w:uiPriority w:val="0"/>
    <w:pPr>
      <w:ind w:left="630"/>
      <w:jc w:val="left"/>
    </w:pPr>
    <w:rPr>
      <w:sz w:val="18"/>
      <w:szCs w:val="18"/>
    </w:rPr>
  </w:style>
  <w:style w:type="paragraph" w:styleId="34">
    <w:name w:val="List"/>
    <w:basedOn w:val="1"/>
    <w:qFormat/>
    <w:uiPriority w:val="0"/>
    <w:pPr>
      <w:adjustRightInd w:val="0"/>
      <w:spacing w:line="360" w:lineRule="atLeast"/>
      <w:ind w:left="420" w:hanging="420"/>
      <w:jc w:val="left"/>
    </w:pPr>
    <w:rPr>
      <w:rFonts w:hint="eastAsia" w:ascii="宋体"/>
      <w:kern w:val="0"/>
      <w:sz w:val="24"/>
      <w:szCs w:val="20"/>
    </w:rPr>
  </w:style>
  <w:style w:type="paragraph" w:styleId="35">
    <w:name w:val="footnote text"/>
    <w:basedOn w:val="1"/>
    <w:qFormat/>
    <w:uiPriority w:val="0"/>
    <w:pPr>
      <w:snapToGrid w:val="0"/>
      <w:jc w:val="left"/>
    </w:pPr>
    <w:rPr>
      <w:sz w:val="18"/>
    </w:rPr>
  </w:style>
  <w:style w:type="paragraph" w:styleId="36">
    <w:name w:val="toc 6"/>
    <w:basedOn w:val="1"/>
    <w:next w:val="1"/>
    <w:qFormat/>
    <w:uiPriority w:val="0"/>
    <w:pPr>
      <w:ind w:left="1050"/>
      <w:jc w:val="left"/>
    </w:pPr>
    <w:rPr>
      <w:sz w:val="18"/>
      <w:szCs w:val="18"/>
    </w:rPr>
  </w:style>
  <w:style w:type="paragraph" w:styleId="37">
    <w:name w:val="Body Text Indent 3"/>
    <w:basedOn w:val="1"/>
    <w:qFormat/>
    <w:uiPriority w:val="0"/>
    <w:pPr>
      <w:widowControl/>
      <w:autoSpaceDE w:val="0"/>
      <w:autoSpaceDN w:val="0"/>
      <w:spacing w:line="300" w:lineRule="exact"/>
      <w:ind w:left="540" w:leftChars="250" w:hanging="15" w:hangingChars="7"/>
      <w:textAlignment w:val="bottom"/>
    </w:pPr>
    <w:rPr>
      <w:rFonts w:ascii="宋体" w:hAnsi="宋体"/>
      <w:color w:val="FF0000"/>
    </w:rPr>
  </w:style>
  <w:style w:type="paragraph" w:styleId="38">
    <w:name w:val="toc 2"/>
    <w:basedOn w:val="1"/>
    <w:next w:val="1"/>
    <w:qFormat/>
    <w:uiPriority w:val="0"/>
    <w:pPr>
      <w:ind w:left="210"/>
      <w:jc w:val="left"/>
    </w:pPr>
    <w:rPr>
      <w:smallCaps/>
      <w:sz w:val="20"/>
      <w:szCs w:val="20"/>
    </w:rPr>
  </w:style>
  <w:style w:type="paragraph" w:styleId="39">
    <w:name w:val="toc 9"/>
    <w:basedOn w:val="1"/>
    <w:next w:val="1"/>
    <w:qFormat/>
    <w:uiPriority w:val="0"/>
    <w:pPr>
      <w:ind w:left="1680"/>
      <w:jc w:val="left"/>
    </w:pPr>
    <w:rPr>
      <w:sz w:val="18"/>
      <w:szCs w:val="18"/>
    </w:rPr>
  </w:style>
  <w:style w:type="paragraph" w:styleId="40">
    <w:name w:val="Body Text 2"/>
    <w:basedOn w:val="1"/>
    <w:qFormat/>
    <w:uiPriority w:val="0"/>
    <w:pPr>
      <w:tabs>
        <w:tab w:val="left" w:pos="0"/>
      </w:tabs>
      <w:spacing w:line="400" w:lineRule="atLeast"/>
    </w:pPr>
    <w:rPr>
      <w:rFonts w:ascii="Arial" w:hAnsi="Arial"/>
      <w:color w:val="000000"/>
    </w:rPr>
  </w:style>
  <w:style w:type="paragraph" w:styleId="4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42">
    <w:name w:val="Normal (Web)"/>
    <w:basedOn w:val="1"/>
    <w:link w:val="179"/>
    <w:qFormat/>
    <w:uiPriority w:val="0"/>
    <w:pPr>
      <w:spacing w:before="0" w:beforeAutospacing="1" w:after="0" w:afterAutospacing="1"/>
      <w:ind w:left="0" w:right="0"/>
      <w:jc w:val="left"/>
    </w:pPr>
    <w:rPr>
      <w:kern w:val="0"/>
      <w:sz w:val="24"/>
      <w:lang w:val="en-US" w:eastAsia="zh-CN" w:bidi="ar"/>
    </w:rPr>
  </w:style>
  <w:style w:type="paragraph" w:styleId="43">
    <w:name w:val="index 1"/>
    <w:basedOn w:val="1"/>
    <w:next w:val="1"/>
    <w:qFormat/>
    <w:uiPriority w:val="0"/>
    <w:rPr>
      <w:sz w:val="28"/>
      <w:szCs w:val="20"/>
    </w:rPr>
  </w:style>
  <w:style w:type="paragraph" w:styleId="44">
    <w:name w:val="Title"/>
    <w:basedOn w:val="1"/>
    <w:qFormat/>
    <w:uiPriority w:val="0"/>
    <w:pPr>
      <w:adjustRightInd w:val="0"/>
      <w:spacing w:before="240" w:beforeLines="0" w:after="60" w:afterLines="0" w:line="360" w:lineRule="atLeast"/>
      <w:jc w:val="center"/>
      <w:outlineLvl w:val="0"/>
    </w:pPr>
    <w:rPr>
      <w:rFonts w:ascii="Arial" w:hAnsi="Arial"/>
      <w:b/>
      <w:kern w:val="0"/>
      <w:sz w:val="32"/>
      <w:szCs w:val="20"/>
    </w:rPr>
  </w:style>
  <w:style w:type="paragraph" w:styleId="45">
    <w:name w:val="annotation subject"/>
    <w:basedOn w:val="18"/>
    <w:next w:val="18"/>
    <w:qFormat/>
    <w:uiPriority w:val="0"/>
    <w:rPr>
      <w:b/>
      <w:bCs/>
    </w:rPr>
  </w:style>
  <w:style w:type="paragraph" w:styleId="46">
    <w:name w:val="Body Text First Indent"/>
    <w:basedOn w:val="20"/>
    <w:next w:val="1"/>
    <w:link w:val="165"/>
    <w:qFormat/>
    <w:uiPriority w:val="0"/>
    <w:pPr>
      <w:spacing w:after="120" w:afterLines="0"/>
      <w:ind w:firstLine="420" w:firstLineChars="100"/>
    </w:pPr>
    <w:rPr>
      <w:sz w:val="21"/>
    </w:rPr>
  </w:style>
  <w:style w:type="table" w:styleId="48">
    <w:name w:val="Table Grid"/>
    <w:basedOn w:val="47"/>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0">
    <w:name w:val="Strong"/>
    <w:basedOn w:val="49"/>
    <w:qFormat/>
    <w:uiPriority w:val="0"/>
    <w:rPr>
      <w:b/>
      <w:bCs/>
    </w:rPr>
  </w:style>
  <w:style w:type="character" w:styleId="51">
    <w:name w:val="page number"/>
    <w:basedOn w:val="49"/>
    <w:qFormat/>
    <w:uiPriority w:val="0"/>
  </w:style>
  <w:style w:type="character" w:styleId="52">
    <w:name w:val="FollowedHyperlink"/>
    <w:basedOn w:val="49"/>
    <w:qFormat/>
    <w:uiPriority w:val="0"/>
    <w:rPr>
      <w:color w:val="800080"/>
      <w:u w:val="none"/>
    </w:rPr>
  </w:style>
  <w:style w:type="character" w:styleId="53">
    <w:name w:val="HTML Definition"/>
    <w:basedOn w:val="49"/>
    <w:qFormat/>
    <w:uiPriority w:val="0"/>
  </w:style>
  <w:style w:type="character" w:styleId="54">
    <w:name w:val="HTML Typewriter"/>
    <w:basedOn w:val="49"/>
    <w:qFormat/>
    <w:uiPriority w:val="0"/>
    <w:rPr>
      <w:rFonts w:hint="default" w:ascii="monospace" w:hAnsi="monospace" w:eastAsia="monospace" w:cs="monospace"/>
      <w:sz w:val="20"/>
    </w:rPr>
  </w:style>
  <w:style w:type="character" w:styleId="55">
    <w:name w:val="HTML Acronym"/>
    <w:basedOn w:val="49"/>
    <w:qFormat/>
    <w:uiPriority w:val="0"/>
  </w:style>
  <w:style w:type="character" w:styleId="56">
    <w:name w:val="HTML Variable"/>
    <w:basedOn w:val="49"/>
    <w:qFormat/>
    <w:uiPriority w:val="0"/>
  </w:style>
  <w:style w:type="character" w:styleId="57">
    <w:name w:val="Hyperlink"/>
    <w:basedOn w:val="49"/>
    <w:qFormat/>
    <w:uiPriority w:val="0"/>
    <w:rPr>
      <w:color w:val="2D64B3"/>
      <w:szCs w:val="21"/>
      <w:u w:val="none"/>
    </w:rPr>
  </w:style>
  <w:style w:type="character" w:styleId="58">
    <w:name w:val="HTML Code"/>
    <w:basedOn w:val="49"/>
    <w:qFormat/>
    <w:uiPriority w:val="0"/>
    <w:rPr>
      <w:rFonts w:ascii="monospace" w:hAnsi="monospace" w:eastAsia="monospace" w:cs="monospace"/>
      <w:sz w:val="20"/>
    </w:rPr>
  </w:style>
  <w:style w:type="character" w:styleId="59">
    <w:name w:val="annotation reference"/>
    <w:qFormat/>
    <w:uiPriority w:val="0"/>
    <w:rPr>
      <w:sz w:val="21"/>
      <w:szCs w:val="21"/>
    </w:rPr>
  </w:style>
  <w:style w:type="character" w:styleId="60">
    <w:name w:val="HTML Cite"/>
    <w:basedOn w:val="49"/>
    <w:qFormat/>
    <w:uiPriority w:val="0"/>
    <w:rPr>
      <w:vanish/>
    </w:rPr>
  </w:style>
  <w:style w:type="character" w:styleId="61">
    <w:name w:val="HTML Keyboard"/>
    <w:basedOn w:val="49"/>
    <w:qFormat/>
    <w:uiPriority w:val="0"/>
    <w:rPr>
      <w:rFonts w:hint="default" w:ascii="monospace" w:hAnsi="monospace" w:eastAsia="monospace" w:cs="monospace"/>
      <w:sz w:val="20"/>
    </w:rPr>
  </w:style>
  <w:style w:type="character" w:styleId="62">
    <w:name w:val="HTML Sample"/>
    <w:basedOn w:val="49"/>
    <w:qFormat/>
    <w:uiPriority w:val="0"/>
    <w:rPr>
      <w:rFonts w:hint="default" w:ascii="monospace" w:hAnsi="monospace" w:eastAsia="monospace" w:cs="monospace"/>
    </w:rPr>
  </w:style>
  <w:style w:type="paragraph" w:customStyle="1" w:styleId="63">
    <w:name w:val="_Style 2"/>
    <w:basedOn w:val="1"/>
    <w:next w:val="1"/>
    <w:qFormat/>
    <w:uiPriority w:val="0"/>
    <w:pPr>
      <w:ind w:firstLine="200" w:firstLineChars="200"/>
    </w:pPr>
    <w:rPr>
      <w:rFonts w:ascii="Calibri" w:hAnsi="Calibri"/>
      <w:sz w:val="28"/>
      <w:szCs w:val="22"/>
    </w:rPr>
  </w:style>
  <w:style w:type="paragraph" w:customStyle="1" w:styleId="64">
    <w:name w:val="Char"/>
    <w:basedOn w:val="1"/>
    <w:next w:val="1"/>
    <w:qFormat/>
    <w:uiPriority w:val="0"/>
    <w:rPr>
      <w:szCs w:val="20"/>
    </w:rPr>
  </w:style>
  <w:style w:type="paragraph" w:customStyle="1" w:styleId="65">
    <w:name w:val="toc 4"/>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66">
    <w:name w:val="标题 5（有编号）（绿盟科技）"/>
    <w:basedOn w:val="1"/>
    <w:next w:val="67"/>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67">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68">
    <w:name w:val="5）标书正文 首行缩进2字符"/>
    <w:basedOn w:val="1"/>
    <w:qFormat/>
    <w:uiPriority w:val="0"/>
    <w:pPr>
      <w:spacing w:line="520" w:lineRule="exact"/>
      <w:ind w:firstLine="560" w:firstLineChars="200"/>
    </w:pPr>
    <w:rPr>
      <w:rFonts w:eastAsia="仿宋_GB2312"/>
      <w:sz w:val="28"/>
      <w:szCs w:val="24"/>
    </w:rPr>
  </w:style>
  <w:style w:type="paragraph" w:customStyle="1" w:styleId="69">
    <w:name w:val="表头"/>
    <w:basedOn w:val="15"/>
    <w:qFormat/>
    <w:uiPriority w:val="0"/>
    <w:pPr>
      <w:keepNext/>
      <w:keepLines/>
      <w:widowControl/>
      <w:spacing w:before="120" w:beforeLines="0" w:after="120" w:afterLines="0" w:line="300" w:lineRule="auto"/>
      <w:jc w:val="center"/>
      <w:textAlignment w:val="baseline"/>
    </w:pPr>
    <w:rPr>
      <w:rFonts w:cs="Times New Roman"/>
      <w:kern w:val="0"/>
      <w:sz w:val="21"/>
    </w:rPr>
  </w:style>
  <w:style w:type="paragraph" w:customStyle="1" w:styleId="70">
    <w:name w:val="xl46"/>
    <w:basedOn w:val="1"/>
    <w:qFormat/>
    <w:uiPriority w:val="0"/>
    <w:pPr>
      <w:widowControl/>
      <w:pBdr>
        <w:left w:val="single" w:color="auto" w:sz="4" w:space="0"/>
        <w:right w:val="single" w:color="auto" w:sz="4" w:space="0"/>
      </w:pBdr>
      <w:spacing w:before="100" w:beforeLines="0" w:beforeAutospacing="1" w:after="100" w:afterLines="0" w:afterAutospacing="1"/>
      <w:jc w:val="center"/>
      <w:textAlignment w:val="top"/>
    </w:pPr>
    <w:rPr>
      <w:rFonts w:ascii="Arial Unicode MS" w:hAnsi="Arial Unicode MS" w:eastAsia="Arial Unicode MS" w:cs="Arial Unicode MS"/>
      <w:kern w:val="0"/>
      <w:sz w:val="20"/>
      <w:szCs w:val="20"/>
    </w:rPr>
  </w:style>
  <w:style w:type="paragraph" w:customStyle="1" w:styleId="71">
    <w:name w:val="XW正文"/>
    <w:basedOn w:val="21"/>
    <w:qFormat/>
    <w:uiPriority w:val="0"/>
    <w:pPr>
      <w:adjustRightInd w:val="0"/>
      <w:snapToGrid w:val="0"/>
      <w:spacing w:line="300" w:lineRule="auto"/>
      <w:ind w:firstLine="520" w:firstLineChars="200"/>
      <w:jc w:val="left"/>
    </w:pPr>
    <w:rPr>
      <w:kern w:val="0"/>
      <w:sz w:val="21"/>
    </w:rPr>
  </w:style>
  <w:style w:type="paragraph" w:customStyle="1" w:styleId="72">
    <w:name w:val="图例"/>
    <w:basedOn w:val="1"/>
    <w:qFormat/>
    <w:uiPriority w:val="0"/>
    <w:pPr>
      <w:spacing w:before="120" w:beforeLines="0" w:after="120" w:afterLines="0" w:line="360" w:lineRule="auto"/>
      <w:jc w:val="center"/>
    </w:pPr>
    <w:rPr>
      <w:rFonts w:eastAsia="仿宋_GB2312"/>
      <w:b/>
      <w:sz w:val="24"/>
    </w:rPr>
  </w:style>
  <w:style w:type="paragraph" w:customStyle="1" w:styleId="73">
    <w:name w:val="样式 标题 2 + Times New Roman 四号 非加粗 段前: 5 磅 段后: 0 磅 行距: 固定值 20..."/>
    <w:basedOn w:val="4"/>
    <w:qFormat/>
    <w:uiPriority w:val="0"/>
    <w:pPr>
      <w:adjustRightInd/>
      <w:spacing w:before="100" w:beforeLines="0" w:after="0" w:afterLines="0" w:line="400" w:lineRule="exact"/>
      <w:textAlignment w:val="auto"/>
    </w:pPr>
    <w:rPr>
      <w:rFonts w:ascii="Times New Roman" w:hAnsi="Times New Roman" w:cs="宋体"/>
      <w:b w:val="0"/>
      <w:kern w:val="2"/>
      <w:sz w:val="28"/>
    </w:rPr>
  </w:style>
  <w:style w:type="paragraph" w:customStyle="1" w:styleId="74">
    <w:name w:val=" Char Char Char"/>
    <w:basedOn w:val="1"/>
    <w:qFormat/>
    <w:uiPriority w:val="0"/>
    <w:pPr>
      <w:adjustRightInd w:val="0"/>
      <w:spacing w:line="360" w:lineRule="auto"/>
    </w:pPr>
    <w:rPr>
      <w:kern w:val="0"/>
      <w:sz w:val="24"/>
      <w:szCs w:val="20"/>
    </w:rPr>
  </w:style>
  <w:style w:type="paragraph" w:customStyle="1" w:styleId="75">
    <w:name w:val="目录"/>
    <w:basedOn w:val="1"/>
    <w:qFormat/>
    <w:uiPriority w:val="0"/>
    <w:pPr>
      <w:widowControl/>
      <w:spacing w:line="480" w:lineRule="auto"/>
      <w:jc w:val="center"/>
    </w:pPr>
    <w:rPr>
      <w:rFonts w:ascii="宋体"/>
      <w:b/>
      <w:kern w:val="0"/>
      <w:sz w:val="24"/>
      <w:szCs w:val="20"/>
    </w:rPr>
  </w:style>
  <w:style w:type="paragraph" w:customStyle="1" w:styleId="76">
    <w:name w:val="Graphics"/>
    <w:basedOn w:val="1"/>
    <w:qFormat/>
    <w:uiPriority w:val="0"/>
    <w:pPr>
      <w:widowControl/>
      <w:spacing w:before="120" w:beforeLines="0"/>
      <w:jc w:val="left"/>
    </w:pPr>
    <w:rPr>
      <w:color w:val="000000"/>
      <w:kern w:val="0"/>
      <w:sz w:val="20"/>
      <w:szCs w:val="20"/>
      <w:lang w:eastAsia="en-US"/>
    </w:rPr>
  </w:style>
  <w:style w:type="paragraph" w:customStyle="1" w:styleId="77">
    <w:name w:val="标书正文"/>
    <w:basedOn w:val="1"/>
    <w:qFormat/>
    <w:uiPriority w:val="0"/>
    <w:pPr>
      <w:spacing w:line="560" w:lineRule="exact"/>
      <w:ind w:firstLine="723" w:firstLineChars="200"/>
      <w:jc w:val="center"/>
    </w:pPr>
    <w:rPr>
      <w:rFonts w:ascii="仿宋_GB2312" w:eastAsia="仿宋_GB2312"/>
      <w:b/>
      <w:sz w:val="36"/>
    </w:rPr>
  </w:style>
  <w:style w:type="paragraph" w:customStyle="1" w:styleId="78">
    <w:name w:val="样式 标题 1 + 黑体 三号 非加粗 居中 段前: 6 磅 段后: 6 磅 行距: 固定值 20 磅"/>
    <w:basedOn w:val="3"/>
    <w:qFormat/>
    <w:uiPriority w:val="0"/>
    <w:pPr>
      <w:spacing w:before="120" w:beforeLines="0" w:after="120" w:afterLines="0" w:line="400" w:lineRule="exact"/>
      <w:jc w:val="center"/>
    </w:pPr>
    <w:rPr>
      <w:rFonts w:ascii="黑体" w:hAnsi="黑体" w:eastAsia="黑体" w:cs="宋体"/>
      <w:b w:val="0"/>
      <w:bCs w:val="0"/>
      <w:sz w:val="32"/>
      <w:szCs w:val="20"/>
    </w:rPr>
  </w:style>
  <w:style w:type="paragraph" w:customStyle="1" w:styleId="79">
    <w:name w:val="font10"/>
    <w:basedOn w:val="1"/>
    <w:qFormat/>
    <w:uiPriority w:val="0"/>
    <w:pPr>
      <w:widowControl/>
      <w:spacing w:before="100" w:beforeLines="0" w:beforeAutospacing="1" w:after="100" w:afterLines="0" w:afterAutospacing="1"/>
      <w:jc w:val="left"/>
    </w:pPr>
    <w:rPr>
      <w:kern w:val="0"/>
      <w:sz w:val="20"/>
      <w:szCs w:val="20"/>
    </w:rPr>
  </w:style>
  <w:style w:type="paragraph" w:customStyle="1" w:styleId="80">
    <w:name w:val="style1 style2"/>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81">
    <w:name w:val="正文格式"/>
    <w:basedOn w:val="1"/>
    <w:qFormat/>
    <w:uiPriority w:val="99"/>
    <w:pPr>
      <w:widowControl/>
      <w:adjustRightInd w:val="0"/>
      <w:snapToGrid w:val="0"/>
      <w:spacing w:line="400" w:lineRule="atLeast"/>
      <w:ind w:firstLine="482"/>
      <w:textAlignment w:val="baseline"/>
    </w:pPr>
    <w:rPr>
      <w:rFonts w:ascii="Times New Roman" w:hAnsi="Times New Roman"/>
      <w:kern w:val="0"/>
      <w:sz w:val="24"/>
    </w:rPr>
  </w:style>
  <w:style w:type="paragraph" w:customStyle="1" w:styleId="82">
    <w:name w:val="p0"/>
    <w:basedOn w:val="1"/>
    <w:qFormat/>
    <w:uiPriority w:val="0"/>
    <w:pPr>
      <w:widowControl/>
    </w:pPr>
    <w:rPr>
      <w:kern w:val="0"/>
      <w:szCs w:val="21"/>
    </w:rPr>
  </w:style>
  <w:style w:type="paragraph" w:customStyle="1" w:styleId="83">
    <w:name w:val="2册标题2"/>
    <w:basedOn w:val="1"/>
    <w:next w:val="1"/>
    <w:qFormat/>
    <w:uiPriority w:val="0"/>
    <w:pPr>
      <w:spacing w:before="156" w:beforeLines="50" w:after="156" w:afterLines="50"/>
      <w:ind w:left="-175" w:leftChars="-85" w:hanging="3" w:hangingChars="1"/>
      <w:outlineLvl w:val="1"/>
    </w:pPr>
    <w:rPr>
      <w:rFonts w:ascii="Arial" w:hAnsi="Arial" w:eastAsia="黑体" w:cs="Arial"/>
      <w:sz w:val="30"/>
      <w:szCs w:val="30"/>
    </w:rPr>
  </w:style>
  <w:style w:type="paragraph" w:customStyle="1" w:styleId="84">
    <w:name w:val="封面标准号1"/>
    <w:qFormat/>
    <w:uiPriority w:val="0"/>
    <w:pPr>
      <w:widowControl w:val="0"/>
      <w:kinsoku w:val="0"/>
      <w:overflowPunct w:val="0"/>
      <w:autoSpaceDE w:val="0"/>
      <w:autoSpaceDN w:val="0"/>
      <w:spacing w:before="308"/>
      <w:jc w:val="right"/>
      <w:textAlignment w:val="center"/>
    </w:pPr>
    <w:rPr>
      <w:rFonts w:ascii="Calibri" w:hAnsi="Calibri" w:eastAsia="宋体" w:cs="Times New Roman"/>
      <w:sz w:val="28"/>
      <w:lang w:val="en-US" w:eastAsia="zh-CN" w:bidi="ar-SA"/>
    </w:rPr>
  </w:style>
  <w:style w:type="paragraph" w:customStyle="1" w:styleId="85">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hint="eastAsia" w:ascii="仿宋_GB2312" w:hAnsi="宋体" w:eastAsia="仿宋_GB2312"/>
      <w:kern w:val="0"/>
      <w:sz w:val="32"/>
      <w:szCs w:val="32"/>
    </w:rPr>
  </w:style>
  <w:style w:type="paragraph" w:customStyle="1" w:styleId="86">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仿宋_GB2312" w:hAnsi="宋体" w:eastAsia="仿宋_GB2312" w:cs="宋体"/>
      <w:kern w:val="0"/>
      <w:sz w:val="24"/>
    </w:rPr>
  </w:style>
  <w:style w:type="paragraph" w:customStyle="1" w:styleId="87">
    <w:name w:val=" Char1 Char Char Char1 Char Char Char Char Char Char Char Char Char"/>
    <w:basedOn w:val="1"/>
    <w:qFormat/>
    <w:uiPriority w:val="0"/>
    <w:pPr>
      <w:widowControl/>
      <w:spacing w:after="160" w:afterLines="0" w:line="240" w:lineRule="exact"/>
      <w:jc w:val="left"/>
    </w:pPr>
    <w:rPr>
      <w:rFonts w:ascii="Verdana" w:hAnsi="Verdana" w:eastAsia="楷体_GB2312"/>
      <w:b/>
      <w:i/>
      <w:iCs/>
      <w:color w:val="000000"/>
      <w:kern w:val="0"/>
      <w:sz w:val="20"/>
      <w:szCs w:val="20"/>
      <w:lang w:eastAsia="en-US"/>
    </w:rPr>
  </w:style>
  <w:style w:type="paragraph" w:customStyle="1" w:styleId="88">
    <w:name w:val="14 Char"/>
    <w:basedOn w:val="1"/>
    <w:qFormat/>
    <w:uiPriority w:val="0"/>
    <w:pPr>
      <w:widowControl/>
      <w:spacing w:after="160" w:afterLines="0" w:line="240" w:lineRule="exact"/>
      <w:jc w:val="left"/>
    </w:pPr>
    <w:rPr>
      <w:rFonts w:ascii="Verdana" w:hAnsi="Verdana" w:eastAsia="仿宋_GB2312"/>
      <w:kern w:val="0"/>
      <w:sz w:val="30"/>
      <w:szCs w:val="30"/>
      <w:lang w:eastAsia="en-US"/>
    </w:rPr>
  </w:style>
  <w:style w:type="paragraph" w:customStyle="1" w:styleId="89">
    <w:name w:val="需求书2"/>
    <w:basedOn w:val="1"/>
    <w:qFormat/>
    <w:uiPriority w:val="0"/>
    <w:pPr>
      <w:tabs>
        <w:tab w:val="left" w:pos="630"/>
      </w:tabs>
      <w:spacing w:line="360" w:lineRule="auto"/>
    </w:pPr>
    <w:rPr>
      <w:rFonts w:ascii="宋体"/>
      <w:b/>
      <w:sz w:val="24"/>
    </w:rPr>
  </w:style>
  <w:style w:type="paragraph" w:customStyle="1" w:styleId="90">
    <w:name w:val="保留正文"/>
    <w:basedOn w:val="20"/>
    <w:qFormat/>
    <w:uiPriority w:val="0"/>
    <w:pPr>
      <w:keepNext/>
      <w:tabs>
        <w:tab w:val="clear" w:pos="562"/>
        <w:tab w:val="clear" w:pos="3372"/>
        <w:tab w:val="clear" w:pos="3653"/>
      </w:tabs>
      <w:spacing w:after="160" w:afterLines="0"/>
    </w:pPr>
    <w:rPr>
      <w:sz w:val="21"/>
    </w:rPr>
  </w:style>
  <w:style w:type="paragraph" w:customStyle="1" w:styleId="91">
    <w:name w:val="font5"/>
    <w:basedOn w:val="1"/>
    <w:qFormat/>
    <w:uiPriority w:val="0"/>
    <w:pPr>
      <w:widowControl/>
      <w:spacing w:before="100" w:beforeLines="0" w:beforeAutospacing="1" w:after="100" w:afterLines="0" w:afterAutospacing="1"/>
      <w:jc w:val="left"/>
    </w:pPr>
    <w:rPr>
      <w:rFonts w:hint="eastAsia" w:ascii="宋体" w:hAnsi="宋体"/>
      <w:kern w:val="0"/>
      <w:sz w:val="18"/>
      <w:szCs w:val="18"/>
    </w:rPr>
  </w:style>
  <w:style w:type="paragraph" w:customStyle="1" w:styleId="92">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kern w:val="0"/>
      <w:sz w:val="24"/>
    </w:rPr>
  </w:style>
  <w:style w:type="paragraph" w:customStyle="1" w:styleId="93">
    <w:name w:val="xl33"/>
    <w:basedOn w:val="1"/>
    <w:qFormat/>
    <w:uiPriority w:val="0"/>
    <w:pPr>
      <w:widowControl/>
      <w:pBdr>
        <w:bottom w:val="single" w:color="auto" w:sz="4" w:space="0"/>
      </w:pBdr>
      <w:spacing w:before="100" w:beforeLines="0" w:beforeAutospacing="1" w:after="100" w:afterLines="0" w:afterAutospacing="1"/>
      <w:jc w:val="left"/>
    </w:pPr>
    <w:rPr>
      <w:rFonts w:hint="eastAsia" w:ascii="仿宋_GB2312" w:hAnsi="宋体" w:eastAsia="仿宋_GB2312"/>
      <w:kern w:val="0"/>
      <w:sz w:val="32"/>
      <w:szCs w:val="32"/>
    </w:rPr>
  </w:style>
  <w:style w:type="paragraph" w:customStyle="1" w:styleId="94">
    <w:name w:val="font8"/>
    <w:basedOn w:val="1"/>
    <w:qFormat/>
    <w:uiPriority w:val="0"/>
    <w:pPr>
      <w:widowControl/>
      <w:spacing w:before="100" w:beforeLines="0" w:beforeAutospacing="1" w:after="100" w:afterLines="0" w:afterAutospacing="1"/>
      <w:jc w:val="left"/>
    </w:pPr>
    <w:rPr>
      <w:rFonts w:hint="eastAsia" w:ascii="仿宋_GB2312" w:hAnsi="宋体" w:eastAsia="仿宋_GB2312"/>
      <w:kern w:val="0"/>
      <w:sz w:val="24"/>
    </w:rPr>
  </w:style>
  <w:style w:type="paragraph" w:customStyle="1" w:styleId="95">
    <w:name w:val="ÆÕÍ¨"/>
    <w:basedOn w:val="1"/>
    <w:qFormat/>
    <w:uiPriority w:val="0"/>
    <w:pPr>
      <w:widowControl/>
      <w:tabs>
        <w:tab w:val="left" w:pos="1276"/>
      </w:tabs>
      <w:overflowPunct w:val="0"/>
      <w:autoSpaceDE w:val="0"/>
      <w:autoSpaceDN w:val="0"/>
      <w:adjustRightInd w:val="0"/>
      <w:ind w:left="851"/>
      <w:jc w:val="left"/>
      <w:textAlignment w:val="baseline"/>
    </w:pPr>
    <w:rPr>
      <w:rFonts w:ascii="Arial" w:hAnsi="Arial"/>
      <w:b/>
      <w:kern w:val="16"/>
      <w:sz w:val="20"/>
      <w:szCs w:val="20"/>
      <w:lang w:val="fr-FR"/>
    </w:rPr>
  </w:style>
  <w:style w:type="paragraph" w:customStyle="1" w:styleId="96">
    <w:name w:val="List Paragraph1"/>
    <w:basedOn w:val="1"/>
    <w:qFormat/>
    <w:uiPriority w:val="0"/>
    <w:pPr>
      <w:ind w:firstLine="420" w:firstLineChars="200"/>
    </w:pPr>
    <w:rPr>
      <w:rFonts w:ascii="Calibri" w:hAnsi="Calibri"/>
      <w:szCs w:val="22"/>
    </w:rPr>
  </w:style>
  <w:style w:type="paragraph" w:customStyle="1" w:styleId="97">
    <w:name w:val="金安桥正文"/>
    <w:basedOn w:val="21"/>
    <w:qFormat/>
    <w:uiPriority w:val="0"/>
    <w:pPr>
      <w:adjustRightInd w:val="0"/>
      <w:spacing w:line="300" w:lineRule="auto"/>
      <w:ind w:firstLine="200" w:firstLineChars="200"/>
      <w:jc w:val="left"/>
    </w:pPr>
    <w:rPr>
      <w:kern w:val="0"/>
      <w:szCs w:val="20"/>
    </w:rPr>
  </w:style>
  <w:style w:type="paragraph" w:customStyle="1" w:styleId="98">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99">
    <w:name w:val="_Style 133"/>
    <w:basedOn w:val="1"/>
    <w:next w:val="100"/>
    <w:qFormat/>
    <w:uiPriority w:val="0"/>
    <w:pPr>
      <w:ind w:firstLine="420" w:firstLineChars="200"/>
    </w:pPr>
    <w:rPr>
      <w:rFonts w:ascii="Calibri" w:hAnsi="Calibri"/>
      <w:szCs w:val="22"/>
    </w:rPr>
  </w:style>
  <w:style w:type="paragraph" w:styleId="100">
    <w:name w:val="List Paragraph"/>
    <w:basedOn w:val="1"/>
    <w:qFormat/>
    <w:uiPriority w:val="34"/>
    <w:pPr>
      <w:ind w:firstLine="420" w:firstLineChars="200"/>
    </w:pPr>
    <w:rPr>
      <w:rFonts w:ascii="Calibri" w:hAnsi="Calibri"/>
      <w:szCs w:val="22"/>
    </w:rPr>
  </w:style>
  <w:style w:type="paragraph" w:customStyle="1" w:styleId="101">
    <w:name w:val="xl30"/>
    <w:basedOn w:val="1"/>
    <w:qFormat/>
    <w:uiPriority w:val="0"/>
    <w:pPr>
      <w:widowControl/>
      <w:pBdr>
        <w:top w:val="single" w:color="auto" w:sz="4" w:space="0"/>
        <w:bottom w:val="single" w:color="auto" w:sz="4" w:space="0"/>
      </w:pBdr>
      <w:spacing w:before="100" w:beforeLines="0" w:beforeAutospacing="1" w:after="100" w:afterLines="0" w:afterAutospacing="1"/>
      <w:jc w:val="center"/>
      <w:textAlignment w:val="center"/>
    </w:pPr>
    <w:rPr>
      <w:rFonts w:hint="eastAsia" w:ascii="仿宋_GB2312" w:hAnsi="宋体" w:eastAsia="仿宋_GB2312"/>
      <w:kern w:val="0"/>
      <w:sz w:val="32"/>
      <w:szCs w:val="32"/>
    </w:rPr>
  </w:style>
  <w:style w:type="paragraph" w:customStyle="1" w:styleId="102">
    <w:name w:val=" Char Char1"/>
    <w:basedOn w:val="1"/>
    <w:qFormat/>
    <w:uiPriority w:val="0"/>
    <w:pPr>
      <w:widowControl/>
      <w:spacing w:after="160" w:afterLines="0" w:line="240" w:lineRule="exact"/>
      <w:jc w:val="left"/>
    </w:pPr>
    <w:rPr>
      <w:rFonts w:ascii="Verdana" w:hAnsi="Verdana" w:eastAsia="楷体_GB2312"/>
      <w:b/>
      <w:i/>
      <w:iCs/>
      <w:color w:val="000000"/>
      <w:kern w:val="0"/>
      <w:sz w:val="20"/>
      <w:szCs w:val="20"/>
      <w:lang w:eastAsia="en-US"/>
    </w:rPr>
  </w:style>
  <w:style w:type="paragraph" w:customStyle="1" w:styleId="103">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kern w:val="0"/>
      <w:sz w:val="20"/>
      <w:szCs w:val="20"/>
    </w:rPr>
  </w:style>
  <w:style w:type="paragraph" w:customStyle="1" w:styleId="104">
    <w:name w:val="偶数页篇眉"/>
    <w:basedOn w:val="31"/>
    <w:qFormat/>
    <w:uiPriority w:val="0"/>
    <w:pPr>
      <w:keepLines/>
      <w:pBdr>
        <w:bottom w:val="none" w:color="auto" w:sz="0" w:space="0"/>
      </w:pBdr>
      <w:tabs>
        <w:tab w:val="right" w:pos="0"/>
        <w:tab w:val="center" w:pos="7200"/>
        <w:tab w:val="right" w:pos="14400"/>
        <w:tab w:val="clear" w:pos="4153"/>
        <w:tab w:val="clear" w:pos="8306"/>
      </w:tabs>
      <w:snapToGrid/>
      <w:jc w:val="right"/>
    </w:pPr>
    <w:rPr>
      <w:spacing w:val="80"/>
      <w:sz w:val="21"/>
      <w:szCs w:val="24"/>
    </w:rPr>
  </w:style>
  <w:style w:type="paragraph" w:customStyle="1" w:styleId="105">
    <w:name w:val="xl28"/>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hint="eastAsia" w:ascii="仿宋_GB2312" w:hAnsi="宋体" w:eastAsia="仿宋_GB2312"/>
      <w:kern w:val="0"/>
      <w:sz w:val="32"/>
      <w:szCs w:val="32"/>
    </w:rPr>
  </w:style>
  <w:style w:type="paragraph" w:customStyle="1" w:styleId="106">
    <w:name w:val="±íÉí"/>
    <w:basedOn w:val="1"/>
    <w:qFormat/>
    <w:uiPriority w:val="0"/>
    <w:pPr>
      <w:widowControl/>
      <w:overflowPunct w:val="0"/>
      <w:autoSpaceDE w:val="0"/>
      <w:autoSpaceDN w:val="0"/>
      <w:adjustRightInd w:val="0"/>
      <w:spacing w:line="300" w:lineRule="auto"/>
      <w:jc w:val="left"/>
      <w:textAlignment w:val="baseline"/>
    </w:pPr>
    <w:rPr>
      <w:kern w:val="0"/>
      <w:sz w:val="18"/>
      <w:szCs w:val="20"/>
    </w:rPr>
  </w:style>
  <w:style w:type="paragraph" w:customStyle="1" w:styleId="107">
    <w:name w:val=" Char1 Char Char"/>
    <w:basedOn w:val="1"/>
    <w:qFormat/>
    <w:uiPriority w:val="0"/>
    <w:pPr>
      <w:widowControl/>
      <w:spacing w:after="160" w:afterLines="0" w:line="240" w:lineRule="exact"/>
      <w:jc w:val="left"/>
    </w:pPr>
    <w:rPr>
      <w:rFonts w:ascii="Verdana" w:hAnsi="Verdana" w:eastAsia="仿宋_GB2312"/>
      <w:kern w:val="0"/>
      <w:sz w:val="24"/>
      <w:szCs w:val="20"/>
      <w:lang w:eastAsia="en-US"/>
    </w:rPr>
  </w:style>
  <w:style w:type="paragraph" w:customStyle="1" w:styleId="10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09">
    <w:name w:val="标准标志"/>
    <w:next w:val="1"/>
    <w:qFormat/>
    <w:uiPriority w:val="0"/>
    <w:pPr>
      <w:shd w:val="solid" w:color="FFFFFF" w:fill="FFFFFF"/>
      <w:spacing w:line="0" w:lineRule="atLeast"/>
      <w:jc w:val="right"/>
    </w:pPr>
    <w:rPr>
      <w:rFonts w:ascii="Calibri" w:hAnsi="Calibri" w:eastAsia="宋体" w:cs="Times New Roman"/>
      <w:b/>
      <w:w w:val="130"/>
      <w:sz w:val="96"/>
      <w:lang w:val="en-US" w:eastAsia="zh-CN" w:bidi="ar-SA"/>
    </w:rPr>
  </w:style>
  <w:style w:type="paragraph" w:customStyle="1" w:styleId="110">
    <w:name w:val="1"/>
    <w:basedOn w:val="1"/>
    <w:qFormat/>
    <w:uiPriority w:val="0"/>
    <w:pPr>
      <w:widowControl/>
      <w:spacing w:after="160" w:afterLines="0" w:line="240" w:lineRule="exact"/>
      <w:jc w:val="left"/>
    </w:pPr>
    <w:rPr>
      <w:rFonts w:ascii="Verdana" w:hAnsi="Verdana" w:eastAsia="楷体_GB2312"/>
      <w:b/>
      <w:i/>
      <w:iCs/>
      <w:color w:val="000000"/>
      <w:kern w:val="0"/>
      <w:sz w:val="20"/>
      <w:szCs w:val="20"/>
      <w:lang w:eastAsia="en-US"/>
    </w:rPr>
  </w:style>
  <w:style w:type="paragraph" w:customStyle="1" w:styleId="11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hint="eastAsia" w:ascii="仿宋_GB2312" w:hAnsi="宋体" w:eastAsia="仿宋_GB2312"/>
      <w:kern w:val="0"/>
      <w:sz w:val="32"/>
      <w:szCs w:val="32"/>
    </w:rPr>
  </w:style>
  <w:style w:type="paragraph" w:customStyle="1" w:styleId="112">
    <w:name w:val="xl31"/>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hint="eastAsia" w:ascii="仿宋_GB2312" w:hAnsi="宋体" w:eastAsia="仿宋_GB2312"/>
      <w:kern w:val="0"/>
      <w:sz w:val="32"/>
      <w:szCs w:val="32"/>
    </w:rPr>
  </w:style>
  <w:style w:type="paragraph" w:customStyle="1" w:styleId="113">
    <w:name w:val="_Style 28"/>
    <w:basedOn w:val="1"/>
    <w:qFormat/>
    <w:uiPriority w:val="0"/>
    <w:rPr>
      <w:szCs w:val="21"/>
    </w:rPr>
  </w:style>
  <w:style w:type="paragraph" w:customStyle="1" w:styleId="114">
    <w:name w:val="样式1"/>
    <w:basedOn w:val="4"/>
    <w:qFormat/>
    <w:uiPriority w:val="0"/>
    <w:pPr>
      <w:widowControl/>
      <w:numPr>
        <w:ilvl w:val="0"/>
        <w:numId w:val="2"/>
      </w:numPr>
      <w:snapToGrid w:val="0"/>
      <w:spacing w:before="0" w:beforeLines="0" w:after="0" w:afterLines="0" w:line="360" w:lineRule="auto"/>
      <w:jc w:val="left"/>
      <w:textAlignment w:val="auto"/>
    </w:pPr>
    <w:rPr>
      <w:rFonts w:ascii="宋体" w:eastAsia="宋体"/>
      <w:color w:val="000000"/>
    </w:rPr>
  </w:style>
  <w:style w:type="paragraph" w:customStyle="1" w:styleId="115">
    <w:name w:val="缺省文本"/>
    <w:basedOn w:val="1"/>
    <w:qFormat/>
    <w:uiPriority w:val="0"/>
    <w:pPr>
      <w:autoSpaceDE w:val="0"/>
      <w:autoSpaceDN w:val="0"/>
      <w:adjustRightInd w:val="0"/>
      <w:jc w:val="left"/>
    </w:pPr>
    <w:rPr>
      <w:kern w:val="0"/>
      <w:sz w:val="24"/>
      <w:szCs w:val="20"/>
    </w:rPr>
  </w:style>
  <w:style w:type="paragraph" w:customStyle="1" w:styleId="116">
    <w:name w:val="font9"/>
    <w:basedOn w:val="1"/>
    <w:qFormat/>
    <w:uiPriority w:val="0"/>
    <w:pPr>
      <w:widowControl/>
      <w:spacing w:before="100" w:beforeLines="0" w:beforeAutospacing="1" w:after="100" w:afterLines="0" w:afterAutospacing="1"/>
      <w:jc w:val="left"/>
    </w:pPr>
    <w:rPr>
      <w:kern w:val="0"/>
      <w:sz w:val="24"/>
    </w:rPr>
  </w:style>
  <w:style w:type="paragraph" w:customStyle="1" w:styleId="117">
    <w:name w:val="table"/>
    <w:basedOn w:val="1"/>
    <w:qFormat/>
    <w:uiPriority w:val="0"/>
    <w:pPr>
      <w:widowControl/>
      <w:overflowPunct w:val="0"/>
      <w:autoSpaceDE w:val="0"/>
      <w:autoSpaceDN w:val="0"/>
      <w:adjustRightInd w:val="0"/>
      <w:spacing w:before="60" w:beforeLines="0" w:after="60" w:afterLines="0"/>
      <w:jc w:val="center"/>
      <w:textAlignment w:val="baseline"/>
    </w:pPr>
    <w:rPr>
      <w:rFonts w:ascii="仿宋体" w:eastAsia="仿宋体"/>
      <w:kern w:val="0"/>
      <w:sz w:val="24"/>
      <w:szCs w:val="20"/>
    </w:rPr>
  </w:style>
  <w:style w:type="paragraph" w:customStyle="1" w:styleId="118">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hint="eastAsia" w:ascii="仿宋_GB2312" w:hAnsi="宋体" w:eastAsia="仿宋_GB2312"/>
      <w:kern w:val="0"/>
      <w:sz w:val="32"/>
      <w:szCs w:val="32"/>
    </w:rPr>
  </w:style>
  <w:style w:type="paragraph" w:customStyle="1" w:styleId="119">
    <w:name w:val="xl29"/>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jc w:val="center"/>
      <w:textAlignment w:val="center"/>
    </w:pPr>
    <w:rPr>
      <w:rFonts w:hint="eastAsia" w:ascii="仿宋_GB2312" w:hAnsi="宋体" w:eastAsia="仿宋_GB2312"/>
      <w:kern w:val="0"/>
      <w:sz w:val="32"/>
      <w:szCs w:val="32"/>
    </w:rPr>
  </w:style>
  <w:style w:type="paragraph" w:customStyle="1" w:styleId="120">
    <w:name w:val="表格文字"/>
    <w:basedOn w:val="1"/>
    <w:qFormat/>
    <w:uiPriority w:val="0"/>
    <w:pPr>
      <w:adjustRightInd w:val="0"/>
      <w:spacing w:line="420" w:lineRule="atLeast"/>
      <w:jc w:val="left"/>
      <w:textAlignment w:val="baseline"/>
    </w:pPr>
    <w:rPr>
      <w:kern w:val="0"/>
      <w:szCs w:val="20"/>
    </w:rPr>
  </w:style>
  <w:style w:type="paragraph" w:customStyle="1" w:styleId="121">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sz w:val="24"/>
    </w:rPr>
  </w:style>
  <w:style w:type="paragraph" w:customStyle="1" w:styleId="122">
    <w:name w:val="块引用"/>
    <w:basedOn w:val="1"/>
    <w:qFormat/>
    <w:uiPriority w:val="0"/>
    <w:pPr>
      <w:keepLines/>
      <w:ind w:left="360" w:right="360"/>
      <w:jc w:val="center"/>
    </w:pPr>
    <w:rPr>
      <w:i/>
    </w:rPr>
  </w:style>
  <w:style w:type="paragraph" w:customStyle="1" w:styleId="123">
    <w:name w:val="font0"/>
    <w:basedOn w:val="1"/>
    <w:qFormat/>
    <w:uiPriority w:val="0"/>
    <w:pPr>
      <w:widowControl/>
      <w:spacing w:before="100" w:beforeLines="0" w:beforeAutospacing="1" w:after="100" w:afterLines="0" w:afterAutospacing="1"/>
      <w:jc w:val="left"/>
    </w:pPr>
    <w:rPr>
      <w:rFonts w:hint="eastAsia" w:ascii="宋体" w:hAnsi="宋体"/>
      <w:kern w:val="0"/>
      <w:sz w:val="24"/>
    </w:rPr>
  </w:style>
  <w:style w:type="paragraph" w:customStyle="1" w:styleId="124">
    <w:name w:val="xl43"/>
    <w:basedOn w:val="1"/>
    <w:qFormat/>
    <w:uiPriority w:val="0"/>
    <w:pPr>
      <w:widowControl/>
      <w:spacing w:before="100" w:beforeLines="0" w:beforeAutospacing="1" w:after="100" w:afterLines="0" w:afterAutospacing="1"/>
      <w:jc w:val="center"/>
    </w:pPr>
    <w:rPr>
      <w:rFonts w:hint="eastAsia" w:ascii="仿宋_GB2312" w:hAnsi="宋体" w:eastAsia="仿宋_GB2312"/>
      <w:kern w:val="0"/>
      <w:sz w:val="24"/>
    </w:rPr>
  </w:style>
  <w:style w:type="paragraph" w:customStyle="1" w:styleId="125">
    <w:name w:val="样式 左侧:  0 厘米 悬挂缩进: 2.5 字符"/>
    <w:basedOn w:val="1"/>
    <w:qFormat/>
    <w:uiPriority w:val="0"/>
    <w:pPr>
      <w:ind w:left="525" w:hanging="525" w:hangingChars="250"/>
    </w:pPr>
    <w:rPr>
      <w:szCs w:val="20"/>
    </w:rPr>
  </w:style>
  <w:style w:type="paragraph" w:customStyle="1" w:styleId="126">
    <w:name w:val="xl32"/>
    <w:basedOn w:val="1"/>
    <w:qFormat/>
    <w:uiPriority w:val="0"/>
    <w:pPr>
      <w:widowControl/>
      <w:spacing w:before="100" w:beforeLines="0" w:beforeAutospacing="1" w:after="100" w:afterLines="0" w:afterAutospacing="1"/>
      <w:jc w:val="center"/>
      <w:textAlignment w:val="center"/>
    </w:pPr>
    <w:rPr>
      <w:rFonts w:hint="eastAsia" w:ascii="隶书" w:hAnsi="宋体" w:eastAsia="隶书"/>
      <w:kern w:val="0"/>
      <w:sz w:val="72"/>
      <w:szCs w:val="72"/>
    </w:rPr>
  </w:style>
  <w:style w:type="paragraph" w:customStyle="1" w:styleId="127">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hint="eastAsia" w:ascii="仿宋_GB2312" w:hAnsi="宋体" w:eastAsia="仿宋_GB2312"/>
      <w:kern w:val="0"/>
      <w:sz w:val="24"/>
    </w:rPr>
  </w:style>
  <w:style w:type="paragraph" w:customStyle="1" w:styleId="12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hint="eastAsia" w:ascii="仿宋_GB2312" w:hAnsi="宋体" w:eastAsia="仿宋_GB2312"/>
      <w:kern w:val="0"/>
      <w:sz w:val="32"/>
      <w:szCs w:val="32"/>
    </w:rPr>
  </w:style>
  <w:style w:type="paragraph" w:customStyle="1" w:styleId="129">
    <w:name w:val="默认段落字体 Para Char Char Char Char Char Char Char Char Char Char"/>
    <w:basedOn w:val="1"/>
    <w:qFormat/>
    <w:uiPriority w:val="0"/>
    <w:rPr>
      <w:rFonts w:ascii="Tahoma" w:hAnsi="Tahoma"/>
      <w:sz w:val="24"/>
      <w:szCs w:val="20"/>
    </w:rPr>
  </w:style>
  <w:style w:type="paragraph" w:customStyle="1" w:styleId="130">
    <w:name w:val="xl27"/>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jc w:val="center"/>
      <w:textAlignment w:val="center"/>
    </w:pPr>
    <w:rPr>
      <w:rFonts w:hint="eastAsia" w:ascii="仿宋_GB2312" w:hAnsi="宋体" w:eastAsia="仿宋_GB2312"/>
      <w:kern w:val="0"/>
      <w:sz w:val="32"/>
      <w:szCs w:val="32"/>
    </w:rPr>
  </w:style>
  <w:style w:type="paragraph" w:customStyle="1" w:styleId="131">
    <w:name w:val="Char Char Char Char"/>
    <w:basedOn w:val="16"/>
    <w:qFormat/>
    <w:uiPriority w:val="0"/>
  </w:style>
  <w:style w:type="paragraph" w:customStyle="1" w:styleId="132">
    <w:name w:val="tabletext"/>
    <w:basedOn w:val="1"/>
    <w:qFormat/>
    <w:uiPriority w:val="0"/>
    <w:pPr>
      <w:widowControl/>
      <w:spacing w:before="100" w:beforeLines="0" w:beforeAutospacing="1" w:after="100" w:afterLines="0" w:afterAutospacing="1"/>
      <w:jc w:val="left"/>
    </w:pPr>
    <w:rPr>
      <w:rFonts w:ascii="宋体" w:hAnsi="宋体"/>
      <w:kern w:val="0"/>
      <w:sz w:val="24"/>
    </w:rPr>
  </w:style>
  <w:style w:type="paragraph" w:customStyle="1" w:styleId="133">
    <w:name w:val="font11"/>
    <w:basedOn w:val="1"/>
    <w:qFormat/>
    <w:uiPriority w:val="0"/>
    <w:pPr>
      <w:widowControl/>
      <w:spacing w:before="100" w:beforeLines="0" w:beforeAutospacing="1" w:after="100" w:afterLines="0" w:afterAutospacing="1"/>
      <w:jc w:val="left"/>
    </w:pPr>
    <w:rPr>
      <w:rFonts w:hint="eastAsia" w:ascii="宋体" w:hAnsi="宋体"/>
      <w:kern w:val="0"/>
      <w:sz w:val="20"/>
      <w:szCs w:val="20"/>
    </w:rPr>
  </w:style>
  <w:style w:type="paragraph" w:customStyle="1" w:styleId="134">
    <w:name w:val=" Char Char Char Char Char Char"/>
    <w:basedOn w:val="1"/>
    <w:qFormat/>
    <w:uiPriority w:val="0"/>
    <w:pPr>
      <w:widowControl/>
      <w:spacing w:after="160" w:afterLines="0" w:line="240" w:lineRule="exact"/>
      <w:jc w:val="left"/>
    </w:pPr>
    <w:rPr>
      <w:rFonts w:ascii="Verdana" w:hAnsi="Verdana" w:eastAsia="仿宋_GB2312"/>
      <w:kern w:val="0"/>
      <w:sz w:val="24"/>
      <w:szCs w:val="20"/>
      <w:lang w:eastAsia="en-US"/>
    </w:rPr>
  </w:style>
  <w:style w:type="paragraph" w:customStyle="1" w:styleId="135">
    <w:name w:val="Table Paragraph"/>
    <w:basedOn w:val="1"/>
    <w:qFormat/>
    <w:uiPriority w:val="1"/>
  </w:style>
  <w:style w:type="paragraph" w:customStyle="1" w:styleId="136">
    <w:name w:val=" Char1"/>
    <w:basedOn w:val="1"/>
    <w:qFormat/>
    <w:uiPriority w:val="0"/>
    <w:pPr>
      <w:spacing w:line="360" w:lineRule="auto"/>
      <w:ind w:left="559" w:leftChars="266"/>
      <w:jc w:val="left"/>
    </w:pPr>
    <w:rPr>
      <w:rFonts w:ascii="ˎ̥" w:hAnsi="ˎ̥" w:cs="宋体"/>
      <w:kern w:val="0"/>
      <w:sz w:val="24"/>
    </w:rPr>
  </w:style>
  <w:style w:type="paragraph" w:customStyle="1" w:styleId="137">
    <w:name w:val="font7"/>
    <w:basedOn w:val="1"/>
    <w:qFormat/>
    <w:uiPriority w:val="0"/>
    <w:pPr>
      <w:widowControl/>
      <w:spacing w:before="100" w:beforeLines="0" w:beforeAutospacing="1" w:after="100" w:afterLines="0" w:afterAutospacing="1"/>
      <w:jc w:val="left"/>
    </w:pPr>
    <w:rPr>
      <w:rFonts w:hint="eastAsia" w:ascii="仿宋_GB2312" w:hAnsi="宋体" w:eastAsia="仿宋_GB2312"/>
      <w:kern w:val="0"/>
      <w:sz w:val="32"/>
      <w:szCs w:val="32"/>
    </w:rPr>
  </w:style>
  <w:style w:type="paragraph" w:customStyle="1" w:styleId="138">
    <w:name w:val="xl37"/>
    <w:basedOn w:val="1"/>
    <w:qFormat/>
    <w:uiPriority w:val="0"/>
    <w:pPr>
      <w:widowControl/>
      <w:spacing w:before="100" w:beforeLines="0" w:beforeAutospacing="1" w:after="100" w:afterLines="0" w:afterAutospacing="1"/>
      <w:jc w:val="center"/>
    </w:pPr>
    <w:rPr>
      <w:rFonts w:hint="eastAsia" w:ascii="仿宋_GB2312" w:hAnsi="宋体" w:eastAsia="仿宋_GB2312"/>
      <w:kern w:val="0"/>
      <w:sz w:val="24"/>
    </w:rPr>
  </w:style>
  <w:style w:type="paragraph" w:customStyle="1" w:styleId="139">
    <w:name w:val=" Char2"/>
    <w:basedOn w:val="1"/>
    <w:qFormat/>
    <w:uiPriority w:val="0"/>
    <w:pPr>
      <w:adjustRightInd w:val="0"/>
      <w:spacing w:line="360" w:lineRule="auto"/>
    </w:pPr>
    <w:rPr>
      <w:kern w:val="0"/>
      <w:sz w:val="24"/>
      <w:szCs w:val="20"/>
    </w:rPr>
  </w:style>
  <w:style w:type="paragraph" w:customStyle="1" w:styleId="140">
    <w:name w:val="high15"/>
    <w:basedOn w:val="1"/>
    <w:qFormat/>
    <w:uiPriority w:val="0"/>
    <w:pPr>
      <w:widowControl/>
      <w:spacing w:before="100" w:beforeLines="0" w:beforeAutospacing="1" w:after="100" w:afterLines="0" w:afterAutospacing="1" w:line="300" w:lineRule="atLeast"/>
      <w:jc w:val="left"/>
    </w:pPr>
    <w:rPr>
      <w:rFonts w:ascii="宋体" w:cs="宋体"/>
      <w:kern w:val="0"/>
      <w:sz w:val="18"/>
      <w:szCs w:val="18"/>
    </w:rPr>
  </w:style>
  <w:style w:type="paragraph" w:customStyle="1" w:styleId="141">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kern w:val="0"/>
      <w:sz w:val="24"/>
    </w:rPr>
  </w:style>
  <w:style w:type="paragraph" w:customStyle="1" w:styleId="142">
    <w:name w:val="样式 标题 3 + (中文) 黑体 小四 非加粗 段前: 7.8 磅 段后: 0 磅 行距: 固定值 20 磅"/>
    <w:basedOn w:val="5"/>
    <w:qFormat/>
    <w:uiPriority w:val="0"/>
    <w:pPr>
      <w:adjustRightInd/>
      <w:spacing w:before="0" w:beforeLines="0" w:after="0" w:afterLines="0" w:line="400" w:lineRule="exact"/>
      <w:textAlignment w:val="auto"/>
    </w:pPr>
    <w:rPr>
      <w:rFonts w:eastAsia="黑体"/>
      <w:b w:val="0"/>
      <w:kern w:val="2"/>
      <w:sz w:val="24"/>
    </w:rPr>
  </w:style>
  <w:style w:type="paragraph" w:customStyle="1" w:styleId="143">
    <w:name w:val="?y??"/>
    <w:qFormat/>
    <w:uiPriority w:val="0"/>
    <w:pPr>
      <w:widowControl w:val="0"/>
      <w:overflowPunct w:val="0"/>
      <w:autoSpaceDE w:val="0"/>
      <w:autoSpaceDN w:val="0"/>
      <w:adjustRightInd w:val="0"/>
      <w:spacing w:line="357" w:lineRule="atLeast"/>
      <w:jc w:val="both"/>
      <w:textAlignment w:val="baseline"/>
    </w:pPr>
    <w:rPr>
      <w:rFonts w:ascii="Calibri" w:hAnsi="Calibri" w:eastAsia="宋体" w:cs="Times New Roman"/>
      <w:color w:val="000000"/>
      <w:sz w:val="21"/>
      <w:lang w:val="en-US" w:eastAsia="zh-CN" w:bidi="ar-SA"/>
    </w:rPr>
  </w:style>
  <w:style w:type="paragraph" w:customStyle="1" w:styleId="144">
    <w:name w:val="1册标题2"/>
    <w:basedOn w:val="1"/>
    <w:next w:val="1"/>
    <w:qFormat/>
    <w:uiPriority w:val="0"/>
    <w:pPr>
      <w:adjustRightInd w:val="0"/>
      <w:spacing w:before="156" w:beforeLines="50" w:after="156" w:afterLines="50" w:line="300" w:lineRule="auto"/>
      <w:jc w:val="center"/>
      <w:textAlignment w:val="baseline"/>
      <w:outlineLvl w:val="1"/>
    </w:pPr>
    <w:rPr>
      <w:rFonts w:ascii="Arial" w:hAnsi="Arial" w:eastAsia="黑体"/>
      <w:bCs/>
      <w:kern w:val="0"/>
      <w:sz w:val="32"/>
    </w:rPr>
  </w:style>
  <w:style w:type="paragraph" w:customStyle="1" w:styleId="145">
    <w:name w:val="font6"/>
    <w:basedOn w:val="1"/>
    <w:qFormat/>
    <w:uiPriority w:val="0"/>
    <w:pPr>
      <w:widowControl/>
      <w:spacing w:before="100" w:beforeLines="0" w:beforeAutospacing="1" w:after="100" w:afterLines="0" w:afterAutospacing="1"/>
      <w:jc w:val="left"/>
    </w:pPr>
    <w:rPr>
      <w:rFonts w:hint="eastAsia" w:ascii="宋体" w:hAnsi="宋体"/>
      <w:kern w:val="0"/>
      <w:sz w:val="18"/>
      <w:szCs w:val="18"/>
    </w:rPr>
  </w:style>
  <w:style w:type="paragraph" w:customStyle="1" w:styleId="146">
    <w:name w:val="black1"/>
    <w:basedOn w:val="1"/>
    <w:qFormat/>
    <w:uiPriority w:val="0"/>
    <w:pPr>
      <w:widowControl/>
      <w:spacing w:before="100" w:beforeLines="0" w:beforeAutospacing="1" w:after="100" w:afterLines="0" w:afterAutospacing="1" w:line="280" w:lineRule="atLeast"/>
      <w:jc w:val="left"/>
    </w:pPr>
    <w:rPr>
      <w:rFonts w:ascii="_x000B__x000C_" w:hAnsi="_x000B__x000C_"/>
      <w:color w:val="000000"/>
      <w:kern w:val="0"/>
      <w:sz w:val="18"/>
      <w:szCs w:val="18"/>
    </w:rPr>
  </w:style>
  <w:style w:type="paragraph" w:customStyle="1" w:styleId="147">
    <w:name w:val="WPSOffice手动目录 1"/>
    <w:qFormat/>
    <w:uiPriority w:val="0"/>
    <w:pPr>
      <w:ind w:leftChars="0"/>
    </w:pPr>
    <w:rPr>
      <w:rFonts w:ascii="Calibri" w:hAnsi="Calibri" w:eastAsia="宋体" w:cs="Times New Roman"/>
      <w:sz w:val="20"/>
      <w:szCs w:val="20"/>
    </w:rPr>
  </w:style>
  <w:style w:type="paragraph" w:customStyle="1" w:styleId="14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hint="eastAsia" w:ascii="仿宋_GB2312" w:hAnsi="宋体" w:eastAsia="仿宋_GB2312"/>
      <w:kern w:val="0"/>
      <w:sz w:val="32"/>
      <w:szCs w:val="32"/>
    </w:rPr>
  </w:style>
  <w:style w:type="paragraph" w:customStyle="1" w:styleId="149">
    <w:name w:val="表格"/>
    <w:basedOn w:val="1"/>
    <w:qFormat/>
    <w:uiPriority w:val="0"/>
    <w:pPr>
      <w:spacing w:line="400" w:lineRule="atLeast"/>
    </w:pPr>
    <w:rPr>
      <w:b/>
      <w:bCs/>
      <w:color w:val="000000"/>
      <w:sz w:val="24"/>
    </w:rPr>
  </w:style>
  <w:style w:type="paragraph" w:customStyle="1" w:styleId="150">
    <w:name w:val="WPS Plain"/>
    <w:qFormat/>
    <w:uiPriority w:val="0"/>
    <w:rPr>
      <w:rFonts w:ascii="Calibri" w:hAnsi="Calibri" w:eastAsia="宋体" w:cs="Times New Roman"/>
      <w:lang w:val="en-US" w:eastAsia="zh-CN" w:bidi="ar-SA"/>
    </w:rPr>
  </w:style>
  <w:style w:type="paragraph" w:customStyle="1" w:styleId="151">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hint="eastAsia" w:ascii="仿宋_GB2312" w:hAnsi="宋体" w:eastAsia="仿宋_GB2312"/>
      <w:kern w:val="0"/>
      <w:sz w:val="24"/>
    </w:rPr>
  </w:style>
  <w:style w:type="paragraph" w:customStyle="1" w:styleId="152">
    <w:name w:val="列表段落1"/>
    <w:basedOn w:val="1"/>
    <w:qFormat/>
    <w:uiPriority w:val="34"/>
    <w:pPr>
      <w:ind w:firstLine="420" w:firstLineChars="200"/>
    </w:pPr>
    <w:rPr>
      <w:rFonts w:ascii="Times New Roman" w:hAnsi="Times New Roman" w:eastAsia="宋体"/>
      <w:szCs w:val="24"/>
    </w:rPr>
  </w:style>
  <w:style w:type="paragraph" w:customStyle="1" w:styleId="153">
    <w:name w:val="È±Ê¡ÎÄ±¾"/>
    <w:basedOn w:val="1"/>
    <w:qFormat/>
    <w:uiPriority w:val="0"/>
    <w:pPr>
      <w:widowControl/>
      <w:overflowPunct w:val="0"/>
      <w:autoSpaceDE w:val="0"/>
      <w:autoSpaceDN w:val="0"/>
      <w:adjustRightInd w:val="0"/>
      <w:spacing w:line="360" w:lineRule="auto"/>
      <w:textAlignment w:val="baseline"/>
    </w:pPr>
    <w:rPr>
      <w:kern w:val="0"/>
      <w:szCs w:val="20"/>
    </w:rPr>
  </w:style>
  <w:style w:type="paragraph" w:customStyle="1" w:styleId="154">
    <w:name w:val="正文1"/>
    <w:basedOn w:val="1"/>
    <w:qFormat/>
    <w:uiPriority w:val="0"/>
    <w:pPr>
      <w:spacing w:after="120" w:afterLines="0" w:line="360" w:lineRule="auto"/>
    </w:pPr>
    <w:rPr>
      <w:rFonts w:ascii="Arial" w:hAnsi="Arial"/>
      <w:sz w:val="24"/>
      <w:szCs w:val="20"/>
    </w:rPr>
  </w:style>
  <w:style w:type="paragraph" w:customStyle="1" w:styleId="155">
    <w:name w:val="列出段落1"/>
    <w:basedOn w:val="1"/>
    <w:qFormat/>
    <w:uiPriority w:val="0"/>
    <w:pPr>
      <w:ind w:firstLine="420" w:firstLineChars="200"/>
    </w:pPr>
    <w:rPr>
      <w:rFonts w:ascii="Calibri" w:hAnsi="Calibri"/>
      <w:szCs w:val="22"/>
    </w:rPr>
  </w:style>
  <w:style w:type="paragraph" w:customStyle="1" w:styleId="156">
    <w:name w:val="Level2Bullet"/>
    <w:basedOn w:val="1"/>
    <w:qFormat/>
    <w:uiPriority w:val="0"/>
    <w:pPr>
      <w:widowControl/>
      <w:numPr>
        <w:ilvl w:val="0"/>
        <w:numId w:val="0"/>
      </w:numPr>
      <w:tabs>
        <w:tab w:val="left" w:pos="3969"/>
        <w:tab w:val="left" w:pos="5954"/>
        <w:tab w:val="left" w:pos="7938"/>
      </w:tabs>
      <w:ind w:left="2268" w:hanging="283"/>
      <w:jc w:val="left"/>
    </w:pPr>
    <w:rPr>
      <w:rFonts w:ascii="Helv" w:hAnsi="Helv"/>
      <w:kern w:val="0"/>
      <w:sz w:val="20"/>
      <w:szCs w:val="20"/>
      <w:lang w:val="en-GB"/>
    </w:rPr>
  </w:style>
  <w:style w:type="paragraph" w:customStyle="1" w:styleId="157">
    <w:name w:val="1标题4"/>
    <w:basedOn w:val="1"/>
    <w:qFormat/>
    <w:uiPriority w:val="0"/>
    <w:pPr>
      <w:keepNext/>
      <w:keepLines/>
      <w:spacing w:before="100" w:beforeAutospacing="1" w:after="100" w:afterAutospacing="1" w:line="360" w:lineRule="auto"/>
      <w:ind w:left="853" w:hanging="853" w:hangingChars="284"/>
      <w:jc w:val="left"/>
      <w:outlineLvl w:val="3"/>
    </w:pPr>
    <w:rPr>
      <w:rFonts w:ascii="黑体" w:hAnsi="宋体" w:eastAsia="黑体"/>
      <w:b/>
      <w:sz w:val="30"/>
      <w:szCs w:val="20"/>
    </w:rPr>
  </w:style>
  <w:style w:type="paragraph" w:customStyle="1" w:styleId="158">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59">
    <w:name w:val="正文(首行缩进)"/>
    <w:link w:val="173"/>
    <w:qFormat/>
    <w:uiPriority w:val="0"/>
    <w:pPr>
      <w:ind w:firstLine="500" w:firstLineChars="200"/>
      <w:jc w:val="both"/>
    </w:pPr>
    <w:rPr>
      <w:rFonts w:ascii="宋体" w:hAnsi="宋体" w:eastAsia="宋体" w:cs="Times New Roman"/>
      <w:spacing w:val="20"/>
      <w:kern w:val="24"/>
      <w:sz w:val="21"/>
      <w:szCs w:val="21"/>
      <w:lang w:val="en-IE" w:eastAsia="zh-CN" w:bidi="ar-SA"/>
    </w:rPr>
  </w:style>
  <w:style w:type="paragraph" w:customStyle="1" w:styleId="160">
    <w:name w:val="样式 标准正文 + 宋体"/>
    <w:basedOn w:val="1"/>
    <w:link w:val="186"/>
    <w:qFormat/>
    <w:uiPriority w:val="0"/>
    <w:pPr>
      <w:spacing w:before="60" w:beforeLines="0" w:after="60" w:afterLines="0" w:line="360" w:lineRule="auto"/>
      <w:ind w:firstLine="482"/>
    </w:pPr>
    <w:rPr>
      <w:rFonts w:ascii="宋体" w:hAnsi="宋体"/>
      <w:sz w:val="24"/>
    </w:rPr>
  </w:style>
  <w:style w:type="paragraph" w:customStyle="1" w:styleId="161">
    <w:name w:val="xl39"/>
    <w:basedOn w:val="1"/>
    <w:qFormat/>
    <w:uiPriority w:val="0"/>
    <w:pPr>
      <w:widowControl/>
      <w:spacing w:before="100" w:beforeLines="0" w:beforeAutospacing="1" w:after="100" w:afterLines="0" w:afterAutospacing="1"/>
      <w:jc w:val="center"/>
    </w:pPr>
    <w:rPr>
      <w:rFonts w:ascii="宋体" w:hAnsi="宋体"/>
      <w:kern w:val="0"/>
      <w:sz w:val="24"/>
    </w:rPr>
  </w:style>
  <w:style w:type="paragraph" w:customStyle="1" w:styleId="162">
    <w:name w:val="文档正文"/>
    <w:basedOn w:val="1"/>
    <w:qFormat/>
    <w:uiPriority w:val="0"/>
    <w:pPr>
      <w:adjustRightInd w:val="0"/>
      <w:spacing w:line="312" w:lineRule="atLeast"/>
      <w:ind w:firstLine="567"/>
      <w:textAlignment w:val="baseline"/>
    </w:pPr>
    <w:rPr>
      <w:rFonts w:ascii="长城仿宋" w:eastAsia="长城仿宋"/>
      <w:kern w:val="0"/>
      <w:sz w:val="28"/>
      <w:szCs w:val="20"/>
    </w:rPr>
  </w:style>
  <w:style w:type="paragraph" w:customStyle="1" w:styleId="163">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164">
    <w:name w:val=" Char"/>
    <w:basedOn w:val="1"/>
    <w:qFormat/>
    <w:uiPriority w:val="0"/>
    <w:rPr>
      <w:rFonts w:ascii="Tahoma" w:hAnsi="Tahoma"/>
      <w:sz w:val="24"/>
      <w:szCs w:val="20"/>
    </w:rPr>
  </w:style>
  <w:style w:type="character" w:customStyle="1" w:styleId="165">
    <w:name w:val="正文首行缩进 Char"/>
    <w:link w:val="46"/>
    <w:qFormat/>
    <w:uiPriority w:val="0"/>
    <w:rPr>
      <w:rFonts w:eastAsia="宋体"/>
      <w:kern w:val="2"/>
      <w:sz w:val="21"/>
      <w:szCs w:val="24"/>
      <w:lang w:val="en-US" w:eastAsia="zh-CN" w:bidi="ar-SA"/>
    </w:rPr>
  </w:style>
  <w:style w:type="character" w:customStyle="1" w:styleId="166">
    <w:name w:val="font31"/>
    <w:basedOn w:val="49"/>
    <w:qFormat/>
    <w:uiPriority w:val="0"/>
    <w:rPr>
      <w:rFonts w:hint="default" w:ascii="Arial" w:hAnsi="Arial" w:cs="Arial"/>
      <w:color w:val="C0C0C0"/>
      <w:sz w:val="18"/>
      <w:szCs w:val="18"/>
      <w:u w:val="none"/>
    </w:rPr>
  </w:style>
  <w:style w:type="character" w:customStyle="1" w:styleId="167">
    <w:name w:val="font91"/>
    <w:qFormat/>
    <w:uiPriority w:val="0"/>
    <w:rPr>
      <w:rFonts w:hint="default" w:ascii="Arial" w:hAnsi="Arial" w:cs="Arial"/>
      <w:sz w:val="16"/>
      <w:szCs w:val="16"/>
    </w:rPr>
  </w:style>
  <w:style w:type="character" w:customStyle="1" w:styleId="168">
    <w:name w:val="font41"/>
    <w:basedOn w:val="49"/>
    <w:qFormat/>
    <w:uiPriority w:val="0"/>
    <w:rPr>
      <w:rFonts w:hint="eastAsia" w:ascii="宋体" w:hAnsi="宋体" w:eastAsia="宋体"/>
      <w:color w:val="C0C0C0"/>
      <w:sz w:val="18"/>
      <w:szCs w:val="18"/>
      <w:u w:val="none"/>
    </w:rPr>
  </w:style>
  <w:style w:type="character" w:customStyle="1" w:styleId="169">
    <w:name w:val="font161"/>
    <w:qFormat/>
    <w:uiPriority w:val="0"/>
    <w:rPr>
      <w:b/>
      <w:bCs/>
      <w:sz w:val="32"/>
      <w:szCs w:val="32"/>
    </w:rPr>
  </w:style>
  <w:style w:type="character" w:customStyle="1" w:styleId="170">
    <w:name w:val="unnamed1"/>
    <w:basedOn w:val="49"/>
    <w:qFormat/>
    <w:uiPriority w:val="0"/>
  </w:style>
  <w:style w:type="character" w:customStyle="1" w:styleId="171">
    <w:name w:val="zhou11"/>
    <w:qFormat/>
    <w:uiPriority w:val="0"/>
    <w:rPr>
      <w:color w:val="000000"/>
      <w:sz w:val="28"/>
      <w:szCs w:val="28"/>
    </w:rPr>
  </w:style>
  <w:style w:type="character" w:customStyle="1" w:styleId="172">
    <w:name w:val="页眉 Char"/>
    <w:link w:val="31"/>
    <w:qFormat/>
    <w:uiPriority w:val="0"/>
    <w:rPr>
      <w:rFonts w:eastAsia="宋体"/>
      <w:kern w:val="2"/>
      <w:sz w:val="18"/>
      <w:lang w:val="en-US" w:eastAsia="zh-CN" w:bidi="ar-SA"/>
    </w:rPr>
  </w:style>
  <w:style w:type="character" w:customStyle="1" w:styleId="173">
    <w:name w:val="正文(首行缩进) Char Char"/>
    <w:link w:val="159"/>
    <w:qFormat/>
    <w:uiPriority w:val="0"/>
    <w:rPr>
      <w:rFonts w:ascii="宋体" w:hAnsi="宋体"/>
      <w:spacing w:val="20"/>
      <w:kern w:val="24"/>
      <w:sz w:val="21"/>
      <w:szCs w:val="21"/>
      <w:lang w:val="en-IE" w:eastAsia="zh-CN" w:bidi="ar-SA"/>
    </w:rPr>
  </w:style>
  <w:style w:type="character" w:customStyle="1" w:styleId="174">
    <w:name w:val="font51"/>
    <w:basedOn w:val="49"/>
    <w:qFormat/>
    <w:uiPriority w:val="0"/>
    <w:rPr>
      <w:rFonts w:ascii="等线" w:hAnsi="等线" w:eastAsia="等线" w:cs="等线"/>
      <w:b/>
      <w:color w:val="000000"/>
      <w:sz w:val="24"/>
      <w:szCs w:val="24"/>
      <w:u w:val="none"/>
    </w:rPr>
  </w:style>
  <w:style w:type="character" w:customStyle="1" w:styleId="175">
    <w:name w:val="unnamed31"/>
    <w:qFormat/>
    <w:uiPriority w:val="0"/>
    <w:rPr>
      <w:color w:val="000066"/>
      <w:sz w:val="20"/>
      <w:szCs w:val="20"/>
    </w:rPr>
  </w:style>
  <w:style w:type="character" w:customStyle="1" w:styleId="176">
    <w:name w:val="font112"/>
    <w:basedOn w:val="49"/>
    <w:qFormat/>
    <w:uiPriority w:val="0"/>
    <w:rPr>
      <w:rFonts w:ascii="等线" w:hAnsi="等线" w:eastAsia="等线" w:cs="等线"/>
      <w:b/>
      <w:color w:val="000000"/>
      <w:sz w:val="40"/>
      <w:szCs w:val="40"/>
      <w:u w:val="none"/>
    </w:rPr>
  </w:style>
  <w:style w:type="character" w:customStyle="1" w:styleId="177">
    <w:name w:val="font71"/>
    <w:basedOn w:val="49"/>
    <w:qFormat/>
    <w:uiPriority w:val="0"/>
    <w:rPr>
      <w:rFonts w:hint="eastAsia" w:ascii="等线" w:hAnsi="等线" w:eastAsia="等线" w:cs="等线"/>
      <w:color w:val="000000"/>
      <w:sz w:val="28"/>
      <w:szCs w:val="28"/>
      <w:u w:val="none"/>
    </w:rPr>
  </w:style>
  <w:style w:type="character" w:customStyle="1" w:styleId="178">
    <w:name w:val="font101"/>
    <w:qFormat/>
    <w:uiPriority w:val="0"/>
    <w:rPr>
      <w:rFonts w:hint="default" w:ascii="Times New Roman" w:hAnsi="Times New Roman" w:cs="Times New Roman"/>
      <w:color w:val="000000"/>
      <w:sz w:val="18"/>
      <w:szCs w:val="18"/>
      <w:u w:val="none"/>
    </w:rPr>
  </w:style>
  <w:style w:type="character" w:customStyle="1" w:styleId="179">
    <w:name w:val="普通(网站) Char"/>
    <w:link w:val="42"/>
    <w:qFormat/>
    <w:uiPriority w:val="0"/>
    <w:rPr>
      <w:rFonts w:eastAsia="宋体"/>
      <w:kern w:val="2"/>
      <w:sz w:val="24"/>
      <w:szCs w:val="24"/>
      <w:lang w:val="en-US" w:eastAsia="zh-CN" w:bidi="ar-SA"/>
    </w:rPr>
  </w:style>
  <w:style w:type="character" w:customStyle="1" w:styleId="180">
    <w:name w:val="font81"/>
    <w:qFormat/>
    <w:uiPriority w:val="0"/>
    <w:rPr>
      <w:rFonts w:hint="eastAsia" w:ascii="宋体" w:hAnsi="宋体" w:eastAsia="宋体" w:cs="宋体"/>
      <w:color w:val="000000"/>
      <w:sz w:val="18"/>
      <w:szCs w:val="18"/>
      <w:u w:val="none"/>
    </w:rPr>
  </w:style>
  <w:style w:type="character" w:customStyle="1" w:styleId="181">
    <w:name w:val="font61"/>
    <w:basedOn w:val="49"/>
    <w:qFormat/>
    <w:uiPriority w:val="0"/>
    <w:rPr>
      <w:rFonts w:hint="eastAsia" w:ascii="宋体" w:hAnsi="宋体" w:eastAsia="宋体" w:cs="宋体"/>
      <w:color w:val="000000"/>
      <w:sz w:val="18"/>
      <w:szCs w:val="18"/>
      <w:u w:val="none"/>
    </w:rPr>
  </w:style>
  <w:style w:type="character" w:customStyle="1" w:styleId="182">
    <w:name w:val="标题 3 Char Char"/>
    <w:qFormat/>
    <w:uiPriority w:val="0"/>
    <w:rPr>
      <w:rFonts w:eastAsia="宋体"/>
      <w:b/>
      <w:bCs/>
      <w:kern w:val="2"/>
      <w:sz w:val="32"/>
      <w:szCs w:val="32"/>
      <w:lang w:val="en-US" w:eastAsia="zh-CN" w:bidi="ar-SA"/>
    </w:rPr>
  </w:style>
  <w:style w:type="character" w:customStyle="1" w:styleId="183">
    <w:name w:val="tcnt2"/>
    <w:basedOn w:val="49"/>
    <w:qFormat/>
    <w:uiPriority w:val="0"/>
  </w:style>
  <w:style w:type="character" w:customStyle="1" w:styleId="184">
    <w:name w:val="样式 粉红"/>
    <w:qFormat/>
    <w:uiPriority w:val="0"/>
    <w:rPr>
      <w:color w:val="auto"/>
      <w:szCs w:val="21"/>
      <w:u w:val="none"/>
    </w:rPr>
  </w:style>
  <w:style w:type="character" w:customStyle="1" w:styleId="185">
    <w:name w:val="font141"/>
    <w:basedOn w:val="49"/>
    <w:qFormat/>
    <w:uiPriority w:val="0"/>
    <w:rPr>
      <w:rFonts w:hint="eastAsia" w:ascii="宋体" w:hAnsi="宋体" w:eastAsia="宋体" w:cs="宋体"/>
      <w:b/>
      <w:color w:val="000000"/>
      <w:sz w:val="40"/>
      <w:szCs w:val="40"/>
      <w:u w:val="none"/>
    </w:rPr>
  </w:style>
  <w:style w:type="character" w:customStyle="1" w:styleId="186">
    <w:name w:val="样式 标准正文 + 宋体 Char Char"/>
    <w:link w:val="160"/>
    <w:qFormat/>
    <w:uiPriority w:val="0"/>
    <w:rPr>
      <w:rFonts w:ascii="宋体" w:hAnsi="宋体" w:eastAsia="宋体"/>
      <w:kern w:val="2"/>
      <w:sz w:val="24"/>
      <w:szCs w:val="24"/>
      <w:lang w:val="en-US" w:eastAsia="zh-CN" w:bidi="ar-SA"/>
    </w:rPr>
  </w:style>
  <w:style w:type="character" w:customStyle="1" w:styleId="187">
    <w:name w:val="apple-style-span"/>
    <w:basedOn w:val="49"/>
    <w:qFormat/>
    <w:uiPriority w:val="0"/>
  </w:style>
  <w:style w:type="character" w:customStyle="1" w:styleId="188">
    <w:name w:val="article1"/>
    <w:qFormat/>
    <w:uiPriority w:val="0"/>
    <w:rPr>
      <w:sz w:val="30"/>
      <w:szCs w:val="30"/>
    </w:rPr>
  </w:style>
  <w:style w:type="character" w:customStyle="1" w:styleId="189">
    <w:name w:val="font21"/>
    <w:qFormat/>
    <w:uiPriority w:val="0"/>
    <w:rPr>
      <w:rFonts w:hint="eastAsia" w:ascii="宋体" w:hAnsi="宋体" w:eastAsia="宋体"/>
      <w:color w:val="000000"/>
      <w:sz w:val="20"/>
      <w:szCs w:val="20"/>
      <w:u w:val="none"/>
    </w:rPr>
  </w:style>
  <w:style w:type="character" w:customStyle="1" w:styleId="190">
    <w:name w:val="black11"/>
    <w:qFormat/>
    <w:uiPriority w:val="0"/>
    <w:rPr>
      <w:color w:val="000000"/>
      <w:sz w:val="18"/>
      <w:szCs w:val="18"/>
    </w:rPr>
  </w:style>
  <w:style w:type="character" w:customStyle="1" w:styleId="191">
    <w:name w:val="标题 2 Char Char"/>
    <w:qFormat/>
    <w:uiPriority w:val="0"/>
    <w:rPr>
      <w:rFonts w:ascii="Arial" w:hAnsi="Arial" w:eastAsia="黑体"/>
      <w:b/>
      <w:bCs/>
      <w:kern w:val="2"/>
      <w:sz w:val="32"/>
      <w:szCs w:val="32"/>
      <w:lang w:val="en-US" w:eastAsia="zh-CN" w:bidi="ar-SA"/>
    </w:rPr>
  </w:style>
  <w:style w:type="character" w:customStyle="1" w:styleId="192">
    <w:name w:val="para"/>
    <w:basedOn w:val="49"/>
    <w:qFormat/>
    <w:uiPriority w:val="0"/>
  </w:style>
  <w:style w:type="character" w:customStyle="1" w:styleId="193">
    <w:name w:val="first-child"/>
    <w:basedOn w:val="49"/>
    <w:qFormat/>
    <w:uiPriority w:val="0"/>
  </w:style>
  <w:style w:type="character" w:customStyle="1" w:styleId="194">
    <w:name w:val="layui-layer-tabnow"/>
    <w:basedOn w:val="49"/>
    <w:qFormat/>
    <w:uiPriority w:val="0"/>
    <w:rPr>
      <w:bdr w:val="single" w:color="CCCCCC" w:sz="6" w:space="0"/>
      <w:shd w:val="clear" w:fill="FFFFFF"/>
    </w:rPr>
  </w:style>
  <w:style w:type="paragraph" w:customStyle="1" w:styleId="195">
    <w:name w:val="答复表头"/>
    <w:basedOn w:val="196"/>
    <w:next w:val="1"/>
    <w:qFormat/>
    <w:uiPriority w:val="0"/>
    <w:pPr>
      <w:tabs>
        <w:tab w:val="left" w:pos="480"/>
      </w:tabs>
    </w:pPr>
    <w:rPr>
      <w:b/>
    </w:rPr>
  </w:style>
  <w:style w:type="paragraph" w:customStyle="1" w:styleId="196">
    <w:name w:val="正表头"/>
    <w:basedOn w:val="1"/>
    <w:qFormat/>
    <w:uiPriority w:val="0"/>
    <w:pPr>
      <w:tabs>
        <w:tab w:val="left" w:pos="480"/>
      </w:tabs>
      <w:autoSpaceDE w:val="0"/>
      <w:autoSpaceDN w:val="0"/>
      <w:adjustRightInd w:val="0"/>
      <w:jc w:val="center"/>
      <w:textAlignment w:val="baseline"/>
    </w:pPr>
    <w:rPr>
      <w:rFonts w:ascii="宋体" w:hAnsi="Tms Rmn"/>
      <w:color w:val="000000"/>
      <w:kern w:val="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89</Pages>
  <Words>47777</Words>
  <Characters>51037</Characters>
  <Lines>1</Lines>
  <Paragraphs>1</Paragraphs>
  <TotalTime>46</TotalTime>
  <ScaleCrop>false</ScaleCrop>
  <LinksUpToDate>false</LinksUpToDate>
  <CharactersWithSpaces>54516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2015-03-16T03:41:00Z</dcterms:created>
  <dc:creator>YlmF</dc:creator>
  <cp:lastModifiedBy>夏邱霸气</cp:lastModifiedBy>
  <cp:lastPrinted>2023-10-16T02:42:27Z</cp:lastPrinted>
  <dcterms:modified xsi:type="dcterms:W3CDTF">2023-10-16T02:55:13Z</dcterms:modified>
  <dc:title>东莞市人民医院书架及档案密集架采购项目</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B600C20F32E541DC9B863F2DBDF806AD_13</vt:lpwstr>
  </property>
</Properties>
</file>