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bCs/>
          <w:color w:val="000000" w:themeColor="text1"/>
          <w:sz w:val="40"/>
          <w:szCs w:val="40"/>
          <w:lang w:eastAsia="zh-CN"/>
        </w:rPr>
      </w:pPr>
      <w:r>
        <w:rPr>
          <w:rFonts w:hint="eastAsia" w:ascii="宋体" w:hAnsi="宋体" w:eastAsia="迷你简小标宋" w:cs="宋体"/>
          <w:b/>
          <w:bCs/>
          <w:color w:val="auto"/>
          <w:kern w:val="0"/>
          <w:sz w:val="52"/>
          <w:szCs w:val="52"/>
          <w:shd w:val="clear" w:color="auto" w:fill="FFFFFF"/>
        </w:rPr>
        <w:t>克州维吾尔医医院医疗设备采购项目二包（内科、康复类）</w:t>
      </w:r>
    </w:p>
    <w:p>
      <w:pPr>
        <w:spacing w:line="760" w:lineRule="exact"/>
        <w:jc w:val="center"/>
        <w:rPr>
          <w:rFonts w:hint="eastAsia" w:ascii="仿宋" w:hAnsi="仿宋" w:eastAsia="仿宋" w:cs="仿宋"/>
          <w:b/>
          <w:bCs/>
          <w:color w:val="000000" w:themeColor="text1"/>
          <w:sz w:val="40"/>
          <w:szCs w:val="40"/>
          <w:lang w:eastAsia="zh-CN"/>
        </w:rPr>
      </w:pPr>
    </w:p>
    <w:p>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auto"/>
          <w:sz w:val="40"/>
          <w:szCs w:val="40"/>
          <w:lang w:eastAsia="zh-CN"/>
        </w:rPr>
        <w:t>KZZB-202</w:t>
      </w:r>
      <w:r>
        <w:rPr>
          <w:rFonts w:hint="eastAsia" w:ascii="仿宋" w:hAnsi="仿宋" w:eastAsia="仿宋" w:cs="仿宋"/>
          <w:b/>
          <w:bCs/>
          <w:color w:val="auto"/>
          <w:sz w:val="40"/>
          <w:szCs w:val="40"/>
          <w:lang w:val="en-US" w:eastAsia="zh-CN"/>
        </w:rPr>
        <w:t>4072</w:t>
      </w:r>
    </w:p>
    <w:p>
      <w:pPr>
        <w:pStyle w:val="32"/>
        <w:rPr>
          <w:rFonts w:ascii="仿宋" w:hAnsi="仿宋" w:eastAsia="仿宋" w:cs="仿宋"/>
          <w:color w:val="000000" w:themeColor="text1"/>
        </w:rPr>
      </w:pPr>
    </w:p>
    <w:p>
      <w:pPr>
        <w:pStyle w:val="32"/>
        <w:rPr>
          <w:rFonts w:ascii="仿宋" w:hAnsi="仿宋" w:eastAsia="仿宋" w:cs="仿宋"/>
          <w:color w:val="000000" w:themeColor="text1"/>
        </w:rPr>
      </w:pPr>
    </w:p>
    <w:p>
      <w:pPr>
        <w:pStyle w:val="32"/>
        <w:rPr>
          <w:rFonts w:ascii="仿宋" w:hAnsi="仿宋" w:eastAsia="仿宋" w:cs="仿宋"/>
          <w:color w:val="000000" w:themeColor="text1"/>
        </w:rPr>
      </w:pPr>
    </w:p>
    <w:p>
      <w:pPr>
        <w:pStyle w:val="32"/>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pPr>
        <w:pStyle w:val="32"/>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pPr>
        <w:pStyle w:val="32"/>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pPr>
        <w:pStyle w:val="32"/>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采购单位：克孜勒苏柯尔克孜自治州维吾尔医医院    </w:t>
      </w:r>
    </w:p>
    <w:p>
      <w:pPr>
        <w:spacing w:line="700" w:lineRule="exact"/>
        <w:rPr>
          <w:rFonts w:hint="default" w:ascii="仿宋" w:hAnsi="仿宋" w:eastAsia="仿宋" w:cs="仿宋"/>
          <w:color w:val="0000FF"/>
          <w:sz w:val="32"/>
          <w:szCs w:val="32"/>
          <w:lang w:val="en-US"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伏</w:t>
      </w:r>
      <w:r>
        <w:rPr>
          <w:rFonts w:hint="eastAsia" w:ascii="仿宋" w:hAnsi="仿宋" w:eastAsia="仿宋" w:cs="仿宋"/>
          <w:color w:val="auto"/>
          <w:sz w:val="32"/>
          <w:szCs w:val="32"/>
          <w:lang w:eastAsia="zh-CN"/>
        </w:rPr>
        <w:t xml:space="preserve">女士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18209081616</w:t>
      </w:r>
    </w:p>
    <w:p>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p>
    <w:p>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魏女士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17799081359</w:t>
      </w:r>
    </w:p>
    <w:p>
      <w:pPr>
        <w:pStyle w:val="29"/>
        <w:rPr>
          <w:rFonts w:ascii="仿宋" w:hAnsi="仿宋" w:eastAsia="仿宋" w:cs="仿宋"/>
          <w:b/>
          <w:color w:val="000000" w:themeColor="text1"/>
          <w:sz w:val="36"/>
          <w:szCs w:val="36"/>
          <w:lang w:eastAsia="zh-CN"/>
        </w:rPr>
      </w:pPr>
    </w:p>
    <w:p>
      <w:pPr>
        <w:jc w:val="center"/>
        <w:rPr>
          <w:rFonts w:hint="eastAsia" w:ascii="仿宋" w:hAnsi="仿宋" w:eastAsia="仿宋" w:cs="仿宋"/>
          <w:b w:val="0"/>
          <w:bCs/>
          <w:color w:val="000000" w:themeColor="text1"/>
          <w:sz w:val="36"/>
          <w:szCs w:val="36"/>
          <w:lang w:val="en-US" w:eastAsia="zh-CN"/>
        </w:rPr>
      </w:pPr>
    </w:p>
    <w:p>
      <w:pPr>
        <w:jc w:val="center"/>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2024年5月</w:t>
      </w:r>
    </w:p>
    <w:p>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10"/>
        <w:rPr>
          <w:rFonts w:hint="eastAsia"/>
          <w:lang w:eastAsia="zh-CN"/>
        </w:rPr>
      </w:pPr>
    </w:p>
    <w:p>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3"/>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388" w:type="dxa"/>
          </w:tcPr>
          <w:p>
            <w:pPr>
              <w:spacing w:line="500" w:lineRule="exact"/>
              <w:jc w:val="both"/>
              <w:rPr>
                <w:rFonts w:ascii="仿宋" w:hAnsi="仿宋" w:eastAsia="仿宋" w:cs="仿宋"/>
                <w:color w:val="000000" w:themeColor="text1"/>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 xml:space="preserve">采购单位：克孜勒苏柯尔克孜自治州维吾尔医医院  </w:t>
            </w:r>
            <w:r>
              <w:rPr>
                <w:rFonts w:hint="eastAsia" w:ascii="仿宋" w:hAnsi="仿宋" w:eastAsia="仿宋" w:cs="仿宋"/>
                <w:color w:val="000000" w:themeColor="text1"/>
                <w:w w:val="95"/>
                <w:sz w:val="32"/>
                <w:szCs w:val="32"/>
                <w:lang w:eastAsia="zh-CN"/>
              </w:rPr>
              <w:t>（盖章）</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采购项目名称：克州维吾尔医医院医疗设备采购项目二包（内科、康复类）</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pPr>
              <w:pStyle w:val="4"/>
              <w:jc w:val="both"/>
              <w:outlineLvl w:val="2"/>
              <w:rPr>
                <w:rFonts w:ascii="仿宋" w:hAnsi="仿宋" w:eastAsia="仿宋" w:cs="仿宋"/>
                <w:color w:val="000000" w:themeColor="text1"/>
                <w:lang w:eastAsia="zh-CN"/>
              </w:rPr>
            </w:pPr>
          </w:p>
          <w:p>
            <w:pPr>
              <w:jc w:val="both"/>
              <w:rPr>
                <w:rFonts w:ascii="仿宋" w:hAnsi="仿宋" w:eastAsia="仿宋" w:cs="仿宋"/>
                <w:color w:val="000000" w:themeColor="text1"/>
                <w:lang w:eastAsia="zh-CN"/>
              </w:rPr>
            </w:pPr>
          </w:p>
          <w:p>
            <w:pPr>
              <w:pStyle w:val="4"/>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月</w:t>
            </w:r>
          </w:p>
          <w:p>
            <w:pPr>
              <w:pStyle w:val="4"/>
              <w:jc w:val="both"/>
              <w:outlineLvl w:val="2"/>
              <w:rPr>
                <w:rFonts w:ascii="仿宋" w:hAnsi="仿宋" w:eastAsia="仿宋" w:cs="仿宋"/>
                <w:color w:val="000000" w:themeColor="text1"/>
              </w:rPr>
            </w:pPr>
          </w:p>
        </w:tc>
      </w:tr>
    </w:tbl>
    <w:p>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33"/>
        <w:spacing w:before="0" w:line="360" w:lineRule="auto"/>
        <w:jc w:val="both"/>
        <w:rPr>
          <w:rFonts w:ascii="仿宋" w:hAnsi="仿宋" w:eastAsia="仿宋" w:cs="仿宋"/>
          <w:color w:val="000000" w:themeColor="text1"/>
          <w:sz w:val="44"/>
          <w:szCs w:val="44"/>
          <w:lang w:val="zh-CN"/>
        </w:rPr>
      </w:pPr>
    </w:p>
    <w:p>
      <w:pPr>
        <w:pStyle w:val="33"/>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pPr>
        <w:widowControl/>
        <w:rPr>
          <w:rFonts w:ascii="仿宋" w:hAnsi="仿宋" w:eastAsia="仿宋" w:cs="仿宋"/>
          <w:color w:val="000000" w:themeColor="text1"/>
          <w:sz w:val="30"/>
          <w:szCs w:val="30"/>
        </w:rPr>
      </w:pPr>
    </w:p>
    <w:p>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pPr>
        <w:pStyle w:val="8"/>
        <w:numPr>
          <w:ilvl w:val="0"/>
          <w:numId w:val="0"/>
        </w:numPr>
        <w:tabs>
          <w:tab w:val="clear" w:pos="780"/>
        </w:tabs>
        <w:spacing w:line="480" w:lineRule="auto"/>
        <w:rPr>
          <w:rFonts w:ascii="仿宋" w:hAnsi="仿宋" w:eastAsia="仿宋" w:cs="仿宋"/>
          <w:color w:val="000000" w:themeColor="text1"/>
          <w:lang w:eastAsia="zh-CN"/>
        </w:rPr>
      </w:pPr>
    </w:p>
    <w:p>
      <w:pPr>
        <w:spacing w:line="480" w:lineRule="auto"/>
        <w:rPr>
          <w:rFonts w:ascii="仿宋" w:hAnsi="仿宋" w:eastAsia="仿宋" w:cs="仿宋"/>
          <w:color w:val="000000" w:themeColor="text1"/>
          <w:lang w:eastAsia="zh-CN"/>
        </w:rPr>
      </w:pPr>
    </w:p>
    <w:p>
      <w:pPr>
        <w:pStyle w:val="4"/>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4"/>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4"/>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34"/>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4"/>
        <w:keepNext/>
        <w:keepLines/>
        <w:numPr>
          <w:ilvl w:val="0"/>
          <w:numId w:val="0"/>
        </w:numPr>
        <w:spacing w:before="120" w:after="300"/>
        <w:ind w:firstLine="3240" w:firstLineChars="900"/>
        <w:jc w:val="both"/>
        <w:rPr>
          <w:rFonts w:hint="eastAsia" w:ascii="宋体" w:hAnsi="宋体" w:cs="宋体"/>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28359001"/>
      <w:bookmarkStart w:id="1" w:name="_Toc35393789"/>
    </w:p>
    <w:bookmarkEnd w:id="0"/>
    <w:bookmarkEnd w:id="1"/>
    <w:p>
      <w:pPr>
        <w:shd w:val="clear" w:color="auto" w:fill="auto"/>
        <w:adjustRightInd w:val="0"/>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32"/>
          <w:szCs w:val="32"/>
          <w:highlight w:val="none"/>
          <w:shd w:val="clear" w:color="auto" w:fill="FFFFFF"/>
          <w:lang w:val="en-US" w:eastAsia="zh-CN"/>
        </w:rPr>
        <w:t>新疆鑫润华工程项目管理有限公司关于克州维吾尔医医院医疗设备采购项目二包（内科、康复类）的</w:t>
      </w:r>
      <w:r>
        <w:rPr>
          <w:rFonts w:hint="eastAsia" w:ascii="仿宋" w:hAnsi="仿宋" w:eastAsia="仿宋" w:cs="仿宋"/>
          <w:b/>
          <w:color w:val="auto"/>
          <w:sz w:val="32"/>
          <w:szCs w:val="32"/>
          <w:highlight w:val="none"/>
          <w:shd w:val="clear" w:color="auto" w:fill="FFFFFF"/>
        </w:rPr>
        <w:t>公开招标公告</w:t>
      </w:r>
    </w:p>
    <w:p>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Style w:val="18"/>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克州维吾尔医医院医疗设备采购项目二包（内科、康复类）的潜在投标人应在供应商登陆政采云平台http://www.zcygov.cn/，在线获取招标文件（登录政府采购云平台 → 项目采购 →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auto"/>
          <w:sz w:val="24"/>
          <w:szCs w:val="24"/>
          <w:highlight w:val="none"/>
          <w:u w:val="none"/>
        </w:rPr>
        <w:t>202</w:t>
      </w:r>
      <w:r>
        <w:rPr>
          <w:rFonts w:hint="eastAsia" w:ascii="仿宋" w:hAnsi="仿宋" w:eastAsia="仿宋" w:cs="仿宋"/>
          <w:b w:val="0"/>
          <w:bCs w:val="0"/>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rPr>
        <w:t>年</w:t>
      </w:r>
      <w:r>
        <w:rPr>
          <w:rFonts w:hint="eastAsia" w:ascii="仿宋" w:hAnsi="仿宋" w:eastAsia="仿宋" w:cs="仿宋"/>
          <w:b w:val="0"/>
          <w:bCs w:val="0"/>
          <w:color w:val="auto"/>
          <w:sz w:val="24"/>
          <w:szCs w:val="24"/>
          <w:highlight w:val="none"/>
          <w:u w:val="none"/>
          <w:lang w:val="en-US" w:eastAsia="zh-CN"/>
        </w:rPr>
        <w:t>6</w:t>
      </w:r>
      <w:r>
        <w:rPr>
          <w:rFonts w:hint="eastAsia" w:ascii="仿宋" w:hAnsi="仿宋" w:eastAsia="仿宋" w:cs="仿宋"/>
          <w:b w:val="0"/>
          <w:bCs w:val="0"/>
          <w:color w:val="auto"/>
          <w:sz w:val="24"/>
          <w:szCs w:val="24"/>
          <w:highlight w:val="none"/>
          <w:u w:val="none"/>
        </w:rPr>
        <w:t>月</w:t>
      </w:r>
      <w:r>
        <w:rPr>
          <w:rFonts w:hint="eastAsia" w:ascii="仿宋" w:hAnsi="仿宋" w:eastAsia="仿宋" w:cs="仿宋"/>
          <w:b w:val="0"/>
          <w:bCs w:val="0"/>
          <w:color w:val="auto"/>
          <w:sz w:val="24"/>
          <w:szCs w:val="24"/>
          <w:highlight w:val="none"/>
          <w:u w:val="none"/>
          <w:lang w:val="en-US" w:eastAsia="zh-CN"/>
        </w:rPr>
        <w:t xml:space="preserve"> 5 </w:t>
      </w:r>
      <w:r>
        <w:rPr>
          <w:rFonts w:hint="eastAsia" w:ascii="仿宋" w:hAnsi="仿宋" w:eastAsia="仿宋" w:cs="仿宋"/>
          <w:b w:val="0"/>
          <w:bCs w:val="0"/>
          <w:color w:val="auto"/>
          <w:sz w:val="24"/>
          <w:szCs w:val="24"/>
          <w:highlight w:val="none"/>
          <w:u w:val="none"/>
        </w:rPr>
        <w:t>日</w:t>
      </w:r>
      <w:r>
        <w:rPr>
          <w:rFonts w:hint="eastAsia" w:ascii="仿宋" w:hAnsi="仿宋" w:eastAsia="仿宋" w:cs="仿宋"/>
          <w:color w:val="000000"/>
          <w:sz w:val="24"/>
          <w:szCs w:val="24"/>
          <w:highlight w:val="none"/>
          <w:u w:val="none"/>
        </w:rPr>
        <w:t xml:space="preserve"> 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0（北京时间）前递交投标文件。</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rPr>
        <w:t>项目编号：</w:t>
      </w:r>
      <w:r>
        <w:rPr>
          <w:rFonts w:hint="eastAsia" w:ascii="仿宋" w:hAnsi="仿宋" w:eastAsia="仿宋" w:cs="仿宋"/>
          <w:b w:val="0"/>
          <w:bCs w:val="0"/>
          <w:color w:val="auto"/>
          <w:sz w:val="24"/>
          <w:szCs w:val="24"/>
          <w:lang w:val="en-US" w:eastAsia="zh-CN"/>
        </w:rPr>
        <w:t>KZZB-2024072</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color w:val="auto"/>
          <w:sz w:val="24"/>
          <w:szCs w:val="24"/>
          <w:highlight w:val="none"/>
          <w:lang w:eastAsia="zh-CN"/>
        </w:rPr>
        <w:t>克州维吾尔医医院医疗设备采购项目二包（内科、康复类）</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color w:val="auto"/>
          <w:sz w:val="24"/>
          <w:szCs w:val="24"/>
          <w:lang w:val="en-US" w:eastAsia="zh-CN"/>
        </w:rPr>
        <w:t>1247300.00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最高限价（元）：</w:t>
      </w:r>
      <w:r>
        <w:rPr>
          <w:rFonts w:hint="eastAsia" w:ascii="仿宋" w:hAnsi="仿宋" w:eastAsia="仿宋" w:cs="仿宋"/>
          <w:color w:val="auto"/>
          <w:sz w:val="24"/>
          <w:szCs w:val="24"/>
          <w:lang w:val="en-US" w:eastAsia="zh-CN"/>
        </w:rPr>
        <w:t>1247300.00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color w:val="auto"/>
          <w:spacing w:val="-11"/>
          <w:sz w:val="24"/>
          <w:szCs w:val="24"/>
          <w:lang w:val="en-US" w:eastAsia="zh-CN"/>
        </w:rPr>
      </w:pPr>
      <w:r>
        <w:rPr>
          <w:rFonts w:hint="eastAsia" w:ascii="仿宋" w:hAnsi="仿宋" w:eastAsia="仿宋" w:cs="仿宋"/>
          <w:color w:val="auto"/>
          <w:sz w:val="24"/>
          <w:szCs w:val="24"/>
          <w:lang w:val="en-US" w:eastAsia="zh-CN"/>
        </w:rPr>
        <w:t>标项名称:</w:t>
      </w:r>
      <w:r>
        <w:rPr>
          <w:rFonts w:hint="eastAsia" w:ascii="仿宋" w:hAnsi="仿宋" w:eastAsia="仿宋" w:cs="仿宋"/>
          <w:color w:val="auto"/>
          <w:sz w:val="24"/>
          <w:szCs w:val="24"/>
          <w:highlight w:val="none"/>
          <w:lang w:eastAsia="zh-CN"/>
        </w:rPr>
        <w:t>克州维吾尔医医院医疗设备采购项目二包（内科、康复类）</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数量:1批</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预算金额（元）：1247300.00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简要规格描述或项目基本概况介绍、用途：内科、康复类设备1批</w:t>
      </w:r>
      <w:r>
        <w:rPr>
          <w:rFonts w:hint="eastAsia" w:ascii="仿宋" w:hAnsi="仿宋" w:eastAsia="仿宋" w:cs="仿宋"/>
          <w:sz w:val="24"/>
          <w:szCs w:val="24"/>
        </w:rPr>
        <w:t>。</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备注：具体详见招标文件</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w:t>
      </w:r>
      <w:r>
        <w:rPr>
          <w:rFonts w:hint="eastAsia" w:ascii="仿宋" w:hAnsi="仿宋" w:eastAsia="仿宋" w:cs="仿宋"/>
          <w:sz w:val="24"/>
          <w:szCs w:val="24"/>
          <w:lang w:val="en-US" w:eastAsia="zh-CN"/>
        </w:rPr>
        <w:t>签订合同后15日内完成供货</w:t>
      </w:r>
      <w:r>
        <w:rPr>
          <w:rFonts w:hint="eastAsia" w:ascii="仿宋" w:hAnsi="仿宋" w:eastAsia="仿宋" w:cs="仿宋"/>
          <w:sz w:val="24"/>
          <w:szCs w:val="24"/>
        </w:rPr>
        <w:t>。</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否</w:t>
      </w:r>
      <w:r>
        <w:rPr>
          <w:rFonts w:hint="eastAsia" w:ascii="仿宋" w:hAnsi="仿宋" w:eastAsia="仿宋" w:cs="仿宋"/>
          <w:sz w:val="24"/>
          <w:szCs w:val="24"/>
        </w:rPr>
        <w:t>）接受联合体投标。</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Style w:val="25"/>
          <w:rFonts w:hint="eastAsia" w:ascii="仿宋" w:hAnsi="仿宋" w:eastAsia="仿宋" w:cs="仿宋"/>
          <w:sz w:val="24"/>
          <w:szCs w:val="24"/>
        </w:rPr>
        <w:t>二、申请人的资格要求：</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2.落实政府采购政策需满足的资格要求：</w:t>
      </w:r>
      <w:r>
        <w:rPr>
          <w:rFonts w:hint="eastAsia" w:ascii="仿宋" w:hAnsi="仿宋" w:eastAsia="仿宋" w:cs="仿宋"/>
          <w:sz w:val="24"/>
          <w:szCs w:val="24"/>
          <w:lang w:val="en-US" w:eastAsia="zh-CN"/>
        </w:rPr>
        <w:t>供应商为中小企业</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投标企业须提供有效的《医疗器械生产许可证》或《医疗器械经营许可证》（二类医疗器械需提供医疗器械备案凭证）</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z w:val="24"/>
          <w:szCs w:val="24"/>
        </w:rPr>
        <w:t>三、获取招标文件</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14</w:t>
      </w:r>
      <w:r>
        <w:rPr>
          <w:rFonts w:hint="eastAsia" w:ascii="仿宋" w:hAnsi="仿宋" w:eastAsia="仿宋" w:cs="仿宋"/>
          <w:color w:val="auto"/>
          <w:spacing w:val="-6"/>
          <w:sz w:val="24"/>
          <w:szCs w:val="24"/>
        </w:rPr>
        <w:t>日至202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22</w:t>
      </w:r>
      <w:r>
        <w:rPr>
          <w:rFonts w:hint="eastAsia" w:ascii="仿宋" w:hAnsi="仿宋" w:eastAsia="仿宋" w:cs="仿宋"/>
          <w:color w:val="auto"/>
          <w:spacing w:val="-6"/>
          <w:sz w:val="24"/>
          <w:szCs w:val="24"/>
        </w:rPr>
        <w:t>日，每天上午10:00至</w:t>
      </w:r>
      <w:r>
        <w:rPr>
          <w:rFonts w:hint="eastAsia" w:ascii="仿宋" w:hAnsi="仿宋" w:eastAsia="仿宋" w:cs="仿宋"/>
          <w:color w:val="auto"/>
          <w:spacing w:val="-6"/>
          <w:sz w:val="24"/>
          <w:szCs w:val="24"/>
          <w:lang w:val="en-US" w:eastAsia="zh-CN"/>
        </w:rPr>
        <w:t>13：3</w:t>
      </w:r>
      <w:r>
        <w:rPr>
          <w:rFonts w:hint="eastAsia" w:ascii="仿宋" w:hAnsi="仿宋" w:eastAsia="仿宋" w:cs="仿宋"/>
          <w:color w:val="auto"/>
          <w:spacing w:val="-6"/>
          <w:sz w:val="24"/>
          <w:szCs w:val="24"/>
        </w:rPr>
        <w:t>0，下午16:</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至</w:t>
      </w:r>
      <w:r>
        <w:rPr>
          <w:rFonts w:hint="eastAsia" w:ascii="仿宋" w:hAnsi="仿宋" w:eastAsia="仿宋" w:cs="仿宋"/>
          <w:color w:val="auto"/>
          <w:spacing w:val="-6"/>
          <w:sz w:val="24"/>
          <w:szCs w:val="24"/>
          <w:lang w:val="en-US" w:eastAsia="zh-CN"/>
        </w:rPr>
        <w:t>20：00</w:t>
      </w:r>
      <w:r>
        <w:rPr>
          <w:rFonts w:hint="eastAsia" w:ascii="仿宋" w:hAnsi="仿宋" w:eastAsia="仿宋" w:cs="仿宋"/>
          <w:color w:val="auto"/>
          <w:spacing w:val="-6"/>
          <w:sz w:val="24"/>
          <w:szCs w:val="24"/>
        </w:rPr>
        <w:t>（北京时间，法定节假日除外）</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四、提交投标文件截止时间、开标时间和地点</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6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6</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5 </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五、公告期限</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pPr>
        <w:pStyle w:val="18"/>
        <w:keepNext w:val="0"/>
        <w:keepLines w:val="0"/>
        <w:pageBreakBefore w:val="0"/>
        <w:widowControl/>
        <w:numPr>
          <w:ilvl w:val="0"/>
          <w:numId w:val="2"/>
        </w:numPr>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spacing w:val="-6"/>
          <w:sz w:val="24"/>
          <w:szCs w:val="24"/>
        </w:rPr>
      </w:pPr>
      <w:r>
        <w:rPr>
          <w:rStyle w:val="25"/>
          <w:rFonts w:hint="eastAsia" w:ascii="仿宋" w:hAnsi="仿宋" w:eastAsia="仿宋" w:cs="仿宋"/>
          <w:spacing w:val="-6"/>
          <w:sz w:val="24"/>
          <w:szCs w:val="24"/>
        </w:rPr>
        <w:t>其他补充事宜</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sz w:val="24"/>
          <w:szCs w:val="24"/>
        </w:rPr>
      </w:pPr>
      <w:r>
        <w:rPr>
          <w:rStyle w:val="25"/>
          <w:rFonts w:hint="eastAsia" w:ascii="仿宋" w:hAnsi="仿宋" w:eastAsia="仿宋" w:cs="仿宋"/>
          <w:spacing w:val="-6"/>
          <w:sz w:val="24"/>
          <w:szCs w:val="24"/>
          <w:lang w:val="en-US" w:eastAsia="zh-CN"/>
        </w:rPr>
        <w:t>无</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特别提示：</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1、采购限额标准以上，200万元以下的货物和服务采购项目、400万元以下的工程采购项目，适宜由中小企业提供的，采购人应当专门面向中小企业采购。</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2、超过200万元的货物和服务采购项目，预留该部分采购项目预算总额的30%以上专门面向中小企业采购，其中预留给小微企业的比例不低于60%。</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3、超过400万元的工程采购项目中适宜由中小企业提供的，预留该部分采购项目预算总额的40%以上专门面向中小企业采购，其中预留给小微企业的比例不低于60%。</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8"/>
        <w:keepNext w:val="0"/>
        <w:keepLines w:val="0"/>
        <w:widowControl/>
        <w:suppressLineNumbers w:val="0"/>
        <w:spacing w:line="360" w:lineRule="auto"/>
        <w:rPr>
          <w:rFonts w:hint="eastAsia" w:ascii="仿宋" w:hAnsi="仿宋" w:eastAsia="仿宋" w:cs="仿宋"/>
          <w:b/>
          <w:bCs/>
          <w:sz w:val="24"/>
          <w:szCs w:val="24"/>
        </w:rPr>
      </w:pPr>
      <w:r>
        <w:rPr>
          <w:rStyle w:val="25"/>
          <w:rFonts w:hint="eastAsia" w:ascii="仿宋" w:hAnsi="仿宋" w:eastAsia="仿宋" w:cs="仿宋"/>
          <w:b/>
          <w:bCs/>
          <w:sz w:val="24"/>
          <w:szCs w:val="24"/>
        </w:rPr>
        <w:t>七、对本次采购提出询问，请按以下方式联系</w:t>
      </w:r>
    </w:p>
    <w:p>
      <w:pPr>
        <w:pStyle w:val="18"/>
        <w:keepNext w:val="0"/>
        <w:keepLines w:val="0"/>
        <w:widowControl/>
        <w:suppressLineNumbers w:val="0"/>
        <w:spacing w:line="360" w:lineRule="auto"/>
        <w:ind w:left="0"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pPr>
        <w:pStyle w:val="18"/>
        <w:keepNext w:val="0"/>
        <w:keepLines w:val="0"/>
        <w:widowControl/>
        <w:suppressLineNumbers w:val="0"/>
        <w:spacing w:line="360" w:lineRule="auto"/>
        <w:ind w:left="0" w:firstLine="420"/>
        <w:rPr>
          <w:rFonts w:hint="eastAsia" w:ascii="仿宋" w:hAnsi="仿宋" w:eastAsia="仿宋" w:cs="仿宋"/>
          <w:sz w:val="24"/>
          <w:szCs w:val="24"/>
          <w:lang w:eastAsia="zh-CN"/>
        </w:rPr>
      </w:pPr>
      <w:r>
        <w:rPr>
          <w:rFonts w:hint="eastAsia" w:ascii="仿宋" w:hAnsi="仿宋" w:eastAsia="仿宋" w:cs="仿宋"/>
          <w:sz w:val="24"/>
          <w:szCs w:val="24"/>
        </w:rPr>
        <w:t>名 称： 克孜勒苏柯尔克孜自治州维吾尔医医院</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址：阿图什市</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18209081616</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28"/>
          <w:rFonts w:hint="eastAsia" w:ascii="仿宋" w:hAnsi="仿宋" w:eastAsia="仿宋" w:cs="仿宋"/>
          <w:sz w:val="24"/>
          <w:szCs w:val="24"/>
          <w:lang w:val="en-US" w:eastAsia="zh-CN"/>
        </w:rPr>
        <w:t>17799081359</w:t>
      </w:r>
    </w:p>
    <w:p>
      <w:pPr>
        <w:rPr>
          <w:rFonts w:hint="eastAsia" w:ascii="仿宋" w:hAnsi="仿宋" w:eastAsia="仿宋" w:cs="仿宋"/>
          <w:sz w:val="24"/>
          <w:szCs w:val="32"/>
        </w:rPr>
      </w:pPr>
    </w:p>
    <w:p>
      <w:pPr>
        <w:bidi w:val="0"/>
        <w:rPr>
          <w:rFonts w:hint="eastAsia" w:ascii="仿宋" w:hAnsi="仿宋" w:eastAsia="仿宋" w:cs="仿宋"/>
          <w:kern w:val="2"/>
          <w:sz w:val="24"/>
          <w:szCs w:val="32"/>
          <w:lang w:val="en-US" w:eastAsia="zh-CN" w:bidi="ar-SA"/>
        </w:rPr>
      </w:pPr>
    </w:p>
    <w:p>
      <w:pPr>
        <w:bidi w:val="0"/>
        <w:rPr>
          <w:rFonts w:hint="eastAsia" w:ascii="仿宋" w:hAnsi="仿宋" w:eastAsia="仿宋" w:cs="仿宋"/>
          <w:sz w:val="22"/>
          <w:szCs w:val="28"/>
          <w:lang w:val="en-US" w:eastAsia="zh-CN"/>
        </w:rPr>
      </w:pPr>
    </w:p>
    <w:p>
      <w:pPr>
        <w:bidi w:val="0"/>
        <w:jc w:val="center"/>
        <w:rPr>
          <w:rFonts w:hint="eastAsia" w:ascii="仿宋" w:hAnsi="仿宋" w:eastAsia="仿宋" w:cs="仿宋"/>
          <w:sz w:val="22"/>
          <w:szCs w:val="28"/>
          <w:lang w:val="en-US" w:eastAsia="zh-CN"/>
        </w:rPr>
      </w:pPr>
    </w:p>
    <w:p>
      <w:pPr>
        <w:pStyle w:val="21"/>
        <w:rPr>
          <w:rFonts w:hint="eastAsia" w:ascii="仿宋" w:hAnsi="仿宋" w:eastAsia="仿宋" w:cs="仿宋"/>
        </w:rPr>
      </w:pPr>
    </w:p>
    <w:p>
      <w:pPr>
        <w:pStyle w:val="21"/>
        <w:rPr>
          <w:rFonts w:hint="eastAsia" w:ascii="仿宋" w:hAnsi="仿宋" w:eastAsia="仿宋" w:cs="仿宋"/>
        </w:rPr>
      </w:pPr>
    </w:p>
    <w:p>
      <w:pPr>
        <w:pStyle w:val="10"/>
        <w:rPr>
          <w:rFonts w:hint="eastAsia" w:ascii="仿宋" w:hAnsi="仿宋" w:eastAsia="仿宋" w:cs="仿宋"/>
        </w:rPr>
        <w:sectPr>
          <w:headerReference r:id="rId7" w:type="default"/>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1"/>
        <w:ind w:left="0" w:leftChars="0" w:firstLine="0" w:firstLineChars="0"/>
        <w:rPr>
          <w:rFonts w:hint="eastAsia"/>
        </w:rPr>
      </w:pPr>
    </w:p>
    <w:p>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2"/>
        <w:tblW w:w="9945" w:type="dxa"/>
        <w:jc w:val="center"/>
        <w:tblLayout w:type="fixed"/>
        <w:tblCellMar>
          <w:top w:w="0" w:type="dxa"/>
          <w:left w:w="108" w:type="dxa"/>
          <w:bottom w:w="0" w:type="dxa"/>
          <w:right w:w="108" w:type="dxa"/>
        </w:tblCellMar>
      </w:tblPr>
      <w:tblGrid>
        <w:gridCol w:w="638"/>
        <w:gridCol w:w="1485"/>
        <w:gridCol w:w="7822"/>
      </w:tblGrid>
      <w:tr>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pPr>
              <w:pStyle w:val="29"/>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pPr>
              <w:pStyle w:val="29"/>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pPr>
              <w:pStyle w:val="29"/>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pPr>
              <w:pStyle w:val="29"/>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交货期：</w:t>
            </w:r>
          </w:p>
          <w:p>
            <w:pPr>
              <w:pStyle w:val="29"/>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项目名称：克州维吾尔医医院医疗设备采购项目二包（内科、康复类）</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FF"/>
                <w:lang w:val="en-US" w:eastAsia="zh-CN"/>
              </w:rPr>
            </w:pPr>
            <w:r>
              <w:rPr>
                <w:rFonts w:hint="eastAsia" w:ascii="仿宋" w:hAnsi="仿宋" w:eastAsia="仿宋" w:cs="仿宋"/>
                <w:color w:val="000000" w:themeColor="text1"/>
                <w:lang w:eastAsia="zh-CN"/>
              </w:rPr>
              <w:t>项目编号：</w:t>
            </w:r>
            <w:r>
              <w:rPr>
                <w:rFonts w:hint="eastAsia" w:ascii="仿宋" w:hAnsi="仿宋" w:eastAsia="仿宋" w:cs="仿宋"/>
                <w:b w:val="0"/>
                <w:bCs w:val="0"/>
                <w:color w:val="auto"/>
                <w:lang w:eastAsia="zh-CN"/>
              </w:rPr>
              <w:t>KZZB-20</w:t>
            </w:r>
            <w:r>
              <w:rPr>
                <w:rFonts w:hint="eastAsia" w:ascii="仿宋" w:hAnsi="仿宋" w:eastAsia="仿宋" w:cs="仿宋"/>
                <w:b w:val="0"/>
                <w:bCs w:val="0"/>
                <w:color w:val="auto"/>
                <w:lang w:val="en-US" w:eastAsia="zh-CN"/>
              </w:rPr>
              <w:t>24072</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采购内容：内科、康复类设备1批</w:t>
            </w:r>
            <w:r>
              <w:rPr>
                <w:rFonts w:hint="eastAsia" w:ascii="仿宋" w:hAnsi="仿宋" w:eastAsia="仿宋" w:cs="仿宋"/>
                <w:sz w:val="22"/>
                <w:szCs w:val="22"/>
                <w:lang w:val="en-US" w:eastAsia="zh-CN"/>
              </w:rPr>
              <w:t>。</w:t>
            </w:r>
            <w:r>
              <w:rPr>
                <w:rFonts w:hint="eastAsia" w:ascii="仿宋" w:hAnsi="仿宋" w:eastAsia="仿宋" w:cs="仿宋"/>
                <w:color w:val="000000" w:themeColor="text1"/>
                <w:lang w:eastAsia="zh-CN"/>
              </w:rPr>
              <w:t>（具体详见</w:t>
            </w:r>
            <w:r>
              <w:rPr>
                <w:rFonts w:hint="eastAsia" w:ascii="仿宋" w:hAnsi="仿宋" w:eastAsia="仿宋" w:cs="仿宋"/>
                <w:color w:val="000000" w:themeColor="text1"/>
                <w:lang w:val="en-US" w:eastAsia="zh-CN"/>
              </w:rPr>
              <w:t>采购</w:t>
            </w:r>
            <w:r>
              <w:rPr>
                <w:rFonts w:hint="eastAsia" w:ascii="仿宋" w:hAnsi="仿宋" w:eastAsia="仿宋" w:cs="仿宋"/>
                <w:color w:val="000000" w:themeColor="text1"/>
                <w:lang w:eastAsia="zh-CN"/>
              </w:rPr>
              <w:t>需求)</w:t>
            </w:r>
            <w:r>
              <w:rPr>
                <w:rFonts w:hint="eastAsia" w:ascii="仿宋" w:hAnsi="仿宋" w:eastAsia="仿宋" w:cs="仿宋"/>
                <w:color w:val="000000" w:themeColor="text1"/>
                <w:lang w:val="en-US" w:eastAsia="zh-CN"/>
              </w:rPr>
              <w:t>.</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FF0000"/>
                <w:lang w:val="en-US" w:eastAsia="zh-CN"/>
              </w:rPr>
              <w:t>质保</w:t>
            </w:r>
            <w:r>
              <w:rPr>
                <w:rFonts w:hint="eastAsia" w:ascii="仿宋" w:hAnsi="仿宋" w:eastAsia="仿宋" w:cs="仿宋"/>
                <w:b/>
                <w:bCs/>
                <w:color w:val="FF0000"/>
                <w:lang w:eastAsia="zh-CN"/>
              </w:rPr>
              <w:t>期：</w:t>
            </w:r>
            <w:r>
              <w:rPr>
                <w:rFonts w:hint="eastAsia" w:ascii="仿宋" w:hAnsi="仿宋" w:eastAsia="仿宋" w:cs="仿宋"/>
                <w:b/>
                <w:bCs/>
                <w:color w:val="FF0000"/>
                <w:lang w:val="en-US" w:eastAsia="zh-CN"/>
              </w:rPr>
              <w:t>2</w:t>
            </w:r>
            <w:r>
              <w:rPr>
                <w:rFonts w:hint="eastAsia" w:ascii="仿宋" w:hAnsi="仿宋" w:eastAsia="仿宋" w:cs="仿宋"/>
                <w:b/>
                <w:bCs/>
                <w:color w:val="FF0000"/>
                <w:lang w:eastAsia="zh-CN"/>
              </w:rPr>
              <w:t>年(起止时间</w:t>
            </w:r>
            <w:r>
              <w:rPr>
                <w:rFonts w:hint="eastAsia" w:ascii="仿宋" w:hAnsi="仿宋" w:eastAsia="仿宋" w:cs="仿宋"/>
                <w:b/>
                <w:bCs/>
                <w:color w:val="FF0000"/>
                <w:lang w:val="en-US" w:eastAsia="zh-CN"/>
              </w:rPr>
              <w:t>以</w:t>
            </w:r>
            <w:r>
              <w:rPr>
                <w:rFonts w:hint="eastAsia" w:ascii="仿宋" w:hAnsi="仿宋" w:eastAsia="仿宋" w:cs="仿宋"/>
                <w:b/>
                <w:bCs/>
                <w:color w:val="FF0000"/>
                <w:lang w:eastAsia="zh-CN"/>
              </w:rPr>
              <w:t>甲乙双方</w:t>
            </w:r>
            <w:r>
              <w:rPr>
                <w:rFonts w:hint="eastAsia" w:ascii="仿宋" w:hAnsi="仿宋" w:eastAsia="仿宋" w:cs="仿宋"/>
                <w:b/>
                <w:bCs/>
                <w:color w:val="FF0000"/>
                <w:lang w:val="en-US" w:eastAsia="zh-CN"/>
              </w:rPr>
              <w:t>签订的合同</w:t>
            </w:r>
            <w:r>
              <w:rPr>
                <w:rFonts w:hint="eastAsia" w:ascii="仿宋" w:hAnsi="仿宋" w:eastAsia="仿宋" w:cs="仿宋"/>
                <w:b/>
                <w:bCs/>
                <w:color w:val="FF0000"/>
                <w:lang w:eastAsia="zh-CN"/>
              </w:rPr>
              <w:t>约定</w:t>
            </w:r>
            <w:r>
              <w:rPr>
                <w:rFonts w:hint="eastAsia" w:ascii="仿宋" w:hAnsi="仿宋" w:eastAsia="仿宋" w:cs="仿宋"/>
                <w:b/>
                <w:bCs/>
                <w:color w:val="FF0000"/>
                <w:lang w:val="en-US" w:eastAsia="zh-CN"/>
              </w:rPr>
              <w:t>为准</w:t>
            </w:r>
            <w:r>
              <w:rPr>
                <w:rFonts w:hint="eastAsia" w:ascii="仿宋" w:hAnsi="仿宋" w:eastAsia="仿宋" w:cs="仿宋"/>
                <w:b/>
                <w:bCs/>
                <w:color w:val="FF0000"/>
                <w:lang w:eastAsia="zh-CN"/>
              </w:rPr>
              <w:t>)</w:t>
            </w:r>
          </w:p>
          <w:p>
            <w:pPr>
              <w:pStyle w:val="8"/>
              <w:numPr>
                <w:ilvl w:val="0"/>
                <w:numId w:val="0"/>
              </w:numPr>
              <w:ind w:leftChars="0"/>
              <w:rPr>
                <w:rFonts w:hint="default"/>
                <w:lang w:val="en-US" w:eastAsia="zh-CN"/>
              </w:rPr>
            </w:pPr>
            <w:r>
              <w:rPr>
                <w:rFonts w:hint="eastAsia" w:ascii="仿宋" w:hAnsi="仿宋" w:eastAsia="仿宋" w:cs="仿宋"/>
                <w:b/>
                <w:bCs/>
                <w:color w:val="FF0000"/>
                <w:lang w:val="en-US" w:eastAsia="zh-CN"/>
              </w:rPr>
              <w:t>交货期：合同签订后于15日内全部安装、调试、试运行完毕。具体甲乙双方签订合同约定为准（严格按照采购单位的时间要求按时供货及服务）</w:t>
            </w:r>
          </w:p>
        </w:tc>
      </w:tr>
      <w:tr>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名  称：克孜勒苏柯尔克孜自治州维吾尔医医院 </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伏女士</w:t>
            </w: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18209081616</w:t>
            </w:r>
          </w:p>
        </w:tc>
      </w:tr>
      <w:tr>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甲方指定地点</w:t>
            </w:r>
          </w:p>
        </w:tc>
      </w:tr>
      <w:tr>
        <w:tblPrEx>
          <w:tblCellMar>
            <w:top w:w="0" w:type="dxa"/>
            <w:left w:w="108" w:type="dxa"/>
            <w:bottom w:w="0" w:type="dxa"/>
            <w:right w:w="108" w:type="dxa"/>
          </w:tblCellMar>
        </w:tblPrEx>
        <w:trPr>
          <w:trHeight w:val="314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color w:val="000000" w:themeColor="text1"/>
                <w:lang w:val="en-US" w:eastAsia="zh-CN"/>
              </w:rPr>
              <w:t>供应商为中小企业</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（1）具备合格的（三证合一）营业执照副本；</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（2）法定代表人投标时须提供法定代表人资格证明书，被委托代理人投标时须提供法定代表人授权委托书及被委托人身份证明；</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（3）投标企业须提供投标人（被授权在职人员）近6个月有效的社保证明；</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lang w:eastAsia="zh-CN"/>
              </w:rPr>
              <w:t>（</w:t>
            </w:r>
            <w:r>
              <w:rPr>
                <w:rStyle w:val="25"/>
                <w:rFonts w:hint="eastAsia" w:ascii="仿宋" w:hAnsi="仿宋" w:eastAsia="仿宋" w:cs="仿宋"/>
                <w:b w:val="0"/>
                <w:bCs w:val="0"/>
                <w:sz w:val="22"/>
                <w:szCs w:val="22"/>
                <w:lang w:val="en-US" w:eastAsia="zh-CN"/>
              </w:rPr>
              <w:t>4）</w:t>
            </w:r>
            <w:r>
              <w:rPr>
                <w:rStyle w:val="25"/>
                <w:rFonts w:hint="eastAsia" w:ascii="仿宋" w:hAnsi="仿宋" w:eastAsia="仿宋" w:cs="仿宋"/>
                <w:b w:val="0"/>
                <w:bCs w:val="0"/>
                <w:sz w:val="22"/>
                <w:szCs w:val="22"/>
              </w:rPr>
              <w:t>投标企业须提供有效的《医疗器械生产许可证》或《医疗器械经营许可证》（二类医疗器械需提供医疗器械备案凭证）</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w:t>
            </w:r>
            <w:r>
              <w:rPr>
                <w:rStyle w:val="25"/>
                <w:rFonts w:hint="eastAsia" w:ascii="仿宋" w:hAnsi="仿宋" w:eastAsia="仿宋" w:cs="仿宋"/>
                <w:b w:val="0"/>
                <w:bCs w:val="0"/>
                <w:sz w:val="22"/>
                <w:szCs w:val="22"/>
                <w:lang w:val="en-US" w:eastAsia="zh-CN"/>
              </w:rPr>
              <w:t>5</w:t>
            </w:r>
            <w:r>
              <w:rPr>
                <w:rStyle w:val="25"/>
                <w:rFonts w:hint="eastAsia" w:ascii="仿宋" w:hAnsi="仿宋" w:eastAsia="仿宋" w:cs="仿宋"/>
                <w:b w:val="0"/>
                <w:bCs w:val="0"/>
                <w:sz w:val="22"/>
                <w:szCs w:val="22"/>
              </w:rPr>
              <w:t>）未被“信用中国”（www.creditchina.gov.cn）、中国政府采购网（www.ccgp.gov.cn）列入失信被执行人、重大税收违法案件当事人名单、政府采购严重违法失信行为记录名单。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4.本项目不接受联合体投标；</w:t>
            </w:r>
          </w:p>
        </w:tc>
      </w:tr>
      <w:tr>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自筹资金</w:t>
            </w:r>
          </w:p>
        </w:tc>
      </w:tr>
      <w:tr>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6</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 xml:space="preserve">5 </w:t>
            </w:r>
            <w:r>
              <w:rPr>
                <w:rFonts w:hint="eastAsia" w:ascii="仿宋" w:hAnsi="仿宋" w:eastAsia="仿宋" w:cs="仿宋"/>
                <w:b/>
                <w:bCs/>
                <w:color w:val="FF0000"/>
                <w:kern w:val="2"/>
                <w:lang w:eastAsia="zh-CN" w:bidi="ar-SA"/>
              </w:rPr>
              <w:t>日</w:t>
            </w:r>
            <w:r>
              <w:rPr>
                <w:rFonts w:hint="eastAsia" w:ascii="仿宋" w:hAnsi="仿宋" w:eastAsia="仿宋" w:cs="仿宋"/>
                <w:color w:val="000000" w:themeColor="text1"/>
                <w:lang w:eastAsia="zh-CN"/>
              </w:rPr>
              <w:t>上午10时30分（北京时间）</w:t>
            </w:r>
          </w:p>
        </w:tc>
      </w:tr>
      <w:tr>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w:t>
            </w:r>
            <w:r>
              <w:rPr>
                <w:rFonts w:hint="eastAsia" w:ascii="仿宋" w:hAnsi="仿宋" w:eastAsia="仿宋" w:cs="仿宋"/>
                <w:color w:val="000000" w:themeColor="text1"/>
                <w:lang w:eastAsia="zh-CN"/>
              </w:rPr>
              <w:t>投标保证金应当以支票、汇票、本票、网上银行支付或者金融机构、担保机构出具的保函等非现金形式缴纳。</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20000.00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贰</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1、投标保证金以电汇、网银形式提交的，应在投标截止前以总公司的基本账户一次性汇入指定账户（以到账时间为准），不接受现金及任何个人汇款。汇款凭证作为该项目投标保证金的缴纳依据。</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2、其他特殊情况处理：有效投标保证金成功交纳后，截止开标时间，供应商无正当理由不参加该项目投标且不递交弃标函，投标保证金不予退还。</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户名：克孜勒苏柯尔克孜自治州政务服务和公共资源交易中心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账号：30456301040005069</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行名：中国农业银行阿图什市天山分理处</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行号：103893045636</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联系人：帕女士</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电话：</w:t>
            </w:r>
            <w:r>
              <w:rPr>
                <w:rFonts w:hint="eastAsia" w:ascii="仿宋" w:hAnsi="仿宋" w:eastAsia="仿宋" w:cs="仿宋"/>
                <w:color w:val="auto"/>
                <w:lang w:eastAsia="zh-CN"/>
              </w:rPr>
              <w:t xml:space="preserve">0908-4220265   </w:t>
            </w:r>
            <w:r>
              <w:rPr>
                <w:rFonts w:hint="eastAsia" w:ascii="仿宋" w:hAnsi="仿宋" w:eastAsia="仿宋" w:cs="仿宋"/>
                <w:color w:val="auto"/>
                <w:lang w:val="en-US" w:eastAsia="zh-CN"/>
              </w:rPr>
              <w:t>15809081090</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（备注：必须写清楚xx公司xx项目保证金）</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二、申请退还投标保证金资料（招投标结束中标结果公示后）：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1、投标企业：待开标完成后，未中标企业3个工作日内政资中心将收取的项目投标保证金按投标企业基本户退回。</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2、中标企业：需提供已签订合同复印件一份，复印件每页需加盖企业鲜章（并携带合同原件，由中心工作人员核对后退还）。</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三、其他特殊情况处理：</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5 </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14</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5</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22</w:t>
            </w:r>
            <w:r>
              <w:rPr>
                <w:rFonts w:hint="eastAsia" w:ascii="仿宋" w:hAnsi="仿宋" w:eastAsia="仿宋" w:cs="仿宋"/>
                <w:color w:val="000000" w:themeColor="text1"/>
                <w:u w:val="single"/>
                <w:lang w:eastAsia="zh-CN"/>
              </w:rPr>
              <w:t>日</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19</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lang w:eastAsia="zh-CN"/>
              </w:rPr>
              <w:t>0（北京时间，节假日除外）</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6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5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7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6 </w:t>
            </w:r>
            <w:bookmarkStart w:id="65" w:name="_GoBack"/>
            <w:bookmarkEnd w:id="65"/>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5</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及新建招协</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2024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4号文件等规定</w:t>
            </w:r>
            <w:r>
              <w:rPr>
                <w:rFonts w:hint="eastAsia" w:ascii="仿宋" w:hAnsi="仿宋" w:eastAsia="仿宋" w:cs="仿宋"/>
                <w:color w:val="000000" w:themeColor="text1"/>
                <w:lang w:eastAsia="zh-CN"/>
              </w:rPr>
              <w:t>由中标单位向招标代理机构支付本项目代理费。收费标准如下：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highlight w:val="none"/>
                <w:lang w:val="en-US" w:eastAsia="zh-CN"/>
              </w:rPr>
              <w:t>124.73万</w:t>
            </w:r>
            <w:r>
              <w:rPr>
                <w:rFonts w:hint="eastAsia" w:ascii="仿宋" w:hAnsi="仿宋" w:eastAsia="仿宋" w:cs="仿宋"/>
                <w:b/>
                <w:bCs/>
                <w:color w:val="FF0000"/>
                <w:sz w:val="22"/>
                <w:szCs w:val="22"/>
                <w:highlight w:val="none"/>
                <w:lang w:val="en-US" w:eastAsia="zh-CN"/>
              </w:rPr>
              <w:t>元、</w:t>
            </w:r>
            <w:r>
              <w:rPr>
                <w:rFonts w:hint="eastAsia" w:ascii="仿宋" w:hAnsi="仿宋" w:eastAsia="仿宋" w:cs="仿宋"/>
                <w:b/>
                <w:bCs/>
                <w:color w:val="FF0000"/>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val="en-US" w:eastAsia="zh-CN"/>
              </w:rPr>
              <w:t>工业</w:t>
            </w:r>
          </w:p>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（2）供应商提供《中小企业声明函》时，必须将招标文件第四章采购内容及商务技术要求所列的采购标的物全部列入《中小企业声明函》，否则专门面向中小企业的项目做废标处理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履约保证金</w:t>
            </w: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152042315"/>
      <w:bookmarkStart w:id="4" w:name="_Toc247527563"/>
      <w:bookmarkStart w:id="5" w:name="_Toc144974507"/>
      <w:bookmarkStart w:id="6" w:name="_Toc247513962"/>
      <w:bookmarkStart w:id="7" w:name="_Toc296602429"/>
      <w:bookmarkStart w:id="8" w:name="_Toc152045539"/>
      <w:bookmarkStart w:id="9" w:name="_Toc247592876"/>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92877"/>
      <w:bookmarkStart w:id="11" w:name="_Toc247527564"/>
      <w:bookmarkStart w:id="12" w:name="_Toc152042316"/>
      <w:bookmarkStart w:id="13" w:name="_Toc152045540"/>
      <w:bookmarkStart w:id="14" w:name="_Toc144974508"/>
      <w:bookmarkStart w:id="15" w:name="_Toc247513963"/>
      <w:bookmarkStart w:id="16" w:name="_Toc296602430"/>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pPr>
        <w:pStyle w:val="9"/>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pPr>
        <w:spacing w:line="400" w:lineRule="exact"/>
        <w:jc w:val="both"/>
        <w:rPr>
          <w:rFonts w:hint="eastAsia" w:ascii="仿宋" w:hAnsi="仿宋" w:eastAsia="仿宋" w:cs="仿宋"/>
          <w:b/>
          <w:color w:val="000000" w:themeColor="text1"/>
          <w:sz w:val="28"/>
          <w:szCs w:val="28"/>
          <w:lang w:eastAsia="zh-CN"/>
        </w:rPr>
      </w:pPr>
    </w:p>
    <w:p>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pPr>
        <w:pStyle w:val="10"/>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5、投标企业须提供投标人（被授权本单位在职人员）近6个月有效的社保证明;</w:t>
      </w:r>
    </w:p>
    <w:p>
      <w:pPr>
        <w:pStyle w:val="8"/>
        <w:numPr>
          <w:ilvl w:val="0"/>
          <w:numId w:val="0"/>
        </w:numPr>
        <w:spacing w:line="360" w:lineRule="auto"/>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6、投标企业须提供有效的《医疗器械生产许可证》或《医疗器械经营许可证》（二类医疗器械需提供医疗器械备案凭证）</w:t>
      </w:r>
    </w:p>
    <w:p>
      <w:pPr>
        <w:shd w:val="clear" w:color="auto" w:fill="auto"/>
        <w:spacing w:line="360" w:lineRule="auto"/>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8、中小企业声明函</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9、投标人须知资料表要求的其他资格证明文件。</w:t>
      </w:r>
    </w:p>
    <w:p>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p>
    <w:p>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pPr>
        <w:pStyle w:val="2"/>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739301695@qq.com ，逾期发送或未发送的视为无异议。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5</w:t>
      </w:r>
      <w:r>
        <w:rPr>
          <w:rFonts w:hint="eastAsia" w:ascii="仿宋" w:hAnsi="仿宋" w:eastAsia="仿宋" w:cs="仿宋"/>
          <w:b/>
          <w:bCs/>
          <w:color w:val="auto"/>
          <w:szCs w:val="21"/>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49.5供应商有下列情形之一的，采购代理机构将报告克州财政局，将其列入不良行为记录名单：</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pPr>
        <w:spacing w:line="400" w:lineRule="exact"/>
        <w:jc w:val="center"/>
        <w:rPr>
          <w:rFonts w:ascii="仿宋" w:hAnsi="仿宋" w:eastAsia="仿宋" w:cs="仿宋"/>
          <w:color w:val="000000" w:themeColor="text1"/>
          <w:u w:val="single"/>
          <w:lang w:eastAsia="zh-CN"/>
        </w:rPr>
      </w:pPr>
      <w:r>
        <w:rPr>
          <w:rFonts w:hint="eastAsia" w:ascii="仿宋" w:hAnsi="仿宋" w:eastAsia="仿宋" w:cs="仿宋"/>
          <w:b/>
          <w:bCs/>
          <w:color w:val="000000" w:themeColor="text1"/>
          <w:sz w:val="28"/>
          <w:szCs w:val="28"/>
          <w:lang w:eastAsia="zh-CN"/>
        </w:rPr>
        <w:t>政府采购投诉书（范本）</w:t>
      </w:r>
    </w:p>
    <w:p>
      <w:pPr>
        <w:spacing w:line="400" w:lineRule="exact"/>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委托代理人姓名：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职务：</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住址：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联系电话：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被投诉人：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电话：</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我公司参加了</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年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日被投诉人组织的</w:t>
      </w:r>
      <w:r>
        <w:rPr>
          <w:rFonts w:hint="eastAsia" w:ascii="仿宋" w:hAnsi="仿宋" w:eastAsia="仿宋" w:cs="仿宋"/>
          <w:color w:val="000000" w:themeColor="text1"/>
          <w:u w:val="single"/>
          <w:lang w:eastAsia="zh-CN"/>
        </w:rPr>
        <w:t>（采购人）（项目名称）（项目编号）</w:t>
      </w:r>
      <w:r>
        <w:rPr>
          <w:rFonts w:hint="eastAsia" w:ascii="仿宋" w:hAnsi="仿宋" w:eastAsia="仿宋" w:cs="仿宋"/>
          <w:color w:val="000000" w:themeColor="text1"/>
          <w:lang w:eastAsia="zh-CN"/>
        </w:rPr>
        <w:t>的采购活动，我公司认为该项目的</w:t>
      </w:r>
      <w:r>
        <w:rPr>
          <w:rFonts w:hint="eastAsia" w:ascii="仿宋" w:hAnsi="仿宋" w:eastAsia="仿宋" w:cs="仿宋"/>
          <w:color w:val="000000" w:themeColor="text1"/>
          <w:u w:val="single"/>
          <w:lang w:eastAsia="zh-CN"/>
        </w:rPr>
        <w:t>（采购文件/采购过程/中标（中标）结果）</w:t>
      </w:r>
      <w:r>
        <w:rPr>
          <w:rFonts w:hint="eastAsia" w:ascii="仿宋" w:hAnsi="仿宋" w:eastAsia="仿宋" w:cs="仿宋"/>
          <w:color w:val="000000" w:themeColor="text1"/>
          <w:lang w:eastAsia="zh-CN"/>
        </w:rPr>
        <w:t>损害了我公司权益，对此，我公司于</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日向</w:t>
      </w:r>
      <w:r>
        <w:rPr>
          <w:rFonts w:hint="eastAsia" w:ascii="仿宋" w:hAnsi="仿宋" w:eastAsia="仿宋" w:cs="仿宋"/>
          <w:color w:val="000000" w:themeColor="text1"/>
          <w:u w:val="single"/>
          <w:lang w:eastAsia="zh-CN"/>
        </w:rPr>
        <w:t>（采购人或者政府采购代理机构）</w:t>
      </w:r>
      <w:r>
        <w:rPr>
          <w:rFonts w:hint="eastAsia" w:ascii="仿宋" w:hAnsi="仿宋" w:eastAsia="仿宋" w:cs="仿宋"/>
          <w:color w:val="000000" w:themeColor="text1"/>
          <w:lang w:eastAsia="zh-CN"/>
        </w:rPr>
        <w:t>提出了质疑，</w:t>
      </w:r>
      <w:r>
        <w:rPr>
          <w:rFonts w:hint="eastAsia" w:ascii="仿宋" w:hAnsi="仿宋" w:eastAsia="仿宋" w:cs="仿宋"/>
          <w:color w:val="000000" w:themeColor="text1"/>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000000" w:themeColor="text1"/>
          <w:lang w:eastAsia="zh-CN"/>
        </w:rPr>
        <w:t>，现向贵机关提起投诉：</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r>
        <w:rPr>
          <w:rFonts w:hint="eastAsia" w:ascii="仿宋" w:hAnsi="仿宋" w:eastAsia="仿宋" w:cs="仿宋"/>
          <w:color w:val="000000" w:themeColor="text1"/>
          <w:u w:val="single"/>
          <w:lang w:eastAsia="zh-CN"/>
        </w:rPr>
        <w:t>具体的投诉事项及事实依据；</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u w:val="single"/>
          <w:lang w:eastAsia="zh-CN"/>
        </w:rPr>
        <w:t>质疑和质疑答复情况简要描述；</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u w:val="single"/>
          <w:lang w:eastAsia="zh-CN"/>
        </w:rPr>
        <w:t>投诉请求。</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附件：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1.质疑书和质疑答复书；</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2.证据材料（需注明证据来源），证人的姓名、住址和联系方式等；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3.营业执照；</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4.法定代表人身份证明函</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5.法定代表人授权委托书（包含法定代表人和委托代理人的身份证复印件）；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6.政府采购监管部门认为应当提供的其它材料。</w:t>
      </w:r>
    </w:p>
    <w:p>
      <w:pPr>
        <w:spacing w:line="400" w:lineRule="exact"/>
        <w:jc w:val="center"/>
        <w:rPr>
          <w:rFonts w:ascii="仿宋" w:hAnsi="仿宋" w:eastAsia="仿宋" w:cs="仿宋"/>
          <w:color w:val="000000" w:themeColor="text1"/>
          <w:lang w:eastAsia="zh-CN"/>
        </w:rPr>
      </w:pPr>
    </w:p>
    <w:p>
      <w:pPr>
        <w:spacing w:line="400" w:lineRule="exact"/>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投诉供应商：（盖章）</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法定代表人（或主要负责人）：（签章）</w:t>
      </w:r>
    </w:p>
    <w:p>
      <w:pPr>
        <w:spacing w:line="400" w:lineRule="exact"/>
        <w:ind w:firstLine="3840" w:firstLineChars="16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spacing w:line="400" w:lineRule="exact"/>
        <w:rPr>
          <w:rFonts w:ascii="仿宋" w:hAnsi="仿宋" w:eastAsia="仿宋" w:cs="仿宋"/>
          <w:color w:val="000000" w:themeColor="text1"/>
          <w:lang w:eastAsia="zh-CN"/>
        </w:rPr>
      </w:pPr>
    </w:p>
    <w:p>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本投诉书正本叁份，副本</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份并附电子文档。</w:t>
      </w:r>
      <w:bookmarkStart w:id="27" w:name="_Toc17515"/>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7"/>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pPr>
        <w:numPr>
          <w:ilvl w:val="0"/>
          <w:numId w:val="3"/>
        </w:numPr>
        <w:spacing w:line="400" w:lineRule="exact"/>
        <w:ind w:left="4569" w:leftChars="304" w:hanging="3840" w:hangingChars="1600"/>
        <w:outlineLvl w:val="0"/>
        <w:rPr>
          <w:rFonts w:ascii="仿宋" w:hAnsi="仿宋" w:eastAsia="仿宋" w:cs="仿宋"/>
          <w:b/>
          <w:bCs/>
          <w:color w:val="000000" w:themeColor="text1"/>
        </w:rPr>
      </w:pPr>
      <w:bookmarkStart w:id="28" w:name="_Toc11499"/>
      <w:r>
        <w:rPr>
          <w:rFonts w:hint="eastAsia" w:ascii="仿宋" w:hAnsi="仿宋" w:eastAsia="仿宋" w:cs="仿宋"/>
          <w:b/>
          <w:bCs/>
          <w:color w:val="000000" w:themeColor="text1"/>
        </w:rPr>
        <w:t>质疑前置及时间要求</w:t>
      </w:r>
      <w:bookmarkEnd w:id="28"/>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29" w:name="_Toc13508"/>
      <w:r>
        <w:rPr>
          <w:rFonts w:hint="eastAsia" w:ascii="仿宋" w:hAnsi="仿宋" w:eastAsia="仿宋" w:cs="仿宋"/>
          <w:b/>
          <w:bCs/>
          <w:color w:val="000000" w:themeColor="text1"/>
          <w:sz w:val="21"/>
          <w:szCs w:val="21"/>
          <w:lang w:eastAsia="zh-CN"/>
        </w:rPr>
        <w:t>二、书面方式</w:t>
      </w:r>
      <w:bookmarkEnd w:id="29"/>
    </w:p>
    <w:p>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pPr>
        <w:numPr>
          <w:ilvl w:val="0"/>
          <w:numId w:val="4"/>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30" w:name="_Toc5978"/>
      <w:r>
        <w:rPr>
          <w:rFonts w:hint="eastAsia" w:ascii="仿宋" w:hAnsi="仿宋" w:eastAsia="仿宋" w:cs="仿宋"/>
          <w:b/>
          <w:bCs/>
          <w:color w:val="000000" w:themeColor="text1"/>
          <w:lang w:eastAsia="zh-CN"/>
        </w:rPr>
        <w:t>三、虚假、恶意投诉法律责任</w:t>
      </w:r>
      <w:bookmarkEnd w:id="30"/>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pPr>
        <w:spacing w:line="400" w:lineRule="exact"/>
        <w:rPr>
          <w:rFonts w:ascii="仿宋" w:hAnsi="仿宋" w:eastAsia="仿宋" w:cs="仿宋"/>
          <w:color w:val="000000" w:themeColor="text1"/>
          <w:sz w:val="21"/>
          <w:szCs w:val="21"/>
          <w:lang w:eastAsia="zh-CN"/>
        </w:rPr>
      </w:pPr>
    </w:p>
    <w:p>
      <w:pPr>
        <w:spacing w:line="400" w:lineRule="exact"/>
        <w:rPr>
          <w:rFonts w:ascii="仿宋" w:hAnsi="仿宋" w:eastAsia="仿宋" w:cs="仿宋"/>
          <w:color w:val="000000" w:themeColor="text1"/>
          <w:sz w:val="21"/>
          <w:szCs w:val="21"/>
          <w:lang w:eastAsia="zh-CN"/>
        </w:rPr>
      </w:pPr>
    </w:p>
    <w:p>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递交投诉书地址：克州政府采购办监管办公室</w:t>
      </w:r>
    </w:p>
    <w:p>
      <w:pPr>
        <w:jc w:val="right"/>
        <w:rPr>
          <w:rFonts w:ascii="仿宋" w:hAnsi="仿宋" w:eastAsia="仿宋" w:cs="仿宋"/>
          <w:color w:val="000000" w:themeColor="text1"/>
          <w:sz w:val="32"/>
          <w:szCs w:val="32"/>
          <w:lang w:eastAsia="zh-CN"/>
        </w:rPr>
      </w:pPr>
    </w:p>
    <w:p>
      <w:pPr>
        <w:spacing w:line="540" w:lineRule="exact"/>
        <w:jc w:val="center"/>
        <w:rPr>
          <w:rFonts w:ascii="仿宋" w:hAnsi="仿宋" w:eastAsia="仿宋" w:cs="仿宋"/>
          <w:b/>
          <w:bCs/>
          <w:color w:val="000000" w:themeColor="text1"/>
          <w:sz w:val="44"/>
          <w:szCs w:val="44"/>
          <w:lang w:eastAsia="zh-CN"/>
        </w:rPr>
      </w:pPr>
    </w:p>
    <w:p>
      <w:pPr>
        <w:spacing w:line="540" w:lineRule="exact"/>
        <w:jc w:val="both"/>
        <w:rPr>
          <w:rFonts w:ascii="仿宋" w:hAnsi="仿宋" w:eastAsia="仿宋" w:cs="仿宋"/>
          <w:b/>
          <w:bCs/>
          <w:color w:val="000000" w:themeColor="text1"/>
          <w:sz w:val="44"/>
          <w:szCs w:val="44"/>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bookmarkStart w:id="31" w:name="_Toc1697"/>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31"/>
    </w:p>
    <w:p>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32" w:name="_Toc9061"/>
      <w:r>
        <w:rPr>
          <w:rFonts w:hint="eastAsia" w:ascii="仿宋" w:hAnsi="仿宋" w:eastAsia="仿宋" w:cs="仿宋"/>
          <w:bCs/>
          <w:color w:val="000000" w:themeColor="text1"/>
          <w:lang w:eastAsia="zh-CN"/>
        </w:rPr>
        <w:t>一、质疑供应商基本信息</w:t>
      </w:r>
      <w:bookmarkEnd w:id="32"/>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3" w:name="_Toc15938"/>
      <w:r>
        <w:rPr>
          <w:rFonts w:hint="eastAsia" w:ascii="仿宋" w:hAnsi="仿宋" w:eastAsia="仿宋" w:cs="仿宋"/>
          <w:bCs/>
          <w:color w:val="000000" w:themeColor="text1"/>
          <w:lang w:eastAsia="zh-CN"/>
        </w:rPr>
        <w:t>二、质疑项目基本情况</w:t>
      </w:r>
      <w:bookmarkEnd w:id="33"/>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4" w:name="_Toc18271"/>
      <w:r>
        <w:rPr>
          <w:rFonts w:hint="eastAsia" w:ascii="仿宋" w:hAnsi="仿宋" w:eastAsia="仿宋" w:cs="仿宋"/>
          <w:bCs/>
          <w:color w:val="000000" w:themeColor="text1"/>
          <w:lang w:eastAsia="zh-CN"/>
        </w:rPr>
        <w:t>三、质疑事项具体内容</w:t>
      </w:r>
      <w:bookmarkEnd w:id="34"/>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5" w:name="_Toc22365"/>
      <w:r>
        <w:rPr>
          <w:rFonts w:hint="eastAsia" w:ascii="仿宋" w:hAnsi="仿宋" w:eastAsia="仿宋" w:cs="仿宋"/>
          <w:bCs/>
          <w:color w:val="000000" w:themeColor="text1"/>
          <w:lang w:eastAsia="zh-CN"/>
        </w:rPr>
        <w:t>四、与质疑事项相关的质疑请求</w:t>
      </w:r>
      <w:bookmarkEnd w:id="35"/>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pPr>
        <w:spacing w:line="540" w:lineRule="exact"/>
        <w:ind w:firstLine="420" w:firstLineChars="200"/>
        <w:rPr>
          <w:rFonts w:ascii="仿宋" w:hAnsi="仿宋" w:eastAsia="仿宋" w:cs="仿宋"/>
          <w:b/>
          <w:bCs/>
          <w:color w:val="000000" w:themeColor="text1"/>
          <w:sz w:val="21"/>
          <w:szCs w:val="21"/>
          <w:lang w:eastAsia="zh-CN"/>
        </w:rPr>
      </w:pPr>
    </w:p>
    <w:p>
      <w:pPr>
        <w:pageBreakBefore/>
        <w:spacing w:line="440" w:lineRule="exact"/>
        <w:jc w:val="center"/>
        <w:outlineLvl w:val="0"/>
        <w:rPr>
          <w:rFonts w:ascii="仿宋" w:hAnsi="仿宋" w:eastAsia="仿宋" w:cs="仿宋"/>
          <w:b/>
          <w:bCs/>
          <w:color w:val="000000" w:themeColor="text1"/>
          <w:sz w:val="30"/>
          <w:szCs w:val="30"/>
          <w:lang w:eastAsia="zh-CN"/>
        </w:rPr>
      </w:pPr>
      <w:bookmarkStart w:id="36" w:name="_Toc469495731"/>
      <w:r>
        <w:rPr>
          <w:rFonts w:hint="eastAsia" w:ascii="仿宋" w:hAnsi="仿宋" w:eastAsia="仿宋" w:cs="仿宋"/>
          <w:b/>
          <w:bCs/>
          <w:color w:val="000000" w:themeColor="text1"/>
          <w:sz w:val="30"/>
          <w:szCs w:val="30"/>
          <w:lang w:eastAsia="zh-CN"/>
        </w:rPr>
        <w:t>第三部分  评标办法</w:t>
      </w:r>
      <w:bookmarkEnd w:id="36"/>
    </w:p>
    <w:p>
      <w:pPr>
        <w:jc w:val="center"/>
        <w:outlineLvl w:val="1"/>
        <w:rPr>
          <w:rFonts w:ascii="仿宋" w:hAnsi="仿宋" w:eastAsia="仿宋" w:cs="仿宋"/>
          <w:b/>
          <w:color w:val="000000" w:themeColor="text1"/>
          <w:sz w:val="28"/>
          <w:szCs w:val="28"/>
          <w:lang w:eastAsia="zh-CN"/>
        </w:rPr>
      </w:pPr>
      <w:bookmarkStart w:id="37" w:name="_Toc362983802"/>
      <w:bookmarkStart w:id="38" w:name="_Toc469495733"/>
      <w:bookmarkStart w:id="39" w:name="_Toc267320058"/>
      <w:bookmarkStart w:id="40" w:name="_Toc363135205"/>
      <w:r>
        <w:rPr>
          <w:rFonts w:hint="eastAsia" w:ascii="仿宋" w:hAnsi="仿宋" w:eastAsia="仿宋" w:cs="仿宋"/>
          <w:b/>
          <w:color w:val="000000" w:themeColor="text1"/>
          <w:sz w:val="28"/>
          <w:szCs w:val="28"/>
          <w:lang w:eastAsia="zh-CN"/>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pPr>
        <w:pStyle w:val="17"/>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37"/>
      <w:bookmarkEnd w:id="38"/>
    </w:p>
    <w:p>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pPr>
              <w:rPr>
                <w:rFonts w:ascii="仿宋" w:hAnsi="仿宋" w:eastAsia="仿宋" w:cs="仿宋"/>
                <w:color w:val="000000" w:themeColor="text1"/>
                <w:sz w:val="18"/>
                <w:szCs w:val="21"/>
              </w:rPr>
            </w:pPr>
          </w:p>
        </w:tc>
        <w:tc>
          <w:tcPr>
            <w:tcW w:w="7491" w:type="dxa"/>
            <w:gridSpan w:val="2"/>
            <w:vMerge w:val="continue"/>
          </w:tcPr>
          <w:p>
            <w:pPr>
              <w:rPr>
                <w:rFonts w:ascii="仿宋" w:hAnsi="仿宋" w:eastAsia="仿宋" w:cs="仿宋"/>
                <w:color w:val="000000" w:themeColor="text1"/>
                <w:sz w:val="18"/>
                <w:szCs w:val="21"/>
              </w:rPr>
            </w:pPr>
          </w:p>
        </w:tc>
        <w:tc>
          <w:tcPr>
            <w:tcW w:w="555"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pPr>
              <w:jc w:val="center"/>
              <w:rPr>
                <w:rFonts w:hint="eastAsia" w:ascii="仿宋" w:hAnsi="仿宋" w:eastAsia="仿宋" w:cs="仿宋"/>
                <w:color w:val="000000" w:themeColor="text1"/>
                <w:szCs w:val="21"/>
                <w:lang w:eastAsia="zh-CN"/>
              </w:rPr>
            </w:pPr>
          </w:p>
        </w:tc>
        <w:tc>
          <w:tcPr>
            <w:tcW w:w="495" w:type="dxa"/>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pPr>
              <w:widowControl/>
              <w:textAlignment w:val="center"/>
              <w:rPr>
                <w:rFonts w:ascii="仿宋" w:hAnsi="仿宋" w:eastAsia="仿宋" w:cs="仿宋"/>
                <w:color w:val="000000" w:themeColor="text1"/>
                <w:lang w:eastAsia="zh-CN"/>
              </w:rPr>
            </w:pPr>
            <w:r>
              <w:rPr>
                <w:rStyle w:val="25"/>
                <w:rFonts w:hint="eastAsia" w:ascii="仿宋" w:hAnsi="仿宋" w:eastAsia="仿宋" w:cs="仿宋"/>
                <w:b w:val="0"/>
                <w:bCs w:val="0"/>
                <w:sz w:val="22"/>
                <w:szCs w:val="22"/>
              </w:rPr>
              <w:t>投标企业须提供投标人（被授权在职人员）近</w:t>
            </w:r>
            <w:r>
              <w:rPr>
                <w:rStyle w:val="25"/>
                <w:rFonts w:hint="eastAsia" w:ascii="仿宋" w:hAnsi="仿宋" w:eastAsia="仿宋" w:cs="仿宋"/>
                <w:b w:val="0"/>
                <w:bCs w:val="0"/>
                <w:sz w:val="22"/>
                <w:szCs w:val="22"/>
                <w:lang w:val="en-US" w:eastAsia="zh-CN"/>
              </w:rPr>
              <w:t>6个月</w:t>
            </w:r>
            <w:r>
              <w:rPr>
                <w:rStyle w:val="25"/>
                <w:rFonts w:hint="eastAsia" w:ascii="仿宋" w:hAnsi="仿宋" w:eastAsia="仿宋" w:cs="仿宋"/>
                <w:b w:val="0"/>
                <w:bCs w:val="0"/>
                <w:sz w:val="22"/>
                <w:szCs w:val="22"/>
              </w:rPr>
              <w:t>有效的社保证明</w:t>
            </w:r>
            <w:r>
              <w:rPr>
                <w:rFonts w:hint="eastAsia" w:ascii="仿宋" w:hAnsi="仿宋" w:eastAsia="仿宋" w:cs="仿宋"/>
                <w:color w:val="000000" w:themeColor="text1"/>
                <w:lang w:eastAsia="zh-CN"/>
              </w:rPr>
              <w:t>；</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pPr>
              <w:widowControl/>
              <w:textAlignment w:val="center"/>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投标企业须提供有效的《医疗器械生产许可证》或《医疗器械经营许可证》（二类医疗器械需提供医疗器械备案凭证）</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w:t>
            </w:r>
          </w:p>
        </w:tc>
        <w:tc>
          <w:tcPr>
            <w:tcW w:w="6996" w:type="dxa"/>
            <w:vAlign w:val="center"/>
          </w:tcPr>
          <w:p>
            <w:pPr>
              <w:widowControl/>
              <w:textAlignment w:val="center"/>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供应商为中小企业</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pPr>
              <w:jc w:val="center"/>
              <w:rPr>
                <w:rFonts w:ascii="仿宋" w:hAnsi="仿宋" w:eastAsia="仿宋" w:cs="仿宋"/>
                <w:color w:val="000000" w:themeColor="text1"/>
                <w:szCs w:val="21"/>
                <w:lang w:eastAsia="zh-CN"/>
              </w:rPr>
            </w:pPr>
          </w:p>
        </w:tc>
        <w:tc>
          <w:tcPr>
            <w:tcW w:w="495" w:type="dxa"/>
          </w:tcPr>
          <w:p>
            <w:pPr>
              <w:spacing w:line="440" w:lineRule="exact"/>
              <w:rPr>
                <w:rFonts w:ascii="仿宋" w:hAnsi="仿宋" w:eastAsia="仿宋" w:cs="仿宋"/>
                <w:color w:val="000000" w:themeColor="text1"/>
                <w:szCs w:val="21"/>
                <w:lang w:eastAsia="zh-CN"/>
              </w:rPr>
            </w:pPr>
          </w:p>
        </w:tc>
        <w:tc>
          <w:tcPr>
            <w:tcW w:w="6996" w:type="dxa"/>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pPr>
              <w:rPr>
                <w:rFonts w:ascii="仿宋" w:hAnsi="仿宋" w:eastAsia="仿宋" w:cs="仿宋"/>
                <w:color w:val="000000" w:themeColor="text1"/>
                <w:szCs w:val="21"/>
                <w:lang w:eastAsia="zh-CN"/>
              </w:rPr>
            </w:pPr>
          </w:p>
        </w:tc>
      </w:tr>
    </w:tbl>
    <w:p>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sectPr>
          <w:footerReference r:id="rId10"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beforeLines="50" w:line="440" w:lineRule="exact"/>
        <w:ind w:firstLine="240" w:firstLineChars="100"/>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rPr>
            </w:pPr>
          </w:p>
        </w:tc>
        <w:tc>
          <w:tcPr>
            <w:tcW w:w="6975" w:type="dxa"/>
            <w:gridSpan w:val="2"/>
            <w:vMerge w:val="continue"/>
            <w:tcBorders>
              <w:bottom w:val="single" w:color="auto" w:sz="4" w:space="0"/>
            </w:tcBorders>
          </w:tcPr>
          <w:p>
            <w:pPr>
              <w:rPr>
                <w:rFonts w:ascii="仿宋" w:hAnsi="仿宋" w:eastAsia="仿宋" w:cs="仿宋"/>
                <w:color w:val="000000" w:themeColor="text1"/>
              </w:rPr>
            </w:pPr>
          </w:p>
        </w:tc>
        <w:tc>
          <w:tcPr>
            <w:tcW w:w="749" w:type="dxa"/>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pPr>
              <w:rPr>
                <w:rFonts w:ascii="仿宋" w:hAnsi="仿宋" w:eastAsia="仿宋" w:cs="仿宋"/>
                <w:color w:val="000000" w:themeColor="text1"/>
                <w:szCs w:val="21"/>
              </w:rPr>
            </w:pPr>
          </w:p>
        </w:tc>
        <w:tc>
          <w:tcPr>
            <w:tcW w:w="617" w:type="dxa"/>
            <w:tcBorders>
              <w:right w:val="single" w:color="auto" w:sz="4" w:space="0"/>
            </w:tcBorders>
          </w:tcPr>
          <w:p>
            <w:pPr>
              <w:rPr>
                <w:rFonts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bl>
    <w:p>
      <w:pPr>
        <w:rPr>
          <w:rFonts w:ascii="仿宋" w:hAnsi="仿宋" w:eastAsia="仿宋" w:cs="仿宋"/>
          <w:color w:val="000000" w:themeColor="text1"/>
          <w:lang w:eastAsia="zh-CN"/>
        </w:rPr>
      </w:pP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rPr>
      </w:pPr>
      <w:bookmarkStart w:id="41" w:name="_Toc362983803"/>
      <w:bookmarkStart w:id="42"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rPr>
      </w:pPr>
      <w:bookmarkStart w:id="43" w:name="_Toc469495735"/>
      <w:r>
        <w:rPr>
          <w:rFonts w:hint="eastAsia" w:ascii="仿宋" w:hAnsi="仿宋" w:eastAsia="仿宋" w:cs="仿宋"/>
          <w:b/>
          <w:color w:val="000000" w:themeColor="text1"/>
          <w:lang w:eastAsia="zh-CN"/>
        </w:rPr>
        <w:t>四 比较与评价</w:t>
      </w:r>
      <w:bookmarkEnd w:id="43"/>
    </w:p>
    <w:p>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44" w:name="_Toc469495736"/>
      <w:bookmarkStart w:id="45"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pPr>
        <w:rPr>
          <w:rFonts w:hint="eastAsia"/>
          <w:lang w:eastAsia="zh-CN"/>
        </w:rPr>
      </w:pPr>
    </w:p>
    <w:p>
      <w:pPr>
        <w:pStyle w:val="5"/>
        <w:spacing w:line="400" w:lineRule="exact"/>
        <w:rPr>
          <w:rFonts w:hint="eastAsia" w:ascii="仿宋" w:hAnsi="仿宋" w:eastAsia="仿宋" w:cs="仿宋"/>
          <w:b/>
          <w:bCs/>
          <w:color w:val="000000" w:themeColor="text1"/>
          <w:sz w:val="28"/>
          <w:szCs w:val="21"/>
          <w:lang w:eastAsia="zh-CN"/>
        </w:rPr>
      </w:pPr>
      <w:r>
        <w:rPr>
          <w:rFonts w:hint="eastAsia" w:ascii="仿宋" w:hAnsi="仿宋" w:eastAsia="仿宋" w:cs="仿宋"/>
          <w:color w:val="000000" w:themeColor="text1"/>
          <w:szCs w:val="21"/>
          <w:lang w:eastAsia="zh-CN" w:bidi="ar-SA"/>
        </w:rPr>
        <w:t>（8）评分标准和细则（综合评分法评分标准）</w:t>
      </w:r>
    </w:p>
    <w:bookmarkEnd w:id="39"/>
    <w:bookmarkEnd w:id="44"/>
    <w:bookmarkEnd w:id="45"/>
    <w:tbl>
      <w:tblPr>
        <w:tblStyle w:val="22"/>
        <w:tblpPr w:leftFromText="180" w:rightFromText="180" w:vertAnchor="page" w:horzAnchor="page" w:tblpX="623" w:tblpY="1528"/>
        <w:tblOverlap w:val="never"/>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965"/>
        <w:gridCol w:w="1115"/>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02" w:type="dxa"/>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1</w:t>
            </w:r>
          </w:p>
        </w:tc>
        <w:tc>
          <w:tcPr>
            <w:tcW w:w="96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报价</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8223" w:type="dxa"/>
            <w:noWrap w:val="0"/>
            <w:tcMar>
              <w:left w:w="57" w:type="dxa"/>
              <w:right w:w="57" w:type="dxa"/>
            </w:tcMar>
            <w:vAlign w:val="center"/>
          </w:tcPr>
          <w:p>
            <w:pPr>
              <w:tabs>
                <w:tab w:val="left" w:pos="16"/>
              </w:tabs>
              <w:adjustRightIn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完全满足招标文件技术要求且投标价格最低的投标报价为评标基准价，其价格分为满分。其他投标人的价格分别按照下列公式计算：投标报价得分=(评标基准价／投标报价)×30(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02" w:type="dxa"/>
            <w:vMerge w:val="restart"/>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p>
            <w:pPr>
              <w:tabs>
                <w:tab w:val="left" w:pos="16"/>
              </w:tabs>
              <w:adjustRightInd w:val="0"/>
              <w:spacing w:line="240" w:lineRule="auto"/>
              <w:rPr>
                <w:rFonts w:hint="eastAsia" w:ascii="仿宋" w:hAnsi="仿宋" w:eastAsia="仿宋" w:cs="仿宋"/>
                <w:sz w:val="24"/>
                <w:szCs w:val="24"/>
              </w:rPr>
            </w:pPr>
          </w:p>
          <w:p>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2</w:t>
            </w:r>
          </w:p>
        </w:tc>
        <w:tc>
          <w:tcPr>
            <w:tcW w:w="965" w:type="dxa"/>
            <w:vMerge w:val="restart"/>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技术</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部分</w:t>
            </w:r>
          </w:p>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40分</w:t>
            </w:r>
          </w:p>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技术响应</w:t>
            </w:r>
            <w:r>
              <w:rPr>
                <w:rFonts w:hint="eastAsia" w:ascii="仿宋" w:hAnsi="仿宋" w:eastAsia="仿宋" w:cs="仿宋"/>
                <w:sz w:val="24"/>
                <w:szCs w:val="24"/>
                <w:lang w:val="en-US" w:eastAsia="zh-CN"/>
              </w:rPr>
              <w:t>35分</w:t>
            </w:r>
          </w:p>
        </w:tc>
        <w:tc>
          <w:tcPr>
            <w:tcW w:w="8223" w:type="dxa"/>
            <w:noWrap w:val="0"/>
            <w:tcMar>
              <w:left w:w="57" w:type="dxa"/>
              <w:right w:w="57" w:type="dxa"/>
            </w:tcMar>
            <w:vAlign w:val="center"/>
          </w:tcPr>
          <w:p>
            <w:pPr>
              <w:tabs>
                <w:tab w:val="left" w:pos="16"/>
              </w:tabs>
              <w:adjustRightInd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投标人的技术参数</w:t>
            </w:r>
            <w:r>
              <w:rPr>
                <w:rFonts w:hint="eastAsia" w:ascii="仿宋" w:hAnsi="仿宋" w:eastAsia="仿宋" w:cs="仿宋"/>
                <w:sz w:val="24"/>
                <w:szCs w:val="24"/>
                <w:lang w:val="en-US" w:eastAsia="zh-CN"/>
              </w:rPr>
              <w:t>指标</w:t>
            </w:r>
            <w:r>
              <w:rPr>
                <w:rFonts w:hint="eastAsia" w:ascii="仿宋" w:hAnsi="仿宋" w:eastAsia="仿宋" w:cs="仿宋"/>
                <w:sz w:val="24"/>
                <w:szCs w:val="24"/>
              </w:rPr>
              <w:t>完全符合招标文件技术要求的得</w:t>
            </w:r>
            <w:r>
              <w:rPr>
                <w:rFonts w:hint="eastAsia" w:ascii="仿宋" w:hAnsi="仿宋" w:eastAsia="仿宋" w:cs="仿宋"/>
                <w:sz w:val="24"/>
                <w:szCs w:val="24"/>
                <w:lang w:val="en-US" w:eastAsia="zh-CN"/>
              </w:rPr>
              <w:t>35</w:t>
            </w:r>
            <w:r>
              <w:rPr>
                <w:rFonts w:hint="eastAsia" w:ascii="仿宋" w:hAnsi="仿宋" w:eastAsia="仿宋" w:cs="仿宋"/>
                <w:sz w:val="24"/>
                <w:szCs w:val="24"/>
              </w:rPr>
              <w:t>分，（带“★”不允许有负偏离）如有负偏离以无效投标处理；带“▲”为重要参数，如不满足每项扣</w:t>
            </w:r>
            <w:r>
              <w:rPr>
                <w:rFonts w:hint="eastAsia" w:ascii="仿宋" w:hAnsi="仿宋" w:eastAsia="仿宋" w:cs="仿宋"/>
                <w:sz w:val="24"/>
                <w:szCs w:val="24"/>
                <w:lang w:val="en-US" w:eastAsia="zh-CN"/>
              </w:rPr>
              <w:t>3</w:t>
            </w:r>
            <w:r>
              <w:rPr>
                <w:rFonts w:hint="eastAsia" w:ascii="仿宋" w:hAnsi="仿宋" w:eastAsia="仿宋" w:cs="仿宋"/>
                <w:sz w:val="24"/>
                <w:szCs w:val="24"/>
              </w:rPr>
              <w:t>分；扣完为止。</w:t>
            </w:r>
            <w:r>
              <w:rPr>
                <w:rFonts w:hint="eastAsia" w:ascii="仿宋" w:hAnsi="仿宋" w:eastAsia="仿宋" w:cs="仿宋"/>
                <w:sz w:val="24"/>
                <w:szCs w:val="24"/>
                <w:lang w:eastAsia="zh-CN"/>
              </w:rPr>
              <w:t>（</w:t>
            </w:r>
            <w:r>
              <w:rPr>
                <w:rFonts w:hint="eastAsia" w:ascii="仿宋" w:hAnsi="仿宋" w:eastAsia="仿宋" w:cs="仿宋"/>
                <w:sz w:val="24"/>
                <w:szCs w:val="24"/>
              </w:rPr>
              <w:t>证明材料：须在投标文件中提供所有▲条款对应的截图进行佐证，否则对应项视为未响应。</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供货实施方案</w:t>
            </w:r>
          </w:p>
          <w:p>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5分</w:t>
            </w:r>
          </w:p>
        </w:tc>
        <w:tc>
          <w:tcPr>
            <w:tcW w:w="8223" w:type="dxa"/>
            <w:noWrap w:val="0"/>
            <w:tcMar>
              <w:left w:w="57" w:type="dxa"/>
              <w:right w:w="57" w:type="dxa"/>
            </w:tcMar>
            <w:vAlign w:val="center"/>
          </w:tcPr>
          <w:p>
            <w:pPr>
              <w:rPr>
                <w:rFonts w:hint="eastAsia" w:ascii="仿宋" w:hAnsi="仿宋" w:eastAsia="仿宋" w:cs="仿宋"/>
                <w:sz w:val="24"/>
                <w:szCs w:val="24"/>
              </w:rPr>
            </w:pPr>
            <w:r>
              <w:rPr>
                <w:rFonts w:hint="eastAsia" w:ascii="仿宋" w:hAnsi="仿宋" w:eastAsia="仿宋" w:cs="仿宋"/>
                <w:sz w:val="24"/>
                <w:szCs w:val="24"/>
              </w:rPr>
              <w:t xml:space="preserve">投标人需提供项目供货实施方案，包括但不限于供货进度、组织验收流程、资料整理、产品质量保障措施及承诺等内容。 </w:t>
            </w:r>
          </w:p>
          <w:p>
            <w:pPr>
              <w:rPr>
                <w:rFonts w:hint="default" w:ascii="仿宋" w:hAnsi="仿宋" w:eastAsia="仿宋" w:cs="仿宋"/>
                <w:sz w:val="24"/>
                <w:szCs w:val="24"/>
                <w:lang w:val="en-US" w:eastAsia="zh-CN"/>
              </w:rPr>
            </w:pPr>
            <w:r>
              <w:rPr>
                <w:rFonts w:hint="eastAsia" w:ascii="仿宋" w:hAnsi="仿宋" w:eastAsia="仿宋" w:cs="仿宋"/>
                <w:sz w:val="24"/>
                <w:szCs w:val="24"/>
              </w:rPr>
              <w:t>供货实施方案中包括以上全部内容，且各项配备齐全，各项内容完善具有针对性，内容叙述详细，符合项目特点及需求的得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分。内容叙述</w:t>
            </w:r>
            <w:r>
              <w:rPr>
                <w:rFonts w:hint="eastAsia" w:ascii="仿宋" w:hAnsi="仿宋" w:eastAsia="仿宋" w:cs="仿宋"/>
                <w:sz w:val="24"/>
                <w:szCs w:val="24"/>
                <w:lang w:val="en-US" w:eastAsia="zh-CN"/>
              </w:rPr>
              <w:t>不</w:t>
            </w:r>
            <w:r>
              <w:rPr>
                <w:rFonts w:hint="eastAsia" w:ascii="仿宋" w:hAnsi="仿宋" w:eastAsia="仿宋" w:cs="仿宋"/>
                <w:sz w:val="24"/>
                <w:szCs w:val="24"/>
              </w:rPr>
              <w:t>详细</w:t>
            </w:r>
            <w:r>
              <w:rPr>
                <w:rFonts w:hint="eastAsia" w:ascii="仿宋" w:hAnsi="仿宋" w:eastAsia="仿宋" w:cs="仿宋"/>
                <w:sz w:val="24"/>
                <w:szCs w:val="24"/>
                <w:lang w:val="en-US" w:eastAsia="zh-CN"/>
              </w:rPr>
              <w:t>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02" w:type="dxa"/>
            <w:vMerge w:val="restart"/>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65" w:type="dxa"/>
            <w:vMerge w:val="restart"/>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w:t>
            </w:r>
          </w:p>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pStyle w:val="8"/>
              <w:numPr>
                <w:ilvl w:val="0"/>
                <w:numId w:val="0"/>
              </w:numPr>
              <w:ind w:leftChars="0" w:firstLine="220" w:firstLineChars="100"/>
              <w:jc w:val="both"/>
              <w:rPr>
                <w:rFonts w:hint="eastAsia" w:ascii="仿宋" w:hAnsi="仿宋" w:eastAsia="仿宋" w:cs="仿宋"/>
                <w:lang w:val="en-US" w:eastAsia="zh-CN"/>
              </w:rPr>
            </w:pPr>
            <w:r>
              <w:rPr>
                <w:rFonts w:hint="eastAsia" w:ascii="仿宋" w:hAnsi="仿宋" w:eastAsia="仿宋" w:cs="仿宋"/>
                <w:lang w:val="en-US" w:eastAsia="zh-CN"/>
              </w:rPr>
              <w:t>30分</w:t>
            </w: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安装调试 </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方案6分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1.安装调试方案有具体的安装调试流程，安全保证措施且各项内容具体、详细，符合项目特征的得4分，一般的得2分。 </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2.安装调试人员配备，每提供一人得 0.5 分，最高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应急预案及突发事件的处理措施</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综合考虑供应商提供应急预案，包括自然灾害、交通意外等情况下的应急预案、响应时间、突发状况等，由评委根据方案描述评审： </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1、应急预案中包含以上内容，且各项内容具体、详细符合项目特征的得3分；</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2、接到故障通知6 小时内响应并到达现场，得 3 分； </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接到故障通知8小时内响应并到达现场，得 2 分； </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接到故障通知 10小时后响应并到达现场，得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售后服务方案6分</w:t>
            </w:r>
          </w:p>
        </w:tc>
        <w:tc>
          <w:tcPr>
            <w:tcW w:w="8223" w:type="dxa"/>
            <w:noWrap w:val="0"/>
            <w:tcMar>
              <w:left w:w="57" w:type="dxa"/>
              <w:right w:w="57" w:type="dxa"/>
            </w:tcMar>
            <w:vAlign w:val="center"/>
          </w:tcPr>
          <w:p>
            <w:pPr>
              <w:rPr>
                <w:rFonts w:hint="eastAsia" w:ascii="仿宋" w:hAnsi="仿宋" w:eastAsia="仿宋" w:cs="仿宋"/>
                <w:lang w:val="en-US" w:eastAsia="zh-CN"/>
              </w:rPr>
            </w:pPr>
            <w:r>
              <w:rPr>
                <w:rFonts w:hint="eastAsia" w:ascii="仿宋" w:hAnsi="仿宋" w:eastAsia="仿宋" w:cs="仿宋"/>
                <w:lang w:val="en-US" w:eastAsia="zh-CN"/>
              </w:rPr>
              <w:t>投标人针对本项目制定的详细售后服务方案，需包括以下内容： （1）售后服务承诺和保障措施；（2）设备保养服务方案； （3）售后人员安排、响应时间； （4）售后服务体系； （5）售后服务网点（提供租赁合同、库房设施设备、配送车辆）； （6）技术培训方案。 上述6项内容，描述详细明确完全符合项目需求的得6分，每缺一项的扣1分，每有一项内容有缺陷或不符合项目需求的不得分。 注：（缺陷是指：内容不够完善、条理不清晰、描述过于简单、与项目特点不匹配、凭空编造、不可能实现的夸大情形、逻辑漏洞、存在不适用项目实际情况的情形等）。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培训计划</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1、投标人须提供针对使用方的技术培训服务，使得设备具有安全可靠使用的能力。提供的方案内容详细，操作性较强，有具体的操作教学流程，有详细的安全保证措施，得 3 分。 </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2、配备培训教学人员2人时，得基本分 1 分，每增加一名加0.5 分，最高得 2 分。 </w:t>
            </w:r>
          </w:p>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3、培训教学时间不少于 2 天，得1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类似业绩3分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提供近三年的设备业绩材料，时间以合同签订日期为准。业绩证明以供应商实际提供的中标通知书或合同扫描件为准。不符合要求的业绩不得分。每提供一份合格的业绩证明材料得1分。业绩分满分为3分，最低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人员配置3分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提供投入工程师人员名单，同时提供相应的专业能力证明材料。每提供一人得1分，满分3分。</w:t>
            </w:r>
          </w:p>
        </w:tc>
      </w:tr>
    </w:tbl>
    <w:p>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3"/>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11"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pPr>
        <w:spacing w:line="460" w:lineRule="exact"/>
        <w:jc w:val="center"/>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p>
      <w:pPr>
        <w:pStyle w:val="8"/>
        <w:numPr>
          <w:ilvl w:val="0"/>
          <w:numId w:val="0"/>
        </w:numPr>
        <w:ind w:leftChars="0"/>
        <w:rPr>
          <w:rFonts w:hint="default"/>
          <w:lang w:val="en-US" w:eastAsia="zh-CN"/>
        </w:rPr>
      </w:pPr>
      <w:r>
        <w:rPr>
          <w:rFonts w:hint="eastAsia" w:ascii="仿宋" w:hAnsi="仿宋" w:eastAsia="仿宋" w:cs="仿宋"/>
          <w:b/>
          <w:color w:val="000000" w:themeColor="text1"/>
          <w:sz w:val="32"/>
          <w:szCs w:val="32"/>
          <w:lang w:val="en-US" w:eastAsia="zh-CN"/>
        </w:rPr>
        <w:t>一、采购需求</w:t>
      </w:r>
    </w:p>
    <w:bookmarkEnd w:id="40"/>
    <w:tbl>
      <w:tblPr>
        <w:tblStyle w:val="22"/>
        <w:tblpPr w:leftFromText="180" w:rightFromText="180" w:vertAnchor="text" w:horzAnchor="page" w:tblpX="1162" w:tblpY="994"/>
        <w:tblOverlap w:val="never"/>
        <w:tblW w:w="48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1035"/>
        <w:gridCol w:w="3320"/>
        <w:gridCol w:w="1299"/>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9DCC8D" w:fill="D9D9D9"/>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bookmarkStart w:id="46" w:name="_Toc340225294"/>
            <w:bookmarkStart w:id="47" w:name="_Toc267320052"/>
            <w:bookmarkStart w:id="48" w:name="OLE_LINK4"/>
            <w:r>
              <w:rPr>
                <w:rFonts w:hint="eastAsia" w:ascii="仿宋" w:hAnsi="仿宋" w:eastAsia="仿宋" w:cs="仿宋"/>
                <w:b/>
                <w:bCs/>
                <w:i w:val="0"/>
                <w:iCs w:val="0"/>
                <w:color w:val="000000"/>
                <w:kern w:val="0"/>
                <w:sz w:val="24"/>
                <w:szCs w:val="24"/>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9DCC8D" w:fill="D9D9D9"/>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申请</w:t>
            </w:r>
          </w:p>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科室</w:t>
            </w:r>
          </w:p>
        </w:tc>
        <w:tc>
          <w:tcPr>
            <w:tcW w:w="3321" w:type="dxa"/>
            <w:tcBorders>
              <w:top w:val="single" w:color="000000" w:sz="4" w:space="0"/>
              <w:left w:val="single" w:color="000000" w:sz="4" w:space="0"/>
              <w:bottom w:val="single" w:color="000000" w:sz="4" w:space="0"/>
              <w:right w:val="single" w:color="000000" w:sz="4" w:space="0"/>
            </w:tcBorders>
            <w:shd w:val="clear" w:color="9DCC8D" w:fill="D9D9D9"/>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1299" w:type="dxa"/>
            <w:tcBorders>
              <w:top w:val="single" w:color="000000" w:sz="4" w:space="0"/>
              <w:left w:val="single" w:color="000000" w:sz="4" w:space="0"/>
              <w:bottom w:val="single" w:color="000000" w:sz="4" w:space="0"/>
              <w:right w:val="single" w:color="000000" w:sz="4" w:space="0"/>
            </w:tcBorders>
            <w:shd w:val="clear" w:color="9DCC8D" w:fill="D9D9D9"/>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954" w:type="dxa"/>
            <w:tcBorders>
              <w:top w:val="single" w:color="000000" w:sz="4" w:space="0"/>
              <w:left w:val="single" w:color="000000" w:sz="4" w:space="0"/>
              <w:bottom w:val="single" w:color="000000" w:sz="4" w:space="0"/>
              <w:right w:val="single" w:color="000000" w:sz="4" w:space="0"/>
            </w:tcBorders>
            <w:shd w:val="clear" w:color="9DCC8D" w:fill="D9D9D9"/>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超声雾化仪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离子导入仪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电子针疗仪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其中3个是康复科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病历车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血透室1个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污物车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康复科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治疗车</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皮肛科2+血透室2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足疗桶</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康复科5，内科10，皮肛科10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动态血糖仪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激光扫描检眼镜</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脑瘫</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多体位康复训练床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（儿童按摩诊疗床）</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PT凳</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智能数字OT评测训练系统</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专注力康复训练系统</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儿童桌</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儿童椅</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智能康复训练系统-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儿童上下肢</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儿童助行架</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可调式康复训练床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（幼儿手动起立床）</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坐姿矫正椅</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儿童梯椅</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经络导平治疗仪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10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经颅磁刺激仪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r>
    </w:tbl>
    <w:p>
      <w:pPr>
        <w:widowControl/>
        <w:jc w:val="center"/>
        <w:textAlignment w:val="center"/>
        <w:rPr>
          <w:rFonts w:hint="eastAsia" w:ascii="仿宋" w:hAnsi="仿宋" w:eastAsia="仿宋" w:cs="仿宋"/>
          <w:b w:val="0"/>
          <w:bCs w:val="0"/>
          <w:sz w:val="28"/>
          <w:szCs w:val="28"/>
        </w:rPr>
      </w:pPr>
      <w:r>
        <w:rPr>
          <w:rFonts w:hint="eastAsia" w:ascii="仿宋" w:hAnsi="仿宋" w:eastAsia="仿宋" w:cs="仿宋"/>
          <w:b w:val="0"/>
          <w:bCs w:val="0"/>
          <w:sz w:val="28"/>
          <w:szCs w:val="28"/>
        </w:rPr>
        <w:t>招标项目技术规格、数量清单</w:t>
      </w:r>
    </w:p>
    <w:bookmarkEnd w:id="46"/>
    <w:bookmarkEnd w:id="47"/>
    <w:bookmarkEnd w:id="48"/>
    <w:tbl>
      <w:tblPr>
        <w:tblStyle w:val="22"/>
        <w:tblW w:w="5773" w:type="pct"/>
        <w:tblInd w:w="-779" w:type="dxa"/>
        <w:tblLayout w:type="fixed"/>
        <w:tblCellMar>
          <w:top w:w="0" w:type="dxa"/>
          <w:left w:w="108" w:type="dxa"/>
          <w:bottom w:w="0" w:type="dxa"/>
          <w:right w:w="108" w:type="dxa"/>
        </w:tblCellMar>
      </w:tblPr>
      <w:tblGrid>
        <w:gridCol w:w="754"/>
        <w:gridCol w:w="734"/>
        <w:gridCol w:w="8589"/>
        <w:gridCol w:w="811"/>
        <w:gridCol w:w="614"/>
      </w:tblGrid>
      <w:tr>
        <w:tblPrEx>
          <w:tblCellMar>
            <w:top w:w="0" w:type="dxa"/>
            <w:left w:w="108" w:type="dxa"/>
            <w:bottom w:w="0" w:type="dxa"/>
            <w:right w:w="108" w:type="dxa"/>
          </w:tblCellMar>
        </w:tblPrEx>
        <w:trPr>
          <w:trHeight w:val="902"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eastAsia="zh-CN" w:bidi="ar"/>
              </w:rPr>
              <w:t>序号</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设备</w:t>
            </w:r>
          </w:p>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eastAsia="zh-CN" w:bidi="ar"/>
              </w:rPr>
              <w:t>名称</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eastAsia="zh-CN" w:bidi="ar"/>
              </w:rPr>
              <w:t>技术参数与要求</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eastAsia="zh-CN" w:bidi="ar"/>
              </w:rPr>
              <w:t>数量</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单位</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超声雾化仪</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pStyle w:val="10"/>
              <w:numPr>
                <w:ilvl w:val="0"/>
                <w:numId w:val="6"/>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电源：~220V±22V 50Hz± 1Hz</w:t>
            </w:r>
          </w:p>
          <w:p>
            <w:pPr>
              <w:pStyle w:val="10"/>
              <w:numPr>
                <w:ilvl w:val="0"/>
                <w:numId w:val="6"/>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加热功率为700VA;</w:t>
            </w:r>
          </w:p>
          <w:p>
            <w:pPr>
              <w:pStyle w:val="10"/>
              <w:numPr>
                <w:ilvl w:val="0"/>
                <w:numId w:val="6"/>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超声振荡频率：2.0MHz ±10%；</w:t>
            </w:r>
          </w:p>
          <w:p>
            <w:pPr>
              <w:pStyle w:val="10"/>
              <w:numPr>
                <w:ilvl w:val="0"/>
                <w:numId w:val="6"/>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雾化率：≧180ml/h；</w:t>
            </w:r>
          </w:p>
          <w:p>
            <w:pPr>
              <w:pStyle w:val="10"/>
              <w:numPr>
                <w:ilvl w:val="0"/>
                <w:numId w:val="6"/>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加热温度：85±10%</w:t>
            </w:r>
          </w:p>
          <w:p>
            <w:pPr>
              <w:pStyle w:val="10"/>
              <w:numPr>
                <w:ilvl w:val="0"/>
                <w:numId w:val="6"/>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加热锅装水量：800ML</w:t>
            </w:r>
          </w:p>
          <w:p>
            <w:pPr>
              <w:pStyle w:val="10"/>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7)过滤网直径：≤75um。</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8)正常工作时的整机噪声：≤50dB（A计权）；</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9)治疗时间：5-30分钟(可调）；</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10)包装尺寸：42cmx25cmx44cm；</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11)机器尺寸：38cm*36cm*20cm</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12)重量：5KG</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13)低水位提示装置：当雾化器水槽内无蒸馏水时，机器可自动停机；</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14)连续工作时间：在常温下采用交流电源供电时，可连续工作4小时；</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15)等效体积粒径分布：直径1um-8um的雾粒所占比例大于50%。</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16)中位粒径：雾粒的中位粒径为6.5um，误差不超过±25%。测量时溶液成分为水，温度为24度，相对湿度为61%。</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17)专属配套耗材:硅胶面罩</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r>
        <w:tblPrEx>
          <w:tblCellMar>
            <w:top w:w="0" w:type="dxa"/>
            <w:left w:w="108" w:type="dxa"/>
            <w:bottom w:w="0" w:type="dxa"/>
            <w:right w:w="108" w:type="dxa"/>
          </w:tblCellMar>
        </w:tblPrEx>
        <w:trPr>
          <w:trHeight w:val="353"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val="en-US" w:eastAsia="zh-CN" w:bidi="ar"/>
              </w:rPr>
              <w:t>2</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en-US"/>
              </w:rPr>
            </w:pPr>
            <w:r>
              <w:rPr>
                <w:rFonts w:hint="eastAsia" w:ascii="仿宋" w:hAnsi="仿宋" w:eastAsia="仿宋" w:cs="仿宋"/>
                <w:color w:val="auto"/>
                <w:kern w:val="0"/>
                <w:sz w:val="24"/>
                <w:szCs w:val="24"/>
                <w:highlight w:val="none"/>
                <w:lang w:val="en-US" w:eastAsia="zh-CN" w:bidi="en-US"/>
              </w:rPr>
              <w:t>离子导入仪</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离子导入仪通过非对称中频电流产生的电场，对药物离子产生定向的推动力，使药物中的有效成分深入有效地透过皮肤粘膜快速的进入人体，作用于患者病灶，具有消炎、消肿、镇痛、疏通经络、松解粘连、调节和改善局部循环的作用，能缓解和消除由于骨质增生压迫或刺激造成的交感神经及神经根的麻木、刺痛等症状。</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技术参数</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1.额定输入功率：100VA。</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电极片</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 加热电极片：分两种型号长107mm，宽72mm和长85mm，宽55mm，允差±10mm；</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 电极线：长1800mm，允差±100mm；</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c）吸水加热电极片：长113mm，宽80mm，允差±10mm。</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治疗模式</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a)具有“按摩”和“导入”两种治疗模式。</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b)“按摩”状态输出对称脉冲波形，幅度差不大于2V。</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c)“导入”状态输出为非对称脉冲波形。</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4.输出通道：双通道输出。</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5.中频载波波形:正弦波。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6.调制波波形：方波。</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7.输出频率：</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中频载波频率：2000Hz±10% ；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调制波频率：75Hz±10%。</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8.调幅度：38%～48%。</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9.中频脉冲电压：中频脉冲最大输出峰峰值99V，允差±10%，分0～99级显示。</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10.定时范围：1～60min连续可调，开机默认值25min。</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11.电极片辅助温热温度：43℃，允差±3℃。</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台</w:t>
            </w:r>
          </w:p>
        </w:tc>
      </w:tr>
      <w:tr>
        <w:tblPrEx>
          <w:tblCellMar>
            <w:top w:w="0" w:type="dxa"/>
            <w:left w:w="108" w:type="dxa"/>
            <w:bottom w:w="0" w:type="dxa"/>
            <w:right w:w="108" w:type="dxa"/>
          </w:tblCellMar>
        </w:tblPrEx>
        <w:trPr>
          <w:trHeight w:val="997"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en-US" w:bidi="en-US"/>
              </w:rPr>
            </w:pPr>
            <w:r>
              <w:rPr>
                <w:rFonts w:hint="eastAsia" w:ascii="仿宋" w:hAnsi="仿宋" w:eastAsia="仿宋" w:cs="仿宋"/>
                <w:color w:val="auto"/>
                <w:kern w:val="0"/>
                <w:sz w:val="24"/>
                <w:szCs w:val="24"/>
                <w:highlight w:val="none"/>
                <w:lang w:val="en-US" w:eastAsia="en-US" w:bidi="en-US"/>
              </w:rPr>
              <w:t>电子针疗仪</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b/>
                <w:sz w:val="24"/>
                <w:szCs w:val="24"/>
                <w:lang w:eastAsia="zh-CN"/>
              </w:rPr>
            </w:pPr>
            <w:r>
              <w:rPr>
                <w:rFonts w:hint="eastAsia" w:ascii="仿宋" w:hAnsi="仿宋" w:eastAsia="仿宋" w:cs="仿宋"/>
                <w:b/>
                <w:sz w:val="24"/>
                <w:szCs w:val="24"/>
                <w:lang w:eastAsia="zh-CN"/>
              </w:rPr>
              <w:t>治疗原理：</w:t>
            </w:r>
          </w:p>
          <w:p>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电针治疗仪是利用低频脉冲对人体穴位的刺激。</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技术参数:</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1、治疗仪额定输入功率：8VA。</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2、输出波形：连续波、断续波、疏密波。</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3、连续波： </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a）连续波频率：1Hz～100Hz</w:t>
            </w:r>
            <w:r>
              <w:rPr>
                <w:rFonts w:hint="eastAsia" w:ascii="仿宋" w:hAnsi="仿宋" w:eastAsia="仿宋" w:cs="仿宋"/>
                <w:color w:val="auto"/>
                <w:sz w:val="24"/>
                <w:szCs w:val="24"/>
                <w:lang w:eastAsia="zh-CN"/>
              </w:rPr>
              <w:t>连续可调</w:t>
            </w:r>
            <w:r>
              <w:rPr>
                <w:rFonts w:hint="eastAsia" w:ascii="仿宋" w:hAnsi="仿宋" w:eastAsia="仿宋" w:cs="仿宋"/>
                <w:color w:val="auto"/>
                <w:sz w:val="24"/>
                <w:szCs w:val="24"/>
                <w:lang w:val="en-US" w:eastAsia="zh-CN"/>
              </w:rPr>
              <w:t>,允差±15％；</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b）脉冲宽度：0.35ms±0.1ms；</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4、断续波：断续周期：2.3s～6s可调；允差±10％</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5、疏密波：疏、密波变换周期：2.3s～6s可调;允差±10％。</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6、每路输出脉冲强度为：0～12V，允差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0％（负载电阻</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0Ω）。</w:t>
            </w: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color w:val="auto"/>
                <w:sz w:val="24"/>
                <w:szCs w:val="24"/>
                <w:lang w:val="en-US" w:eastAsia="zh-CN"/>
              </w:rPr>
              <w:t>7、输出通道：5路输出。</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产品优势：</w:t>
            </w:r>
          </w:p>
          <w:p>
            <w:pPr>
              <w:numPr>
                <w:ilvl w:val="0"/>
                <w:numId w:val="7"/>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五路输出，每路可独立调节强度大小</w:t>
            </w:r>
          </w:p>
          <w:p>
            <w:pPr>
              <w:numPr>
                <w:ilvl w:val="0"/>
                <w:numId w:val="7"/>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输出波形：连续波、断续波、疏密波三种可选</w:t>
            </w:r>
          </w:p>
          <w:p>
            <w:pPr>
              <w:numPr>
                <w:ilvl w:val="0"/>
                <w:numId w:val="7"/>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小巧精致，操作方便</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适应症：</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适用于周围性面神经炎恢复期的辅助治疗。</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b w:val="0"/>
                <w:bCs w:val="0"/>
                <w:color w:val="auto"/>
                <w:kern w:val="0"/>
                <w:sz w:val="24"/>
                <w:szCs w:val="24"/>
                <w:highlight w:val="none"/>
                <w:lang w:eastAsia="en-US" w:bidi="en-US"/>
              </w:rPr>
            </w:pPr>
            <w:r>
              <w:rPr>
                <w:rFonts w:hint="eastAsia" w:ascii="仿宋" w:hAnsi="仿宋" w:eastAsia="仿宋" w:cs="仿宋"/>
                <w:b w:val="0"/>
                <w:bCs w:val="0"/>
                <w:color w:val="auto"/>
                <w:kern w:val="0"/>
                <w:sz w:val="24"/>
                <w:szCs w:val="24"/>
                <w:highlight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b w:val="0"/>
                <w:bCs w:val="0"/>
                <w:color w:val="auto"/>
                <w:kern w:val="0"/>
                <w:sz w:val="24"/>
                <w:szCs w:val="24"/>
                <w:highlight w:val="none"/>
                <w:lang w:eastAsia="zh-CN" w:bidi="ar"/>
              </w:rPr>
            </w:pPr>
            <w:r>
              <w:rPr>
                <w:rFonts w:hint="eastAsia" w:ascii="仿宋" w:hAnsi="仿宋" w:eastAsia="仿宋" w:cs="仿宋"/>
                <w:b w:val="0"/>
                <w:bCs w:val="0"/>
                <w:color w:val="auto"/>
                <w:kern w:val="0"/>
                <w:sz w:val="24"/>
                <w:szCs w:val="24"/>
                <w:highlight w:val="none"/>
                <w:lang w:eastAsia="zh-CN" w:bidi="ar"/>
              </w:rPr>
              <w:t>台</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病历车</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不锈钢50位病历柜</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650×440×970mm；不锈钢材质，板材厚度≥1.2mm，柜体侧边和台面正面为圆弧形，安全、美观；柜体内壁是ABS工程聚塑,、吹塑一次性成型，有效的保护病历夹，不易划坏。配锁，带抽屉，配高档静音耐磨脚轮，双轮带刹车。</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个 </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240" w:firstLineChars="100"/>
              <w:jc w:val="both"/>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p>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污物车</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不锈钢污物车</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规格：700*580*880mm。全不锈钢制作，管壁厚≥1.5mm。带防水布污物袋，可拆卸，清洁、美观；静音脚轮，其中二个带刹车.</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both"/>
              <w:textAlignment w:val="center"/>
              <w:rPr>
                <w:rFonts w:hint="eastAsia" w:ascii="仿宋" w:hAnsi="仿宋" w:eastAsia="仿宋" w:cs="仿宋"/>
                <w:color w:val="auto"/>
                <w:kern w:val="0"/>
                <w:sz w:val="24"/>
                <w:szCs w:val="24"/>
                <w:highlight w:val="none"/>
                <w:lang w:val="en-US" w:eastAsia="zh-CN" w:bidi="ar"/>
              </w:rPr>
            </w:pPr>
          </w:p>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both"/>
              <w:textAlignment w:val="center"/>
              <w:rPr>
                <w:rFonts w:hint="eastAsia" w:ascii="仿宋" w:hAnsi="仿宋" w:eastAsia="仿宋" w:cs="仿宋"/>
                <w:color w:val="auto"/>
                <w:kern w:val="0"/>
                <w:sz w:val="24"/>
                <w:szCs w:val="24"/>
                <w:highlight w:val="none"/>
                <w:lang w:val="en-US" w:eastAsia="zh-CN" w:bidi="ar"/>
              </w:rPr>
            </w:pPr>
          </w:p>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 6</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治疗车</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不锈钢治疗车</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1、规格：600×430×850mm</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2、不锈钢材质，板材厚度≥0.8mm；双层台面，不锈钢围栏，带抽屉，滑道采用三节式高级静音滑道，配污物桶，配高档静音耐磨脚轮，双轮带刹车。</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2765"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足疗桶</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1、产品名称：高端养生足浴盆</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2、额定功率：760W</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3、桶深：28CM</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4、尺寸：462MM*392MM*453MM</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5、水容量：12L</w:t>
            </w:r>
          </w:p>
          <w:p>
            <w:pPr>
              <w:pStyle w:val="1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6、产品净重：4.8KG</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25</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871"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动态血糖仪</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该系统实现医院住院患者，会诊，门诊以及居家远程实时血糖一体化管理</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实时多患者在线数据传输，实时多人血糖数据显示</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高/低血糖报警及血糖数据监测分析</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院内/院外血糖管理实时无缝对接，提高患者血糖有效性</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血糖监测设备管理统计功能实现设备使用率、监测量、达标率等数据统计，实时管理监测设备，并实时数据可视化展示</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患者多次/多周期血糖监测数据智能对比分析，详细了解控糖情况及治疗方案调整后效果对比分析</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实时血糖AGR监测报告，智能分析患者血糖监测数据，并出具分析报告</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专有的大数据分析统计功能：地域分布、类型、年龄分布、康复信息等流行病学统计，为糖尿病的预防和治疗提供统计数据</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★可实现实时连续血糖监测以及常规指尖血数值的兼容，并系统智能显示</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★实时葡萄糖显示有效范围：1.7mmol/L----40mmol/L</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★数据采集≤每10秒采集一次数据</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24小时提供测量值≥300个有效血糖值，并能打印出各时点血糖值数据表</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兼容实时血糖监测电极数≥3个</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兼容实时监测数据传输模式：蓝牙无线传输</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正常工作温度范围：+15℃至+40℃ </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允许相对湿度范围：10% 至85%</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实时血糖监测响应速度：≤20秒  </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血糖数据传输工作方式：专业数据数据接收器与无线发射器实时传输。</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血糖数据储存方式:专业数据接收器自动存储在设备内，可下载数据≥72小时</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安全检查：系统每10秒钟自检确认实时监测硬件系统功能是否正常</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软件系统：全中文管理分析软件，多种数据报告。下载数据后，储存患者血糖数据到数据库</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专业数据接收器及发射器电量显示：专业数据接收器及发射器在接收器记录仪上同时显示各自不同的电量，以便于用户及时更换及设备维护，防止数据的丢失</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实时监测血糖数据永久保存</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智能客服，在线解决血糖监测中的各种售后问题</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在线教育：动态血糖图谱解读，专业知识共享</w:t>
            </w:r>
          </w:p>
          <w:p>
            <w:pPr>
              <w:pStyle w:val="56"/>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可科室版/全院版/医联体版拓展升级，满足分级诊疗需求</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r>
        <w:tblPrEx>
          <w:tblCellMar>
            <w:top w:w="0" w:type="dxa"/>
            <w:left w:w="108" w:type="dxa"/>
            <w:bottom w:w="0" w:type="dxa"/>
            <w:right w:w="108" w:type="dxa"/>
          </w:tblCellMar>
        </w:tblPrEx>
        <w:trPr>
          <w:trHeight w:val="1232"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激光扫描检眼镜</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b/>
                <w:bCs/>
                <w:sz w:val="24"/>
                <w:szCs w:val="24"/>
                <w:lang w:val="en-US" w:eastAsia="zh-CN"/>
              </w:rPr>
              <w:t>AI诊断全自动</w:t>
            </w:r>
            <w:r>
              <w:rPr>
                <w:rFonts w:hint="eastAsia" w:ascii="仿宋" w:hAnsi="仿宋" w:eastAsia="仿宋" w:cs="仿宋"/>
                <w:b/>
                <w:bCs/>
                <w:sz w:val="24"/>
                <w:szCs w:val="24"/>
              </w:rPr>
              <w:t>眼底照相机技术参数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 一键操作，双眼自动拍摄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2自动调节腮托，自动找瞳孔，自动调整工作距离，自动对准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3免散瞳，自动对焦，自动曝光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sz w:val="24"/>
                <w:szCs w:val="24"/>
                <w:lang w:val="en-US" w:eastAsia="zh-CN"/>
              </w:rPr>
              <w:t>4</w:t>
            </w:r>
            <w:r>
              <w:rPr>
                <w:rFonts w:hint="eastAsia" w:ascii="仿宋" w:hAnsi="仿宋" w:eastAsia="仿宋" w:cs="仿宋"/>
                <w:b w:val="0"/>
                <w:bCs w:val="0"/>
                <w:i w:val="0"/>
                <w:iCs w:val="0"/>
                <w:color w:val="auto"/>
                <w:kern w:val="2"/>
                <w:sz w:val="24"/>
                <w:szCs w:val="24"/>
                <w:highlight w:val="none"/>
                <w:vertAlign w:val="baseline"/>
                <w:lang w:val="en-US" w:eastAsia="zh-CN" w:bidi="ar-SA"/>
              </w:rPr>
              <w:t>高清眼底图像，DICOM系统连接，可搭载AI智能系统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智能</w:t>
            </w:r>
            <w:r>
              <w:rPr>
                <w:rFonts w:hint="eastAsia" w:ascii="仿宋" w:hAnsi="仿宋" w:eastAsia="仿宋" w:cs="仿宋"/>
                <w:sz w:val="24"/>
                <w:szCs w:val="24"/>
              </w:rPr>
              <w:t>操作模式</w:t>
            </w:r>
            <w:r>
              <w:rPr>
                <w:rFonts w:hint="eastAsia" w:ascii="仿宋" w:hAnsi="仿宋" w:eastAsia="仿宋" w:cs="仿宋"/>
                <w:sz w:val="24"/>
                <w:szCs w:val="24"/>
                <w:lang w:val="en-US" w:eastAsia="zh-CN"/>
              </w:rPr>
              <w:t>:</w:t>
            </w:r>
            <w:r>
              <w:rPr>
                <w:rFonts w:hint="eastAsia" w:ascii="仿宋" w:hAnsi="仿宋" w:eastAsia="仿宋" w:cs="仿宋"/>
                <w:sz w:val="24"/>
                <w:szCs w:val="24"/>
              </w:rPr>
              <w:t>全自动/手动；无需人工调整，一键完成双眼自动拍照</w:t>
            </w:r>
            <w:r>
              <w:rPr>
                <w:rFonts w:hint="eastAsia" w:ascii="仿宋" w:hAnsi="仿宋" w:eastAsia="仿宋" w:cs="仿宋"/>
                <w:sz w:val="24"/>
                <w:szCs w:val="24"/>
                <w:lang w:eastAsia="zh-CN"/>
              </w:rPr>
              <w:t>，自动调节腮托架，自动追踪眼位（</w:t>
            </w:r>
            <w:r>
              <w:rPr>
                <w:rFonts w:hint="eastAsia" w:ascii="仿宋" w:hAnsi="仿宋" w:eastAsia="仿宋" w:cs="仿宋"/>
                <w:sz w:val="24"/>
                <w:szCs w:val="24"/>
              </w:rPr>
              <w:t>上下左右</w:t>
            </w:r>
            <w:r>
              <w:rPr>
                <w:rFonts w:hint="eastAsia" w:ascii="仿宋" w:hAnsi="仿宋" w:eastAsia="仿宋" w:cs="仿宋"/>
                <w:sz w:val="24"/>
                <w:szCs w:val="24"/>
                <w:lang w:eastAsia="zh-CN"/>
              </w:rPr>
              <w:t>）</w:t>
            </w:r>
            <w:r>
              <w:rPr>
                <w:rFonts w:hint="eastAsia" w:ascii="仿宋" w:hAnsi="仿宋" w:eastAsia="仿宋" w:cs="仿宋"/>
                <w:sz w:val="24"/>
                <w:szCs w:val="24"/>
              </w:rPr>
              <w:t>，自动对焦（前后），自动测量.自动转换左右眼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▲在自动模式无法实现或者特定眼底区域采集时可通过手动在触摸屏操作，完成眼底图片的拍摄，比传统的操作杆操作更加便捷。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7自动/简单/快捷：全自动对位、对焦和双眼自动拍照，对操作人员无任何技术要求，一键拍摄高质量照片。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8柔和曝光一融入先进的光学技术，创新先进的光学技术，连续拍摄同一患者同一眼底图片，图片质量几乎相同柔和曝光技术，减少曝光之后瞳孔的缩小。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9★免散瞳设计 -最小瞳孔尺寸2.8mm，机器可以捕获2.8mm瞳孔的眼底图片，适合广泛的人群和不能散瞳的病人。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实现周边视网膜的眼底图像，除了外固视，内固视可任意选择，单幅图片市场角可以达到53度，同时具有自动拼图功能，可达到135度，大视角眼底情况呈现，减少误诊。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双摄像头系统 - 高精准定位，快速获得焦点位置，双摄像头系统，提高对焦位置的准确性和速度，为操作人员节约更多时间，提高工作效率。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12支持DICOM协议，直接和医院的PACS等系统连接。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局域网共享，在主机拍摄的同时，可实时显示在局域网内任意电脑* 可通过USB扩展储存。*FTP 进行远程传输。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13强大的图像处理功能，病灶面积，杯盘比，轻松可得图片伽马，对比度，亮度，色彩可根据医生需求调节。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14全自动对位</w:t>
            </w:r>
            <w:r>
              <w:rPr>
                <w:rFonts w:hint="eastAsia" w:ascii="仿宋" w:hAnsi="仿宋" w:eastAsia="仿宋" w:cs="仿宋"/>
                <w:sz w:val="24"/>
                <w:szCs w:val="24"/>
              </w:rPr>
              <w:t>对焦模式</w:t>
            </w:r>
            <w:r>
              <w:rPr>
                <w:rFonts w:hint="eastAsia" w:ascii="仿宋" w:hAnsi="仿宋" w:eastAsia="仿宋" w:cs="仿宋"/>
                <w:sz w:val="24"/>
                <w:szCs w:val="24"/>
                <w:lang w:eastAsia="zh-CN"/>
              </w:rPr>
              <w:t>：</w:t>
            </w:r>
            <w:r>
              <w:rPr>
                <w:rFonts w:hint="eastAsia" w:ascii="仿宋" w:hAnsi="仿宋" w:eastAsia="仿宋" w:cs="仿宋"/>
                <w:sz w:val="24"/>
                <w:szCs w:val="24"/>
              </w:rPr>
              <w:t>全自动/手动；自动切换左右眼、自动寻找瞳孔、自动校准瞳孔位置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拍照模式</w:t>
            </w:r>
            <w:r>
              <w:rPr>
                <w:rFonts w:hint="eastAsia" w:ascii="仿宋" w:hAnsi="仿宋" w:eastAsia="仿宋" w:cs="仿宋"/>
                <w:sz w:val="24"/>
                <w:szCs w:val="24"/>
                <w:lang w:eastAsia="zh-CN"/>
              </w:rPr>
              <w:t>：</w:t>
            </w:r>
            <w:r>
              <w:rPr>
                <w:rFonts w:hint="eastAsia" w:ascii="仿宋" w:hAnsi="仿宋" w:eastAsia="仿宋" w:cs="仿宋"/>
                <w:sz w:val="24"/>
                <w:szCs w:val="24"/>
              </w:rPr>
              <w:t>自动/手动</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采集模式</w:t>
            </w:r>
            <w:r>
              <w:rPr>
                <w:rFonts w:hint="eastAsia" w:ascii="仿宋" w:hAnsi="仿宋" w:eastAsia="仿宋" w:cs="仿宋"/>
                <w:sz w:val="24"/>
                <w:szCs w:val="24"/>
                <w:lang w:eastAsia="zh-CN"/>
              </w:rPr>
              <w:t>：</w:t>
            </w:r>
            <w:r>
              <w:rPr>
                <w:rFonts w:hint="eastAsia" w:ascii="仿宋" w:hAnsi="仿宋" w:eastAsia="仿宋" w:cs="仿宋"/>
                <w:sz w:val="24"/>
                <w:szCs w:val="24"/>
              </w:rPr>
              <w:t>免散瞳/散瞳彩照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17</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采集过程全程语音导航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r>
              <w:rPr>
                <w:rFonts w:hint="eastAsia" w:ascii="仿宋" w:hAnsi="仿宋" w:eastAsia="仿宋" w:cs="仿宋"/>
                <w:b w:val="0"/>
                <w:bCs w:val="0"/>
                <w:i w:val="0"/>
                <w:iCs w:val="0"/>
                <w:color w:val="auto"/>
                <w:kern w:val="2"/>
                <w:sz w:val="24"/>
                <w:szCs w:val="24"/>
                <w:highlight w:val="none"/>
                <w:vertAlign w:val="baseline"/>
                <w:lang w:val="en-US" w:eastAsia="zh-CN" w:bidi="ar-SA"/>
              </w:rPr>
              <w:t>视场角；53°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▲照相瞳孔直径</w:t>
            </w:r>
            <w:r>
              <w:rPr>
                <w:rFonts w:hint="eastAsia" w:ascii="仿宋" w:hAnsi="仿宋" w:eastAsia="仿宋" w:cs="仿宋"/>
                <w:sz w:val="24"/>
                <w:szCs w:val="24"/>
                <w:lang w:eastAsia="zh-CN"/>
              </w:rPr>
              <w:t>：</w:t>
            </w:r>
            <w:r>
              <w:rPr>
                <w:rFonts w:hint="eastAsia" w:ascii="仿宋" w:hAnsi="仿宋" w:eastAsia="仿宋" w:cs="仿宋"/>
                <w:sz w:val="24"/>
                <w:szCs w:val="24"/>
              </w:rPr>
              <w:t>2.8 mm或以上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闪光强度</w:t>
            </w:r>
            <w:r>
              <w:rPr>
                <w:rFonts w:hint="eastAsia" w:ascii="仿宋" w:hAnsi="仿宋" w:eastAsia="仿宋" w:cs="仿宋"/>
                <w:sz w:val="24"/>
                <w:szCs w:val="24"/>
                <w:lang w:eastAsia="zh-CN"/>
              </w:rPr>
              <w:t>：</w:t>
            </w:r>
            <w:r>
              <w:rPr>
                <w:rFonts w:hint="eastAsia" w:ascii="仿宋" w:hAnsi="仿宋" w:eastAsia="仿宋" w:cs="仿宋"/>
                <w:sz w:val="24"/>
                <w:szCs w:val="24"/>
              </w:rPr>
              <w:t>自适应无级可调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曝光模式</w:t>
            </w:r>
            <w:r>
              <w:rPr>
                <w:rFonts w:hint="eastAsia" w:ascii="仿宋" w:hAnsi="仿宋" w:eastAsia="仿宋" w:cs="仿宋"/>
                <w:sz w:val="24"/>
                <w:szCs w:val="24"/>
                <w:lang w:eastAsia="zh-CN"/>
              </w:rPr>
              <w:t>：</w:t>
            </w:r>
            <w:r>
              <w:rPr>
                <w:rFonts w:hint="eastAsia" w:ascii="仿宋" w:hAnsi="仿宋" w:eastAsia="仿宋" w:cs="仿宋"/>
                <w:sz w:val="24"/>
                <w:szCs w:val="24"/>
              </w:rPr>
              <w:t>自动/手动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操作者方位</w:t>
            </w:r>
            <w:r>
              <w:rPr>
                <w:rFonts w:hint="eastAsia" w:ascii="仿宋" w:hAnsi="仿宋" w:eastAsia="仿宋" w:cs="仿宋"/>
                <w:sz w:val="24"/>
                <w:szCs w:val="24"/>
                <w:lang w:eastAsia="zh-CN"/>
              </w:rPr>
              <w:t>：</w:t>
            </w:r>
            <w:r>
              <w:rPr>
                <w:rFonts w:hint="eastAsia" w:ascii="仿宋" w:hAnsi="仿宋" w:eastAsia="仿宋" w:cs="仿宋"/>
                <w:sz w:val="24"/>
                <w:szCs w:val="24"/>
              </w:rPr>
              <w:t>对侧、旁侧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采集模块</w:t>
            </w:r>
            <w:r>
              <w:rPr>
                <w:rFonts w:hint="eastAsia" w:ascii="仿宋" w:hAnsi="仿宋" w:eastAsia="仿宋" w:cs="仿宋"/>
                <w:sz w:val="24"/>
                <w:szCs w:val="24"/>
                <w:lang w:eastAsia="zh-CN"/>
              </w:rPr>
              <w:t>：</w:t>
            </w:r>
            <w:r>
              <w:rPr>
                <w:rFonts w:hint="eastAsia" w:ascii="仿宋" w:hAnsi="仿宋" w:eastAsia="仿宋" w:cs="仿宋"/>
                <w:sz w:val="24"/>
                <w:szCs w:val="24"/>
              </w:rPr>
              <w:t>内置专业高清摄像头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24</w:t>
            </w:r>
            <w:r>
              <w:rPr>
                <w:rFonts w:hint="eastAsia" w:ascii="仿宋" w:hAnsi="仿宋" w:eastAsia="仿宋" w:cs="仿宋"/>
                <w:sz w:val="24"/>
                <w:szCs w:val="24"/>
              </w:rPr>
              <w:t>▲眼底像分辨率</w:t>
            </w:r>
            <w:r>
              <w:rPr>
                <w:rFonts w:hint="eastAsia" w:ascii="仿宋" w:hAnsi="仿宋" w:eastAsia="仿宋" w:cs="仿宋"/>
                <w:sz w:val="24"/>
                <w:szCs w:val="24"/>
                <w:lang w:val="en-US"/>
              </w:rPr>
              <w:t>大于等于</w:t>
            </w:r>
            <w:r>
              <w:rPr>
                <w:rFonts w:hint="eastAsia" w:ascii="仿宋" w:hAnsi="仿宋" w:eastAsia="仿宋" w:cs="仿宋"/>
                <w:sz w:val="24"/>
                <w:szCs w:val="24"/>
                <w:lang w:val="en-US" w:eastAsia="zh-CN"/>
              </w:rPr>
              <w:t>2400</w:t>
            </w:r>
            <w:r>
              <w:rPr>
                <w:rFonts w:hint="eastAsia" w:ascii="仿宋" w:hAnsi="仿宋" w:eastAsia="仿宋" w:cs="仿宋"/>
                <w:sz w:val="24"/>
                <w:szCs w:val="24"/>
              </w:rPr>
              <w:t>万像素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患者屈光度校正范围</w:t>
            </w:r>
            <w:r>
              <w:rPr>
                <w:rFonts w:hint="eastAsia" w:ascii="仿宋" w:hAnsi="仿宋" w:eastAsia="仿宋" w:cs="仿宋"/>
                <w:sz w:val="24"/>
                <w:szCs w:val="24"/>
                <w:lang w:eastAsia="zh-CN"/>
              </w:rPr>
              <w:t>：</w:t>
            </w:r>
            <w:r>
              <w:rPr>
                <w:rFonts w:hint="eastAsia" w:ascii="仿宋" w:hAnsi="仿宋" w:eastAsia="仿宋" w:cs="仿宋"/>
                <w:sz w:val="24"/>
                <w:szCs w:val="24"/>
              </w:rPr>
              <w:t>无补偿透镜：-30D～+30D</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固视标</w:t>
            </w:r>
            <w:r>
              <w:rPr>
                <w:rFonts w:hint="eastAsia" w:ascii="仿宋" w:hAnsi="仿宋" w:eastAsia="仿宋" w:cs="仿宋"/>
                <w:sz w:val="24"/>
                <w:szCs w:val="24"/>
                <w:lang w:eastAsia="zh-CN"/>
              </w:rPr>
              <w:t>：</w:t>
            </w:r>
            <w:r>
              <w:rPr>
                <w:rFonts w:hint="eastAsia" w:ascii="仿宋" w:hAnsi="仿宋" w:eastAsia="仿宋" w:cs="仿宋"/>
                <w:sz w:val="24"/>
                <w:szCs w:val="24"/>
              </w:rPr>
              <w:t>内固视标：采用液晶点阵，任意固视点标注，其中周边模式有9点固视</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▲显示屏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大于等于</w:t>
            </w:r>
            <w:r>
              <w:rPr>
                <w:rFonts w:hint="eastAsia" w:ascii="仿宋" w:hAnsi="仿宋" w:eastAsia="仿宋" w:cs="仿宋"/>
                <w:sz w:val="24"/>
                <w:szCs w:val="24"/>
              </w:rPr>
              <w:t>10.1寸旋转电容触摸控制屏，外接</w:t>
            </w:r>
            <w:r>
              <w:rPr>
                <w:rFonts w:hint="eastAsia" w:ascii="仿宋" w:hAnsi="仿宋" w:eastAsia="仿宋" w:cs="仿宋"/>
                <w:sz w:val="24"/>
                <w:szCs w:val="24"/>
                <w:lang w:val="en-US"/>
              </w:rPr>
              <w:t>大于等于</w:t>
            </w:r>
            <w:r>
              <w:rPr>
                <w:rFonts w:hint="eastAsia" w:ascii="仿宋" w:hAnsi="仿宋" w:eastAsia="仿宋" w:cs="仿宋"/>
                <w:sz w:val="24"/>
                <w:szCs w:val="24"/>
              </w:rPr>
              <w:t>20寸液晶扩展显示器（可分屏显示）</w:t>
            </w:r>
          </w:p>
          <w:p>
            <w:pPr>
              <w:adjustRightInd w:val="0"/>
              <w:snapToGrid w:val="0"/>
              <w:spacing w:line="360" w:lineRule="auto"/>
              <w:jc w:val="left"/>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a</w:t>
            </w:r>
            <w:r>
              <w:rPr>
                <w:rFonts w:hint="eastAsia" w:ascii="仿宋" w:hAnsi="仿宋" w:eastAsia="仿宋" w:cs="仿宋"/>
                <w:b w:val="0"/>
                <w:bCs w:val="0"/>
                <w:sz w:val="24"/>
                <w:szCs w:val="24"/>
                <w:lang w:val="en-US" w:eastAsia="zh-CN"/>
              </w:rPr>
              <w:t>i</w:t>
            </w:r>
            <w:r>
              <w:rPr>
                <w:rFonts w:hint="eastAsia" w:ascii="仿宋" w:hAnsi="仿宋" w:eastAsia="仿宋" w:cs="仿宋"/>
                <w:b w:val="0"/>
                <w:bCs w:val="0"/>
                <w:sz w:val="24"/>
                <w:szCs w:val="24"/>
              </w:rPr>
              <w:t>视网膜病变眼底图像辅助诊断软件</w:t>
            </w:r>
          </w:p>
          <w:p>
            <w:pPr>
              <w:numPr>
                <w:ilvl w:val="0"/>
                <w:numId w:val="0"/>
              </w:numPr>
              <w:spacing w:line="360" w:lineRule="auto"/>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一、</w:t>
            </w:r>
            <w:r>
              <w:rPr>
                <w:rFonts w:hint="eastAsia" w:ascii="仿宋" w:hAnsi="仿宋" w:eastAsia="仿宋" w:cs="仿宋"/>
                <w:b w:val="0"/>
                <w:bCs w:val="0"/>
                <w:sz w:val="24"/>
                <w:szCs w:val="24"/>
              </w:rPr>
              <w:t>性能指标</w:t>
            </w:r>
          </w:p>
          <w:p>
            <w:pPr>
              <w:numPr>
                <w:ilvl w:val="0"/>
                <w:numId w:val="0"/>
              </w:numPr>
              <w:spacing w:line="360" w:lineRule="auto"/>
              <w:jc w:val="left"/>
              <w:rPr>
                <w:rFonts w:hint="eastAsia" w:ascii="仿宋" w:hAnsi="仿宋" w:eastAsia="仿宋" w:cs="仿宋"/>
                <w:b/>
                <w:bCs/>
                <w:sz w:val="24"/>
                <w:szCs w:val="24"/>
              </w:rPr>
            </w:pPr>
            <w:r>
              <w:rPr>
                <w:rFonts w:hint="eastAsia" w:ascii="仿宋" w:hAnsi="仿宋" w:eastAsia="仿宋" w:cs="仿宋"/>
                <w:b w:val="0"/>
                <w:bCs w:val="0"/>
                <w:color w:val="auto"/>
                <w:sz w:val="24"/>
                <w:szCs w:val="24"/>
              </w:rPr>
              <w:t>糖尿病视网膜病变眼底图像辅助诊断软件具备中华人民共和国三类医疗器械注册证，具有辅助诊断功能。</w:t>
            </w:r>
          </w:p>
          <w:p>
            <w:pPr>
              <w:numPr>
                <w:ilvl w:val="0"/>
                <w:numId w:val="0"/>
              </w:num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辅助诊断软件功能模块包括：医生诊断客户端、系统管理端和视网膜病变辅助诊断模块。</w:t>
            </w:r>
          </w:p>
          <w:p>
            <w:pPr>
              <w:numPr>
                <w:ilvl w:val="2"/>
                <w:numId w:val="0"/>
              </w:num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最大并发数：最大并发用户数量为200.</w:t>
            </w:r>
          </w:p>
          <w:p>
            <w:pPr>
              <w:numPr>
                <w:ilvl w:val="0"/>
                <w:numId w:val="0"/>
              </w:num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临床功能</w:t>
            </w:r>
          </w:p>
          <w:p>
            <w:pPr>
              <w:numPr>
                <w:ilvl w:val="0"/>
                <w:numId w:val="0"/>
              </w:num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糖尿病视网膜病变辅助诊断模块</w:t>
            </w:r>
          </w:p>
          <w:p>
            <w:pPr>
              <w:pStyle w:val="45"/>
              <w:numPr>
                <w:ilvl w:val="0"/>
                <w:numId w:val="0"/>
              </w:numPr>
              <w:spacing w:line="360" w:lineRule="auto"/>
              <w:jc w:val="left"/>
              <w:rPr>
                <w:rFonts w:hint="eastAsia" w:ascii="仿宋" w:hAnsi="仿宋" w:eastAsia="仿宋" w:cs="仿宋"/>
                <w:b/>
                <w:bCs/>
                <w:color w:val="FF0000"/>
                <w:sz w:val="24"/>
                <w:szCs w:val="24"/>
              </w:rPr>
            </w:pPr>
            <w:r>
              <w:rPr>
                <w:rFonts w:hint="eastAsia" w:ascii="仿宋" w:hAnsi="仿宋" w:eastAsia="仿宋" w:cs="仿宋"/>
                <w:b w:val="0"/>
                <w:bCs w:val="0"/>
                <w:color w:val="auto"/>
                <w:sz w:val="24"/>
                <w:szCs w:val="24"/>
              </w:rPr>
              <w:t>采用深度学习算法，为执业医师提供糖尿病视网膜病变辅助诊断建议，特异性≥90%，敏感性≥85%。</w:t>
            </w:r>
          </w:p>
          <w:p>
            <w:pPr>
              <w:pStyle w:val="45"/>
              <w:numPr>
                <w:ilvl w:val="0"/>
                <w:numId w:val="0"/>
              </w:numPr>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可以提供以下糖尿病视网膜病变辅助诊断结果：</w:t>
            </w:r>
          </w:p>
          <w:p>
            <w:pPr>
              <w:pStyle w:val="45"/>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右眼，未见II期或II期以上的糖尿病视网膜病变；</w:t>
            </w:r>
          </w:p>
          <w:p>
            <w:pPr>
              <w:pStyle w:val="57"/>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右眼，可见II期或II期以上的糖尿病视网膜病变；</w:t>
            </w:r>
          </w:p>
          <w:p>
            <w:pPr>
              <w:pStyle w:val="57"/>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左眼，未见II期或II期以上的糖尿病视网膜病变；</w:t>
            </w:r>
          </w:p>
          <w:p>
            <w:pPr>
              <w:pStyle w:val="57"/>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左眼，可见II期或II期以上的糖尿病视网膜病变。</w:t>
            </w:r>
          </w:p>
          <w:p>
            <w:pPr>
              <w:pStyle w:val="45"/>
              <w:numPr>
                <w:ilvl w:val="0"/>
                <w:numId w:val="0"/>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可以依据糖尿病视网膜病变辅助诊断结果提供以下医学建议：</w:t>
            </w:r>
          </w:p>
          <w:p>
            <w:pPr>
              <w:pStyle w:val="57"/>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可见II期或II期以上的糖尿病视网膜病变，建议进一步就医检查；</w:t>
            </w:r>
          </w:p>
          <w:p>
            <w:pPr>
              <w:pStyle w:val="57"/>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未见II期或II期以上的糖尿病视网膜病变，应定期随访，如有眼底图像异常或自觉视力下降应就医检查。</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r>
        <w:tblPrEx>
          <w:tblCellMar>
            <w:top w:w="0" w:type="dxa"/>
            <w:left w:w="108" w:type="dxa"/>
            <w:bottom w:w="0" w:type="dxa"/>
            <w:right w:w="108" w:type="dxa"/>
          </w:tblCellMar>
        </w:tblPrEx>
        <w:trPr>
          <w:trHeight w:val="134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多体位康复训练床</w:t>
            </w:r>
          </w:p>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（儿童按摩诊疗床）</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pStyle w:val="45"/>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1.规格：1800*650*635mm</w:t>
            </w:r>
          </w:p>
          <w:p>
            <w:pPr>
              <w:pStyle w:val="45"/>
              <w:numPr>
                <w:ilvl w:val="0"/>
                <w:numId w:val="0"/>
              </w:numPr>
              <w:spacing w:line="360" w:lineRule="auto"/>
              <w:jc w:val="left"/>
              <w:rPr>
                <w:rFonts w:hint="eastAsia" w:ascii="仿宋" w:hAnsi="仿宋" w:eastAsia="仿宋" w:cs="仿宋"/>
                <w:color w:val="000000"/>
                <w:sz w:val="24"/>
                <w:szCs w:val="24"/>
              </w:rPr>
            </w:pPr>
            <w:r>
              <w:rPr>
                <w:rFonts w:hint="eastAsia" w:ascii="仿宋" w:hAnsi="仿宋" w:eastAsia="仿宋" w:cs="仿宋"/>
                <w:color w:val="auto"/>
                <w:sz w:val="24"/>
                <w:szCs w:val="24"/>
                <w:lang w:val="en-US" w:eastAsia="zh-CN"/>
              </w:rPr>
              <w:t>2.用途：供患者进行综合基本动作训练，卧、坐位训练、平衡训练等。</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PT凳</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8"/>
              </w:num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规格/cm：Φ60×（42～56）,带液压油缸，360°旋转</w:t>
            </w:r>
          </w:p>
          <w:p>
            <w:pPr>
              <w:widowControl w:val="0"/>
              <w:numPr>
                <w:ilvl w:val="0"/>
                <w:numId w:val="8"/>
              </w:numPr>
              <w:spacing w:line="360" w:lineRule="auto"/>
              <w:jc w:val="left"/>
              <w:rPr>
                <w:rFonts w:hint="eastAsia" w:ascii="仿宋" w:hAnsi="仿宋" w:eastAsia="仿宋" w:cs="仿宋"/>
                <w:color w:val="000000"/>
                <w:sz w:val="24"/>
                <w:szCs w:val="24"/>
              </w:rPr>
            </w:pPr>
            <w:r>
              <w:rPr>
                <w:rFonts w:hint="eastAsia" w:ascii="仿宋" w:hAnsi="仿宋" w:eastAsia="仿宋" w:cs="仿宋"/>
                <w:color w:val="auto"/>
                <w:kern w:val="2"/>
                <w:sz w:val="24"/>
                <w:szCs w:val="24"/>
                <w:lang w:val="en-US" w:eastAsia="zh-CN" w:bidi="ar-SA"/>
              </w:rPr>
              <w:t>用途：康复师对患者进行手法康复时可移动式的坐具</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智能数字OT评测训练系统</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软件特色</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1.通过多点触摸技术评估患者上肢末端运动范围，自动记录数据，根据图表示意图选择合适的上肢训练项目。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2.多点触摸训练系统，钢化玻璃面板。包含作业训练、认知、ADL等情景训练模式.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3.提供多种情景互动运动控制训练，包括认知评定与训练、上肢评定与训练、评定量表、益智与娱乐四大类。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4.多种训练模式：简单、普通、困难三种训练难度可供患者选择，还可以根据患者个人训练情况自行设定训练时间。</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5.虚拟情景互动训练增加了患者康复训练的趣味性、沉浸性和构想性，最大限度发挥康复训练的作用。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丰富的认知评估与训练：为患者提供了丰富的数字化认知评估与互动训练。包括：认知评估报告、分类拾取游戏、汉字认知、图形认知、图片拼接、形状辨识、实物认知等。互动训练和游戏完美结合，打破传统认知卡片或实物人认知的局限性，提供丰富的认知平台，同时还减轻了治疗师的工作量，提高了工作效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7.丰富的上肢评定与训练：上肢评定支持手指等精细化运动控制训练，支持上肢双手或单手操作、单手反应训练、迷宫、平衡感训练等。</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8.丰富的评定量表：包含ADL作业评估、Breg平衡量表、偏瘫手评定、徒手肌力评定等各种标准化医用量表，并可根据医院要求进行添加。</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9.记录评估数据变化，实时了解患者训练情况。</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10.记录训练数据，采集上肢末端运动范围，自动生成训练报告单。</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11.整合多次数据，方便系统回顾与评价，训练游戏内置图文操作说明。</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技术参数</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1、有独立液晶触摸屏，液晶触摸屏高度调节范围：70-120cm，液晶触摸屏转动角度0-90度.</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AC220V±10％，50Hz；功耗：≦300CA；外形尺寸：1040*800*700-1230mm.</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2、多点触摸训练系统，钢化玻璃面板，屏幕不小于42寸.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3、提供40种以上的包含作业训练，认知训练、上肢训练、ADL等情景互动训练模式；能够进行手指精细运动控制训练.</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4、提供肌张力评定、徒手肌力评定、偏瘫手评定、Berg平衡评定等评定.</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5、具有电机保护机制及过热保护机制.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6、丰富的虚拟ADL训练：包含：买水果、擦玻璃、找一找等，丰富的精细运动控制和认知结合训练，图库不少于1000种，能够提供丰富的动画显示。病人测试、训练结果全纪录，对比跟踪康复结果.</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7、能够记录病人的数据库，支持大量的病人的数据记录，能够自动生成病例报告和Excel报告，可以直接打印测量和评估结果表格.</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8、提供中文操作界面，符合临床需求，设备自动校准，减少设备误差，构建患者信息数据库功能，内置图文操作说明，指导标准化操作.</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9、整合多次数据，方便系统回顾与评价，自动数据分析并生成评估报告，预留多种测试接口，扩展设备功能.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10、多游戏反馈功能，增加互动.</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11、产品具备支持物联网系统平台功能，可实现数据互联互通，支持UDP通讯协议、支持IEEE802.15组网协议方式、支持FD格式通讯协议；  </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r>
        <w:tblPrEx>
          <w:tblCellMar>
            <w:top w:w="0" w:type="dxa"/>
            <w:left w:w="108" w:type="dxa"/>
            <w:bottom w:w="0" w:type="dxa"/>
            <w:right w:w="108" w:type="dxa"/>
          </w:tblCellMar>
        </w:tblPrEx>
        <w:trPr>
          <w:trHeight w:val="1042"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专注力康复训练系统</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1.医用级环保ABS材质。</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2.21.5英寸以上,响应时间在8ms之内,响应直径为4mm的12点电容触控屏。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3.整机高度120cm±10%，宽度65cm±10%。</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4.拥有４个万向脚轮。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5.机身拥有2个A型标准USB接口，电源保护开关及一键式启动按钮。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6.专注力捕捉器的追踪空间宽度40cm±10%、高度30cm±10%。</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7.专注力捕捉器的追踪距离65cm±10%。</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8.专注力捕捉器的捕捉延迟20ms。</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9.屏幕分辨率1920*1080以上。</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10.无线网络：WI-FI无线连接与蓝牙。</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11.网络接口：1000兆自适应以太网卡。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12.功率：≦500W</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13.设备在-40℃低温环境，工作48小时无异常。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14.设备在50℃高温环境，工作48小时无异常。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15.设备在40℃温度环境  90%相对湿度环境下，工作24小时无异常。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16.设备具有极高的安全性，设备绝缘接地。</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17.承受AC1500V的交流电压，50秒内绝缘不被击穿。</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1.通过校准模块，实现了捕捉眼球定位信息的功能。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2.通过眼球定位信息显示模块，实现了位置实时走向跟踪功能。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3.通过眼球定位反馈模块，实现了自动判断功能。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4.通过动态画面感应模块，实现了人机交互训练的功能。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5.不同的时长与不同类别的划分，满足不同受训者使用情况，锻炼受训者的目光接触习惯并逐渐延长目光接触时间，进行注视训练。</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6.训练内容有鲜花绽放、蘑菇生长、喵咪踩雪等共20课，每课分为4个难度等级。</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7.通过划消互动模块，实现了目光注视选择或取消的功能。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8.通过目光位置实时跟随显示的功能，让康复师可以从中观察受训者的目光习惯，制定合理的训练方案及纠正方式。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9.通过训练课程中阶段划分模块，实现了四选一、九选二等4种难度选择。</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10.根据能力发展状况，10课训练内容划分为实物图片或是卡通图片训练模式。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11.通过重复训练模块，实现了当前训练部分多次反复训练及训练次数纪录显示功能。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12.再来一次按钮功能设置符合ABA理论及DTT训练方法需求。</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13.通过成绩单模块，实现实时计算及随时查看成绩功能。</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14.通过辅助功能，实现了记录受训者独立完成或者辅助完成情况功能。</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儿童桌</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9"/>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规格：120*60*48cm；</w:t>
            </w:r>
          </w:p>
          <w:p>
            <w:pPr>
              <w:widowControl w:val="0"/>
              <w:numPr>
                <w:ilvl w:val="0"/>
                <w:numId w:val="9"/>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材质：实木；</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张</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儿童椅</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10"/>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规格：33*28*25cm；</w:t>
            </w:r>
          </w:p>
          <w:p>
            <w:pPr>
              <w:widowControl w:val="0"/>
              <w:numPr>
                <w:ilvl w:val="0"/>
                <w:numId w:val="1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材质：实木；</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把</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智能康复训练系统-</w:t>
            </w:r>
          </w:p>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儿童上下肢</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1、针对患者训练的安全性和稳定性设备做了配重设计和防滑设计。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2、电机动力系统运动时有力且平稳，使智能康复训练系统在患者训练时安全有保证，使设备的各项功能指标都能正确运行。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3、动力系统采用特殊的结构设计，使智能康复训练系统的动力系统使用寿命长。</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4、具有患者从完全被动训练阶段到主动和被动训练相交叉的助力训练阶段到完全的主动训练阶段到初期主动力量训练阶段的患者康复过程。</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5、采用10.4寸彩色液晶触摸屏，一目了然的控制面板的设计，使医务工作者能轻松容易的掌握。</w:t>
            </w:r>
          </w:p>
          <w:p>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sz w:val="24"/>
                <w:szCs w:val="24"/>
                <w:lang w:val="en-US" w:eastAsia="zh-CN"/>
              </w:rPr>
              <w:t>★6、具有六种针对性的训练模式：神经模式</w:t>
            </w:r>
            <w:r>
              <w:rPr>
                <w:rFonts w:hint="eastAsia" w:ascii="仿宋" w:hAnsi="仿宋" w:eastAsia="仿宋" w:cs="仿宋"/>
                <w:color w:val="auto"/>
                <w:sz w:val="24"/>
                <w:szCs w:val="24"/>
                <w:lang w:val="en-US" w:eastAsia="zh-CN"/>
              </w:rPr>
              <w:t>、骨科模式、心肺模式、反馈模式、被动模式、游戏模式。</w:t>
            </w:r>
            <w:r>
              <w:rPr>
                <w:rFonts w:hint="eastAsia" w:ascii="仿宋" w:hAnsi="仿宋" w:eastAsia="仿宋" w:cs="仿宋"/>
                <w:b w:val="0"/>
                <w:bCs w:val="0"/>
                <w:color w:val="auto"/>
                <w:sz w:val="24"/>
                <w:szCs w:val="24"/>
                <w:lang w:val="en-US" w:eastAsia="zh-CN"/>
              </w:rPr>
              <w:t>（提供第三方检测报告）</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color w:val="auto"/>
                <w:sz w:val="24"/>
                <w:szCs w:val="24"/>
                <w:lang w:val="en-US" w:eastAsia="zh-CN"/>
              </w:rPr>
              <w:t>7、具有四种患者训练安全保护功能：痉挛保护、声控保护、靶心率保护、磁控保护。且痉挛敏感等级、声控敏感等级和靶心率目标数值均可调。</w:t>
            </w:r>
            <w:r>
              <w:rPr>
                <w:rFonts w:hint="eastAsia" w:ascii="仿宋" w:hAnsi="仿宋" w:eastAsia="仿宋" w:cs="仿宋"/>
                <w:b w:val="0"/>
                <w:bCs w:val="0"/>
                <w:color w:val="auto"/>
                <w:sz w:val="24"/>
                <w:szCs w:val="24"/>
                <w:lang w:val="en-US" w:eastAsia="zh-CN"/>
              </w:rPr>
              <w:t>（提供第三方检测报告）</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8、参数可调：</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AC220V±10%   50Hz；</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输入功率：上下肢&lt;600VA；</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熔断器：F1AL250V,F3AL250V；</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定时范围：2～120min±1min；</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速度显示范围：0-99r/min±10%；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速度设定范围：0-60r/min±10%；</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角度设定范围：0-330度±5；</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阻力设定等级：1-20；</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阻力力矩：0-20Nm；</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靶心率设定范围：0-150（设定级数每次5），精度±5次/min。机器能智能感应患者的心率大小，超过设定心率机器自动停止，保护患者安全。</w:t>
            </w:r>
          </w:p>
          <w:p>
            <w:pPr>
              <w:numPr>
                <w:ilvl w:val="0"/>
                <w:numId w:val="11"/>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能够实时显示患者主动做功情况。</w:t>
            </w:r>
          </w:p>
          <w:p>
            <w:pPr>
              <w:numPr>
                <w:ilvl w:val="0"/>
                <w:numId w:val="11"/>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显示屏平面翻转0-90°，显示屏轴向旋转0-200°；</w:t>
            </w:r>
          </w:p>
          <w:p>
            <w:pPr>
              <w:numPr>
                <w:ilvl w:val="0"/>
                <w:numId w:val="11"/>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外形尺寸：510*510*940-1090mm，根据患者情况训练单元高低调节，充分考虑了患者训练体位。</w:t>
            </w:r>
          </w:p>
          <w:p>
            <w:pPr>
              <w:numPr>
                <w:ilvl w:val="0"/>
                <w:numId w:val="11"/>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治疗头三挡可调，上下调节行程0-150mm；</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13、整机净重：40KG；</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17</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儿童助行架</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12"/>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功能：辅助代步用具\恢复日常行走功能。</w:t>
            </w:r>
          </w:p>
          <w:p>
            <w:pPr>
              <w:numPr>
                <w:ilvl w:val="0"/>
                <w:numId w:val="12"/>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规格：A/52×50×46cm </w:t>
            </w:r>
          </w:p>
          <w:p>
            <w:pPr>
              <w:spacing w:line="360" w:lineRule="auto"/>
              <w:ind w:firstLine="960" w:firstLineChars="4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B/55×52×65cm</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个</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可调式康复训练床</w:t>
            </w:r>
          </w:p>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（幼儿手动起立床）</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1.最大站立角度: 0-80°土3°; (水平角度自动校正)</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2.初始站立角度:可调范围0-80°土3°;</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3.终端站立角度:可调范围10-80°土3°;</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4.最大承载力: 135Kg;</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5.金属床架规格:长805-1075mm*宽470mm*高504-564mm,允差土20mm;</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6.重量:18.5Kg</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7.载荷:50公斤</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8.手动升降，根据患者的实际情况需要手动控制升降和站立速度。</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张</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19</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坐姿矫正椅</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13"/>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规格：550*560*771mm</w:t>
            </w:r>
          </w:p>
          <w:p>
            <w:pPr>
              <w:widowControl w:val="0"/>
              <w:numPr>
                <w:ilvl w:val="0"/>
                <w:numId w:val="13"/>
              </w:num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功能：2-6岁脑瘫患儿进行坐位保持、坐位平衡、矫正姿势、防止和治疗畸形</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把</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儿童梯椅</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
              </w:numPr>
              <w:spacing w:line="360" w:lineRule="auto"/>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规格：650*410*1000mm</w:t>
            </w:r>
          </w:p>
          <w:p>
            <w:pPr>
              <w:widowControl/>
              <w:numPr>
                <w:ilvl w:val="0"/>
                <w:numId w:val="14"/>
              </w:numPr>
              <w:spacing w:line="360" w:lineRule="auto"/>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功能：坐站转移训练、站立训平衡训练</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把</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经络导平治疗仪</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技术参数：</w:t>
            </w:r>
          </w:p>
          <w:p>
            <w:pPr>
              <w:numPr>
                <w:ilvl w:val="0"/>
                <w:numId w:val="0"/>
              </w:numPr>
              <w:tabs>
                <w:tab w:val="left" w:pos="540"/>
                <w:tab w:val="left" w:pos="720"/>
              </w:tabs>
              <w:spacing w:line="360" w:lineRule="auto"/>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输出电压及治疗频率:</w:t>
            </w:r>
          </w:p>
          <w:p>
            <w:pPr>
              <w:pStyle w:val="45"/>
              <w:numPr>
                <w:ilvl w:val="1"/>
                <w:numId w:val="15"/>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最大输出幅度</w:t>
            </w:r>
            <w:r>
              <w:rPr>
                <w:rFonts w:hint="eastAsia" w:ascii="仿宋" w:hAnsi="仿宋" w:eastAsia="仿宋" w:cs="仿宋"/>
                <w:color w:val="000000"/>
                <w:sz w:val="24"/>
                <w:szCs w:val="24"/>
              </w:rPr>
              <w:t>电压：0-2000V；</w:t>
            </w:r>
          </w:p>
          <w:p>
            <w:pPr>
              <w:pStyle w:val="45"/>
              <w:numPr>
                <w:ilvl w:val="1"/>
                <w:numId w:val="15"/>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频率：</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.5-60Hz（</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.5、10、60三档位可调）；</w:t>
            </w:r>
          </w:p>
          <w:p>
            <w:pPr>
              <w:numPr>
                <w:ilvl w:val="0"/>
                <w:numId w:val="15"/>
              </w:numPr>
              <w:tabs>
                <w:tab w:val="left" w:pos="540"/>
                <w:tab w:val="left" w:pos="720"/>
              </w:tabs>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rPr>
              <w:t>脉宽：0.4-</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ms  （0.4 ms  0.8 ms  1.6 ms三档固定）；</w:t>
            </w:r>
          </w:p>
          <w:p>
            <w:pPr>
              <w:numPr>
                <w:ilvl w:val="0"/>
                <w:numId w:val="15"/>
              </w:numPr>
              <w:tabs>
                <w:tab w:val="left" w:pos="540"/>
                <w:tab w:val="left" w:pos="720"/>
              </w:tabs>
              <w:spacing w:line="360" w:lineRule="auto"/>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sz w:val="24"/>
                <w:szCs w:val="24"/>
              </w:rPr>
              <w:t>自增功能：每24秒自动增加强度一级；</w:t>
            </w:r>
          </w:p>
          <w:p>
            <w:pPr>
              <w:numPr>
                <w:ilvl w:val="0"/>
                <w:numId w:val="15"/>
              </w:numPr>
              <w:tabs>
                <w:tab w:val="left" w:pos="540"/>
                <w:tab w:val="left" w:pos="72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治疗部位：头面、肢体、躯干；</w:t>
            </w:r>
          </w:p>
          <w:p>
            <w:pPr>
              <w:numPr>
                <w:ilvl w:val="0"/>
                <w:numId w:val="15"/>
              </w:numPr>
              <w:tabs>
                <w:tab w:val="left" w:pos="540"/>
                <w:tab w:val="left" w:pos="72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输出通道：5组10个独立通道；</w:t>
            </w:r>
          </w:p>
          <w:p>
            <w:pPr>
              <w:numPr>
                <w:ilvl w:val="0"/>
                <w:numId w:val="15"/>
              </w:numPr>
              <w:tabs>
                <w:tab w:val="left" w:pos="540"/>
                <w:tab w:val="left" w:pos="718"/>
              </w:tabs>
              <w:spacing w:line="360" w:lineRule="auto"/>
              <w:rPr>
                <w:rFonts w:hint="eastAsia" w:ascii="仿宋" w:hAnsi="仿宋" w:eastAsia="仿宋" w:cs="仿宋"/>
                <w:color w:val="000000"/>
                <w:sz w:val="24"/>
                <w:szCs w:val="24"/>
              </w:rPr>
            </w:pPr>
            <w:r>
              <w:rPr>
                <w:rFonts w:hint="eastAsia" w:ascii="仿宋" w:hAnsi="仿宋" w:eastAsia="仿宋" w:cs="仿宋"/>
                <w:sz w:val="24"/>
                <w:szCs w:val="24"/>
              </w:rPr>
              <w:t>▲治疗模式</w:t>
            </w:r>
            <w:r>
              <w:rPr>
                <w:rFonts w:hint="eastAsia" w:ascii="仿宋" w:hAnsi="仿宋" w:eastAsia="仿宋" w:cs="仿宋"/>
                <w:color w:val="000000"/>
                <w:sz w:val="24"/>
                <w:szCs w:val="24"/>
              </w:rPr>
              <w:t>:模拟针灸；</w:t>
            </w:r>
            <w:r>
              <w:rPr>
                <w:rFonts w:hint="eastAsia" w:ascii="仿宋" w:hAnsi="仿宋" w:eastAsia="仿宋" w:cs="仿宋"/>
                <w:sz w:val="24"/>
                <w:szCs w:val="24"/>
                <w:lang w:eastAsia="zh-CN"/>
              </w:rPr>
              <w:t>模拟针灸：用电极片代替针刺，采用不同参数的电脉冲对人体有关穴位通电定点治疗，无须用针；</w:t>
            </w:r>
          </w:p>
          <w:p>
            <w:pPr>
              <w:numPr>
                <w:ilvl w:val="0"/>
                <w:numId w:val="15"/>
              </w:numPr>
              <w:tabs>
                <w:tab w:val="left" w:pos="540"/>
                <w:tab w:val="left" w:pos="720"/>
              </w:tabs>
              <w:spacing w:line="360" w:lineRule="auto"/>
              <w:rPr>
                <w:rFonts w:hint="eastAsia" w:ascii="仿宋" w:hAnsi="仿宋" w:eastAsia="仿宋" w:cs="仿宋"/>
                <w:b/>
                <w:color w:val="000000"/>
                <w:sz w:val="24"/>
                <w:szCs w:val="24"/>
              </w:rPr>
            </w:pPr>
            <w:r>
              <w:rPr>
                <w:rFonts w:hint="eastAsia" w:ascii="仿宋" w:hAnsi="仿宋" w:eastAsia="仿宋" w:cs="仿宋"/>
                <w:sz w:val="24"/>
                <w:szCs w:val="24"/>
              </w:rPr>
              <w:t>浪涌：</w:t>
            </w:r>
            <w:r>
              <w:rPr>
                <w:rFonts w:hint="eastAsia" w:ascii="仿宋" w:hAnsi="仿宋" w:eastAsia="仿宋" w:cs="仿宋"/>
                <w:color w:val="000000"/>
                <w:sz w:val="24"/>
                <w:szCs w:val="24"/>
              </w:rPr>
              <w:t>长浪：6秒一个周期；短浪：3秒一个周期；</w:t>
            </w:r>
          </w:p>
          <w:p>
            <w:pPr>
              <w:numPr>
                <w:ilvl w:val="0"/>
                <w:numId w:val="15"/>
              </w:numPr>
              <w:tabs>
                <w:tab w:val="left" w:pos="540"/>
                <w:tab w:val="left" w:pos="72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治疗时间：</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-60min，</w:t>
            </w:r>
            <w:r>
              <w:rPr>
                <w:rFonts w:hint="eastAsia" w:ascii="仿宋" w:hAnsi="仿宋" w:eastAsia="仿宋" w:cs="仿宋"/>
                <w:color w:val="000000"/>
                <w:sz w:val="24"/>
                <w:szCs w:val="24"/>
                <w:lang w:eastAsia="zh-CN"/>
              </w:rPr>
              <w:t>最大误差</w:t>
            </w:r>
            <w:r>
              <w:rPr>
                <w:rFonts w:hint="eastAsia" w:ascii="仿宋" w:hAnsi="仿宋" w:eastAsia="仿宋" w:cs="仿宋"/>
                <w:color w:val="000000"/>
                <w:sz w:val="24"/>
                <w:szCs w:val="24"/>
                <w:lang w:val="en-US" w:eastAsia="zh-CN"/>
              </w:rPr>
              <w:t>±1min</w:t>
            </w:r>
            <w:r>
              <w:rPr>
                <w:rFonts w:hint="eastAsia" w:ascii="仿宋" w:hAnsi="仿宋" w:eastAsia="仿宋" w:cs="仿宋"/>
                <w:color w:val="000000"/>
                <w:sz w:val="24"/>
                <w:szCs w:val="24"/>
              </w:rPr>
              <w:t>；</w:t>
            </w:r>
          </w:p>
          <w:p>
            <w:pPr>
              <w:numPr>
                <w:ilvl w:val="0"/>
                <w:numId w:val="15"/>
              </w:numPr>
              <w:tabs>
                <w:tab w:val="left" w:pos="540"/>
                <w:tab w:val="left" w:pos="72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极性：正极性、负极性；</w:t>
            </w:r>
          </w:p>
          <w:p>
            <w:pPr>
              <w:numPr>
                <w:ilvl w:val="0"/>
                <w:numId w:val="15"/>
              </w:numPr>
              <w:tabs>
                <w:tab w:val="left" w:pos="540"/>
                <w:tab w:val="left" w:pos="720"/>
              </w:tabs>
              <w:spacing w:line="360" w:lineRule="auto"/>
              <w:rPr>
                <w:rFonts w:hint="eastAsia" w:ascii="仿宋" w:hAnsi="仿宋" w:eastAsia="仿宋" w:cs="仿宋"/>
                <w:sz w:val="24"/>
                <w:szCs w:val="24"/>
              </w:rPr>
            </w:pPr>
            <w:r>
              <w:rPr>
                <w:rFonts w:hint="eastAsia" w:ascii="仿宋" w:hAnsi="仿宋" w:eastAsia="仿宋" w:cs="仿宋"/>
                <w:color w:val="000000"/>
                <w:sz w:val="24"/>
                <w:szCs w:val="24"/>
              </w:rPr>
              <w:t>微电脑自动化控制，数码显示；</w:t>
            </w:r>
          </w:p>
          <w:p>
            <w:pPr>
              <w:pStyle w:val="45"/>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eastAsia="zh-CN"/>
              </w:rPr>
              <w:t>工作</w:t>
            </w:r>
            <w:r>
              <w:rPr>
                <w:rFonts w:hint="eastAsia" w:ascii="仿宋" w:hAnsi="仿宋" w:eastAsia="仿宋" w:cs="仿宋"/>
                <w:sz w:val="24"/>
                <w:szCs w:val="24"/>
              </w:rPr>
              <w:t>电压：220V±</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50Hz±1H；</w:t>
            </w:r>
          </w:p>
          <w:p>
            <w:pPr>
              <w:pStyle w:val="45"/>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eastAsia="zh-CN"/>
              </w:rPr>
              <w:t>最大</w:t>
            </w:r>
            <w:r>
              <w:rPr>
                <w:rFonts w:hint="eastAsia" w:ascii="仿宋" w:hAnsi="仿宋" w:eastAsia="仿宋" w:cs="仿宋"/>
                <w:sz w:val="24"/>
                <w:szCs w:val="24"/>
              </w:rPr>
              <w:t>功耗：&lt;40</w:t>
            </w:r>
            <w:r>
              <w:rPr>
                <w:rFonts w:hint="eastAsia" w:ascii="仿宋" w:hAnsi="仿宋" w:eastAsia="仿宋" w:cs="仿宋"/>
                <w:sz w:val="24"/>
                <w:szCs w:val="24"/>
                <w:lang w:val="en-US" w:eastAsia="zh-CN"/>
              </w:rPr>
              <w:t>VA</w:t>
            </w:r>
            <w:r>
              <w:rPr>
                <w:rFonts w:hint="eastAsia" w:ascii="仿宋" w:hAnsi="仿宋" w:eastAsia="仿宋" w:cs="仿宋"/>
                <w:sz w:val="24"/>
                <w:szCs w:val="24"/>
              </w:rPr>
              <w:t>；</w:t>
            </w:r>
          </w:p>
          <w:p>
            <w:pPr>
              <w:pStyle w:val="45"/>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输出波形：</w:t>
            </w:r>
            <w:r>
              <w:rPr>
                <w:rFonts w:hint="eastAsia" w:ascii="仿宋" w:hAnsi="仿宋" w:eastAsia="仿宋" w:cs="仿宋"/>
                <w:sz w:val="24"/>
                <w:szCs w:val="24"/>
                <w:lang w:eastAsia="zh-CN"/>
              </w:rPr>
              <w:t>单向矩形脉冲电流</w:t>
            </w:r>
            <w:r>
              <w:rPr>
                <w:rFonts w:hint="eastAsia" w:ascii="仿宋" w:hAnsi="仿宋" w:eastAsia="仿宋" w:cs="仿宋"/>
                <w:sz w:val="24"/>
                <w:szCs w:val="24"/>
              </w:rPr>
              <w:t>；</w:t>
            </w:r>
          </w:p>
          <w:p>
            <w:pPr>
              <w:pStyle w:val="45"/>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其他要求：</w:t>
            </w:r>
          </w:p>
          <w:p>
            <w:pPr>
              <w:pStyle w:val="45"/>
              <w:numPr>
                <w:ilvl w:val="0"/>
                <w:numId w:val="16"/>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设备为</w:t>
            </w:r>
            <w:r>
              <w:rPr>
                <w:rFonts w:hint="eastAsia" w:ascii="仿宋" w:hAnsi="仿宋" w:eastAsia="仿宋" w:cs="仿宋"/>
                <w:color w:val="000000"/>
                <w:sz w:val="24"/>
                <w:szCs w:val="24"/>
                <w:lang w:eastAsia="zh-CN"/>
              </w:rPr>
              <w:t>便携移动</w:t>
            </w:r>
            <w:r>
              <w:rPr>
                <w:rFonts w:hint="eastAsia" w:ascii="仿宋" w:hAnsi="仿宋" w:eastAsia="仿宋" w:cs="仿宋"/>
                <w:color w:val="000000"/>
                <w:sz w:val="24"/>
                <w:szCs w:val="24"/>
              </w:rPr>
              <w:t>台式机；</w:t>
            </w:r>
          </w:p>
          <w:p>
            <w:pPr>
              <w:pStyle w:val="45"/>
              <w:numPr>
                <w:ilvl w:val="0"/>
                <w:numId w:val="16"/>
              </w:numPr>
              <w:spacing w:line="360" w:lineRule="auto"/>
              <w:ind w:firstLineChars="0"/>
              <w:jc w:val="left"/>
              <w:rPr>
                <w:rFonts w:hint="eastAsia" w:ascii="仿宋" w:hAnsi="仿宋" w:eastAsia="仿宋" w:cs="仿宋"/>
                <w:sz w:val="24"/>
                <w:szCs w:val="24"/>
              </w:rPr>
            </w:pPr>
            <w:r>
              <w:rPr>
                <w:rFonts w:hint="eastAsia" w:ascii="仿宋" w:hAnsi="仿宋" w:eastAsia="仿宋" w:cs="仿宋"/>
                <w:color w:val="000000"/>
                <w:sz w:val="24"/>
                <w:szCs w:val="24"/>
              </w:rPr>
              <w:t>电极</w:t>
            </w:r>
            <w:r>
              <w:rPr>
                <w:rFonts w:hint="eastAsia" w:ascii="仿宋" w:hAnsi="仿宋" w:eastAsia="仿宋" w:cs="仿宋"/>
                <w:color w:val="000000"/>
                <w:sz w:val="24"/>
                <w:szCs w:val="24"/>
                <w:lang w:eastAsia="zh-CN"/>
              </w:rPr>
              <w:t>要求</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具备医疗器械注册证的硅胶粘性电极，尺寸不小于40（mm）×40（mm）；</w:t>
            </w:r>
          </w:p>
          <w:p>
            <w:pPr>
              <w:pStyle w:val="45"/>
              <w:numPr>
                <w:ilvl w:val="0"/>
                <w:numId w:val="15"/>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eastAsia="zh-CN"/>
              </w:rPr>
              <w:t>尺寸：27*22*10</w:t>
            </w:r>
            <w:r>
              <w:rPr>
                <w:rFonts w:hint="eastAsia" w:ascii="仿宋" w:hAnsi="仿宋" w:eastAsia="仿宋" w:cs="仿宋"/>
                <w:sz w:val="24"/>
                <w:szCs w:val="24"/>
                <w:lang w:val="en-US" w:eastAsia="zh-CN"/>
              </w:rPr>
              <w:t xml:space="preserve">cm </w:t>
            </w:r>
          </w:p>
          <w:p>
            <w:pPr>
              <w:pStyle w:val="45"/>
              <w:numPr>
                <w:ilvl w:val="0"/>
                <w:numId w:val="15"/>
              </w:numPr>
              <w:spacing w:line="360" w:lineRule="auto"/>
              <w:ind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重量：3.7kg</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经颅磁刺激仪</w:t>
            </w:r>
          </w:p>
        </w:tc>
        <w:tc>
          <w:tcPr>
            <w:tcW w:w="373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1、</w:t>
            </w:r>
            <w:r>
              <w:rPr>
                <w:rFonts w:hint="eastAsia" w:ascii="仿宋" w:hAnsi="仿宋" w:eastAsia="仿宋" w:cs="仿宋"/>
                <w:sz w:val="24"/>
                <w:szCs w:val="24"/>
                <w:lang w:val="en-US" w:eastAsia="zh-CN"/>
              </w:rPr>
              <w:t>★</w:t>
            </w:r>
            <w:r>
              <w:rPr>
                <w:rFonts w:hint="eastAsia" w:ascii="仿宋" w:hAnsi="仿宋" w:eastAsia="仿宋" w:cs="仿宋"/>
                <w:kern w:val="0"/>
                <w:sz w:val="24"/>
                <w:szCs w:val="24"/>
                <w:lang w:bidi="ar"/>
              </w:rPr>
              <w:t>产品外观：本设备不可分拆的柜机推车式，外形大气；屏幕为电脑屏幕显示，具有打印及存储病例功能，操作界面美观、直观、易用、耐用。</w:t>
            </w:r>
          </w:p>
          <w:p>
            <w:pPr>
              <w:widowControl/>
              <w:spacing w:line="360" w:lineRule="auto"/>
              <w:jc w:val="left"/>
              <w:rPr>
                <w:rFonts w:hint="eastAsia" w:ascii="仿宋" w:hAnsi="仿宋" w:eastAsia="仿宋" w:cs="仿宋"/>
                <w:kern w:val="0"/>
                <w:sz w:val="24"/>
                <w:szCs w:val="24"/>
                <w:lang w:eastAsia="zh-CN" w:bidi="ar"/>
              </w:rPr>
            </w:pP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、产品功能配置：儿童专用重复性经颅磁刺激治疗帽2顶+震动按摩功能，设备功能可同时使用也可单独使用。可用于2个人</w:t>
            </w:r>
            <w:r>
              <w:rPr>
                <w:rFonts w:hint="eastAsia" w:ascii="仿宋" w:hAnsi="仿宋" w:eastAsia="仿宋" w:cs="仿宋"/>
                <w:kern w:val="0"/>
                <w:sz w:val="24"/>
                <w:szCs w:val="24"/>
                <w:lang w:eastAsia="zh-CN" w:bidi="ar"/>
              </w:rPr>
              <w:t>使用。</w:t>
            </w:r>
          </w:p>
          <w:p>
            <w:pPr>
              <w:widowControl/>
              <w:spacing w:line="360" w:lineRule="auto"/>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r>
              <w:rPr>
                <w:rFonts w:hint="eastAsia" w:ascii="仿宋" w:hAnsi="仿宋" w:eastAsia="仿宋" w:cs="仿宋"/>
                <w:sz w:val="24"/>
                <w:szCs w:val="24"/>
                <w:lang w:val="en-US" w:eastAsia="zh-CN"/>
              </w:rPr>
              <w:t>★</w:t>
            </w:r>
            <w:r>
              <w:rPr>
                <w:rFonts w:hint="eastAsia" w:ascii="仿宋" w:hAnsi="仿宋" w:eastAsia="仿宋" w:cs="仿宋"/>
                <w:kern w:val="0"/>
                <w:sz w:val="24"/>
                <w:szCs w:val="24"/>
                <w:lang w:val="en-US" w:eastAsia="zh-CN" w:bidi="ar"/>
              </w:rPr>
              <w:t>治疗模式：处方模式（内含18个处方）</w:t>
            </w:r>
          </w:p>
          <w:p>
            <w:pPr>
              <w:widowControl/>
              <w:spacing w:line="360" w:lineRule="auto"/>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4、磁疗输出部分基本参数：</w:t>
            </w:r>
          </w:p>
          <w:p>
            <w:pPr>
              <w:widowControl/>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治疗体磁感应强度：</w:t>
            </w:r>
            <w:r>
              <w:rPr>
                <w:rFonts w:hint="eastAsia" w:ascii="仿宋" w:hAnsi="仿宋" w:eastAsia="仿宋" w:cs="仿宋"/>
                <w:kern w:val="0"/>
                <w:sz w:val="24"/>
                <w:szCs w:val="24"/>
                <w:lang w:val="en-US" w:eastAsia="zh-CN" w:bidi="ar"/>
              </w:rPr>
              <w:t>I</w:t>
            </w:r>
            <w:r>
              <w:rPr>
                <w:rFonts w:hint="eastAsia" w:ascii="仿宋" w:hAnsi="仿宋" w:eastAsia="仿宋" w:cs="仿宋"/>
                <w:kern w:val="0"/>
                <w:sz w:val="24"/>
                <w:szCs w:val="24"/>
                <w:lang w:bidi="ar"/>
              </w:rPr>
              <w:t>档（低档）：3mT～5mT；</w:t>
            </w:r>
          </w:p>
          <w:p>
            <w:pPr>
              <w:widowControl/>
              <w:spacing w:line="360" w:lineRule="auto"/>
              <w:ind w:firstLine="2880" w:firstLineChars="1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Ⅱ档（中档）：6mT～9mT；</w:t>
            </w:r>
          </w:p>
          <w:p>
            <w:pPr>
              <w:widowControl/>
              <w:spacing w:line="360" w:lineRule="auto"/>
              <w:ind w:firstLine="2880" w:firstLineChars="1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Ⅲ档（强档）：10mT～18mT</w:t>
            </w:r>
          </w:p>
          <w:p>
            <w:pPr>
              <w:widowControl/>
              <w:numPr>
                <w:ilvl w:val="0"/>
                <w:numId w:val="0"/>
              </w:numPr>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治疗体磁场频率： 50Hz±1Hz。</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振动按摩功能：按摩强度分为4档（1～4），按摩频率分为5档（1～5）</w:t>
            </w:r>
          </w:p>
          <w:p>
            <w:pPr>
              <w:widowControl/>
              <w:numPr>
                <w:ilvl w:val="0"/>
                <w:numId w:val="0"/>
              </w:numPr>
              <w:spacing w:line="360" w:lineRule="auto"/>
              <w:jc w:val="left"/>
              <w:rPr>
                <w:rFonts w:hint="eastAsia" w:ascii="仿宋" w:hAnsi="仿宋" w:eastAsia="仿宋" w:cs="仿宋"/>
                <w:color w:val="auto"/>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治疗体数量：每个经颅磁治疗帽有6个治疗体，治疗体为彩色，头围部分5个治疗体可以横向移动， 也可根据头围大小调节治疗帽子的弹力带。</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治疗体强度和频率有专用工具进行检测</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设备具有开路闭锁功能，使应用更安全。</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▲时间选择：治疗仪具有定时功能，可在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min~60min</w:t>
            </w:r>
            <w:r>
              <w:rPr>
                <w:rFonts w:hint="eastAsia" w:ascii="仿宋" w:hAnsi="仿宋" w:eastAsia="仿宋" w:cs="仿宋"/>
                <w:sz w:val="24"/>
                <w:szCs w:val="24"/>
              </w:rPr>
              <w:t>范围内设定所需时间。</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rPr>
              <w:t>连续工作时间：</w:t>
            </w:r>
            <w:r>
              <w:rPr>
                <w:rFonts w:hint="eastAsia" w:ascii="仿宋" w:hAnsi="仿宋" w:eastAsia="仿宋" w:cs="仿宋"/>
                <w:sz w:val="24"/>
                <w:szCs w:val="24"/>
                <w:lang w:eastAsia="zh-CN"/>
              </w:rPr>
              <w:t>不少于</w:t>
            </w:r>
            <w:r>
              <w:rPr>
                <w:rFonts w:hint="eastAsia" w:ascii="仿宋" w:hAnsi="仿宋" w:eastAsia="仿宋" w:cs="仿宋"/>
                <w:sz w:val="24"/>
                <w:szCs w:val="24"/>
              </w:rPr>
              <w:t>4小时</w:t>
            </w:r>
          </w:p>
          <w:p>
            <w:pPr>
              <w:widowControl/>
              <w:spacing w:line="360" w:lineRule="auto"/>
              <w:jc w:val="left"/>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val="en-US" w:eastAsia="zh-CN" w:bidi="ar"/>
              </w:rPr>
              <w:t>5</w:t>
            </w:r>
            <w:r>
              <w:rPr>
                <w:rFonts w:hint="eastAsia" w:ascii="仿宋" w:hAnsi="仿宋" w:eastAsia="仿宋" w:cs="仿宋"/>
                <w:b w:val="0"/>
                <w:bCs w:val="0"/>
                <w:color w:val="auto"/>
                <w:kern w:val="0"/>
                <w:sz w:val="24"/>
                <w:szCs w:val="24"/>
                <w:lang w:bidi="ar"/>
              </w:rPr>
              <w:t>、具有电子信息产品监督检验院出具的产品检验报告。</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b w:val="0"/>
                <w:bCs w:val="0"/>
                <w:color w:val="auto"/>
                <w:kern w:val="0"/>
                <w:sz w:val="24"/>
                <w:szCs w:val="24"/>
                <w:lang w:val="en-US" w:eastAsia="zh-CN" w:bidi="ar"/>
              </w:rPr>
              <w:t>6</w:t>
            </w:r>
            <w:r>
              <w:rPr>
                <w:rFonts w:hint="eastAsia" w:ascii="仿宋" w:hAnsi="仿宋" w:eastAsia="仿宋" w:cs="仿宋"/>
                <w:b w:val="0"/>
                <w:bCs w:val="0"/>
                <w:color w:val="auto"/>
                <w:kern w:val="0"/>
                <w:sz w:val="24"/>
                <w:szCs w:val="24"/>
                <w:lang w:bidi="ar"/>
              </w:rPr>
              <w:t>、具有中华人民共和国版权局出具的计算机软件著作权证书。</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360" w:lineRule="auto"/>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台</w:t>
            </w:r>
          </w:p>
        </w:tc>
      </w:tr>
    </w:tbl>
    <w:p>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pPr>
        <w:spacing w:line="360" w:lineRule="auto"/>
        <w:rPr>
          <w:rFonts w:hint="eastAsia" w:ascii="仿宋" w:hAnsi="仿宋" w:eastAsia="仿宋" w:cs="仿宋"/>
          <w:color w:val="FF0000"/>
          <w:lang w:val="en-US" w:eastAsia="zh-CN"/>
        </w:rPr>
      </w:pPr>
      <w:r>
        <w:rPr>
          <w:rFonts w:hint="eastAsia" w:ascii="仿宋" w:hAnsi="仿宋" w:eastAsia="仿宋" w:cs="仿宋"/>
          <w:lang w:val="en-US" w:eastAsia="zh-CN"/>
        </w:rPr>
        <w:t>（一）实施（供货）期 ：</w:t>
      </w:r>
      <w:r>
        <w:rPr>
          <w:rFonts w:hint="eastAsia" w:ascii="仿宋" w:hAnsi="仿宋" w:eastAsia="仿宋" w:cs="仿宋"/>
          <w:b/>
          <w:bCs/>
          <w:color w:val="FF0000"/>
          <w:lang w:val="en-US" w:eastAsia="zh-CN"/>
        </w:rPr>
        <w:t>中标方应在采购合同签订后15日内交货并完成安装调试交予采购人正常使用。（具体以甲乙双方签订采购合同为准，严格按照采购单位的时间及要求按时供货）。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（二）实施（交货）地点</w:t>
      </w:r>
      <w:r>
        <w:rPr>
          <w:rFonts w:hint="eastAsia" w:ascii="仿宋" w:hAnsi="仿宋" w:eastAsia="仿宋" w:cs="仿宋"/>
          <w:color w:val="FF0000"/>
          <w:lang w:val="en-US" w:eastAsia="zh-CN"/>
        </w:rPr>
        <w:t xml:space="preserve"> </w:t>
      </w:r>
      <w:r>
        <w:rPr>
          <w:rFonts w:hint="eastAsia" w:ascii="仿宋" w:hAnsi="仿宋" w:eastAsia="仿宋" w:cs="仿宋"/>
          <w:b/>
          <w:bCs/>
          <w:color w:val="FF0000"/>
          <w:lang w:val="en-US" w:eastAsia="zh-CN"/>
        </w:rPr>
        <w:t>：甲方指定地点。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包装费、运输费、二次搬运费、安装费、损耗、技术指导、培训费、软件升级费、税金费用、伴随产品备品备件费、专用工具费、伴随产品资料费、技术服务费、技术考察费、人工及辅材费、代理费、自检费及验收合格前和质保期内发生的一切费用、应当提供的伴随服务/售后服务费用。因成交供应商自身原因造成漏报、少报皆由其自行承担责任，采购人不再补偿。</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1、质量保修期：</w:t>
      </w:r>
      <w:r>
        <w:rPr>
          <w:rFonts w:hint="eastAsia" w:ascii="仿宋" w:hAnsi="仿宋" w:eastAsia="仿宋" w:cs="仿宋"/>
          <w:b/>
          <w:bCs/>
          <w:color w:val="FF0000"/>
          <w:lang w:val="en-US" w:eastAsia="zh-CN"/>
        </w:rPr>
        <w:t>自本项目验收合格之日起，供应商提供2年的免费质保期。</w:t>
      </w:r>
      <w:r>
        <w:rPr>
          <w:rFonts w:hint="eastAsia" w:ascii="仿宋" w:hAnsi="仿宋" w:eastAsia="仿宋" w:cs="仿宋"/>
          <w:lang w:val="en-US" w:eastAsia="zh-CN"/>
        </w:rPr>
        <w:t xml:space="preserve"> </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2.供应方交付的货物的技术标准不低于国家标准。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2、售后服务内容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投标人和制造商在质量保证期内应当为采购人提供以下技术支持和服务：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1、电话咨询：中标方和制造商应当为采购人提供技术援助电话，解答采购人在使用中遇到的问题，及时为采购人提出解决问题的建议。</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2、现场响应：如发生故障及技术问题后，电话咨询不能解决的，中标方需在4小时内响应，8小时内解决故障问题。8小时无法解决的，需在12小时内上门服务解决问题，使采购人能够正常使用。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（五）质保期外服务要求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1、质量保证期过后，供应商和制造商应同样提供免费电话咨询服务，并应承诺提供产品维护服务。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2、质量保证期过后，采购人需要继续由原供应商和制造商提供售后服务的，该供应商和制造商应以优惠价格提供售后服务。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（六）培训要求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供应商对其提供产品的使用和操作应尽培训义务。供应商应提供对采购人的基本免费培训，使采购人使用人员能够正常操作。</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（七）验收保证的承诺</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1、此次招标内容严格按照中标供应商的投标文件中的技术规格、数量及质量要求进行验收（配置参数清单中明确设备等配件辅件的产地、厂家、品牌、型号、数量等）</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2、货物到达现场后，供应商应在使用单位人员在场情况下当面共同清点、检查，做出质量技术要求检查记录，双方签字确认；</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3、中标方应保证货物到达采购人所在地完好无损，如有缺漏、损坏，由供应商负责调换、补齐或赔偿。</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中标方应提供完备的技术资料、装箱单和合格证等，货物验收时，招标方向采购人提供生产厂家出具的验收报告、合格证、厂家资格证件等相关文件并派遣专业技术人员进行现场安装调试。验收合格条件如下：</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设备技术参数与采购合同一致，性能指标达到规定的标准。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货物技术资料、装箱单、合格证等资料齐全。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在系统试运行期间所出现的问题得到解决，并运行正常。</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在规定时间内完成交货并验收，并经采购人确认。</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5、产品在安装调试并试运行符合要求后，才作为最终验收，试运行期20天。</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6、供应商提供的货物未达到招标文件规定要求，且对采购人造成损失的，由供应商承担一切责任，并赔偿所造成的损失。</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7、乙方将根据本项目的技术要求提供相关的培训，须具备专业的培训团队为甲方提供系统的免费培训，同时还为乙方提供全面的技术支持和周到的跟踪服务；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8、产品质量：在合同期内，甲方正常使用乙方所供产品而出现质量问题时，乙方负责。产品使用：甲方在使用乙方所供产品中出现问题需乙方解决时，乙方应无偿解决（退换货）。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（八）付款方式</w:t>
      </w:r>
    </w:p>
    <w:p>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甲乙双方签订合同为准。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（九）知识产权</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（十）其他</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1、投标人必须在投标文件中对以上条款和服务承诺明确列出，承诺内容必须达到本篇及公开采购文件其他条款的要求。</w:t>
      </w:r>
    </w:p>
    <w:p>
      <w:pPr>
        <w:spacing w:line="360" w:lineRule="auto"/>
        <w:rPr>
          <w:rFonts w:hint="eastAsia" w:ascii="仿宋" w:hAnsi="仿宋" w:eastAsia="仿宋" w:cs="仿宋"/>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lang w:val="en-US" w:eastAsia="zh-CN"/>
        </w:rPr>
        <w:t>2、其他未尽事宜由供需双方在采购合同中详细约定。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49" w:name="_Toc20669"/>
    </w:p>
    <w:p>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49"/>
    </w:p>
    <w:p>
      <w:pPr>
        <w:widowControl/>
        <w:numPr>
          <w:ilvl w:val="0"/>
          <w:numId w:val="17"/>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50" w:name="_Toc469495741"/>
      <w:r>
        <w:rPr>
          <w:rFonts w:hint="eastAsia" w:ascii="宋体"/>
          <w:b/>
          <w:color w:val="000000" w:themeColor="text1"/>
          <w:sz w:val="30"/>
          <w:szCs w:val="30"/>
          <w:highlight w:val="none"/>
        </w:rPr>
        <w:t>合同协议书</w:t>
      </w:r>
      <w:bookmarkEnd w:id="50"/>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pPr>
        <w:shd w:val="clear" w:color="auto" w:fill="auto"/>
        <w:spacing w:line="360" w:lineRule="auto"/>
        <w:ind w:firstLine="486"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4、付款方式</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以甲乙双方签定的合同为准。</w:t>
      </w:r>
    </w:p>
    <w:p>
      <w:p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pPr>
        <w:pStyle w:val="9"/>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pPr>
        <w:pStyle w:val="5"/>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pPr>
        <w:pStyle w:val="5"/>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5"/>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pPr>
        <w:pStyle w:val="5"/>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pPr>
        <w:pStyle w:val="5"/>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pPr>
        <w:pStyle w:val="5"/>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pPr>
        <w:pStyle w:val="5"/>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pPr>
        <w:pStyle w:val="5"/>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pPr>
        <w:pStyle w:val="5"/>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pPr>
        <w:pStyle w:val="5"/>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pPr>
        <w:pStyle w:val="5"/>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本合同未尽事宜应按《中华人民共和国政府采购法》、《中华人民共和国合同法》、《中华人民共和国产品质量法》之规定解释。</w:t>
      </w: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bookmarkStart w:id="51" w:name="bookmark196"/>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adjustRightInd w:val="0"/>
        <w:snapToGrid w:val="0"/>
        <w:spacing w:line="360" w:lineRule="auto"/>
        <w:jc w:val="center"/>
        <w:rPr>
          <w:rFonts w:ascii="仿宋" w:hAnsi="仿宋" w:eastAsia="仿宋" w:cs="仿宋"/>
          <w:color w:val="000000" w:themeColor="text1"/>
        </w:rPr>
      </w:pPr>
    </w:p>
    <w:p>
      <w:pPr>
        <w:pStyle w:val="34"/>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z w:val="28"/>
          <w:szCs w:val="28"/>
          <w:bdr w:val="single" w:color="auto" w:sz="4" w:space="0"/>
        </w:rPr>
        <w:t>正/副 本</w:t>
      </w:r>
    </w:p>
    <w:p>
      <w:pPr>
        <w:adjustRightInd w:val="0"/>
        <w:snapToGrid w:val="0"/>
        <w:spacing w:line="360" w:lineRule="auto"/>
        <w:jc w:val="center"/>
        <w:rPr>
          <w:rFonts w:hint="eastAsia" w:ascii="仿宋" w:hAnsi="仿宋" w:eastAsia="仿宋" w:cs="仿宋"/>
          <w:b/>
          <w:caps/>
          <w:color w:val="000000" w:themeColor="text1"/>
          <w:sz w:val="24"/>
          <w:szCs w:val="24"/>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pPr>
        <w:adjustRightInd w:val="0"/>
        <w:snapToGrid w:val="0"/>
        <w:spacing w:line="360" w:lineRule="auto"/>
        <w:jc w:val="center"/>
        <w:rPr>
          <w:rFonts w:hint="eastAsia" w:ascii="仿宋" w:hAnsi="仿宋" w:eastAsia="仿宋" w:cs="仿宋"/>
          <w:b/>
          <w:caps/>
          <w:color w:val="000000" w:themeColor="text1"/>
          <w:sz w:val="28"/>
          <w:szCs w:val="28"/>
        </w:rPr>
      </w:pPr>
    </w:p>
    <w:p>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51"/>
    <w:p>
      <w:pPr>
        <w:pStyle w:val="3"/>
        <w:spacing w:line="240" w:lineRule="atLeast"/>
        <w:jc w:val="both"/>
        <w:rPr>
          <w:rFonts w:hint="eastAsia" w:ascii="仿宋" w:hAnsi="仿宋" w:eastAsia="仿宋" w:cs="仿宋"/>
          <w:bCs/>
          <w:color w:val="000000" w:themeColor="text1"/>
          <w:szCs w:val="21"/>
          <w:lang w:eastAsia="zh-CN"/>
        </w:rPr>
      </w:pPr>
      <w:bookmarkStart w:id="52" w:name="_Toc18694"/>
      <w:bookmarkStart w:id="53" w:name="_Toc515647803"/>
      <w:bookmarkStart w:id="54" w:name="_Toc8919"/>
      <w:bookmarkStart w:id="55" w:name="_Toc18974"/>
    </w:p>
    <w:p>
      <w:pPr>
        <w:pStyle w:val="3"/>
        <w:spacing w:line="240" w:lineRule="atLeast"/>
        <w:jc w:val="both"/>
        <w:rPr>
          <w:rFonts w:hint="eastAsia" w:ascii="仿宋" w:hAnsi="仿宋" w:eastAsia="仿宋" w:cs="仿宋"/>
          <w:bCs/>
          <w:color w:val="000000" w:themeColor="text1"/>
          <w:szCs w:val="21"/>
          <w:lang w:eastAsia="zh-CN"/>
        </w:rPr>
      </w:pPr>
    </w:p>
    <w:p>
      <w:pPr>
        <w:pStyle w:val="3"/>
        <w:spacing w:line="240" w:lineRule="atLeast"/>
        <w:jc w:val="both"/>
        <w:rPr>
          <w:rFonts w:hint="eastAsia" w:ascii="仿宋" w:hAnsi="仿宋" w:eastAsia="仿宋" w:cs="仿宋"/>
          <w:bCs/>
          <w:color w:val="000000" w:themeColor="text1"/>
          <w:szCs w:val="21"/>
          <w:lang w:eastAsia="zh-CN"/>
        </w:rPr>
      </w:pPr>
    </w:p>
    <w:p>
      <w:pPr>
        <w:pStyle w:val="3"/>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52"/>
      <w:bookmarkEnd w:id="53"/>
      <w:bookmarkEnd w:id="54"/>
      <w:bookmarkEnd w:id="55"/>
    </w:p>
    <w:p>
      <w:pPr>
        <w:spacing w:line="240" w:lineRule="atLeast"/>
        <w:ind w:left="717" w:hanging="716" w:hangingChars="295"/>
        <w:jc w:val="center"/>
        <w:rPr>
          <w:rFonts w:ascii="仿宋" w:hAnsi="仿宋" w:eastAsia="仿宋" w:cs="仿宋"/>
          <w:color w:val="000000" w:themeColor="text1"/>
          <w:lang w:eastAsia="zh-CN"/>
        </w:rPr>
      </w:pPr>
    </w:p>
    <w:p>
      <w:pPr>
        <w:pStyle w:val="3"/>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投</w:t>
      </w:r>
      <w:r>
        <w:rPr>
          <w:rFonts w:hint="eastAsia" w:ascii="仿宋" w:hAnsi="仿宋" w:eastAsia="仿宋" w:cs="仿宋"/>
          <w:color w:val="000000" w:themeColor="text1"/>
          <w:sz w:val="24"/>
          <w:highlight w:val="none"/>
        </w:rPr>
        <w:t>标企业须提供投标人（</w:t>
      </w:r>
      <w:r>
        <w:rPr>
          <w:rFonts w:hint="eastAsia" w:ascii="仿宋" w:hAnsi="仿宋" w:eastAsia="仿宋" w:cs="仿宋"/>
          <w:color w:val="000000" w:themeColor="text1"/>
          <w:sz w:val="24"/>
          <w:highlight w:val="none"/>
          <w:lang w:eastAsia="zh-CN"/>
        </w:rPr>
        <w:t>被授权本单位在职人员</w:t>
      </w:r>
      <w:r>
        <w:rPr>
          <w:rFonts w:hint="eastAsia" w:ascii="仿宋" w:hAnsi="仿宋" w:eastAsia="仿宋" w:cs="仿宋"/>
          <w:color w:val="000000" w:themeColor="text1"/>
          <w:sz w:val="24"/>
          <w:highlight w:val="none"/>
        </w:rPr>
        <w:t>）近6个月有效的社保证明;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86" w:firstLineChars="200"/>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6、投标企业须提供有效的《医疗器械生产许可证》或《医疗器械经营许可证》（二类医疗器械需提供医疗器械备案凭证）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7、未被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default"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8、中小企业声明函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rPr>
          <w:rFonts w:ascii="仿宋" w:hAnsi="仿宋" w:eastAsia="仿宋" w:cs="仿宋"/>
          <w:b/>
          <w:bCs/>
          <w:color w:val="000000" w:themeColor="text1"/>
          <w:sz w:val="36"/>
          <w:szCs w:val="36"/>
          <w:lang w:eastAsia="zh-CN"/>
        </w:rPr>
      </w:pPr>
    </w:p>
    <w:p>
      <w:pPr>
        <w:pStyle w:val="29"/>
        <w:rPr>
          <w:rFonts w:ascii="仿宋" w:hAnsi="仿宋" w:eastAsia="仿宋" w:cs="仿宋"/>
          <w:b/>
          <w:bCs/>
          <w:color w:val="000000" w:themeColor="text1"/>
          <w:sz w:val="36"/>
          <w:szCs w:val="36"/>
          <w:lang w:eastAsia="zh-CN"/>
        </w:rPr>
      </w:pPr>
    </w:p>
    <w:p>
      <w:pPr>
        <w:pStyle w:val="29"/>
        <w:rPr>
          <w:rFonts w:ascii="仿宋" w:hAnsi="仿宋" w:eastAsia="仿宋" w:cs="仿宋"/>
          <w:b/>
          <w:bCs/>
          <w:color w:val="000000" w:themeColor="text1"/>
          <w:sz w:val="36"/>
          <w:szCs w:val="36"/>
          <w:lang w:eastAsia="zh-CN"/>
        </w:rPr>
      </w:pPr>
    </w:p>
    <w:p>
      <w:pPr>
        <w:pStyle w:val="21"/>
        <w:ind w:left="0" w:leftChars="0" w:firstLine="0" w:firstLineChars="0"/>
        <w:rPr>
          <w:rFonts w:hint="eastAsia" w:ascii="仿宋" w:hAnsi="仿宋" w:eastAsia="仿宋" w:cs="仿宋"/>
          <w:b/>
          <w:bCs/>
          <w:color w:val="000000" w:themeColor="text1"/>
          <w:sz w:val="36"/>
          <w:szCs w:val="36"/>
          <w:lang w:eastAsia="zh-CN"/>
        </w:rPr>
      </w:pPr>
      <w:bookmarkStart w:id="56" w:name="_Toc515647805"/>
      <w:bookmarkStart w:id="57" w:name="_Toc4844"/>
      <w:bookmarkStart w:id="58" w:name="_Toc17577"/>
      <w:bookmarkStart w:id="59" w:name="_Toc29899"/>
    </w:p>
    <w:p>
      <w:pPr>
        <w:pStyle w:val="21"/>
        <w:ind w:left="0" w:leftChars="0" w:firstLine="0" w:firstLineChars="0"/>
        <w:rPr>
          <w:rFonts w:hint="eastAsia" w:ascii="仿宋" w:hAnsi="仿宋" w:eastAsia="仿宋" w:cs="仿宋"/>
          <w:b/>
          <w:bCs/>
          <w:color w:val="000000" w:themeColor="text1"/>
          <w:sz w:val="36"/>
          <w:szCs w:val="36"/>
          <w:lang w:eastAsia="zh-CN"/>
        </w:rPr>
      </w:pPr>
    </w:p>
    <w:p>
      <w:pPr>
        <w:pStyle w:val="21"/>
        <w:ind w:left="0" w:leftChars="0" w:firstLine="0" w:firstLineChars="0"/>
        <w:rPr>
          <w:rFonts w:hint="eastAsia" w:ascii="仿宋" w:hAnsi="仿宋" w:eastAsia="仿宋" w:cs="仿宋"/>
          <w:b/>
          <w:bCs/>
          <w:color w:val="000000" w:themeColor="text1"/>
          <w:sz w:val="36"/>
          <w:szCs w:val="36"/>
          <w:lang w:eastAsia="zh-CN"/>
        </w:rPr>
      </w:pPr>
    </w:p>
    <w:p>
      <w:pPr>
        <w:rPr>
          <w:rFonts w:hint="eastAsia"/>
          <w:lang w:eastAsia="zh-CN"/>
        </w:rPr>
      </w:pPr>
    </w:p>
    <w:bookmarkEnd w:id="56"/>
    <w:bookmarkEnd w:id="57"/>
    <w:bookmarkEnd w:id="58"/>
    <w:bookmarkEnd w:id="59"/>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60" w:name="_Toc515647806"/>
      <w:r>
        <w:rPr>
          <w:rFonts w:hint="eastAsia" w:ascii="仿宋" w:hAnsi="仿宋" w:eastAsia="仿宋" w:cs="仿宋"/>
          <w:b/>
          <w:bCs/>
          <w:color w:val="000000" w:themeColor="text1"/>
          <w:sz w:val="36"/>
          <w:szCs w:val="36"/>
          <w:lang w:val="en-US" w:eastAsia="zh-CN"/>
        </w:rPr>
        <w:t>或自然人的身份证明</w:t>
      </w:r>
      <w:bookmarkEnd w:id="60"/>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4"/>
        <w:rPr>
          <w:rFonts w:hint="eastAsia"/>
          <w:lang w:eastAsia="zh-CN"/>
        </w:rPr>
      </w:pPr>
    </w:p>
    <w:p>
      <w:pPr>
        <w:pStyle w:val="8"/>
        <w:numPr>
          <w:ilvl w:val="0"/>
          <w:numId w:val="0"/>
        </w:numPr>
        <w:ind w:leftChars="0"/>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pPr>
        <w:pStyle w:val="8"/>
        <w:numPr>
          <w:ilvl w:val="0"/>
          <w:numId w:val="0"/>
        </w:numPr>
        <w:kinsoku w:val="0"/>
        <w:overflowPunct w:val="0"/>
        <w:ind w:leftChars="0" w:right="0" w:rightChars="0"/>
        <w:rPr>
          <w:rFonts w:hint="eastAsia" w:ascii="仿宋" w:hAnsi="仿宋" w:eastAsia="仿宋" w:cs="仿宋"/>
          <w:color w:val="000000" w:themeColor="text1"/>
          <w:sz w:val="20"/>
          <w:szCs w:val="20"/>
        </w:rPr>
      </w:pPr>
    </w:p>
    <w:p>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w:r>
    </w:p>
    <w:p>
      <w:pPr>
        <w:wordWrap w:val="0"/>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rPr>
          <w:rFonts w:hint="eastAsia" w:ascii="仿宋" w:hAnsi="仿宋" w:eastAsia="仿宋" w:cs="仿宋"/>
          <w:b/>
          <w:bCs/>
          <w:color w:val="000000" w:themeColor="text1"/>
          <w:sz w:val="36"/>
          <w:szCs w:val="36"/>
          <w:lang w:eastAsia="zh-CN"/>
        </w:rPr>
      </w:pPr>
    </w:p>
    <w:p>
      <w:pPr>
        <w:pStyle w:val="8"/>
        <w:numPr>
          <w:ilvl w:val="0"/>
          <w:numId w:val="0"/>
        </w:numPr>
        <w:ind w:leftChars="0"/>
        <w:rPr>
          <w:rFonts w:hint="eastAsia"/>
          <w:lang w:eastAsia="zh-CN"/>
        </w:rPr>
      </w:pPr>
    </w:p>
    <w:p>
      <w:pPr>
        <w:rPr>
          <w:rFonts w:hint="eastAsia"/>
          <w:lang w:eastAsia="zh-CN"/>
        </w:rPr>
      </w:pPr>
    </w:p>
    <w:p>
      <w:pPr>
        <w:rPr>
          <w:rFonts w:hint="eastAsia"/>
          <w:lang w:val="en-US" w:eastAsia="zh-CN"/>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pPr>
        <w:pStyle w:val="8"/>
        <w:kinsoku w:val="0"/>
        <w:overflowPunct w:val="0"/>
        <w:adjustRightInd w:val="0"/>
        <w:snapToGrid w:val="0"/>
        <w:spacing w:before="12"/>
        <w:rPr>
          <w:rFonts w:hint="eastAsia" w:ascii="仿宋" w:hAnsi="仿宋" w:eastAsia="仿宋" w:cs="仿宋"/>
          <w:color w:val="000000" w:themeColor="text1"/>
          <w:sz w:val="4"/>
          <w:szCs w:val="4"/>
        </w:rPr>
      </w:pPr>
    </w:p>
    <w:p>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v:textbox>
            </v:shape>
            <w10:wrap type="none"/>
            <w10:anchorlock/>
          </v:group>
        </w:pict>
      </w:r>
    </w:p>
    <w:p>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w:r>
    </w:p>
    <w:p>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pPr>
        <w:pStyle w:val="29"/>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3"/>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pPr>
              <w:jc w:val="both"/>
              <w:rPr>
                <w:rFonts w:hint="eastAsia" w:ascii="宋体" w:hAnsi="宋体" w:cs="宋体"/>
                <w:b/>
                <w:color w:val="FF0000"/>
                <w:sz w:val="30"/>
                <w:szCs w:val="30"/>
              </w:rPr>
            </w:pPr>
          </w:p>
          <w:p>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pPr>
        <w:rPr>
          <w:rFonts w:ascii="仿宋" w:hAnsi="仿宋" w:eastAsia="仿宋" w:cs="仿宋"/>
          <w:color w:val="000000" w:themeColor="text1"/>
          <w:sz w:val="20"/>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5、投标企业须提供投标人（被授权本单位在职人员）近6个月有效的社保证明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6、投标企业须提供有效的《医疗器械生产许可证》或《医疗器械经营许可证》（二类医疗器械需提供医疗器械备案凭证）</w:t>
      </w: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7</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pPr>
        <w:pStyle w:val="10"/>
        <w:shd w:val="clear" w:color="auto" w:fill="auto"/>
        <w:tabs>
          <w:tab w:val="left" w:pos="5580"/>
        </w:tabs>
        <w:spacing w:line="240" w:lineRule="atLeast"/>
        <w:rPr>
          <w:rFonts w:hint="eastAsia" w:ascii="仿宋" w:hAnsi="仿宋" w:eastAsia="仿宋" w:cs="仿宋"/>
          <w:color w:val="000000" w:themeColor="text1"/>
          <w:sz w:val="24"/>
          <w:highlight w:val="none"/>
        </w:rPr>
      </w:pPr>
    </w:p>
    <w:p>
      <w:pPr>
        <w:pStyle w:val="10"/>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pPr>
        <w:pStyle w:val="10"/>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pPr>
        <w:pStyle w:val="29"/>
        <w:ind w:left="0" w:leftChars="0" w:firstLine="0" w:firstLineChars="0"/>
        <w:rPr>
          <w:rFonts w:hint="eastAsia" w:ascii="仿宋" w:hAnsi="仿宋" w:eastAsia="仿宋" w:cs="仿宋"/>
          <w:b/>
          <w:bCs/>
          <w:color w:val="000000" w:themeColor="text1"/>
          <w:sz w:val="32"/>
          <w:szCs w:val="32"/>
        </w:rPr>
      </w:pPr>
    </w:p>
    <w:p>
      <w:pPr>
        <w:rPr>
          <w:rFonts w:hint="eastAsia" w:ascii="仿宋" w:hAnsi="仿宋" w:eastAsia="仿宋" w:cs="仿宋"/>
          <w:color w:val="000000" w:themeColor="text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default"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8、中小企业声明函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lang w:val="en-US" w:eastAsia="zh-CN"/>
        </w:rPr>
        <w:t>9、</w:t>
      </w:r>
      <w:r>
        <w:rPr>
          <w:rFonts w:hint="eastAsia" w:ascii="仿宋" w:hAnsi="仿宋" w:eastAsia="仿宋" w:cs="仿宋"/>
          <w:b/>
          <w:bCs/>
          <w:color w:val="000000" w:themeColor="text1"/>
          <w:sz w:val="32"/>
          <w:szCs w:val="32"/>
        </w:rPr>
        <w:t>投标人须知资料表要求的其他资格证明文件</w:t>
      </w:r>
    </w:p>
    <w:p>
      <w:pPr>
        <w:pStyle w:val="4"/>
        <w:rPr>
          <w:rFonts w:hint="eastAsia" w:ascii="仿宋" w:hAnsi="仿宋" w:eastAsia="仿宋" w:cs="仿宋"/>
          <w:b/>
          <w:bCs/>
          <w:color w:val="000000" w:themeColor="text1"/>
          <w:sz w:val="40"/>
          <w:szCs w:val="40"/>
        </w:rPr>
      </w:pPr>
    </w:p>
    <w:p>
      <w:pPr>
        <w:pStyle w:val="29"/>
        <w:ind w:left="0" w:leftChars="0" w:firstLine="0" w:firstLineChars="0"/>
        <w:rPr>
          <w:rFonts w:ascii="仿宋" w:hAnsi="仿宋" w:eastAsia="仿宋" w:cs="仿宋"/>
          <w:color w:val="000000" w:themeColor="text1"/>
          <w:lang w:eastAsia="zh-CN"/>
        </w:rPr>
      </w:pPr>
      <w:bookmarkStart w:id="61" w:name="_Toc515647816"/>
      <w:bookmarkStart w:id="62" w:name="_Toc11180"/>
      <w:bookmarkStart w:id="63" w:name="_Toc5695"/>
      <w:bookmarkStart w:id="64" w:name="_Toc22967"/>
    </w:p>
    <w:p>
      <w:pPr>
        <w:pStyle w:val="2"/>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61"/>
      <w:bookmarkEnd w:id="62"/>
      <w:bookmarkEnd w:id="63"/>
      <w:bookmarkEnd w:id="64"/>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pPr>
        <w:pStyle w:val="10"/>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pStyle w:val="29"/>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pPr>
        <w:pStyle w:val="5"/>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pP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pPr>
              <w:jc w:val="cente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pPr>
              <w:jc w:val="center"/>
              <w:rPr>
                <w:rFonts w:ascii="仿宋" w:hAnsi="仿宋" w:eastAsia="仿宋" w:cs="仿宋"/>
                <w:color w:val="000000" w:themeColor="text1"/>
                <w:szCs w:val="21"/>
              </w:rPr>
            </w:pPr>
          </w:p>
        </w:tc>
      </w:tr>
    </w:tbl>
    <w:p>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pPr>
        <w:spacing w:line="500" w:lineRule="exact"/>
        <w:ind w:firstLine="475"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000000" w:themeColor="text1"/>
          <w:lang w:eastAsia="zh-CN"/>
        </w:rPr>
        <w:t>。</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4.必须在投标文件中装订。</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5.投标报价不得填报选择性报价。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pPr>
        <w:pStyle w:val="3"/>
        <w:spacing w:line="240" w:lineRule="atLeast"/>
        <w:rPr>
          <w:rFonts w:ascii="仿宋" w:hAnsi="仿宋" w:eastAsia="仿宋" w:cs="仿宋"/>
          <w:bCs/>
          <w:color w:val="000000" w:themeColor="text1"/>
          <w:sz w:val="24"/>
          <w:lang w:eastAsia="zh-CN"/>
        </w:rPr>
      </w:pPr>
    </w:p>
    <w:p>
      <w:pPr>
        <w:pStyle w:val="3"/>
        <w:spacing w:line="240" w:lineRule="atLeast"/>
        <w:rPr>
          <w:rFonts w:ascii="仿宋" w:hAnsi="仿宋" w:eastAsia="仿宋" w:cs="仿宋"/>
          <w:bCs/>
          <w:color w:val="000000" w:themeColor="text1"/>
          <w:sz w:val="24"/>
          <w:lang w:eastAsia="zh-CN"/>
        </w:rPr>
      </w:pPr>
    </w:p>
    <w:p>
      <w:pPr>
        <w:pStyle w:val="3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pPr>
        <w:pStyle w:val="10"/>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pPr>
        <w:pStyle w:val="10"/>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2"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34"/>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pPr>
        <w:pStyle w:val="10"/>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2"/>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bl>
    <w:p>
      <w:pPr>
        <w:pStyle w:val="38"/>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pPr>
        <w:pStyle w:val="38"/>
        <w:keepNext w:val="0"/>
        <w:keepLines w:val="0"/>
        <w:widowControl w:val="0"/>
        <w:numPr>
          <w:ilvl w:val="0"/>
          <w:numId w:val="18"/>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pPr>
        <w:pStyle w:val="38"/>
        <w:keepNext w:val="0"/>
        <w:keepLines w:val="0"/>
        <w:widowControl w:val="0"/>
        <w:numPr>
          <w:ilvl w:val="0"/>
          <w:numId w:val="18"/>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pPr>
        <w:pStyle w:val="38"/>
        <w:keepNext w:val="0"/>
        <w:keepLines w:val="0"/>
        <w:widowControl w:val="0"/>
        <w:numPr>
          <w:ilvl w:val="0"/>
          <w:numId w:val="18"/>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rPr>
          <w:rFonts w:ascii="仿宋" w:hAnsi="仿宋" w:eastAsia="仿宋" w:cs="仿宋"/>
          <w:color w:val="000000" w:themeColor="text1"/>
          <w:lang w:eastAsia="zh-CN"/>
        </w:rPr>
      </w:pPr>
    </w:p>
    <w:p>
      <w:pPr>
        <w:spacing w:line="360" w:lineRule="auto"/>
        <w:jc w:val="both"/>
        <w:rPr>
          <w:rFonts w:hint="eastAsia" w:ascii="仿宋" w:hAnsi="仿宋" w:eastAsia="仿宋" w:cs="仿宋"/>
          <w:b/>
          <w:color w:val="000000" w:themeColor="text1"/>
          <w:kern w:val="0"/>
          <w:sz w:val="36"/>
          <w:szCs w:val="36"/>
          <w:lang w:val="en-US" w:eastAsia="zh-CN"/>
        </w:rPr>
      </w:pPr>
    </w:p>
    <w:p>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bl>
    <w:p>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color w:val="000000" w:themeColor="text1"/>
          <w:sz w:val="24"/>
        </w:rPr>
      </w:pPr>
    </w:p>
    <w:p>
      <w:pPr>
        <w:pStyle w:val="10"/>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pPr>
        <w:pStyle w:val="10"/>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pPr>
        <w:pStyle w:val="4"/>
        <w:rPr>
          <w:rFonts w:hint="eastAsia" w:ascii="仿宋" w:hAnsi="仿宋" w:eastAsia="仿宋" w:cs="仿宋"/>
          <w:b/>
          <w:bCs/>
          <w:color w:val="000000" w:themeColor="text1"/>
          <w:sz w:val="36"/>
          <w:szCs w:val="36"/>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both"/>
        <w:rPr>
          <w:rFonts w:ascii="仿宋" w:hAnsi="仿宋" w:eastAsia="仿宋" w:cs="仿宋"/>
          <w:color w:val="000000" w:themeColor="text1"/>
          <w:sz w:val="21"/>
          <w:szCs w:val="21"/>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both"/>
        <w:rPr>
          <w:rFonts w:hint="eastAsia" w:ascii="仿宋" w:hAnsi="仿宋" w:eastAsia="仿宋" w:cs="仿宋"/>
          <w:b/>
          <w:bCs/>
          <w:color w:val="000000" w:themeColor="text1"/>
          <w:sz w:val="30"/>
          <w:szCs w:val="30"/>
          <w:lang w:eastAsia="zh-CN"/>
        </w:rPr>
      </w:pPr>
    </w:p>
    <w:p>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pPr>
        <w:pStyle w:val="8"/>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9"/>
              <w:kinsoku w:val="0"/>
              <w:overflowPunct w:val="0"/>
              <w:spacing w:before="4"/>
              <w:rPr>
                <w:rFonts w:ascii="仿宋" w:hAnsi="仿宋" w:eastAsia="仿宋" w:cs="仿宋"/>
                <w:b/>
                <w:bCs/>
                <w:color w:val="000000" w:themeColor="text1"/>
                <w:sz w:val="20"/>
                <w:szCs w:val="20"/>
              </w:rPr>
            </w:pPr>
          </w:p>
          <w:p>
            <w:pPr>
              <w:pStyle w:val="39"/>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4"/>
              <w:rPr>
                <w:rFonts w:ascii="仿宋" w:hAnsi="仿宋" w:eastAsia="仿宋" w:cs="仿宋"/>
                <w:b/>
                <w:bCs/>
                <w:color w:val="000000" w:themeColor="text1"/>
                <w:sz w:val="20"/>
                <w:szCs w:val="20"/>
              </w:rPr>
            </w:pPr>
          </w:p>
          <w:p>
            <w:pPr>
              <w:pStyle w:val="39"/>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9"/>
              <w:kinsoku w:val="0"/>
              <w:overflowPunct w:val="0"/>
              <w:rPr>
                <w:rFonts w:ascii="仿宋" w:hAnsi="仿宋" w:eastAsia="仿宋" w:cs="仿宋"/>
                <w:b/>
                <w:bCs/>
                <w:color w:val="000000" w:themeColor="text1"/>
              </w:rPr>
            </w:pPr>
          </w:p>
          <w:p>
            <w:pPr>
              <w:pStyle w:val="39"/>
              <w:kinsoku w:val="0"/>
              <w:overflowPunct w:val="0"/>
              <w:rPr>
                <w:rFonts w:ascii="仿宋" w:hAnsi="仿宋" w:eastAsia="仿宋" w:cs="仿宋"/>
                <w:b/>
                <w:bCs/>
                <w:color w:val="000000" w:themeColor="text1"/>
              </w:rPr>
            </w:pPr>
          </w:p>
          <w:p>
            <w:pPr>
              <w:pStyle w:val="39"/>
              <w:kinsoku w:val="0"/>
              <w:overflowPunct w:val="0"/>
              <w:rPr>
                <w:rFonts w:ascii="仿宋" w:hAnsi="仿宋" w:eastAsia="仿宋" w:cs="仿宋"/>
                <w:b/>
                <w:bCs/>
                <w:color w:val="000000" w:themeColor="text1"/>
              </w:rPr>
            </w:pPr>
          </w:p>
          <w:p>
            <w:pPr>
              <w:pStyle w:val="39"/>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9"/>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9"/>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
              <w:rPr>
                <w:rFonts w:ascii="仿宋" w:hAnsi="仿宋" w:eastAsia="仿宋" w:cs="仿宋"/>
                <w:b/>
                <w:bCs/>
                <w:color w:val="000000" w:themeColor="text1"/>
                <w:sz w:val="23"/>
                <w:szCs w:val="23"/>
              </w:rPr>
            </w:pPr>
          </w:p>
          <w:p>
            <w:pPr>
              <w:pStyle w:val="39"/>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bl>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pPr>
        <w:pStyle w:val="8"/>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2"/>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5"/>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pPr>
        <w:rPr>
          <w:rFonts w:hint="eastAsia" w:ascii="仿宋" w:hAnsi="仿宋" w:eastAsia="仿宋" w:cs="仿宋"/>
          <w:color w:val="000000" w:themeColor="text1"/>
          <w:sz w:val="32"/>
          <w:szCs w:val="32"/>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9"/>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10、投标人关联单位的说明（格式自拟）</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pPr>
        <w:pStyle w:val="3"/>
        <w:numPr>
          <w:ilvl w:val="1"/>
          <w:numId w:val="0"/>
        </w:numPr>
        <w:spacing w:line="240" w:lineRule="atLeast"/>
        <w:ind w:left="617" w:leftChars="257"/>
        <w:rPr>
          <w:rFonts w:ascii="仿宋" w:hAnsi="仿宋" w:eastAsia="仿宋" w:cs="仿宋"/>
          <w:color w:val="000000" w:themeColor="text1"/>
          <w:sz w:val="24"/>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4"/>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pPr>
        <w:rPr>
          <w:rFonts w:ascii="仿宋" w:hAnsi="仿宋" w:eastAsia="仿宋" w:cs="仿宋"/>
          <w:color w:val="000000" w:themeColor="text1"/>
          <w:lang w:eastAsia="zh-CN"/>
        </w:rPr>
      </w:pPr>
    </w:p>
    <w:p>
      <w:pPr>
        <w:pStyle w:val="3"/>
        <w:numPr>
          <w:ilvl w:val="1"/>
          <w:numId w:val="0"/>
        </w:numPr>
        <w:spacing w:line="240" w:lineRule="atLeast"/>
        <w:ind w:left="617" w:leftChars="257"/>
        <w:rPr>
          <w:rFonts w:ascii="仿宋" w:hAnsi="仿宋" w:eastAsia="仿宋" w:cs="仿宋"/>
          <w:color w:val="000000" w:themeColor="text1"/>
          <w:sz w:val="24"/>
          <w:lang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pPr>
        <w:pStyle w:val="10"/>
        <w:tabs>
          <w:tab w:val="left" w:pos="5580"/>
        </w:tabs>
        <w:spacing w:line="240" w:lineRule="atLeast"/>
        <w:rPr>
          <w:rFonts w:ascii="仿宋" w:hAnsi="仿宋" w:eastAsia="仿宋" w:cs="仿宋"/>
          <w:color w:val="000000" w:themeColor="text1"/>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3"/>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pPr>
        <w:pStyle w:val="3"/>
        <w:numPr>
          <w:ilvl w:val="1"/>
          <w:numId w:val="0"/>
        </w:numPr>
        <w:spacing w:line="240" w:lineRule="atLeast"/>
        <w:jc w:val="left"/>
        <w:rPr>
          <w:rFonts w:ascii="仿宋" w:hAnsi="仿宋" w:eastAsia="仿宋" w:cs="仿宋"/>
          <w:bCs/>
          <w:color w:val="000000" w:themeColor="text1"/>
          <w:sz w:val="24"/>
          <w:lang w:eastAsia="zh-CN"/>
        </w:rPr>
      </w:pPr>
    </w:p>
    <w:p>
      <w:pPr>
        <w:pStyle w:val="3"/>
        <w:numPr>
          <w:ilvl w:val="1"/>
          <w:numId w:val="0"/>
        </w:numPr>
        <w:spacing w:line="240" w:lineRule="atLeast"/>
        <w:jc w:val="left"/>
        <w:rPr>
          <w:rFonts w:ascii="仿宋" w:hAnsi="仿宋" w:eastAsia="仿宋" w:cs="仿宋"/>
          <w:bCs/>
          <w:color w:val="000000" w:themeColor="text1"/>
          <w:sz w:val="24"/>
          <w:lang w:eastAsia="zh-CN"/>
        </w:rPr>
      </w:pPr>
    </w:p>
    <w:p>
      <w:pPr>
        <w:rPr>
          <w:rFonts w:ascii="仿宋" w:hAnsi="仿宋" w:eastAsia="仿宋" w:cs="仿宋"/>
          <w:color w:val="000000" w:themeColor="text1"/>
          <w:lang w:eastAsia="zh-CN"/>
        </w:rPr>
      </w:pPr>
    </w:p>
    <w:p>
      <w:pPr>
        <w:pStyle w:val="3"/>
        <w:numPr>
          <w:ilvl w:val="1"/>
          <w:numId w:val="0"/>
        </w:numPr>
        <w:spacing w:line="240" w:lineRule="atLeast"/>
        <w:jc w:val="left"/>
        <w:rPr>
          <w:rFonts w:ascii="仿宋" w:hAnsi="仿宋" w:eastAsia="仿宋" w:cs="仿宋"/>
          <w:bCs/>
          <w:color w:val="000000" w:themeColor="text1"/>
          <w:sz w:val="24"/>
          <w:lang w:eastAsia="zh-CN"/>
        </w:rPr>
      </w:pPr>
    </w:p>
    <w:p>
      <w:pPr>
        <w:pStyle w:val="3"/>
        <w:numPr>
          <w:ilvl w:val="1"/>
          <w:numId w:val="0"/>
        </w:numPr>
        <w:spacing w:line="240" w:lineRule="atLeast"/>
        <w:jc w:val="left"/>
        <w:rPr>
          <w:rFonts w:ascii="仿宋" w:hAnsi="仿宋" w:eastAsia="仿宋" w:cs="仿宋"/>
          <w:bCs/>
          <w:color w:val="000000" w:themeColor="text1"/>
          <w:sz w:val="24"/>
          <w:lang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pPr>
        <w:pStyle w:val="10"/>
        <w:tabs>
          <w:tab w:val="left" w:pos="5580"/>
        </w:tabs>
        <w:spacing w:line="240" w:lineRule="atLeast"/>
        <w:ind w:firstLine="480" w:firstLineChars="200"/>
        <w:rPr>
          <w:rFonts w:ascii="仿宋" w:hAnsi="仿宋" w:eastAsia="仿宋" w:cs="仿宋"/>
          <w:color w:val="000000" w:themeColor="text1"/>
          <w:lang w:eastAsia="zh-CN"/>
        </w:rPr>
      </w:pPr>
    </w:p>
    <w:p>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迷你简小标宋">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4"/>
        <w:tab w:val="clear" w:pos="4153"/>
      </w:tabs>
      <w:ind w:right="0"/>
      <w:jc w:val="both"/>
    </w:pPr>
    <w:r>
      <w:rPr>
        <w:sz w:val="16"/>
      </w:rPr>
      <w:pict>
        <v:shape id="_x0000_s2208" o:spid="_x0000_s22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w:txbxContent>
              <w:p>
                <w:pPr>
                  <w:rPr>
                    <w:rFonts w:hint="default"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pPr>
                  <w:pStyle w:val="14"/>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39"/>
        <w:tab w:val="clear" w:pos="4153"/>
      </w:tabs>
      <w:ind w:right="360"/>
      <w:jc w:val="both"/>
      <w:rPr>
        <w:rFonts w:hint="default"/>
        <w:lang w:val="en-US"/>
      </w:rPr>
    </w:pPr>
    <w:r>
      <w:rPr>
        <w:sz w:val="18"/>
      </w:rPr>
      <w:pict>
        <v:shape id="_x0000_s2212" o:spid="_x0000_s221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3360;mso-width-relative:page;mso-height-relative:page;" filled="f" stroked="f" coordsize="21600,21600">
          <v:path/>
          <v:fill on="f" focussize="0,0"/>
          <v:stroke on="f"/>
          <v:imagedata o:title=""/>
          <o:lock v:ext="edit" aspectratio="f"/>
          <v:textbox inset="0mm,0mm,0mm,0mm">
            <w:txbxContent>
              <w:p>
                <w:pPr>
                  <w:pStyle w:val="14"/>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4"/>
      <w:ind w:right="360"/>
      <w:jc w:val="right"/>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217" o:spid="_x0000_s221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7F6EE"/>
    <w:multiLevelType w:val="singleLevel"/>
    <w:tmpl w:val="8C27F6EE"/>
    <w:lvl w:ilvl="0" w:tentative="0">
      <w:start w:val="1"/>
      <w:numFmt w:val="decimal"/>
      <w:lvlText w:val="%1)"/>
      <w:lvlJc w:val="left"/>
      <w:pPr>
        <w:tabs>
          <w:tab w:val="left" w:pos="312"/>
        </w:tabs>
      </w:pPr>
    </w:lvl>
  </w:abstractNum>
  <w:abstractNum w:abstractNumId="1">
    <w:nsid w:val="A1AF0C38"/>
    <w:multiLevelType w:val="singleLevel"/>
    <w:tmpl w:val="A1AF0C38"/>
    <w:lvl w:ilvl="0" w:tentative="0">
      <w:start w:val="1"/>
      <w:numFmt w:val="decimal"/>
      <w:lvlText w:val="%1."/>
      <w:lvlJc w:val="left"/>
      <w:pPr>
        <w:tabs>
          <w:tab w:val="left" w:pos="312"/>
        </w:tabs>
      </w:pPr>
    </w:lvl>
  </w:abstractNum>
  <w:abstractNum w:abstractNumId="2">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B66EE6F"/>
    <w:multiLevelType w:val="singleLevel"/>
    <w:tmpl w:val="BB66EE6F"/>
    <w:lvl w:ilvl="0" w:tentative="0">
      <w:start w:val="1"/>
      <w:numFmt w:val="decimal"/>
      <w:lvlText w:val="%1."/>
      <w:lvlJc w:val="left"/>
      <w:pPr>
        <w:tabs>
          <w:tab w:val="left" w:pos="312"/>
        </w:tabs>
      </w:pPr>
    </w:lvl>
  </w:abstractNum>
  <w:abstractNum w:abstractNumId="4">
    <w:nsid w:val="CF0DAD01"/>
    <w:multiLevelType w:val="singleLevel"/>
    <w:tmpl w:val="CF0DAD01"/>
    <w:lvl w:ilvl="0" w:tentative="0">
      <w:start w:val="1"/>
      <w:numFmt w:val="decimal"/>
      <w:suff w:val="space"/>
      <w:lvlText w:val="%1."/>
      <w:lvlJc w:val="left"/>
    </w:lvl>
  </w:abstractNum>
  <w:abstractNum w:abstractNumId="5">
    <w:nsid w:val="D01B51DD"/>
    <w:multiLevelType w:val="singleLevel"/>
    <w:tmpl w:val="D01B51DD"/>
    <w:lvl w:ilvl="0" w:tentative="0">
      <w:start w:val="1"/>
      <w:numFmt w:val="decimal"/>
      <w:lvlText w:val="%1."/>
      <w:lvlJc w:val="left"/>
      <w:pPr>
        <w:tabs>
          <w:tab w:val="left" w:pos="312"/>
        </w:tabs>
      </w:pPr>
    </w:lvl>
  </w:abstractNum>
  <w:abstractNum w:abstractNumId="6">
    <w:nsid w:val="DAAABFF2"/>
    <w:multiLevelType w:val="singleLevel"/>
    <w:tmpl w:val="DAAABFF2"/>
    <w:lvl w:ilvl="0" w:tentative="0">
      <w:start w:val="1"/>
      <w:numFmt w:val="decimal"/>
      <w:lvlText w:val="%1."/>
      <w:lvlJc w:val="left"/>
      <w:pPr>
        <w:tabs>
          <w:tab w:val="left" w:pos="312"/>
        </w:tabs>
      </w:pPr>
    </w:lvl>
  </w:abstractNum>
  <w:abstractNum w:abstractNumId="7">
    <w:nsid w:val="E6CB7551"/>
    <w:multiLevelType w:val="singleLevel"/>
    <w:tmpl w:val="E6CB7551"/>
    <w:lvl w:ilvl="0" w:tentative="0">
      <w:start w:val="1"/>
      <w:numFmt w:val="decimal"/>
      <w:lvlText w:val="%1."/>
      <w:lvlJc w:val="left"/>
      <w:pPr>
        <w:tabs>
          <w:tab w:val="left" w:pos="312"/>
        </w:tabs>
      </w:pPr>
    </w:lvl>
  </w:abstractNum>
  <w:abstractNum w:abstractNumId="8">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0">
    <w:nsid w:val="07167B14"/>
    <w:multiLevelType w:val="multilevel"/>
    <w:tmpl w:val="07167B14"/>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190BF51A"/>
    <w:multiLevelType w:val="singleLevel"/>
    <w:tmpl w:val="190BF51A"/>
    <w:lvl w:ilvl="0" w:tentative="0">
      <w:start w:val="6"/>
      <w:numFmt w:val="chineseCounting"/>
      <w:suff w:val="nothing"/>
      <w:lvlText w:val="%1、"/>
      <w:lvlJc w:val="left"/>
      <w:rPr>
        <w:rFonts w:hint="eastAsia"/>
      </w:rPr>
    </w:lvl>
  </w:abstractNum>
  <w:abstractNum w:abstractNumId="13">
    <w:nsid w:val="220C69DE"/>
    <w:multiLevelType w:val="singleLevel"/>
    <w:tmpl w:val="220C69DE"/>
    <w:lvl w:ilvl="0" w:tentative="0">
      <w:start w:val="1"/>
      <w:numFmt w:val="decimal"/>
      <w:suff w:val="nothing"/>
      <w:lvlText w:val="%1、"/>
      <w:lvlJc w:val="left"/>
    </w:lvl>
  </w:abstractNum>
  <w:abstractNum w:abstractNumId="14">
    <w:nsid w:val="225D8F52"/>
    <w:multiLevelType w:val="singleLevel"/>
    <w:tmpl w:val="225D8F52"/>
    <w:lvl w:ilvl="0" w:tentative="0">
      <w:start w:val="1"/>
      <w:numFmt w:val="decimal"/>
      <w:lvlText w:val="%1."/>
      <w:lvlJc w:val="left"/>
      <w:pPr>
        <w:tabs>
          <w:tab w:val="left" w:pos="312"/>
        </w:tabs>
      </w:pPr>
    </w:lvl>
  </w:abstractNum>
  <w:abstractNum w:abstractNumId="15">
    <w:nsid w:val="35774070"/>
    <w:multiLevelType w:val="singleLevel"/>
    <w:tmpl w:val="35774070"/>
    <w:lvl w:ilvl="0" w:tentative="0">
      <w:start w:val="9"/>
      <w:numFmt w:val="decimal"/>
      <w:suff w:val="nothing"/>
      <w:lvlText w:val="%1、"/>
      <w:lvlJc w:val="left"/>
    </w:lvl>
  </w:abstractNum>
  <w:abstractNum w:abstractNumId="16">
    <w:nsid w:val="55CD4C99"/>
    <w:multiLevelType w:val="singleLevel"/>
    <w:tmpl w:val="55CD4C99"/>
    <w:lvl w:ilvl="0" w:tentative="0">
      <w:start w:val="1"/>
      <w:numFmt w:val="chineseCounting"/>
      <w:suff w:val="nothing"/>
      <w:lvlText w:val="%1、"/>
      <w:lvlJc w:val="left"/>
    </w:lvl>
  </w:abstractNum>
  <w:abstractNum w:abstractNumId="17">
    <w:nsid w:val="788E3B90"/>
    <w:multiLevelType w:val="multilevel"/>
    <w:tmpl w:val="788E3B90"/>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12"/>
  </w:num>
  <w:num w:numId="3">
    <w:abstractNumId w:val="16"/>
  </w:num>
  <w:num w:numId="4">
    <w:abstractNumId w:val="11"/>
  </w:num>
  <w:num w:numId="5">
    <w:abstractNumId w:val="18"/>
  </w:num>
  <w:num w:numId="6">
    <w:abstractNumId w:val="0"/>
  </w:num>
  <w:num w:numId="7">
    <w:abstractNumId w:val="13"/>
  </w:num>
  <w:num w:numId="8">
    <w:abstractNumId w:val="6"/>
  </w:num>
  <w:num w:numId="9">
    <w:abstractNumId w:val="7"/>
  </w:num>
  <w:num w:numId="10">
    <w:abstractNumId w:val="3"/>
  </w:num>
  <w:num w:numId="11">
    <w:abstractNumId w:val="15"/>
  </w:num>
  <w:num w:numId="12">
    <w:abstractNumId w:val="1"/>
  </w:num>
  <w:num w:numId="13">
    <w:abstractNumId w:val="14"/>
  </w:num>
  <w:num w:numId="14">
    <w:abstractNumId w:val="5"/>
  </w:num>
  <w:num w:numId="15">
    <w:abstractNumId w:val="10"/>
  </w:num>
  <w:num w:numId="16">
    <w:abstractNumId w:val="17"/>
  </w:num>
  <w:num w:numId="17">
    <w:abstractNumId w:val="8"/>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3ZjY2OTczOWM5YTk0Mzk0ZTMxZGMxOWNkODA4MmY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E7054D"/>
    <w:rsid w:val="03120DC1"/>
    <w:rsid w:val="03152839"/>
    <w:rsid w:val="03531E23"/>
    <w:rsid w:val="035508BA"/>
    <w:rsid w:val="03735124"/>
    <w:rsid w:val="039D2197"/>
    <w:rsid w:val="041B7C0D"/>
    <w:rsid w:val="042A106A"/>
    <w:rsid w:val="043C12C1"/>
    <w:rsid w:val="04471D7D"/>
    <w:rsid w:val="04B46F75"/>
    <w:rsid w:val="050F221F"/>
    <w:rsid w:val="051E7B81"/>
    <w:rsid w:val="05284124"/>
    <w:rsid w:val="0591547A"/>
    <w:rsid w:val="05CE725F"/>
    <w:rsid w:val="05D26519"/>
    <w:rsid w:val="05E43238"/>
    <w:rsid w:val="06141E47"/>
    <w:rsid w:val="062E44A1"/>
    <w:rsid w:val="06385AA9"/>
    <w:rsid w:val="063B7194"/>
    <w:rsid w:val="068D7DAD"/>
    <w:rsid w:val="068F23C3"/>
    <w:rsid w:val="06A20D46"/>
    <w:rsid w:val="070B6F74"/>
    <w:rsid w:val="072C60C0"/>
    <w:rsid w:val="073826E5"/>
    <w:rsid w:val="074F6B51"/>
    <w:rsid w:val="07581523"/>
    <w:rsid w:val="07D75CBB"/>
    <w:rsid w:val="0804766D"/>
    <w:rsid w:val="08253C96"/>
    <w:rsid w:val="08323FEC"/>
    <w:rsid w:val="0845254C"/>
    <w:rsid w:val="085D5AE7"/>
    <w:rsid w:val="086504F8"/>
    <w:rsid w:val="08986B20"/>
    <w:rsid w:val="08A37CA5"/>
    <w:rsid w:val="08C2594B"/>
    <w:rsid w:val="091D420B"/>
    <w:rsid w:val="09231976"/>
    <w:rsid w:val="093F2ABC"/>
    <w:rsid w:val="09406633"/>
    <w:rsid w:val="094D1093"/>
    <w:rsid w:val="095073FA"/>
    <w:rsid w:val="0958005D"/>
    <w:rsid w:val="09B17236"/>
    <w:rsid w:val="09E92566"/>
    <w:rsid w:val="0A007485"/>
    <w:rsid w:val="0A226110"/>
    <w:rsid w:val="0A271261"/>
    <w:rsid w:val="0A622E54"/>
    <w:rsid w:val="0A982D0F"/>
    <w:rsid w:val="0AEC1713"/>
    <w:rsid w:val="0AFE7394"/>
    <w:rsid w:val="0B213EE8"/>
    <w:rsid w:val="0B2F3756"/>
    <w:rsid w:val="0B472137"/>
    <w:rsid w:val="0B641CFB"/>
    <w:rsid w:val="0B70168E"/>
    <w:rsid w:val="0B720833"/>
    <w:rsid w:val="0B941400"/>
    <w:rsid w:val="0B9E39F1"/>
    <w:rsid w:val="0BB54396"/>
    <w:rsid w:val="0BF26C44"/>
    <w:rsid w:val="0C1429D4"/>
    <w:rsid w:val="0D3B05FB"/>
    <w:rsid w:val="0D533015"/>
    <w:rsid w:val="0D9030DE"/>
    <w:rsid w:val="0D9378B6"/>
    <w:rsid w:val="0DE35329"/>
    <w:rsid w:val="0E3E1813"/>
    <w:rsid w:val="0E5B66D1"/>
    <w:rsid w:val="0F1C4CB4"/>
    <w:rsid w:val="0F2405B3"/>
    <w:rsid w:val="0F42217E"/>
    <w:rsid w:val="0F4F5A5E"/>
    <w:rsid w:val="0F9A54F8"/>
    <w:rsid w:val="0FA22205"/>
    <w:rsid w:val="0FCE58B0"/>
    <w:rsid w:val="10015291"/>
    <w:rsid w:val="104B2320"/>
    <w:rsid w:val="10685029"/>
    <w:rsid w:val="11074842"/>
    <w:rsid w:val="112C2E1C"/>
    <w:rsid w:val="114227C7"/>
    <w:rsid w:val="116457F1"/>
    <w:rsid w:val="12143671"/>
    <w:rsid w:val="12326DC2"/>
    <w:rsid w:val="12891287"/>
    <w:rsid w:val="12FF5684"/>
    <w:rsid w:val="130308CA"/>
    <w:rsid w:val="1312560D"/>
    <w:rsid w:val="13140906"/>
    <w:rsid w:val="132C218A"/>
    <w:rsid w:val="13337B71"/>
    <w:rsid w:val="13B81ECA"/>
    <w:rsid w:val="13CD729B"/>
    <w:rsid w:val="13D55805"/>
    <w:rsid w:val="13F84D28"/>
    <w:rsid w:val="142B46CE"/>
    <w:rsid w:val="144C729A"/>
    <w:rsid w:val="14602089"/>
    <w:rsid w:val="14841E5F"/>
    <w:rsid w:val="14953EB8"/>
    <w:rsid w:val="14964A58"/>
    <w:rsid w:val="14CD6092"/>
    <w:rsid w:val="14D970D8"/>
    <w:rsid w:val="14E12AC3"/>
    <w:rsid w:val="15056E62"/>
    <w:rsid w:val="1525173B"/>
    <w:rsid w:val="153C6A85"/>
    <w:rsid w:val="156D1711"/>
    <w:rsid w:val="157F0D4F"/>
    <w:rsid w:val="159F732A"/>
    <w:rsid w:val="15C31338"/>
    <w:rsid w:val="15E839EB"/>
    <w:rsid w:val="15F24C8E"/>
    <w:rsid w:val="16010E59"/>
    <w:rsid w:val="161727D5"/>
    <w:rsid w:val="167B61DA"/>
    <w:rsid w:val="16A31AA6"/>
    <w:rsid w:val="16C22D80"/>
    <w:rsid w:val="16D231F0"/>
    <w:rsid w:val="171F0B4E"/>
    <w:rsid w:val="172577D0"/>
    <w:rsid w:val="178644DD"/>
    <w:rsid w:val="17881C02"/>
    <w:rsid w:val="17A51045"/>
    <w:rsid w:val="17EB3771"/>
    <w:rsid w:val="189F02F4"/>
    <w:rsid w:val="18F8040C"/>
    <w:rsid w:val="18FE29CF"/>
    <w:rsid w:val="19047F61"/>
    <w:rsid w:val="1910625E"/>
    <w:rsid w:val="19445F08"/>
    <w:rsid w:val="19791440"/>
    <w:rsid w:val="198D3D53"/>
    <w:rsid w:val="19D24BCD"/>
    <w:rsid w:val="19F35DD2"/>
    <w:rsid w:val="1A444EDF"/>
    <w:rsid w:val="1A5E3F75"/>
    <w:rsid w:val="1A6A7BF0"/>
    <w:rsid w:val="1A6C043C"/>
    <w:rsid w:val="1A991A95"/>
    <w:rsid w:val="1AA14F3E"/>
    <w:rsid w:val="1ACD57BB"/>
    <w:rsid w:val="1AFE16C7"/>
    <w:rsid w:val="1B132A5A"/>
    <w:rsid w:val="1B2938B4"/>
    <w:rsid w:val="1B3867B7"/>
    <w:rsid w:val="1B526E30"/>
    <w:rsid w:val="1B5A42F2"/>
    <w:rsid w:val="1BA46EB4"/>
    <w:rsid w:val="1BA81F77"/>
    <w:rsid w:val="1BE65325"/>
    <w:rsid w:val="1BF54431"/>
    <w:rsid w:val="1C03767B"/>
    <w:rsid w:val="1C0B1542"/>
    <w:rsid w:val="1C641A5B"/>
    <w:rsid w:val="1C65230B"/>
    <w:rsid w:val="1C770BAC"/>
    <w:rsid w:val="1C8812E8"/>
    <w:rsid w:val="1CBF4223"/>
    <w:rsid w:val="1CC048D1"/>
    <w:rsid w:val="1CFF3DC8"/>
    <w:rsid w:val="1D28001A"/>
    <w:rsid w:val="1D52077A"/>
    <w:rsid w:val="1D6F5759"/>
    <w:rsid w:val="1DA43419"/>
    <w:rsid w:val="1DDE4B7D"/>
    <w:rsid w:val="1E435DE1"/>
    <w:rsid w:val="1E6813A9"/>
    <w:rsid w:val="1E6D1634"/>
    <w:rsid w:val="1ECE4F82"/>
    <w:rsid w:val="1EE5064C"/>
    <w:rsid w:val="1F262D19"/>
    <w:rsid w:val="1F5B26D6"/>
    <w:rsid w:val="1F6007D8"/>
    <w:rsid w:val="1FB748C5"/>
    <w:rsid w:val="203828DD"/>
    <w:rsid w:val="20746CEC"/>
    <w:rsid w:val="209D4381"/>
    <w:rsid w:val="20C57552"/>
    <w:rsid w:val="213649FD"/>
    <w:rsid w:val="218454A5"/>
    <w:rsid w:val="21F7470F"/>
    <w:rsid w:val="220E65E1"/>
    <w:rsid w:val="22561186"/>
    <w:rsid w:val="22965E6B"/>
    <w:rsid w:val="22AE28BF"/>
    <w:rsid w:val="22D700DE"/>
    <w:rsid w:val="22F917C9"/>
    <w:rsid w:val="23226B91"/>
    <w:rsid w:val="23287712"/>
    <w:rsid w:val="23463622"/>
    <w:rsid w:val="235B1AD6"/>
    <w:rsid w:val="23874BA3"/>
    <w:rsid w:val="242923FE"/>
    <w:rsid w:val="245B2E54"/>
    <w:rsid w:val="247B3126"/>
    <w:rsid w:val="24BD1F5B"/>
    <w:rsid w:val="24D053AA"/>
    <w:rsid w:val="24D9339D"/>
    <w:rsid w:val="24EC7364"/>
    <w:rsid w:val="24EE45F4"/>
    <w:rsid w:val="24FC16A1"/>
    <w:rsid w:val="25002F8D"/>
    <w:rsid w:val="25546BA5"/>
    <w:rsid w:val="25550156"/>
    <w:rsid w:val="256318A5"/>
    <w:rsid w:val="256D43FD"/>
    <w:rsid w:val="25C1100C"/>
    <w:rsid w:val="25FB512C"/>
    <w:rsid w:val="262B2929"/>
    <w:rsid w:val="265C0D35"/>
    <w:rsid w:val="267D2FA7"/>
    <w:rsid w:val="26A077E1"/>
    <w:rsid w:val="26D37563"/>
    <w:rsid w:val="26FD55E8"/>
    <w:rsid w:val="27013906"/>
    <w:rsid w:val="27147AA3"/>
    <w:rsid w:val="274B4345"/>
    <w:rsid w:val="2759752E"/>
    <w:rsid w:val="27641FEC"/>
    <w:rsid w:val="277A0959"/>
    <w:rsid w:val="280034B3"/>
    <w:rsid w:val="283D072F"/>
    <w:rsid w:val="286B44D3"/>
    <w:rsid w:val="28894FF8"/>
    <w:rsid w:val="28976054"/>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AD6003"/>
    <w:rsid w:val="2AB303AA"/>
    <w:rsid w:val="2ADC5AFD"/>
    <w:rsid w:val="2AE56C24"/>
    <w:rsid w:val="2AF23A16"/>
    <w:rsid w:val="2AF552B4"/>
    <w:rsid w:val="2AF9470D"/>
    <w:rsid w:val="2B2A724C"/>
    <w:rsid w:val="2B762634"/>
    <w:rsid w:val="2B97636B"/>
    <w:rsid w:val="2BEE0CF4"/>
    <w:rsid w:val="2C154A52"/>
    <w:rsid w:val="2C302A48"/>
    <w:rsid w:val="2C5031C9"/>
    <w:rsid w:val="2CBE5289"/>
    <w:rsid w:val="2D107FD9"/>
    <w:rsid w:val="2D1B0C53"/>
    <w:rsid w:val="2D1F486A"/>
    <w:rsid w:val="2D261D28"/>
    <w:rsid w:val="2D380A40"/>
    <w:rsid w:val="2D7E66F1"/>
    <w:rsid w:val="2D92668D"/>
    <w:rsid w:val="2D95546D"/>
    <w:rsid w:val="2DB43A1E"/>
    <w:rsid w:val="2DF1140A"/>
    <w:rsid w:val="2E1B0C2F"/>
    <w:rsid w:val="2E2D19AE"/>
    <w:rsid w:val="2E3662A3"/>
    <w:rsid w:val="2E764B34"/>
    <w:rsid w:val="2E766A63"/>
    <w:rsid w:val="2F265E4E"/>
    <w:rsid w:val="2F5A7DDB"/>
    <w:rsid w:val="2F664B0F"/>
    <w:rsid w:val="2FA50B1C"/>
    <w:rsid w:val="2FAD2601"/>
    <w:rsid w:val="2FAD33C2"/>
    <w:rsid w:val="308B46F0"/>
    <w:rsid w:val="30D57C5D"/>
    <w:rsid w:val="30DA154E"/>
    <w:rsid w:val="312352B9"/>
    <w:rsid w:val="31C54436"/>
    <w:rsid w:val="31DE4CF4"/>
    <w:rsid w:val="3221486C"/>
    <w:rsid w:val="32387E25"/>
    <w:rsid w:val="32905583"/>
    <w:rsid w:val="32C70F99"/>
    <w:rsid w:val="32EC4F02"/>
    <w:rsid w:val="335B1D88"/>
    <w:rsid w:val="335C76C1"/>
    <w:rsid w:val="33815A7E"/>
    <w:rsid w:val="33C022CF"/>
    <w:rsid w:val="34041D40"/>
    <w:rsid w:val="34085961"/>
    <w:rsid w:val="34163F53"/>
    <w:rsid w:val="3464452F"/>
    <w:rsid w:val="34851143"/>
    <w:rsid w:val="34AC63E7"/>
    <w:rsid w:val="34F903B8"/>
    <w:rsid w:val="351A6043"/>
    <w:rsid w:val="35427B0F"/>
    <w:rsid w:val="35447AEC"/>
    <w:rsid w:val="356B5D1D"/>
    <w:rsid w:val="357F49FA"/>
    <w:rsid w:val="358B081F"/>
    <w:rsid w:val="35C04C25"/>
    <w:rsid w:val="35FC548C"/>
    <w:rsid w:val="360B129A"/>
    <w:rsid w:val="36A4475E"/>
    <w:rsid w:val="36AA5E0A"/>
    <w:rsid w:val="36CA0C5E"/>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5E5C62"/>
    <w:rsid w:val="38895400"/>
    <w:rsid w:val="38B062BB"/>
    <w:rsid w:val="38B3500B"/>
    <w:rsid w:val="38BD4DB8"/>
    <w:rsid w:val="38C56C0D"/>
    <w:rsid w:val="38D46E50"/>
    <w:rsid w:val="38DE52AC"/>
    <w:rsid w:val="38E946D1"/>
    <w:rsid w:val="391A096E"/>
    <w:rsid w:val="39A77BA6"/>
    <w:rsid w:val="39BF2178"/>
    <w:rsid w:val="39C07B4A"/>
    <w:rsid w:val="39E45DE4"/>
    <w:rsid w:val="3A1273C6"/>
    <w:rsid w:val="3A451F82"/>
    <w:rsid w:val="3A493A3A"/>
    <w:rsid w:val="3A5E2E76"/>
    <w:rsid w:val="3A6D6A80"/>
    <w:rsid w:val="3A76310C"/>
    <w:rsid w:val="3A9C4892"/>
    <w:rsid w:val="3AE06945"/>
    <w:rsid w:val="3B0F7028"/>
    <w:rsid w:val="3B1339F6"/>
    <w:rsid w:val="3B356279"/>
    <w:rsid w:val="3B5C6947"/>
    <w:rsid w:val="3B7F7C46"/>
    <w:rsid w:val="3B88795E"/>
    <w:rsid w:val="3BBA063F"/>
    <w:rsid w:val="3BDE19D1"/>
    <w:rsid w:val="3BF408BA"/>
    <w:rsid w:val="3C6B74E7"/>
    <w:rsid w:val="3C893FAF"/>
    <w:rsid w:val="3CA827C1"/>
    <w:rsid w:val="3CAD59EE"/>
    <w:rsid w:val="3CDA4418"/>
    <w:rsid w:val="3CE753A4"/>
    <w:rsid w:val="3D2D2A65"/>
    <w:rsid w:val="3D38095E"/>
    <w:rsid w:val="3D413E5D"/>
    <w:rsid w:val="3D723DD3"/>
    <w:rsid w:val="3D751F42"/>
    <w:rsid w:val="3DA87F4F"/>
    <w:rsid w:val="3DE21EFD"/>
    <w:rsid w:val="3E0C4997"/>
    <w:rsid w:val="3E1E0BD5"/>
    <w:rsid w:val="3E2919ED"/>
    <w:rsid w:val="3E941710"/>
    <w:rsid w:val="3EF05606"/>
    <w:rsid w:val="3F6A3151"/>
    <w:rsid w:val="3F874C1D"/>
    <w:rsid w:val="400A4EA6"/>
    <w:rsid w:val="40153FD6"/>
    <w:rsid w:val="402757C1"/>
    <w:rsid w:val="403F2E01"/>
    <w:rsid w:val="40814B23"/>
    <w:rsid w:val="4083151E"/>
    <w:rsid w:val="408E72C3"/>
    <w:rsid w:val="408E7BCF"/>
    <w:rsid w:val="40AB15B8"/>
    <w:rsid w:val="40B26236"/>
    <w:rsid w:val="40C14C05"/>
    <w:rsid w:val="40F04347"/>
    <w:rsid w:val="41073554"/>
    <w:rsid w:val="416359C8"/>
    <w:rsid w:val="41681350"/>
    <w:rsid w:val="416F668A"/>
    <w:rsid w:val="419378A9"/>
    <w:rsid w:val="419F6662"/>
    <w:rsid w:val="41A72D03"/>
    <w:rsid w:val="41BC55E0"/>
    <w:rsid w:val="41BF069E"/>
    <w:rsid w:val="41DD3F9B"/>
    <w:rsid w:val="420B7389"/>
    <w:rsid w:val="42246FB6"/>
    <w:rsid w:val="423563C7"/>
    <w:rsid w:val="427B2293"/>
    <w:rsid w:val="42C57370"/>
    <w:rsid w:val="42C80E0F"/>
    <w:rsid w:val="430832B2"/>
    <w:rsid w:val="43144276"/>
    <w:rsid w:val="43264088"/>
    <w:rsid w:val="432E4A0D"/>
    <w:rsid w:val="43333AFF"/>
    <w:rsid w:val="434966C0"/>
    <w:rsid w:val="434C4B79"/>
    <w:rsid w:val="43603D96"/>
    <w:rsid w:val="437C4518"/>
    <w:rsid w:val="438B5013"/>
    <w:rsid w:val="43900453"/>
    <w:rsid w:val="43903D02"/>
    <w:rsid w:val="43B87C14"/>
    <w:rsid w:val="43BC29BB"/>
    <w:rsid w:val="43CB7C06"/>
    <w:rsid w:val="43CE514A"/>
    <w:rsid w:val="43F26816"/>
    <w:rsid w:val="44024872"/>
    <w:rsid w:val="445769C9"/>
    <w:rsid w:val="44637696"/>
    <w:rsid w:val="44740DA7"/>
    <w:rsid w:val="44C7578F"/>
    <w:rsid w:val="44D31AB8"/>
    <w:rsid w:val="44EF728A"/>
    <w:rsid w:val="45111167"/>
    <w:rsid w:val="45156827"/>
    <w:rsid w:val="4517597F"/>
    <w:rsid w:val="453864C5"/>
    <w:rsid w:val="45442C68"/>
    <w:rsid w:val="454815E5"/>
    <w:rsid w:val="457C2033"/>
    <w:rsid w:val="465313B5"/>
    <w:rsid w:val="466A125B"/>
    <w:rsid w:val="466D3A64"/>
    <w:rsid w:val="467632F5"/>
    <w:rsid w:val="46994235"/>
    <w:rsid w:val="46A2549B"/>
    <w:rsid w:val="46A95479"/>
    <w:rsid w:val="46B53CB8"/>
    <w:rsid w:val="46B856BC"/>
    <w:rsid w:val="46F77B89"/>
    <w:rsid w:val="46FD7572"/>
    <w:rsid w:val="47275881"/>
    <w:rsid w:val="4743767B"/>
    <w:rsid w:val="4757256C"/>
    <w:rsid w:val="47777325"/>
    <w:rsid w:val="479E023F"/>
    <w:rsid w:val="47F15329"/>
    <w:rsid w:val="47FC6E81"/>
    <w:rsid w:val="487B3318"/>
    <w:rsid w:val="48AD5394"/>
    <w:rsid w:val="48B43184"/>
    <w:rsid w:val="48B93029"/>
    <w:rsid w:val="48DB14EE"/>
    <w:rsid w:val="493F1574"/>
    <w:rsid w:val="49726A4B"/>
    <w:rsid w:val="49C5554F"/>
    <w:rsid w:val="4A076C56"/>
    <w:rsid w:val="4A087D72"/>
    <w:rsid w:val="4A431F7F"/>
    <w:rsid w:val="4A711501"/>
    <w:rsid w:val="4AAF0341"/>
    <w:rsid w:val="4ADE5F63"/>
    <w:rsid w:val="4AE253FD"/>
    <w:rsid w:val="4B097E96"/>
    <w:rsid w:val="4B105AC6"/>
    <w:rsid w:val="4B3E34E1"/>
    <w:rsid w:val="4B7B64DF"/>
    <w:rsid w:val="4BA10E14"/>
    <w:rsid w:val="4BB73B85"/>
    <w:rsid w:val="4BD01C29"/>
    <w:rsid w:val="4BF478AD"/>
    <w:rsid w:val="4C0C77BC"/>
    <w:rsid w:val="4C0D38CD"/>
    <w:rsid w:val="4C17384D"/>
    <w:rsid w:val="4C257A37"/>
    <w:rsid w:val="4C2707A1"/>
    <w:rsid w:val="4C64712B"/>
    <w:rsid w:val="4C700EF1"/>
    <w:rsid w:val="4C760354"/>
    <w:rsid w:val="4C9C1570"/>
    <w:rsid w:val="4CC17176"/>
    <w:rsid w:val="4D7F6F33"/>
    <w:rsid w:val="4DDD4EEC"/>
    <w:rsid w:val="4DF50B78"/>
    <w:rsid w:val="4DF616CB"/>
    <w:rsid w:val="4E5A1331"/>
    <w:rsid w:val="4E5A5ADC"/>
    <w:rsid w:val="4E6938E7"/>
    <w:rsid w:val="4E6A5759"/>
    <w:rsid w:val="4E701DC0"/>
    <w:rsid w:val="4E93713A"/>
    <w:rsid w:val="4EAB5FD9"/>
    <w:rsid w:val="4EBB21ED"/>
    <w:rsid w:val="4ECA741E"/>
    <w:rsid w:val="4EDA6A05"/>
    <w:rsid w:val="4F006719"/>
    <w:rsid w:val="4F2E489B"/>
    <w:rsid w:val="4F4C72E9"/>
    <w:rsid w:val="4F5166AD"/>
    <w:rsid w:val="4F5D25FD"/>
    <w:rsid w:val="4F6121B7"/>
    <w:rsid w:val="4F643265"/>
    <w:rsid w:val="4F741231"/>
    <w:rsid w:val="4FB41D44"/>
    <w:rsid w:val="4FB93303"/>
    <w:rsid w:val="4FBC32D6"/>
    <w:rsid w:val="50105D76"/>
    <w:rsid w:val="507A4445"/>
    <w:rsid w:val="50BF6E81"/>
    <w:rsid w:val="50FF0870"/>
    <w:rsid w:val="5131339E"/>
    <w:rsid w:val="513D513B"/>
    <w:rsid w:val="513F080C"/>
    <w:rsid w:val="518E2B89"/>
    <w:rsid w:val="51F64B4D"/>
    <w:rsid w:val="521D7E30"/>
    <w:rsid w:val="52627693"/>
    <w:rsid w:val="52654DCD"/>
    <w:rsid w:val="52A43369"/>
    <w:rsid w:val="52DA541F"/>
    <w:rsid w:val="5306542C"/>
    <w:rsid w:val="5328270F"/>
    <w:rsid w:val="532B582C"/>
    <w:rsid w:val="533662E6"/>
    <w:rsid w:val="53390376"/>
    <w:rsid w:val="533B37EB"/>
    <w:rsid w:val="533C1C56"/>
    <w:rsid w:val="533C207A"/>
    <w:rsid w:val="5357579E"/>
    <w:rsid w:val="53842532"/>
    <w:rsid w:val="53976CF9"/>
    <w:rsid w:val="54027A71"/>
    <w:rsid w:val="540A24A6"/>
    <w:rsid w:val="541D6439"/>
    <w:rsid w:val="546A09A4"/>
    <w:rsid w:val="549E4143"/>
    <w:rsid w:val="54E802D2"/>
    <w:rsid w:val="552535BC"/>
    <w:rsid w:val="553813F1"/>
    <w:rsid w:val="557E3F74"/>
    <w:rsid w:val="55821076"/>
    <w:rsid w:val="56493792"/>
    <w:rsid w:val="56777341"/>
    <w:rsid w:val="56943A17"/>
    <w:rsid w:val="56AA3DFF"/>
    <w:rsid w:val="56D402F0"/>
    <w:rsid w:val="572F4B71"/>
    <w:rsid w:val="575329D5"/>
    <w:rsid w:val="57D01595"/>
    <w:rsid w:val="58317C08"/>
    <w:rsid w:val="583B48F5"/>
    <w:rsid w:val="5865652E"/>
    <w:rsid w:val="59106D68"/>
    <w:rsid w:val="594015B1"/>
    <w:rsid w:val="59554FEC"/>
    <w:rsid w:val="595A0DC1"/>
    <w:rsid w:val="596D4A2C"/>
    <w:rsid w:val="599B0EFC"/>
    <w:rsid w:val="59BD150F"/>
    <w:rsid w:val="5A130C2C"/>
    <w:rsid w:val="5A39563D"/>
    <w:rsid w:val="5A47370B"/>
    <w:rsid w:val="5AE0581C"/>
    <w:rsid w:val="5AE96334"/>
    <w:rsid w:val="5AF30F60"/>
    <w:rsid w:val="5B31213F"/>
    <w:rsid w:val="5B5F738D"/>
    <w:rsid w:val="5B7E082A"/>
    <w:rsid w:val="5BA54009"/>
    <w:rsid w:val="5BB26481"/>
    <w:rsid w:val="5BB32D18"/>
    <w:rsid w:val="5BE43388"/>
    <w:rsid w:val="5C5C591B"/>
    <w:rsid w:val="5C643EC4"/>
    <w:rsid w:val="5CCF1148"/>
    <w:rsid w:val="5CD4114D"/>
    <w:rsid w:val="5CD53D28"/>
    <w:rsid w:val="5D0460DC"/>
    <w:rsid w:val="5D2366CB"/>
    <w:rsid w:val="5D3331A6"/>
    <w:rsid w:val="5D625800"/>
    <w:rsid w:val="5D8A153C"/>
    <w:rsid w:val="5DE1497B"/>
    <w:rsid w:val="5E135BA1"/>
    <w:rsid w:val="5E1D1079"/>
    <w:rsid w:val="5E211941"/>
    <w:rsid w:val="5E4C4EB1"/>
    <w:rsid w:val="5E6D59C3"/>
    <w:rsid w:val="5E9341CF"/>
    <w:rsid w:val="5E9C0CBE"/>
    <w:rsid w:val="5EDA6373"/>
    <w:rsid w:val="5EF46D8B"/>
    <w:rsid w:val="5F180162"/>
    <w:rsid w:val="5F514BE2"/>
    <w:rsid w:val="5F5A15AE"/>
    <w:rsid w:val="5F9C1BC7"/>
    <w:rsid w:val="5FDD555A"/>
    <w:rsid w:val="5FFB68ED"/>
    <w:rsid w:val="601F4136"/>
    <w:rsid w:val="6022031E"/>
    <w:rsid w:val="60AA69DE"/>
    <w:rsid w:val="61137122"/>
    <w:rsid w:val="61183C2B"/>
    <w:rsid w:val="617D1400"/>
    <w:rsid w:val="61876670"/>
    <w:rsid w:val="61903A3C"/>
    <w:rsid w:val="61905523"/>
    <w:rsid w:val="6196533C"/>
    <w:rsid w:val="61C24BFD"/>
    <w:rsid w:val="61C81C8C"/>
    <w:rsid w:val="61DB0771"/>
    <w:rsid w:val="620774EF"/>
    <w:rsid w:val="626F41F4"/>
    <w:rsid w:val="63153AD6"/>
    <w:rsid w:val="634A483E"/>
    <w:rsid w:val="637A3FCD"/>
    <w:rsid w:val="63AB4186"/>
    <w:rsid w:val="63C51B85"/>
    <w:rsid w:val="63C81B89"/>
    <w:rsid w:val="64027360"/>
    <w:rsid w:val="642B45E0"/>
    <w:rsid w:val="64604EAC"/>
    <w:rsid w:val="64740A1C"/>
    <w:rsid w:val="64805FF8"/>
    <w:rsid w:val="64D7429C"/>
    <w:rsid w:val="64FD3DCA"/>
    <w:rsid w:val="650002E7"/>
    <w:rsid w:val="6507415B"/>
    <w:rsid w:val="65434447"/>
    <w:rsid w:val="65D200F0"/>
    <w:rsid w:val="65F73581"/>
    <w:rsid w:val="66457796"/>
    <w:rsid w:val="669453A6"/>
    <w:rsid w:val="66A5387A"/>
    <w:rsid w:val="66BF5FFF"/>
    <w:rsid w:val="66C2621A"/>
    <w:rsid w:val="66F10A4A"/>
    <w:rsid w:val="674F7545"/>
    <w:rsid w:val="67537CF0"/>
    <w:rsid w:val="67656B1B"/>
    <w:rsid w:val="677775A8"/>
    <w:rsid w:val="679542C8"/>
    <w:rsid w:val="67AE419D"/>
    <w:rsid w:val="67B22635"/>
    <w:rsid w:val="67BE74C9"/>
    <w:rsid w:val="683769EB"/>
    <w:rsid w:val="684F37DE"/>
    <w:rsid w:val="68B2669E"/>
    <w:rsid w:val="68E22B52"/>
    <w:rsid w:val="68EB131E"/>
    <w:rsid w:val="69182A19"/>
    <w:rsid w:val="69764EE6"/>
    <w:rsid w:val="698C50B9"/>
    <w:rsid w:val="698E1753"/>
    <w:rsid w:val="69983F39"/>
    <w:rsid w:val="69CA10DE"/>
    <w:rsid w:val="69CE3E97"/>
    <w:rsid w:val="69D47128"/>
    <w:rsid w:val="69E1596C"/>
    <w:rsid w:val="69F07ED0"/>
    <w:rsid w:val="69FE3890"/>
    <w:rsid w:val="6A10379F"/>
    <w:rsid w:val="6A7A0A2B"/>
    <w:rsid w:val="6A7F636D"/>
    <w:rsid w:val="6AB5137F"/>
    <w:rsid w:val="6ACA4D44"/>
    <w:rsid w:val="6ADE7537"/>
    <w:rsid w:val="6AF05382"/>
    <w:rsid w:val="6B133F99"/>
    <w:rsid w:val="6B221B0E"/>
    <w:rsid w:val="6B426B13"/>
    <w:rsid w:val="6B6E6411"/>
    <w:rsid w:val="6B9419A4"/>
    <w:rsid w:val="6BC4672D"/>
    <w:rsid w:val="6BFA2464"/>
    <w:rsid w:val="6C364F34"/>
    <w:rsid w:val="6C3A4520"/>
    <w:rsid w:val="6C3C213A"/>
    <w:rsid w:val="6C565BAA"/>
    <w:rsid w:val="6C6204DD"/>
    <w:rsid w:val="6C7543E1"/>
    <w:rsid w:val="6C7D42B4"/>
    <w:rsid w:val="6C8A3E98"/>
    <w:rsid w:val="6C963B87"/>
    <w:rsid w:val="6CA96079"/>
    <w:rsid w:val="6CAC1F8A"/>
    <w:rsid w:val="6CAD0F6F"/>
    <w:rsid w:val="6CC81EA4"/>
    <w:rsid w:val="6D03681A"/>
    <w:rsid w:val="6D37776E"/>
    <w:rsid w:val="6D69517B"/>
    <w:rsid w:val="6D69756C"/>
    <w:rsid w:val="6DD644F6"/>
    <w:rsid w:val="6DDA65C4"/>
    <w:rsid w:val="6E920594"/>
    <w:rsid w:val="6EC8214A"/>
    <w:rsid w:val="6F1976C8"/>
    <w:rsid w:val="6FFB4A58"/>
    <w:rsid w:val="6FFC5967"/>
    <w:rsid w:val="70021CEB"/>
    <w:rsid w:val="703412AA"/>
    <w:rsid w:val="704838FD"/>
    <w:rsid w:val="707F6878"/>
    <w:rsid w:val="709119F6"/>
    <w:rsid w:val="70AF7F0C"/>
    <w:rsid w:val="70C63A92"/>
    <w:rsid w:val="70D16063"/>
    <w:rsid w:val="70F562D7"/>
    <w:rsid w:val="713D64DC"/>
    <w:rsid w:val="71941D4C"/>
    <w:rsid w:val="71F7318A"/>
    <w:rsid w:val="721A3870"/>
    <w:rsid w:val="72795F5D"/>
    <w:rsid w:val="72873F22"/>
    <w:rsid w:val="728E35F1"/>
    <w:rsid w:val="72DB435C"/>
    <w:rsid w:val="731750C1"/>
    <w:rsid w:val="737C6513"/>
    <w:rsid w:val="739641CD"/>
    <w:rsid w:val="73B344DE"/>
    <w:rsid w:val="73F76C73"/>
    <w:rsid w:val="73F84687"/>
    <w:rsid w:val="746135D3"/>
    <w:rsid w:val="75156F04"/>
    <w:rsid w:val="75293576"/>
    <w:rsid w:val="753541F8"/>
    <w:rsid w:val="75781DD0"/>
    <w:rsid w:val="75824D9D"/>
    <w:rsid w:val="759224B5"/>
    <w:rsid w:val="75A1363B"/>
    <w:rsid w:val="75AB1C93"/>
    <w:rsid w:val="75D069B4"/>
    <w:rsid w:val="761B163F"/>
    <w:rsid w:val="761F3505"/>
    <w:rsid w:val="763639D5"/>
    <w:rsid w:val="763E3663"/>
    <w:rsid w:val="76486327"/>
    <w:rsid w:val="7671126A"/>
    <w:rsid w:val="76810114"/>
    <w:rsid w:val="76C77A80"/>
    <w:rsid w:val="76C92E49"/>
    <w:rsid w:val="76E41762"/>
    <w:rsid w:val="76E46ECE"/>
    <w:rsid w:val="7717316E"/>
    <w:rsid w:val="774D2101"/>
    <w:rsid w:val="77603777"/>
    <w:rsid w:val="777D58A9"/>
    <w:rsid w:val="77901BB9"/>
    <w:rsid w:val="779B3C6B"/>
    <w:rsid w:val="77AB5706"/>
    <w:rsid w:val="77C7479C"/>
    <w:rsid w:val="78626435"/>
    <w:rsid w:val="78626A84"/>
    <w:rsid w:val="787B3EF7"/>
    <w:rsid w:val="787D26D8"/>
    <w:rsid w:val="788E3223"/>
    <w:rsid w:val="78A13AF5"/>
    <w:rsid w:val="78B05110"/>
    <w:rsid w:val="78BB0EB8"/>
    <w:rsid w:val="78E06AB0"/>
    <w:rsid w:val="790B4090"/>
    <w:rsid w:val="79643504"/>
    <w:rsid w:val="79864C1B"/>
    <w:rsid w:val="798E0318"/>
    <w:rsid w:val="79AF62F8"/>
    <w:rsid w:val="79D7692E"/>
    <w:rsid w:val="79E25FFC"/>
    <w:rsid w:val="7A09540F"/>
    <w:rsid w:val="7A1F0FD2"/>
    <w:rsid w:val="7A313682"/>
    <w:rsid w:val="7A326EC1"/>
    <w:rsid w:val="7A471B74"/>
    <w:rsid w:val="7AC415A1"/>
    <w:rsid w:val="7AD93877"/>
    <w:rsid w:val="7B39252F"/>
    <w:rsid w:val="7BA87505"/>
    <w:rsid w:val="7BF53DED"/>
    <w:rsid w:val="7BFC0690"/>
    <w:rsid w:val="7C1D50F5"/>
    <w:rsid w:val="7C1E3C95"/>
    <w:rsid w:val="7C51106A"/>
    <w:rsid w:val="7C531F86"/>
    <w:rsid w:val="7C6106D5"/>
    <w:rsid w:val="7C6151AF"/>
    <w:rsid w:val="7CC540BD"/>
    <w:rsid w:val="7CF120A2"/>
    <w:rsid w:val="7D423759"/>
    <w:rsid w:val="7D43322A"/>
    <w:rsid w:val="7D695F1A"/>
    <w:rsid w:val="7DA8304D"/>
    <w:rsid w:val="7DC13F0D"/>
    <w:rsid w:val="7DD956AA"/>
    <w:rsid w:val="7E064983"/>
    <w:rsid w:val="7E2D5B39"/>
    <w:rsid w:val="7E42351F"/>
    <w:rsid w:val="7E7713DD"/>
    <w:rsid w:val="7EBB39C0"/>
    <w:rsid w:val="7ED160D1"/>
    <w:rsid w:val="7EDB5E10"/>
    <w:rsid w:val="7F035695"/>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pPr>
    <w:rPr>
      <w:rFonts w:ascii="宋体"/>
      <w:szCs w:val="20"/>
    </w:rPr>
  </w:style>
  <w:style w:type="paragraph" w:styleId="6">
    <w:name w:val="toa heading"/>
    <w:basedOn w:val="1"/>
    <w:next w:val="1"/>
    <w:autoRedefine/>
    <w:qFormat/>
    <w:uiPriority w:val="0"/>
    <w:pPr>
      <w:spacing w:before="120"/>
    </w:pPr>
    <w:rPr>
      <w:rFonts w:ascii="Cambria" w:hAnsi="Cambria"/>
      <w:szCs w:val="20"/>
    </w:rPr>
  </w:style>
  <w:style w:type="paragraph" w:styleId="7">
    <w:name w:val="Body Text 3"/>
    <w:basedOn w:val="1"/>
    <w:next w:val="1"/>
    <w:autoRedefine/>
    <w:qFormat/>
    <w:uiPriority w:val="0"/>
    <w:pPr>
      <w:spacing w:after="120"/>
    </w:pPr>
    <w:rPr>
      <w:sz w:val="16"/>
      <w:szCs w:val="16"/>
    </w:rPr>
  </w:style>
  <w:style w:type="paragraph" w:styleId="8">
    <w:name w:val="Body Text"/>
    <w:basedOn w:val="1"/>
    <w:next w:val="1"/>
    <w:autoRedefine/>
    <w:qFormat/>
    <w:uiPriority w:val="99"/>
    <w:pPr>
      <w:numPr>
        <w:ilvl w:val="0"/>
        <w:numId w:val="1"/>
      </w:numPr>
      <w:ind w:left="0" w:firstLine="0"/>
    </w:pPr>
    <w:rPr>
      <w:rFonts w:ascii="黑体" w:eastAsia="黑体"/>
      <w:sz w:val="22"/>
    </w:rPr>
  </w:style>
  <w:style w:type="paragraph" w:styleId="9">
    <w:name w:val="Body Text Indent"/>
    <w:basedOn w:val="1"/>
    <w:next w:val="1"/>
    <w:autoRedefine/>
    <w:qFormat/>
    <w:uiPriority w:val="0"/>
    <w:pPr>
      <w:spacing w:after="120"/>
      <w:ind w:left="200" w:leftChars="200"/>
    </w:pPr>
  </w:style>
  <w:style w:type="paragraph" w:styleId="10">
    <w:name w:val="Plain Text"/>
    <w:basedOn w:val="1"/>
    <w:next w:val="11"/>
    <w:autoRedefine/>
    <w:qFormat/>
    <w:uiPriority w:val="0"/>
    <w:rPr>
      <w:rFonts w:ascii="宋体"/>
      <w:szCs w:val="20"/>
      <w:u w:color="000000"/>
    </w:rPr>
  </w:style>
  <w:style w:type="paragraph" w:styleId="11">
    <w:name w:val="index 7"/>
    <w:basedOn w:val="1"/>
    <w:next w:val="1"/>
    <w:autoRedefine/>
    <w:qFormat/>
    <w:uiPriority w:val="0"/>
    <w:pPr>
      <w:ind w:left="1200" w:leftChars="1200"/>
    </w:pPr>
    <w:rPr>
      <w:color w:val="auto"/>
      <w:kern w:val="2"/>
    </w:rPr>
  </w:style>
  <w:style w:type="paragraph" w:styleId="12">
    <w:name w:val="Date"/>
    <w:basedOn w:val="1"/>
    <w:next w:val="1"/>
    <w:autoRedefine/>
    <w:qFormat/>
    <w:uiPriority w:val="0"/>
    <w:rPr>
      <w:rFonts w:ascii="Arial" w:hAnsi="Arial" w:eastAsia="仿宋_GB2312"/>
      <w:sz w:val="32"/>
      <w:szCs w:val="20"/>
      <w:u w:color="000000"/>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autoRedefine/>
    <w:unhideWhenUsed/>
    <w:qFormat/>
    <w:uiPriority w:val="99"/>
    <w:pPr>
      <w:snapToGrid w:val="0"/>
    </w:pPr>
    <w:rPr>
      <w:sz w:val="18"/>
      <w:szCs w:val="18"/>
    </w:rPr>
  </w:style>
  <w:style w:type="paragraph" w:styleId="17">
    <w:name w:val="Body Text 2"/>
    <w:basedOn w:val="1"/>
    <w:autoRedefine/>
    <w:qFormat/>
    <w:uiPriority w:val="0"/>
    <w:pPr>
      <w:tabs>
        <w:tab w:val="left" w:pos="0"/>
      </w:tabs>
      <w:spacing w:line="400" w:lineRule="atLeast"/>
    </w:pPr>
    <w:rPr>
      <w:rFonts w:ascii="Arial" w:hAnsi="Arial"/>
    </w:rPr>
  </w:style>
  <w:style w:type="paragraph" w:styleId="18">
    <w:name w:val="Normal (Web)"/>
    <w:basedOn w:val="1"/>
    <w:autoRedefine/>
    <w:qFormat/>
    <w:uiPriority w:val="99"/>
    <w:pPr>
      <w:widowControl/>
    </w:pPr>
    <w:rPr>
      <w:rFonts w:ascii="宋体" w:hAnsi="宋体" w:eastAsia="宋体" w:cs="宋体"/>
    </w:rPr>
  </w:style>
  <w:style w:type="paragraph" w:styleId="19">
    <w:name w:val="Title"/>
    <w:basedOn w:val="1"/>
    <w:autoRedefine/>
    <w:qFormat/>
    <w:uiPriority w:val="0"/>
    <w:pPr>
      <w:spacing w:before="240" w:after="60"/>
      <w:jc w:val="center"/>
      <w:outlineLvl w:val="0"/>
    </w:pPr>
    <w:rPr>
      <w:rFonts w:ascii="Cambria" w:hAnsi="Cambria"/>
      <w:b/>
      <w:bCs/>
      <w:sz w:val="32"/>
      <w:szCs w:val="32"/>
    </w:rPr>
  </w:style>
  <w:style w:type="paragraph" w:styleId="20">
    <w:name w:val="Body Text First Indent"/>
    <w:basedOn w:val="8"/>
    <w:next w:val="1"/>
    <w:autoRedefine/>
    <w:semiHidden/>
    <w:qFormat/>
    <w:uiPriority w:val="0"/>
    <w:pPr>
      <w:spacing w:line="400" w:lineRule="atLeast"/>
      <w:ind w:firstLine="426"/>
    </w:pPr>
    <w:rPr>
      <w:sz w:val="24"/>
    </w:rPr>
  </w:style>
  <w:style w:type="paragraph" w:styleId="21">
    <w:name w:val="Body Text First Indent 2"/>
    <w:basedOn w:val="9"/>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99"/>
    <w:rPr>
      <w:color w:val="0000FF"/>
      <w:u w:val="single"/>
    </w:rPr>
  </w:style>
  <w:style w:type="character" w:styleId="27">
    <w:name w:val="footnote reference"/>
    <w:basedOn w:val="24"/>
    <w:autoRedefine/>
    <w:unhideWhenUsed/>
    <w:qFormat/>
    <w:uiPriority w:val="99"/>
    <w:rPr>
      <w:vertAlign w:val="superscript"/>
    </w:rPr>
  </w:style>
  <w:style w:type="character" w:styleId="28">
    <w:name w:val="HTML Sample"/>
    <w:basedOn w:val="24"/>
    <w:autoRedefine/>
    <w:qFormat/>
    <w:uiPriority w:val="0"/>
    <w:rPr>
      <w:rFonts w:ascii="Courier New" w:hAnsi="Courier New"/>
    </w:rPr>
  </w:style>
  <w:style w:type="paragraph" w:customStyle="1" w:styleId="29">
    <w:name w:val="正文格式"/>
    <w:basedOn w:val="1"/>
    <w:autoRedefine/>
    <w:qFormat/>
    <w:uiPriority w:val="99"/>
    <w:pPr>
      <w:widowControl/>
      <w:adjustRightInd w:val="0"/>
      <w:snapToGrid w:val="0"/>
      <w:spacing w:line="400" w:lineRule="atLeast"/>
      <w:ind w:firstLine="482"/>
      <w:textAlignment w:val="baseline"/>
    </w:pPr>
  </w:style>
  <w:style w:type="paragraph" w:customStyle="1" w:styleId="30">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1">
    <w:name w:val="文档正文"/>
    <w:basedOn w:val="5"/>
    <w:autoRedefine/>
    <w:qFormat/>
    <w:uiPriority w:val="0"/>
    <w:pPr>
      <w:spacing w:line="360" w:lineRule="auto"/>
    </w:pPr>
    <w:rPr>
      <w:rFonts w:hAnsi="宋体"/>
      <w:b/>
      <w:bCs/>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4">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6">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Table caption|1"/>
    <w:basedOn w:val="1"/>
    <w:autoRedefine/>
    <w:qFormat/>
    <w:uiPriority w:val="0"/>
    <w:rPr>
      <w:rFonts w:ascii="宋体" w:hAnsi="宋体" w:eastAsia="宋体" w:cs="宋体"/>
      <w:sz w:val="22"/>
      <w:szCs w:val="22"/>
      <w:lang w:val="zh-TW" w:eastAsia="zh-TW" w:bidi="zh-TW"/>
    </w:rPr>
  </w:style>
  <w:style w:type="paragraph" w:customStyle="1" w:styleId="39">
    <w:name w:val="Table Paragraph"/>
    <w:basedOn w:val="1"/>
    <w:autoRedefine/>
    <w:qFormat/>
    <w:uiPriority w:val="1"/>
    <w:pPr>
      <w:autoSpaceDE w:val="0"/>
      <w:autoSpaceDN w:val="0"/>
      <w:adjustRightInd w:val="0"/>
    </w:pPr>
    <w:rPr>
      <w:rFonts w:eastAsia="宋体"/>
    </w:rPr>
  </w:style>
  <w:style w:type="paragraph" w:customStyle="1" w:styleId="40">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1">
    <w:name w:val="图例"/>
    <w:basedOn w:val="1"/>
    <w:autoRedefine/>
    <w:qFormat/>
    <w:uiPriority w:val="0"/>
    <w:pPr>
      <w:spacing w:before="120" w:after="120" w:line="360" w:lineRule="auto"/>
      <w:jc w:val="center"/>
    </w:pPr>
    <w:rPr>
      <w:rFonts w:eastAsia="仿宋_GB2312"/>
      <w:b/>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autoRedefine/>
    <w:qFormat/>
    <w:uiPriority w:val="0"/>
    <w:pPr>
      <w:ind w:left="525" w:hanging="525" w:hangingChars="250"/>
    </w:pPr>
    <w:rPr>
      <w:szCs w:val="20"/>
    </w:rPr>
  </w:style>
  <w:style w:type="character" w:customStyle="1" w:styleId="44">
    <w:name w:val="font11"/>
    <w:basedOn w:val="24"/>
    <w:autoRedefine/>
    <w:qFormat/>
    <w:uiPriority w:val="0"/>
    <w:rPr>
      <w:rFonts w:ascii="Calibri" w:hAnsi="Calibri" w:cs="Calibri"/>
      <w:color w:val="000000"/>
      <w:sz w:val="20"/>
      <w:szCs w:val="20"/>
      <w:u w:val="none"/>
    </w:rPr>
  </w:style>
  <w:style w:type="paragraph" w:customStyle="1" w:styleId="45">
    <w:name w:val="List Paragraph"/>
    <w:basedOn w:val="1"/>
    <w:autoRedefine/>
    <w:qFormat/>
    <w:uiPriority w:val="0"/>
    <w:pPr>
      <w:widowControl/>
      <w:ind w:firstLine="420" w:firstLineChars="200"/>
    </w:pPr>
  </w:style>
  <w:style w:type="paragraph" w:customStyle="1" w:styleId="46">
    <w:name w:val="列出段落1"/>
    <w:basedOn w:val="1"/>
    <w:autoRedefine/>
    <w:qFormat/>
    <w:uiPriority w:val="34"/>
    <w:pPr>
      <w:ind w:firstLine="420" w:firstLineChars="200"/>
    </w:pPr>
  </w:style>
  <w:style w:type="table" w:customStyle="1" w:styleId="47">
    <w:name w:val="Table Normal"/>
    <w:autoRedefine/>
    <w:unhideWhenUsed/>
    <w:qFormat/>
    <w:uiPriority w:val="0"/>
    <w:tblPr>
      <w:tblCellMar>
        <w:top w:w="0" w:type="dxa"/>
        <w:left w:w="0" w:type="dxa"/>
        <w:bottom w:w="0" w:type="dxa"/>
        <w:right w:w="0" w:type="dxa"/>
      </w:tblCellMar>
    </w:tblPr>
  </w:style>
  <w:style w:type="paragraph" w:customStyle="1" w:styleId="48">
    <w:name w:val="p15"/>
    <w:basedOn w:val="1"/>
    <w:autoRedefine/>
    <w:qFormat/>
    <w:uiPriority w:val="0"/>
    <w:rPr>
      <w:rFonts w:ascii="Arial Unicode MS" w:hAnsi="Arial Unicode MS" w:eastAsia="宋体" w:cs="宋体"/>
    </w:rPr>
  </w:style>
  <w:style w:type="paragraph" w:customStyle="1" w:styleId="49">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0">
    <w:name w:val="BodyText"/>
    <w:basedOn w:val="1"/>
    <w:next w:val="1"/>
    <w:autoRedefine/>
    <w:qFormat/>
    <w:uiPriority w:val="0"/>
    <w:pPr>
      <w:tabs>
        <w:tab w:val="left" w:pos="780"/>
      </w:tabs>
    </w:pPr>
    <w:rPr>
      <w:rFonts w:ascii="黑体" w:eastAsia="黑体"/>
      <w:sz w:val="22"/>
    </w:rPr>
  </w:style>
  <w:style w:type="character" w:customStyle="1" w:styleId="51">
    <w:name w:val="font31"/>
    <w:basedOn w:val="24"/>
    <w:autoRedefine/>
    <w:qFormat/>
    <w:uiPriority w:val="0"/>
    <w:rPr>
      <w:rFonts w:hint="eastAsia" w:ascii="宋体" w:hAnsi="宋体" w:eastAsia="宋体" w:cs="宋体"/>
      <w:color w:val="000000"/>
      <w:sz w:val="21"/>
      <w:szCs w:val="21"/>
      <w:u w:val="none"/>
    </w:rPr>
  </w:style>
  <w:style w:type="character" w:customStyle="1" w:styleId="52">
    <w:name w:val="font21"/>
    <w:basedOn w:val="24"/>
    <w:autoRedefine/>
    <w:qFormat/>
    <w:uiPriority w:val="0"/>
    <w:rPr>
      <w:rFonts w:hint="eastAsia" w:ascii="宋体" w:hAnsi="宋体" w:eastAsia="宋体" w:cs="宋体"/>
      <w:b/>
      <w:bCs/>
      <w:color w:val="000000"/>
      <w:sz w:val="21"/>
      <w:szCs w:val="21"/>
      <w:u w:val="none"/>
    </w:rPr>
  </w:style>
  <w:style w:type="paragraph" w:customStyle="1" w:styleId="53">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4">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5">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56">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207" textRotate="1"/>
    <customShpInfo spid="_x0000_s2055"/>
    <customShpInfo spid="_x0000_s2208" textRotate="1"/>
    <customShpInfo spid="_x0000_s2121"/>
    <customShpInfo spid="_x0000_s2209" textRotate="1"/>
    <customShpInfo spid="_x0000_s2054"/>
    <customShpInfo spid="_x0000_s2212" textRotate="1"/>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84</Pages>
  <Words>41635</Words>
  <Characters>44358</Characters>
  <Lines>69</Lines>
  <Paragraphs>101</Paragraphs>
  <TotalTime>14</TotalTime>
  <ScaleCrop>false</ScaleCrop>
  <LinksUpToDate>false</LinksUpToDate>
  <CharactersWithSpaces>47585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2024-04-26T03:38:00Z</cp:lastPrinted>
  <dcterms:modified xsi:type="dcterms:W3CDTF">2024-05-09T13:51:55Z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94C51C96D3E7441A86BCA96E7DAD6431</vt:lpwstr>
  </property>
</Properties>
</file>