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00840">
      <w:pPr>
        <w:pStyle w:val="4"/>
        <w:overflowPunct w:val="0"/>
        <w:spacing w:line="440" w:lineRule="exact"/>
        <w:ind w:left="0" w:leftChars="0" w:firstLine="0" w:firstLineChars="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1.1招标项目技术规格</w:t>
      </w:r>
    </w:p>
    <w:p w14:paraId="35C82FE0">
      <w:pPr>
        <w:pStyle w:val="12"/>
        <w:rPr>
          <w:color w:val="auto"/>
          <w:sz w:val="24"/>
          <w:szCs w:val="24"/>
          <w:highlight w:val="none"/>
        </w:rPr>
      </w:pPr>
    </w:p>
    <w:p w14:paraId="45D91F4D">
      <w:pPr>
        <w:pStyle w:val="4"/>
        <w:overflowPunct w:val="0"/>
        <w:spacing w:line="440" w:lineRule="exact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2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8"/>
          <w:highlight w:val="none"/>
          <w:lang w:val="en-US" w:eastAsia="zh-CN"/>
        </w:rPr>
        <w:t>克州疾病预防控制中心致病菌、新冠基因测序等监测试剂耗材采购项目（二包）（二次）-清单</w:t>
      </w:r>
    </w:p>
    <w:p w14:paraId="719464B9">
      <w:pPr>
        <w:rPr>
          <w:rFonts w:hint="eastAsia" w:ascii="仿宋" w:hAnsi="仿宋" w:eastAsia="仿宋" w:cs="仿宋"/>
          <w:b/>
          <w:bCs/>
          <w:color w:val="auto"/>
          <w:sz w:val="22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8"/>
          <w:highlight w:val="none"/>
          <w:lang w:val="en-US" w:eastAsia="zh-CN"/>
        </w:rPr>
        <w:t>附件一：</w:t>
      </w:r>
    </w:p>
    <w:p w14:paraId="10B3E683">
      <w:pPr>
        <w:jc w:val="center"/>
        <w:rPr>
          <w:rFonts w:hint="eastAsia" w:ascii="仿宋" w:hAnsi="仿宋" w:eastAsia="仿宋" w:cs="仿宋"/>
          <w:b/>
          <w:bCs/>
          <w:color w:val="auto"/>
          <w:sz w:val="22"/>
          <w:szCs w:val="28"/>
          <w:highlight w:val="none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2025年克州疾病预防控制中心试剂、耗材清单</w:t>
      </w:r>
    </w:p>
    <w:tbl>
      <w:tblPr>
        <w:tblStyle w:val="7"/>
        <w:tblW w:w="14717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872"/>
        <w:gridCol w:w="1603"/>
        <w:gridCol w:w="587"/>
        <w:gridCol w:w="577"/>
        <w:gridCol w:w="8304"/>
        <w:gridCol w:w="1178"/>
      </w:tblGrid>
      <w:tr w14:paraId="0E79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noWrap/>
            <w:vAlign w:val="center"/>
          </w:tcPr>
          <w:p w14:paraId="18E3AB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等线" w:hAnsi="等线" w:eastAsia="等线" w:cs="等线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872" w:type="dxa"/>
            <w:shd w:val="clear" w:color="auto" w:fill="FFFFFF"/>
            <w:noWrap/>
            <w:vAlign w:val="center"/>
          </w:tcPr>
          <w:p w14:paraId="2C10E1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试剂/耗材名称</w:t>
            </w:r>
          </w:p>
        </w:tc>
        <w:tc>
          <w:tcPr>
            <w:tcW w:w="1603" w:type="dxa"/>
            <w:shd w:val="clear" w:color="auto" w:fill="FFFFFF"/>
            <w:vAlign w:val="center"/>
          </w:tcPr>
          <w:p w14:paraId="13703B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0592B4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77" w:type="dxa"/>
            <w:shd w:val="clear" w:color="auto" w:fill="FFFFFF"/>
            <w:vAlign w:val="center"/>
          </w:tcPr>
          <w:p w14:paraId="368140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304" w:type="dxa"/>
            <w:shd w:val="clear" w:color="auto" w:fill="FFFFFF"/>
            <w:vAlign w:val="center"/>
          </w:tcPr>
          <w:p w14:paraId="7EBEF4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</w:tc>
        <w:tc>
          <w:tcPr>
            <w:tcW w:w="1178" w:type="dxa"/>
            <w:shd w:val="clear" w:color="auto" w:fill="FFFFFF"/>
            <w:vAlign w:val="center"/>
          </w:tcPr>
          <w:p w14:paraId="1B67BB4B">
            <w:pPr>
              <w:keepNext w:val="0"/>
              <w:keepLines w:val="0"/>
              <w:widowControl/>
              <w:suppressLineNumbers w:val="0"/>
              <w:tabs>
                <w:tab w:val="left" w:pos="5379"/>
              </w:tabs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 w14:paraId="77678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noWrap/>
            <w:vAlign w:val="center"/>
          </w:tcPr>
          <w:p w14:paraId="06961C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00CEA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改良罗氏基础培养基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36A8CC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50支/盒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 w14:paraId="0EA86D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3C8B86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28B273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由培养基、试管［Ⅰ型采用透明玻璃管或 PS（聚苯乙烯）塑胶材质；Ⅱ型采用 PC（聚碳酸酯）材质］组成。培养基的主要成分为天门冬素、柠檬酸镁、马铃薯粉、孔雀石绿、新鲜鸡蛋液。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BE831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E4A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116A4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35BD5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结核分枝杆菌药敏试剂盒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A2FDF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药敏板：96孔板*10块（1测试/板） 培养液1：10ml/支*11支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22420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5D87D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center"/>
          </w:tcPr>
          <w:p w14:paraId="0DD260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 测试/96 孔板，10 测试/盒：1 测试/96 孔板×10 块；培养液 I，10ml/支×10 支；培养液 II，1ml/支×10 支；药物 I S E R OFX MFX K CPM AK TH PAS RBU LFX PZA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3A0741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4FD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6CD69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394C9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结核分枝杆菌菌种鉴定试剂盒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1AB28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48测试/盒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B87E0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26DC5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63FD42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1.内容物：引物、探针、dNTPs、UNG酶、内控基因SUC2模板；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2.规格：48测试/盒；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3.检测试剂方法：荧光PCR熔解曲线法；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4.可检测不同分枝杆菌 ITS 片段的特异序列，适用于临床分枝杆菌感染的辅助诊断；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可检测19种分枝杆菌并鉴定至复合群或种的水平，包括：结核分枝杆菌（复合群）、耻垢分枝杆菌、牛分枝杆菌、瘰疬分枝杆菌、龟分枝杆菌、猿猴分枝杆菌、缓黄分枝杆菌、戈登分枝杆菌、堪萨斯分枝杆菌、脓肿分枝杆菌、偶然分枝杆菌、海分枝杆菌或溃疡分枝杆菌、土地分枝杆菌、不产色分枝杆菌、苏加分枝杆菌、马尔摩分枝杆菌、蟾蜍分枝杆菌、胞内分枝杆菌和鸟分枝杆菌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6.最低检出限为1000菌/mL；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*7.检测时间3小时；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8.无需额外仪器判读；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*9.稳定性：单管单人份冻干试剂，可常温运输；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10.有效期：18个月；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11.PCR扩增检测全程闭管操作，减少PCR产物污染的可能性；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*12.PCR扩增与产物分析仪器自动完成，无需PCR后处理；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13.体系中加入外源内控模板，有效防止假阴性；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8822B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65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7A16C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27B23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结核分枝杆菌复合群鉴定试剂盒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D79C7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48测试/盒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CBA21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8B4EF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33DD55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1、采用实时荧光PCR法检测结核分枝杆菌特异的IS6110基因；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2、保存有效期为18个月；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3、阴性参考品和阳性参考品符合率均为100%；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4、CV≤3%；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5、最低检出限为：10菌/ml；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6、阳性符合率≥95%，阴性符合率≥95%，总符合率≥95%；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7、PCR扩增检测全程闭管操作，减少PCR产物污染的可能性，；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8、加入UNG酶，有效防止污染，杜绝假阳性；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9、PCR扩增与产物分析仪器自动完成，无需PCR后处理；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*10体系中加入外源内控检测，有效防止假阴性；试剂无需分装，为预分装干试剂，规格型号：48测试/盒，室温运输。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503DD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63B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6EA29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334FD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结核分枝杆菌异烟肼耐药突变检测试剂盒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E1D57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48测试/盒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5A9F5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82E08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340ED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1、可检测异烟肼耐药突变位点的检测区域范围为： ahpC启动子区、inhA94密码子、inhA启动子区位点以及katG315密码子；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2、野生型检测限为 2×103 菌/mL，突变型检测限为 2×104 菌/mL；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3、可以检测不均一耐药；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4、野生型符合率：100％（参考品）；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5、突变型符合率：100％（参考品）；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6、重复性：Tm值波动范围不超过±1℃；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7、临床试验与药敏试验结果相比较，灵敏度（真阳性率）≥90%，临床特异性（真阴性率）≥96%；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*8、检测效率：在获得DNA样本后，3小时内完成检测。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9、PCR扩增检测全程闭管操作，减少PCR产物污染的可能性；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*10、PCR扩增与产物分析仪器自动完成，无需PCR后处理，仪器自动给出结果；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11、基于样本熔点值与阳性对照熔点值是否有差异来判定是否含有突变，结果直观，易于判读；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AD7A4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A3E5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7E57B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7831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结核分枝杆菌利福平耐药突变检测试剂盒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FC171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48测试/盒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1B7F4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57D64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25D9E8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1、可检测利福平耐药基因rpoB507~533之间的81bp内任意突变；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2、野生型检测限为 2×104 菌/mL，突变型检测限为 2×104 菌/mL；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3、可以检测不均一耐药；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4、野生型符合率：100％（参考品）；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5、突变型符合率：100％（参考品）；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6、重复性：Tm值波动范围不超过±1℃；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7、临床试验与药敏试验结果相比较，灵敏度（真阳性率）≥95%，临床特异性（真阴性率）≥95%；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*8、检测效率：在获得DNA样本后，3小时内完成检测；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9、PCR扩增检测全程闭管操作，减少PCR产物污染的可能性；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*10、PCR扩增与产物分析仪器自动完成，无需PCR后处理，仪器自动给出结果；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11、基于样本熔点值与阳性对照熔点值是否有差异来判定是否含有突变，结果直观，易于判读；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D917C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713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AD342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C9FF8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结核分枝杆菌提取试剂盒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D39C6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48测试/盒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098E6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4盒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7CF2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48BB88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1、用于核酸的提取、富集、纯化等步骤，可从痰液等样本中快速分离高质量的结核分枝杆菌DNA；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*2、核酸提取方法：磁珠法；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3、包装规格：48测试/盒；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4、储存条件：室温（15～30℃）；运输条件：常温运输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5、有效期：6个月；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6、样本要求：干酪痰、血痰、黏液痰等合格的痰液、灌洗液、冲洗液、结核培养菌样本等；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*7、为完全预分装模式，无需用户分装；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*8、试剂为单人份独立封装，真正实现单人份提取而不浪费。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7C25A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E818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57089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2CD72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沙门氏菌实时荧光PCR检查试剂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5C8C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52984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8F869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restart"/>
            <w:shd w:val="clear" w:color="auto" w:fill="auto"/>
            <w:vAlign w:val="top"/>
          </w:tcPr>
          <w:p w14:paraId="68C98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适用仪器：经过多通道校正的全自动荧光PCR检测仪，需含有FAM、VIC（HEX）、ROX、CY5检测通道，如ABI系列、Bio-Rad系列、上海宏石SLAN系列等，荧光实时定量核酸检测。★2、检测范围：包含考核试剂表格中的细菌病毒寄生虫等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3、检测时长：反应时长不超过90min。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4、检测条件：采用1个反应管一次性完成≥10种目标病原体鉴别检测。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5、实验操作：样本核酸加样后，检测过程一次性完成，中途无需再操作，直接出检测结果。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6、判断依据：根据各病原体在不同荧光检测通道中熔点温度不同，对样品中的病原体进行鉴别检测。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7、自动判读：配备有专用的判读辅助软件，直接报告结果的阴阳性；也可查看原始曲线，进行结果判读。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8、试剂规格：有50T/盒和25T/盒不同规格可选。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9、运输保存：冷冻条件下运输，-20±5℃保存。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10、有效期：≥12个月，到货后质保期≥10个月。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6AA6A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34C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0103A4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A2FDC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志贺氏菌实时荧光PCR检查试剂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81E14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2A5D5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5B837E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1F47B9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D407D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CA94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DBF05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4DBAA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5种致泻大肠埃希多重实时荧光PCR检查试剂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92B3B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C386D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5A326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12B460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A6748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EB8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51D1E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2AC8C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脑膜炎奈瑟菌ctrA /sodC 双重实时荧光PCR检测试剂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AEB42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46B7C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D51DD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13A165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779A4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96C4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A535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0162D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脑膜炎奈瑟菌A B C血清群三重实时荧光PCR检测试剂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9CE5C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C8BC7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443BA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7C1EAC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5C6F7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B92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788D8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441F4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脑膜炎奈瑟菌W X Y血清群三重实时荧光PCR检测试剂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CC95B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4A55A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74E90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78CB63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0B7BF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AB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AB8EC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23C21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诺如病毒核酸实时荧光PCR检测试剂盒(诺如病毒)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705ED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6F7E9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4C8BD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63B85B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D0C25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7CE2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088FA9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E4823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百日咳杆菌核酸实时荧光PCR检测试剂盒(百日咳杆菌)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BAA9C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9014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53CFC0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35285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CC6C0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0057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E6420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8989A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布鲁氏菌核酸实时荧光PCR检测试剂盒(布鲁氏菌)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9B4F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45391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D3E14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3422C2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F6EF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AFC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A219D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48094C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呼吸道合胞病毒核酸实时荧光PCR检测试剂盒(呼吸道合胞病毒）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D893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49043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AE9F3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2CB906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3C261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B08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6E93A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80993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呼吸道合胞病毒核酸实时荧光PCR检测试剂盒(肺炎支原体)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70DC6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22E5B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ECF27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top"/>
          </w:tcPr>
          <w:p w14:paraId="3F15AD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C4E58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5537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092DE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4DA19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呼吸道多病原（15+6）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8D3BA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4021F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0BB137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top"/>
          </w:tcPr>
          <w:p w14:paraId="6F03A0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适用仪器：经过多通道校正的全自动荧光PCR检测仪，需含有FAM、VIC（HEX）、ROX、CY5检测通道，如ABI系列、Bio-Rad系列、上海宏石SLAN系列等，荧光实时定量核酸检测。★2、检测范围：包含新型冠状病毒ORF1ab/N、甲型流感病毒通用型/H1N1 pdm09/H3N2、乙型流感病毒Victoria/ Yamagata、呼吸道合胞病毒A/B、腺病毒、人偏肺病毒、副流感病毒1/2/3/4、普通冠状病毒OC43 / NL63 /229E /HKU1、博卡病毒、鼻病毒、肠道病毒、肺炎支原体、A族链球菌、百日咳鲍特菌、肺炎链球菌、流感嗜血杆菌、军团菌、肺炎克雷伯菌、曲霉菌、隐球菌、鹦鹉热衣原体、肺炎衣原体等，≥33种检测靶标。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3、检测时长：反应时长不超过90min。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4、检测条件：采用1个反应管一次性完成≥10种目标病原体鉴别检测。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5、实验操作：样本核酸加样后，检测过程一次性完成，中途无需再操作，直接出检测结果。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6、判断依据：根据各病原体在不同荧光检测通道中熔点温度不同，对样品中的病原体进行鉴别检测。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7、自动判读：配备有专用的判读辅助软件，直接报告结果的阴阳性；也可查看原始曲线，进行结果判读。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8、试剂规格：有50T/盒和25T/盒不同规格可选。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9、运输保存：冷冻条件下运输，-20±5℃保存。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10、有效期：≥12个月，到货后质保期≥10个月。 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0F1780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75A9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6F184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4959C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血平板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D72B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5个/包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0C21A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4BDD9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137981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3C699C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188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596" w:type="dxa"/>
            <w:shd w:val="clear" w:color="auto" w:fill="auto"/>
            <w:vAlign w:val="center"/>
          </w:tcPr>
          <w:p w14:paraId="7103742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597E5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木糖赖氨酸脱氧胆盐（XLD）琼脂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8C3CD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14894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CCA11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487BA5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B2D61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622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D279B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40E7B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SBG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A0613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B597E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28C7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3750A9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0BFBF2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635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ED292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B7332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BHI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45E8F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78E0A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3E707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shd w:val="clear" w:color="auto" w:fill="auto"/>
            <w:vAlign w:val="bottom"/>
          </w:tcPr>
          <w:p w14:paraId="693AB25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09B85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D86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386FE4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FB1CF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革兰氏染液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92EFF4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4×250ml/盒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333F2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D26A1F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top"/>
          </w:tcPr>
          <w:p w14:paraId="0D8A48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【主要组成成分】1. 龙胆紫液 龙胆紫、乙醇。2. 碘溶液 碘、碘化钾。3. 脱色液 丙酮、乙醇。4. 沙黄溶液 品红、沙黄、乙醇。注：本产品各组分可单独使用，不同批号的各组分产品可互换使用。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938C4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4C08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596" w:type="dxa"/>
            <w:shd w:val="clear" w:color="auto" w:fill="auto"/>
            <w:vAlign w:val="center"/>
          </w:tcPr>
          <w:p w14:paraId="7FFA8B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BD4E1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VITEK2革兰氏阴性鉴定卡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B808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10个/包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958C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58D2E2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restart"/>
            <w:shd w:val="clear" w:color="auto" w:fill="auto"/>
            <w:vAlign w:val="center"/>
          </w:tcPr>
          <w:p w14:paraId="47DB54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按需供货，提供技术指导，试剂达到实验室有效期≥10个月。(能力验证考核)考核机构必须是获得CNAS颁发的能力验证提供者资质证书的第三方检测机构。</w:t>
            </w: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87B16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2A8A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D5D2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EE2F5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微生物质谱基质液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071CD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5×0.5ml/盒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1D51D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6EE5C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6AE950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4D565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A65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05334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62840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县市沙门氏菌30种天润血清鉴定试剂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E97FF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1ml*30瓶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2597E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F216F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81FE5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F9E49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005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91020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82797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县市志贺氏菌22种天润血清鉴定试剂、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7090F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1ml×26瓶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23E23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16E8D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52049F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9BE3D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B67C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D7DD4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1E0E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沙门显色培养基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363F7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1L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56F3A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D2E57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4C3526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3EEAFA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43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15E7F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110E6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志贺氏菌显色培养基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38585B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1L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3B6FB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32A4CD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673CA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0A701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DD4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059A77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4A86D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大肠杆菌O157显色培养基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4EEAD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1000ml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64494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51279A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5C0EFE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BF105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AB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98368C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4CC4D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沙门氏菌生化鉴定试剂盒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C2F44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10种*10套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FE8BB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F8EFC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D7227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B26FF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602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41192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E06D2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志贺氏菌化鉴定试剂条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7A08E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17种×10套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22507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747512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6A390D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8C0A0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2F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D92EE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87B51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致泻大肠埃希氏菌干制生化鉴定试剂盒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4B505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5种*10套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82E67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44BB1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455213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134B3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740A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C4C220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006C1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志贺氏菌标准菌株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09ED1B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399C0C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6129B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3A07F7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0F794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FE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45C51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85C53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致泻大肠埃希 菌标准菌株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5BFF9B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65FBB1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16626F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631C9C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BF298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0B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74855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7FC8F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脑膜炎 菌标准菌株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3BB920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6217D1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49F86A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8958E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F5797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9D6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CD9C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430E8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沙门标准菌株</w:t>
            </w:r>
          </w:p>
        </w:tc>
        <w:tc>
          <w:tcPr>
            <w:tcW w:w="1603" w:type="dxa"/>
            <w:shd w:val="clear" w:color="auto" w:fill="auto"/>
            <w:vAlign w:val="bottom"/>
          </w:tcPr>
          <w:p w14:paraId="085BC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CA97E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6488A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48D578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00EFB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BA9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6C453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81D5C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84泡腾片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7FC30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1000mg/瓶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6C54D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A7F18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DB067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1FF1C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27C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9597B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09FB0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紫外线测试卡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06CD8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100片/盒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16629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85405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5761B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C50AE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024F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EC619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C2664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75%酒精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764C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500ml瓶/30瓶/箱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77540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BF3A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550C6E0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BC6F5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81E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AD445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5494D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一次性外科手术衣（加厚防水独立包装）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110C9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1件/包（螺纹袖口）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14124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502ED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件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7C8BC7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98648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329D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91F07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AE7F7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一次性医用外科手套（独立包装）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8D041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7.5号/双/100双/盒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F2223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8BFD1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439D4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58000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DFF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B3529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FE99A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一次性医用外科手套（独立包装）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C4AF7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8号/双/100双/盒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15E32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A79FF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13CC2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45D054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EA09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C9B4D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3B91B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含氯消毒剂测试卡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B11E2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2CF813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55609E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031AD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148F9D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556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37C56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52017F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手消毒凝胶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7B99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500ml瓶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9514B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0B8C7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59508A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31376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C8ED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3B979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3DE31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0B918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501ml瓶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24875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0ED25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0EC81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3B73C79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16E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7562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DF7F8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防护服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1AF37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 中号各50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AB814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E730C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377968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055E6D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EBA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CD9A6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0607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靴套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0C67E9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0BC0EE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694C5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11DB05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077D6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750F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E9B26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32FEB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大肠菌群快速检测纸片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D0D5E6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883D7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13628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065962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5D8816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C0D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F9D33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0BEDE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金黄色葡萄球菌快速检测纸片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7317A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09033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73BC7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vMerge w:val="continue"/>
            <w:shd w:val="clear" w:color="auto" w:fill="auto"/>
            <w:vAlign w:val="center"/>
          </w:tcPr>
          <w:p w14:paraId="3AB1D9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D8448E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A1F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BEC67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F0D5B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沙门氏菌快速检测纸片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23305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417A0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8C1E8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0262B7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62B389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5C93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05947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96D5F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志贺氏菌快速检测纸片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2C6B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318D1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2DD2E6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5FAA1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CDE5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A49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803B7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4BBD96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蜡样芽孢杆菌快速检测纸片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BDC92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6E1A7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F8F9A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6D942E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D02D4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9AFA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067DB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35A03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致泻大肠O157快速检测纸片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0660F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EE87D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5CA20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14BEE8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28DA44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2F73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2E291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229F1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菌落总数快速检测纸片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44CCF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（24片/包）片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5062D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C572C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5EA90F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shd w:val="clear" w:color="auto" w:fill="auto"/>
            <w:noWrap/>
            <w:vAlign w:val="bottom"/>
          </w:tcPr>
          <w:p w14:paraId="77881C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220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C4D35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982DC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外包致病菌细菌测序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101C9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87" w:type="dxa"/>
            <w:shd w:val="clear" w:color="auto" w:fill="auto"/>
            <w:vAlign w:val="center"/>
          </w:tcPr>
          <w:p w14:paraId="53A8DA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6367A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珠</w:t>
            </w:r>
          </w:p>
        </w:tc>
        <w:tc>
          <w:tcPr>
            <w:tcW w:w="8304" w:type="dxa"/>
            <w:shd w:val="clear" w:color="auto" w:fill="auto"/>
            <w:vAlign w:val="top"/>
          </w:tcPr>
          <w:p w14:paraId="62474E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1.1核酸检测及文库构建：对提供的核酸进行琼脂糖凝胶电泳分析 DNA 降解程度以及是否有RNA、蛋白质污染； Qubit 3.0 对 DNA 浓度进行精确定量。对构建好的文库进行质量和产量的检测。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1.2测序策略及质控：要求使用PE150及以上高通量测序，原始数据量（碱基数）≥1.5G， Q20高质量数据量（Clean data）≥1G；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1.3质量要求：基因组覆盖度≥98%，基因区覆盖度≥99%，整体覆盖深度≥500×，碱基数据质量值Q30比例≥95%。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*1.4 组装结果：SCAFFOLD数量&lt;100个， Contig数量&lt;200个，单碱基错误率低于十万分之一。对测序结果进行数据组装，基因预测，基因注释，核心基因组分析，聚类溯源，分子流行病学特征等系统分析，均出具正式测序分析报告。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 数据处理：原始数据进行去除接头和低质量read的处理，要求进行数据产出以及数据质控。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 初级组装及评价：要求进行质控统计（GC-depth分析）、非一致序列（k-mer分析）、NT库比对（存在非一致序列）、contig 覆盖度分析，进行组装结果评价。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1.7基因预测及注释：包括NCBI NT, NR, Swissprot，蛋白家族分类COG，Kegg代谢途径注释，非编码基因rRNA、tRNA预测、重复序列预测、前噬菌体预测。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1.8 比较基因组分析：进行参考基因组同源性分析；进行核心基因组组分析，SNP分析；物种进化（系统发育树，进化选择压力）分析。 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 特定功能元件特征挖掘：要求进行毒力基因分析、耐药基因的数据挖掘、CARD、ARG抗性基因，及IS区域查找确定耐药岛和毒力岛分析，质粒查找并画图，核心基因组cgMLST分型分析，MLST分型分析, 搭建cgMLST数据库。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1.10 基因组可视化分析：针对测序样品的组装基因组序列，结合编码基因的预测和注释等结果，使用Circos软件对样品基因组进行展示，质粒分析，画质粒图。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1.11测序菌株溯源传播关系分析，根据菌株见SNP变化差异确定爆发流行株菌之间的传播关系，制作传播路线图。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1.12 增加公共数据库发布的至少100个基因组数据作为参考序列做以上所有分析。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1.13 不限次数定制生物信息分析方案和高水平文章图表的制作，不限次数修改文章图表，满足期刊发表要求，不限次数根据需求调整生物信息分析方法和参数重新分析，提供有关分析方法和所使用参数的具体文字描述。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1.14要求在接到采购人核酸样本后，七个工作日内完成测序及分析</w:t>
            </w:r>
          </w:p>
        </w:tc>
        <w:tc>
          <w:tcPr>
            <w:tcW w:w="1178" w:type="dxa"/>
            <w:shd w:val="clear" w:color="auto" w:fill="auto"/>
            <w:noWrap/>
            <w:vAlign w:val="top"/>
          </w:tcPr>
          <w:p w14:paraId="354673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2025年国家级致病菌识别网</w:t>
            </w:r>
          </w:p>
        </w:tc>
      </w:tr>
      <w:tr w14:paraId="0BBB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0E6EC6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AA7B6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锐器盒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FAEF0F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8L/个（方形推盖）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273FA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60BF81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2A5608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0FB525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2025年国家级致病菌识别网</w:t>
            </w:r>
          </w:p>
        </w:tc>
      </w:tr>
      <w:tr w14:paraId="7DE83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038AB9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67439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脑心浸出液（BHA）琼脂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EC3C1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250g/瓶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E0B27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2F03D3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瓶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1A2AFF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67CE86B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93B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DDF46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7945D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哥伦比亚血平板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CF73F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10个/包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1F3A1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06E72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33CA5D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69C727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B38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41232F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016EF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产碳青霉烯酶类肠杆菌（mSuperCARBA）显色培养基及增补剂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A47D8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8DDA3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089D7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61D767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14:paraId="46B9A5C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正常人群肠道监测</w:t>
            </w:r>
          </w:p>
        </w:tc>
      </w:tr>
      <w:tr w14:paraId="33880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B69EA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09683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大肠杆菌显色培养基（替加环素）及增补剂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0C2D20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7054A7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8AB29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28A2F88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72C25F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84B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3D4D7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589176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大肠杆菌显色培养基（环丙沙星）及增补剂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51BF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F4E85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D230C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72F03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014070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E9E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A9F78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687D89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大肠杆菌显色培养基（多粘菌素B）及增补剂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4E547F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2B09DD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1F1B54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117F478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557490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A1F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389C9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5898F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VRE抗万古霉素肠球菌显色培养基及增补剂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BEAB9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F5290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EF7E91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206989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06BE75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9A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28308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FF22F7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耐碳青霉烯类肠杆菌显色培养基及添加剂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10FC0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6DB39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15411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4E6EC7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5938157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FC4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BE0FE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FA72C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耐甲氧西林金黄色葡萄球菌（MRSA）显色培养及添加剂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50ECC1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500g瓶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5B6DEB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01119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瓶 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785D9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vAlign w:val="center"/>
          </w:tcPr>
          <w:p w14:paraId="65B4E8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05AD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39E31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872" w:type="dxa"/>
            <w:vMerge w:val="restart"/>
            <w:shd w:val="clear" w:color="auto" w:fill="auto"/>
            <w:noWrap/>
            <w:vAlign w:val="center"/>
          </w:tcPr>
          <w:p w14:paraId="35E46A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厌氧盒（C-32）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1001CF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7升/个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 w14:paraId="2AEE27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2113C2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7D93A7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43D8B8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2025年国家级致病菌识别网</w:t>
            </w:r>
          </w:p>
        </w:tc>
      </w:tr>
      <w:tr w14:paraId="5CF4B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60552B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872" w:type="dxa"/>
            <w:vMerge w:val="continue"/>
            <w:shd w:val="clear" w:color="auto" w:fill="auto"/>
            <w:noWrap/>
            <w:vAlign w:val="center"/>
          </w:tcPr>
          <w:p w14:paraId="54D1E5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A022A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3.5升/个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 w14:paraId="32BFF2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77" w:type="dxa"/>
            <w:shd w:val="clear" w:color="auto" w:fill="auto"/>
            <w:noWrap/>
            <w:vAlign w:val="center"/>
          </w:tcPr>
          <w:p w14:paraId="501213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4C3050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19CC49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BC5A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05049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91C31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厌氧包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EDEF3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00DC66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2E19D0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102A86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5A4310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1D94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264BC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60A8B9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微需氧包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36A89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75DD95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4B029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7781C5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246F72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51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D0507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BE47DE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QIAamp  RNA Mini Kit及溶菌酶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7C6C4B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1BC730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9B9B7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523969B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1AF9AA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2D6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2FAF16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21876E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QIAamp DNA  Mini Kit及溶菌酶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EF89B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50T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481A8B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5667A0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2D3747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59EF55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F525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539855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0CCA1A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一次性病毒采样管（非灭活3ml）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1128A46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20支/盒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385F4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4456F0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2640D7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2AACEB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219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0BEBC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1B1DAE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一次性无菌冻存管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3ADFC9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2ml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96968C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ADD97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58D51D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352C54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无菌，可以高速离心</w:t>
            </w:r>
          </w:p>
        </w:tc>
      </w:tr>
      <w:tr w14:paraId="759F2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12A4AE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7C40D7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一次性无菌无RNA酶离心管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2162E3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15ml无RNA酶离心管25个/包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BCA4B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CA7BBC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1FB7E8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1EA6C0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F6C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3E8334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47CC2F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一次性无菌无RNA酶细胞培养瓶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487EEA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T25c㎡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63345A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2F35E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304" w:type="dxa"/>
            <w:shd w:val="clear" w:color="auto" w:fill="auto"/>
            <w:noWrap/>
            <w:vAlign w:val="bottom"/>
          </w:tcPr>
          <w:p w14:paraId="736516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</w:tcPr>
          <w:p w14:paraId="670521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无菌 </w:t>
            </w:r>
          </w:p>
        </w:tc>
      </w:tr>
      <w:tr w14:paraId="15414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96" w:type="dxa"/>
            <w:shd w:val="clear" w:color="auto" w:fill="auto"/>
            <w:vAlign w:val="center"/>
          </w:tcPr>
          <w:p w14:paraId="718370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872" w:type="dxa"/>
            <w:shd w:val="clear" w:color="auto" w:fill="auto"/>
            <w:noWrap/>
            <w:vAlign w:val="center"/>
          </w:tcPr>
          <w:p w14:paraId="3F277D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辣椒轻斑驳检测试剂盒</w:t>
            </w:r>
          </w:p>
        </w:tc>
        <w:tc>
          <w:tcPr>
            <w:tcW w:w="1603" w:type="dxa"/>
            <w:shd w:val="clear" w:color="auto" w:fill="auto"/>
            <w:vAlign w:val="center"/>
          </w:tcPr>
          <w:p w14:paraId="6638F6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25份/盒</w:t>
            </w:r>
          </w:p>
        </w:tc>
        <w:tc>
          <w:tcPr>
            <w:tcW w:w="587" w:type="dxa"/>
            <w:shd w:val="clear" w:color="auto" w:fill="auto"/>
            <w:vAlign w:val="center"/>
          </w:tcPr>
          <w:p w14:paraId="3C68C0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3E4F2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304" w:type="dxa"/>
            <w:shd w:val="clear" w:color="auto" w:fill="auto"/>
            <w:vAlign w:val="center"/>
          </w:tcPr>
          <w:p w14:paraId="23255F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1.本试剂盒适用于定性检测从环境污水样本中提取的辣椒轻斑驳病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毒核酸。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2.病毒类试剂盒共用一套反应程序。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3.反应程序：每管反应体系≤25ul。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4.检测性能：灵敏度 5*102copies/mL，线性范围：5*102-2*1010 copies/mL，精密度：检测精密度参考品的变异系数＜5％。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*5.反应程序：50℃ (10min) 1 循环；95℃ (30S) 1 循环；（95℃ 5s、 60℃ 30s）45 循环。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6.质量控制：含有阴阳性对照，便于结果判定。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*7.包装及分装：试剂盒采用预混液包装，体系 1 管，酶混合液 1 管。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8.试剂盒规格：25T/盒</w:t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9.有效期：12 个月，到货后质保期≥10 个月。</w:t>
            </w:r>
          </w:p>
        </w:tc>
        <w:tc>
          <w:tcPr>
            <w:tcW w:w="1178" w:type="dxa"/>
            <w:vMerge w:val="continue"/>
            <w:shd w:val="clear" w:color="auto" w:fill="auto"/>
            <w:noWrap/>
            <w:vAlign w:val="center"/>
          </w:tcPr>
          <w:p w14:paraId="7A8F1D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 w14:paraId="122409D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仿宋_GB2312" w:hAnsi="方正仿宋_GB2312" w:eastAsia="方正仿宋_GB2312" w:cs="方正仿宋_GB2312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6ACDADAE">
      <w:pPr>
        <w:keepNext w:val="0"/>
        <w:keepLines w:val="0"/>
        <w:widowControl/>
        <w:suppressLineNumbers w:val="0"/>
        <w:jc w:val="both"/>
        <w:textAlignment w:val="center"/>
        <w:rPr>
          <w:rFonts w:hint="eastAsia"/>
          <w:lang w:val="en-US" w:eastAsia="zh-CN"/>
        </w:rPr>
      </w:pPr>
    </w:p>
    <w:p w14:paraId="4D2ABB0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63F45FFA">
      <w:pPr>
        <w:rPr>
          <w:rFonts w:hint="eastAsia"/>
          <w:lang w:val="en-US" w:eastAsia="zh-CN"/>
        </w:rPr>
        <w:sectPr>
          <w:footerReference r:id="rId3" w:type="default"/>
          <w:pgSz w:w="16838" w:h="11905" w:orient="landscape"/>
          <w:pgMar w:top="1440" w:right="1080" w:bottom="1440" w:left="1080" w:header="850" w:footer="992" w:gutter="0"/>
          <w:pgNumType w:fmt="decimal"/>
          <w:cols w:space="720" w:num="1"/>
          <w:rtlGutter w:val="0"/>
          <w:docGrid w:type="linesAndChars" w:linePitch="332" w:charSpace="1057"/>
        </w:sectPr>
      </w:pPr>
    </w:p>
    <w:p w14:paraId="4D8DF20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D1914">
    <w:pPr>
      <w:pStyle w:val="6"/>
      <w:tabs>
        <w:tab w:val="center" w:pos="4153"/>
        <w:tab w:val="right" w:pos="8306"/>
        <w:tab w:val="clear" w:pos="4320"/>
        <w:tab w:val="clear" w:pos="8640"/>
      </w:tabs>
      <w:ind w:right="360"/>
      <w:jc w:val="both"/>
    </w:pPr>
    <w:r>
      <w:rPr>
        <w:sz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BD1622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BD1622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13"/>
        <w:szCs w:val="13"/>
      </w:rPr>
      <w:t xml:space="preserve"> </w:t>
    </w:r>
    <w:r>
      <w:rPr>
        <w:rFonts w:hint="eastAsia"/>
      </w:rPr>
      <w:t xml:space="preserve">  </w:t>
    </w:r>
  </w:p>
  <w:p w14:paraId="7D3015BD">
    <w:pPr>
      <w:pStyle w:val="6"/>
      <w:tabs>
        <w:tab w:val="clear" w:pos="4320"/>
        <w:tab w:val="clear" w:pos="8640"/>
      </w:tabs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14498"/>
    <w:rsid w:val="0BDA25E8"/>
    <w:rsid w:val="20314498"/>
    <w:rsid w:val="2D141BCC"/>
    <w:rsid w:val="32526625"/>
    <w:rsid w:val="3DA66F7A"/>
    <w:rsid w:val="551D1AF4"/>
    <w:rsid w:val="7578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100" w:beforeLines="0" w:after="90" w:afterLines="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4"/>
    <w:link w:val="11"/>
    <w:semiHidden/>
    <w:unhideWhenUsed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宋体"/>
      <w:b/>
      <w:kern w:val="0"/>
      <w:sz w:val="30"/>
      <w:szCs w:val="20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/>
      <w:b/>
      <w:sz w:val="30"/>
      <w:szCs w:val="22"/>
      <w:lang w:eastAsia="en-US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320"/>
        <w:tab w:val="right" w:pos="8640"/>
      </w:tabs>
      <w:adjustRightInd w:val="0"/>
      <w:spacing w:line="240" w:lineRule="atLeast"/>
      <w:jc w:val="left"/>
      <w:textAlignment w:val="baseline"/>
    </w:pPr>
    <w:rPr>
      <w:rFonts w:ascii="宋体"/>
      <w:kern w:val="0"/>
      <w:sz w:val="18"/>
      <w:szCs w:val="20"/>
    </w:rPr>
  </w:style>
  <w:style w:type="paragraph" w:customStyle="1" w:styleId="9">
    <w:name w:val="Table Text"/>
    <w:basedOn w:val="1"/>
    <w:autoRedefine/>
    <w:semiHidden/>
    <w:qFormat/>
    <w:uiPriority w:val="0"/>
    <w:pPr>
      <w:kinsoku/>
      <w:wordWrap w:val="0"/>
      <w:spacing w:line="240" w:lineRule="auto"/>
      <w:ind w:left="0" w:leftChars="0" w:firstLine="896" w:firstLineChars="200"/>
      <w:jc w:val="center"/>
    </w:pPr>
    <w:rPr>
      <w:rFonts w:ascii="宋体" w:hAnsi="宋体" w:eastAsia="宋体" w:cs="宋体"/>
      <w:snapToGrid w:val="0"/>
      <w:color w:val="000000"/>
      <w:kern w:val="0"/>
      <w:sz w:val="18"/>
      <w:szCs w:val="18"/>
      <w:lang w:eastAsia="en-US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/>
      <w:b/>
      <w:kern w:val="44"/>
      <w:sz w:val="32"/>
    </w:rPr>
  </w:style>
  <w:style w:type="character" w:customStyle="1" w:styleId="11">
    <w:name w:val="标题 2 Char"/>
    <w:link w:val="3"/>
    <w:qFormat/>
    <w:uiPriority w:val="0"/>
    <w:rPr>
      <w:rFonts w:ascii="Arial" w:hAnsi="Arial" w:eastAsia="宋体"/>
      <w:b/>
      <w:sz w:val="30"/>
    </w:rPr>
  </w:style>
  <w:style w:type="paragraph" w:customStyle="1" w:styleId="12">
    <w:name w:val="正文格式"/>
    <w:basedOn w:val="1"/>
    <w:qFormat/>
    <w:uiPriority w:val="99"/>
    <w:pPr>
      <w:widowControl/>
      <w:adjustRightInd w:val="0"/>
      <w:snapToGrid w:val="0"/>
      <w:spacing w:line="400" w:lineRule="atLeast"/>
      <w:ind w:firstLine="482"/>
      <w:textAlignment w:val="baseline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2025-07-18T09:05:00Z</dcterms:created>
  <dc:creator>年少怎能不多情</dc:creator>
  <cp:lastModifiedBy>年少怎能不多情</cp:lastModifiedBy>
  <dcterms:modified xsi:type="dcterms:W3CDTF">2025-07-18T09:06:31Z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0F7B657EC41A427DACC5CB002453E2B3_11</vt:lpwstr>
  </property>
  <property fmtid="{D5CDD505-2E9C-101B-9397-08002B2CF9AE}" pid="4" name="KSOTemplateDocerSaveRecord">
    <vt:lpwstr>eyJoZGlkIjoiZjllN2QzZTA5MzNmZjNkNThhOWI2MzUzNWU5ZmEwMmUiLCJ1c2VySWQiOiIyOTU1MjA4MzIifQ==</vt:lpwstr>
  </property>
</Properties>
</file>