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rPr>
          <w:rFonts w:hint="eastAsia"/>
          <w:color w:val="auto"/>
          <w:highlight w:val="none"/>
        </w:rPr>
      </w:pPr>
      <w:bookmarkStart w:id="277" w:name="_GoBack"/>
      <w:bookmarkEnd w:id="277"/>
    </w:p>
    <w:p>
      <w:pPr>
        <w:pStyle w:val="25"/>
        <w:ind w:left="0" w:leftChars="0" w:firstLine="0" w:firstLineChars="0"/>
        <w:jc w:val="center"/>
        <w:outlineLvl w:val="0"/>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克州疾病预防控制中心离子色谱仪采</w:t>
      </w:r>
    </w:p>
    <w:p>
      <w:pPr>
        <w:pStyle w:val="25"/>
        <w:ind w:left="0" w:leftChars="0" w:firstLine="0" w:firstLineChars="0"/>
        <w:jc w:val="center"/>
        <w:outlineLvl w:val="0"/>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购项目</w:t>
      </w:r>
    </w:p>
    <w:p>
      <w:pPr>
        <w:pStyle w:val="25"/>
        <w:ind w:left="0" w:leftChars="0" w:firstLine="0" w:firstLineChars="0"/>
        <w:jc w:val="center"/>
        <w:rPr>
          <w:rFonts w:hint="eastAsia"/>
          <w:color w:val="auto"/>
          <w:sz w:val="21"/>
          <w:szCs w:val="24"/>
          <w:highlight w:val="none"/>
          <w:lang w:val="en-US" w:eastAsia="zh-CN"/>
        </w:rPr>
      </w:pPr>
      <w:r>
        <w:rPr>
          <w:rFonts w:hint="eastAsia" w:ascii="宋体" w:hAnsi="宋体" w:cs="宋体"/>
          <w:b/>
          <w:bCs/>
          <w:color w:val="auto"/>
          <w:sz w:val="44"/>
          <w:szCs w:val="44"/>
          <w:highlight w:val="none"/>
          <w:lang w:val="en-US" w:eastAsia="zh-CN"/>
        </w:rPr>
        <w:t xml:space="preserve"> </w:t>
      </w:r>
    </w:p>
    <w:p>
      <w:pPr>
        <w:pStyle w:val="53"/>
        <w:rPr>
          <w:rFonts w:hint="default"/>
          <w:color w:val="auto"/>
          <w:highlight w:val="none"/>
          <w:lang w:val="en-US" w:eastAsia="zh-CN"/>
        </w:rPr>
      </w:pPr>
    </w:p>
    <w:p>
      <w:pPr>
        <w:widowControl/>
        <w:tabs>
          <w:tab w:val="left" w:pos="6013"/>
        </w:tabs>
        <w:autoSpaceDE w:val="0"/>
        <w:autoSpaceDN w:val="0"/>
        <w:ind w:right="-26" w:firstLine="1815" w:firstLineChars="500"/>
        <w:jc w:val="both"/>
        <w:textAlignment w:val="bottom"/>
        <w:rPr>
          <w:rFonts w:hint="default" w:ascii="宋体" w:hAnsi="宋体" w:eastAsia="宋体" w:cs="宋体"/>
          <w:b/>
          <w:bCs/>
          <w:color w:val="auto"/>
          <w:kern w:val="0"/>
          <w:sz w:val="36"/>
          <w:szCs w:val="36"/>
          <w:highlight w:val="none"/>
          <w:shd w:val="clear" w:color="auto" w:fill="FFFFFF"/>
          <w:lang w:val="en-US" w:eastAsia="zh-CN"/>
        </w:rPr>
      </w:pPr>
      <w:r>
        <w:rPr>
          <w:rFonts w:hint="eastAsia" w:ascii="宋体" w:hAnsi="宋体" w:cs="宋体"/>
          <w:b/>
          <w:bCs/>
          <w:color w:val="auto"/>
          <w:kern w:val="0"/>
          <w:sz w:val="36"/>
          <w:szCs w:val="36"/>
          <w:highlight w:val="none"/>
          <w:shd w:val="clear" w:color="auto" w:fill="FFFFFF"/>
        </w:rPr>
        <w:t>项目编号：</w:t>
      </w:r>
      <w:r>
        <w:rPr>
          <w:rFonts w:hint="eastAsia" w:ascii="宋体" w:hAnsi="宋体" w:cs="宋体"/>
          <w:b/>
          <w:bCs/>
          <w:color w:val="auto"/>
          <w:kern w:val="0"/>
          <w:sz w:val="36"/>
          <w:szCs w:val="36"/>
          <w:highlight w:val="none"/>
          <w:shd w:val="clear" w:color="auto" w:fill="FFFFFF"/>
          <w:lang w:val="en-US" w:eastAsia="zh-CN"/>
        </w:rPr>
        <w:t>KZZB-2024022</w:t>
      </w:r>
    </w:p>
    <w:p>
      <w:pPr>
        <w:pStyle w:val="51"/>
        <w:rPr>
          <w:rFonts w:hint="default"/>
          <w:color w:val="auto"/>
          <w:highlight w:val="none"/>
          <w:lang w:val="en-US" w:eastAsia="zh-CN"/>
        </w:rPr>
      </w:pPr>
    </w:p>
    <w:p>
      <w:pPr>
        <w:widowControl/>
        <w:tabs>
          <w:tab w:val="left" w:pos="6013"/>
        </w:tabs>
        <w:autoSpaceDE w:val="0"/>
        <w:autoSpaceDN w:val="0"/>
        <w:ind w:right="-26"/>
        <w:jc w:val="center"/>
        <w:textAlignment w:val="bottom"/>
        <w:outlineLvl w:val="0"/>
        <w:rPr>
          <w:rFonts w:hint="eastAsia" w:ascii="宋体" w:hAnsi="宋体"/>
          <w:b/>
          <w:color w:val="auto"/>
          <w:sz w:val="84"/>
          <w:szCs w:val="84"/>
          <w:highlight w:val="none"/>
          <w:lang w:eastAsia="zh-CN"/>
        </w:rPr>
      </w:pPr>
      <w:bookmarkStart w:id="0" w:name="_Toc29998"/>
      <w:bookmarkStart w:id="1" w:name="_Toc1475"/>
      <w:r>
        <w:rPr>
          <w:rFonts w:hint="eastAsia" w:ascii="宋体" w:hAnsi="宋体"/>
          <w:b/>
          <w:color w:val="auto"/>
          <w:sz w:val="84"/>
          <w:szCs w:val="84"/>
          <w:highlight w:val="none"/>
          <w:lang w:eastAsia="zh-CN"/>
        </w:rPr>
        <w:t>招</w:t>
      </w:r>
      <w:bookmarkEnd w:id="0"/>
      <w:bookmarkEnd w:id="1"/>
    </w:p>
    <w:p>
      <w:pPr>
        <w:widowControl/>
        <w:tabs>
          <w:tab w:val="left" w:pos="6013"/>
        </w:tabs>
        <w:autoSpaceDE w:val="0"/>
        <w:autoSpaceDN w:val="0"/>
        <w:ind w:right="-26"/>
        <w:jc w:val="center"/>
        <w:textAlignment w:val="bottom"/>
        <w:outlineLvl w:val="0"/>
        <w:rPr>
          <w:rFonts w:hint="eastAsia" w:ascii="宋体" w:hAnsi="宋体" w:eastAsia="宋体"/>
          <w:b/>
          <w:color w:val="auto"/>
          <w:sz w:val="84"/>
          <w:szCs w:val="84"/>
          <w:highlight w:val="none"/>
          <w:lang w:eastAsia="zh-CN"/>
        </w:rPr>
      </w:pPr>
      <w:bookmarkStart w:id="2" w:name="_Toc4812"/>
      <w:bookmarkStart w:id="3" w:name="_Toc2126"/>
      <w:r>
        <w:rPr>
          <w:rFonts w:hint="eastAsia" w:ascii="宋体" w:hAnsi="宋体"/>
          <w:b/>
          <w:color w:val="auto"/>
          <w:sz w:val="84"/>
          <w:szCs w:val="84"/>
          <w:highlight w:val="none"/>
          <w:lang w:eastAsia="zh-CN"/>
        </w:rPr>
        <w:t>标</w:t>
      </w:r>
      <w:bookmarkEnd w:id="2"/>
      <w:bookmarkEnd w:id="3"/>
    </w:p>
    <w:p>
      <w:pPr>
        <w:widowControl/>
        <w:tabs>
          <w:tab w:val="left" w:pos="4502"/>
          <w:tab w:val="center" w:pos="4832"/>
        </w:tabs>
        <w:autoSpaceDE w:val="0"/>
        <w:autoSpaceDN w:val="0"/>
        <w:ind w:right="-26"/>
        <w:jc w:val="center"/>
        <w:textAlignment w:val="bottom"/>
        <w:outlineLvl w:val="0"/>
        <w:rPr>
          <w:rFonts w:hint="eastAsia" w:ascii="宋体" w:hAnsi="宋体"/>
          <w:b/>
          <w:color w:val="auto"/>
          <w:sz w:val="84"/>
          <w:szCs w:val="84"/>
          <w:highlight w:val="none"/>
        </w:rPr>
      </w:pPr>
      <w:bookmarkStart w:id="4" w:name="_Toc25891"/>
      <w:bookmarkStart w:id="5" w:name="_Toc903"/>
      <w:r>
        <w:rPr>
          <w:rFonts w:hint="eastAsia" w:ascii="宋体" w:hAnsi="宋体"/>
          <w:b/>
          <w:color w:val="auto"/>
          <w:sz w:val="84"/>
          <w:szCs w:val="84"/>
          <w:highlight w:val="none"/>
        </w:rPr>
        <w:t>文</w:t>
      </w:r>
      <w:bookmarkEnd w:id="4"/>
      <w:bookmarkEnd w:id="5"/>
    </w:p>
    <w:p>
      <w:pPr>
        <w:widowControl/>
        <w:autoSpaceDE w:val="0"/>
        <w:autoSpaceDN w:val="0"/>
        <w:ind w:right="-26"/>
        <w:jc w:val="center"/>
        <w:textAlignment w:val="bottom"/>
        <w:outlineLvl w:val="0"/>
        <w:rPr>
          <w:rFonts w:hint="eastAsia" w:ascii="宋体" w:hAnsi="宋体"/>
          <w:b/>
          <w:color w:val="auto"/>
          <w:sz w:val="52"/>
          <w:szCs w:val="52"/>
          <w:highlight w:val="none"/>
        </w:rPr>
      </w:pPr>
      <w:bookmarkStart w:id="6" w:name="_Toc12164"/>
      <w:bookmarkStart w:id="7" w:name="_Toc23544"/>
      <w:r>
        <w:rPr>
          <w:rFonts w:hint="eastAsia" w:ascii="宋体" w:hAnsi="宋体"/>
          <w:b/>
          <w:color w:val="auto"/>
          <w:sz w:val="84"/>
          <w:szCs w:val="84"/>
          <w:highlight w:val="none"/>
        </w:rPr>
        <w:t>件</w:t>
      </w:r>
      <w:bookmarkEnd w:id="6"/>
      <w:bookmarkEnd w:id="7"/>
    </w:p>
    <w:p>
      <w:pPr>
        <w:pStyle w:val="49"/>
        <w:rPr>
          <w:rFonts w:hint="eastAsia"/>
          <w:color w:val="auto"/>
          <w:highlight w:val="none"/>
        </w:rPr>
      </w:pPr>
    </w:p>
    <w:p>
      <w:pPr>
        <w:pStyle w:val="49"/>
        <w:rPr>
          <w:rFonts w:hint="eastAsia"/>
          <w:color w:val="auto"/>
          <w:highlight w:val="none"/>
        </w:rPr>
      </w:pPr>
    </w:p>
    <w:p>
      <w:pPr>
        <w:pStyle w:val="49"/>
        <w:rPr>
          <w:rFonts w:hint="eastAsia"/>
          <w:color w:val="auto"/>
          <w:highlight w:val="none"/>
        </w:rPr>
      </w:pPr>
    </w:p>
    <w:p>
      <w:pPr>
        <w:keepNext w:val="0"/>
        <w:keepLines w:val="0"/>
        <w:pageBreakBefore w:val="0"/>
        <w:widowControl/>
        <w:kinsoku/>
        <w:wordWrap/>
        <w:overflowPunct/>
        <w:topLinePunct w:val="0"/>
        <w:autoSpaceDE w:val="0"/>
        <w:autoSpaceDN w:val="0"/>
        <w:bidi w:val="0"/>
        <w:adjustRightInd/>
        <w:snapToGrid/>
        <w:spacing w:line="740" w:lineRule="exact"/>
        <w:ind w:right="-26" w:firstLine="632" w:firstLineChars="196"/>
        <w:textAlignment w:val="bottom"/>
        <w:outlineLvl w:val="0"/>
        <w:rPr>
          <w:rFonts w:hint="eastAsia" w:ascii="宋体" w:hAnsi="宋体"/>
          <w:b/>
          <w:color w:val="auto"/>
          <w:sz w:val="32"/>
          <w:szCs w:val="32"/>
          <w:highlight w:val="none"/>
          <w:lang w:val="en-US" w:eastAsia="zh-CN"/>
        </w:rPr>
      </w:pPr>
      <w:bookmarkStart w:id="8" w:name="_Toc8177"/>
      <w:bookmarkStart w:id="9" w:name="_Toc8103"/>
      <w:r>
        <w:rPr>
          <w:rFonts w:hint="eastAsia" w:ascii="宋体" w:hAnsi="宋体"/>
          <w:b/>
          <w:color w:val="auto"/>
          <w:sz w:val="32"/>
          <w:szCs w:val="32"/>
          <w:highlight w:val="none"/>
          <w:lang w:val="en-US" w:eastAsia="zh-CN"/>
        </w:rPr>
        <w:t>采 购 人：克孜勒苏柯尔克孜自治州疾病预防控制中心</w:t>
      </w:r>
      <w:bookmarkEnd w:id="8"/>
      <w:bookmarkEnd w:id="9"/>
    </w:p>
    <w:p>
      <w:pPr>
        <w:keepNext w:val="0"/>
        <w:keepLines w:val="0"/>
        <w:pageBreakBefore w:val="0"/>
        <w:widowControl/>
        <w:kinsoku/>
        <w:wordWrap/>
        <w:overflowPunct/>
        <w:topLinePunct w:val="0"/>
        <w:autoSpaceDE w:val="0"/>
        <w:autoSpaceDN w:val="0"/>
        <w:bidi w:val="0"/>
        <w:adjustRightInd/>
        <w:snapToGrid/>
        <w:spacing w:line="740" w:lineRule="exact"/>
        <w:ind w:right="-26" w:firstLine="632" w:firstLineChars="196"/>
        <w:textAlignment w:val="bottom"/>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联 系 人：赵女士     电  话：0908-4239517</w:t>
      </w:r>
    </w:p>
    <w:p>
      <w:pPr>
        <w:keepNext w:val="0"/>
        <w:keepLines w:val="0"/>
        <w:pageBreakBefore w:val="0"/>
        <w:widowControl/>
        <w:kinsoku/>
        <w:wordWrap/>
        <w:overflowPunct/>
        <w:topLinePunct w:val="0"/>
        <w:autoSpaceDE w:val="0"/>
        <w:autoSpaceDN w:val="0"/>
        <w:bidi w:val="0"/>
        <w:adjustRightInd/>
        <w:snapToGrid/>
        <w:spacing w:line="740" w:lineRule="exact"/>
        <w:ind w:right="-26" w:firstLine="632" w:firstLineChars="196"/>
        <w:textAlignment w:val="bottom"/>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代理机构：新疆泽远工程项目管理有限公司</w:t>
      </w:r>
    </w:p>
    <w:p>
      <w:pPr>
        <w:keepNext w:val="0"/>
        <w:keepLines w:val="0"/>
        <w:pageBreakBefore w:val="0"/>
        <w:widowControl/>
        <w:kinsoku/>
        <w:wordWrap/>
        <w:overflowPunct/>
        <w:topLinePunct w:val="0"/>
        <w:autoSpaceDE w:val="0"/>
        <w:autoSpaceDN w:val="0"/>
        <w:bidi w:val="0"/>
        <w:adjustRightInd/>
        <w:snapToGrid/>
        <w:spacing w:line="740" w:lineRule="exact"/>
        <w:ind w:right="-28" w:firstLine="632" w:firstLineChars="196"/>
        <w:textAlignment w:val="bottom"/>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联</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系</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人：</w:t>
      </w:r>
      <w:r>
        <w:rPr>
          <w:rFonts w:hint="eastAsia" w:ascii="宋体" w:hAnsi="宋体"/>
          <w:b/>
          <w:color w:val="auto"/>
          <w:sz w:val="32"/>
          <w:szCs w:val="32"/>
          <w:highlight w:val="none"/>
          <w:lang w:val="en-US" w:eastAsia="zh-CN"/>
        </w:rPr>
        <w:t xml:space="preserve">张女士     </w:t>
      </w:r>
      <w:r>
        <w:rPr>
          <w:rFonts w:hint="eastAsia" w:ascii="宋体" w:hAnsi="宋体"/>
          <w:b/>
          <w:color w:val="auto"/>
          <w:sz w:val="32"/>
          <w:szCs w:val="32"/>
          <w:highlight w:val="none"/>
          <w:lang w:eastAsia="zh-CN"/>
        </w:rPr>
        <w:t xml:space="preserve">联系电话: </w:t>
      </w:r>
      <w:r>
        <w:rPr>
          <w:rFonts w:hint="eastAsia" w:ascii="宋体" w:hAnsi="宋体"/>
          <w:b/>
          <w:color w:val="auto"/>
          <w:sz w:val="32"/>
          <w:szCs w:val="32"/>
          <w:highlight w:val="none"/>
          <w:lang w:val="en-US" w:eastAsia="zh-CN"/>
        </w:rPr>
        <w:t>13179869852</w:t>
      </w:r>
      <w:r>
        <w:rPr>
          <w:rFonts w:hint="eastAsia" w:ascii="宋体" w:hAnsi="宋体"/>
          <w:b/>
          <w:color w:val="auto"/>
          <w:sz w:val="32"/>
          <w:szCs w:val="32"/>
          <w:highlight w:val="none"/>
          <w:lang w:eastAsia="zh-CN"/>
        </w:rPr>
        <w:t xml:space="preserve">  </w:t>
      </w:r>
    </w:p>
    <w:p>
      <w:pPr>
        <w:pStyle w:val="2"/>
        <w:rPr>
          <w:rFonts w:hint="eastAsia"/>
          <w:color w:val="auto"/>
          <w:highlight w:val="none"/>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b/>
          <w:color w:val="auto"/>
          <w:sz w:val="36"/>
          <w:highlight w:val="none"/>
        </w:rPr>
        <w:sectPr>
          <w:headerReference r:id="rId3" w:type="default"/>
          <w:footerReference r:id="rId4" w:type="default"/>
          <w:pgSz w:w="11905" w:h="16838"/>
          <w:pgMar w:top="1440" w:right="1797" w:bottom="1440" w:left="1797" w:header="850" w:footer="992" w:gutter="0"/>
          <w:pgNumType w:fmt="decimal"/>
          <w:cols w:space="720" w:num="1"/>
          <w:rtlGutter w:val="0"/>
          <w:docGrid w:type="linesAndChars" w:linePitch="325" w:charSpace="635"/>
        </w:sectPr>
      </w:pPr>
      <w:bookmarkStart w:id="10" w:name="_Hlt10462525"/>
      <w:bookmarkEnd w:id="10"/>
      <w:bookmarkStart w:id="11" w:name="_Hlt42956360"/>
      <w:bookmarkEnd w:id="11"/>
      <w:bookmarkStart w:id="12" w:name="_Hlt42956379"/>
      <w:bookmarkEnd w:id="12"/>
      <w:bookmarkStart w:id="13" w:name="_Hlt10524010"/>
      <w:bookmarkEnd w:id="13"/>
      <w:bookmarkStart w:id="14" w:name="_Hlt10524018"/>
      <w:bookmarkEnd w:id="14"/>
      <w:bookmarkStart w:id="15" w:name="_Hlt10567911"/>
      <w:bookmarkEnd w:id="15"/>
      <w:bookmarkStart w:id="16" w:name="_Hlt10524029"/>
      <w:bookmarkEnd w:id="16"/>
      <w:bookmarkStart w:id="17" w:name="_Hlt10523642"/>
      <w:bookmarkEnd w:id="17"/>
      <w:bookmarkStart w:id="18" w:name="_Hlt10519329"/>
      <w:bookmarkEnd w:id="18"/>
      <w:bookmarkStart w:id="19" w:name="_Hlt10529670"/>
      <w:bookmarkEnd w:id="19"/>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1"/>
          <w:szCs w:val="24"/>
          <w:highlight w:val="none"/>
          <w:lang w:val="en-US" w:eastAsia="zh-CN" w:bidi="ar-SA"/>
        </w:rPr>
      </w:pPr>
      <w:r>
        <w:rPr>
          <w:rFonts w:hint="eastAsia"/>
          <w:b/>
          <w:color w:val="auto"/>
          <w:sz w:val="36"/>
          <w:highlight w:val="none"/>
        </w:rPr>
        <w:t>目  录</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p>
    <w:p>
      <w:pPr>
        <w:pStyle w:val="18"/>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_Toc11138 </w:instrText>
      </w:r>
      <w:r>
        <w:rPr>
          <w:rFonts w:hint="eastAsia" w:ascii="宋体" w:hAnsi="宋体" w:cs="宋体"/>
          <w:highlight w:val="none"/>
        </w:rPr>
        <w:fldChar w:fldCharType="separate"/>
      </w:r>
      <w:r>
        <w:rPr>
          <w:rFonts w:ascii="宋体" w:hAnsi="宋体" w:cs="宋体"/>
          <w:bCs/>
          <w:kern w:val="36"/>
          <w:szCs w:val="36"/>
          <w:highlight w:val="none"/>
        </w:rPr>
        <w:t>第一</w:t>
      </w:r>
      <w:r>
        <w:rPr>
          <w:rFonts w:hint="eastAsia" w:ascii="宋体" w:hAnsi="宋体" w:cs="宋体"/>
          <w:bCs/>
          <w:kern w:val="36"/>
          <w:szCs w:val="36"/>
          <w:highlight w:val="none"/>
          <w:lang w:eastAsia="zh-CN"/>
        </w:rPr>
        <w:t>章</w:t>
      </w:r>
      <w:r>
        <w:rPr>
          <w:rFonts w:ascii="宋体" w:hAnsi="宋体" w:cs="宋体"/>
          <w:bCs/>
          <w:kern w:val="36"/>
          <w:szCs w:val="36"/>
          <w:highlight w:val="none"/>
        </w:rPr>
        <w:t xml:space="preserve"> 招标公告</w:t>
      </w:r>
      <w:r>
        <w:tab/>
      </w:r>
      <w:r>
        <w:fldChar w:fldCharType="begin"/>
      </w:r>
      <w:r>
        <w:instrText xml:space="preserve"> PAGEREF _Toc11138 \h </w:instrText>
      </w:r>
      <w:r>
        <w:fldChar w:fldCharType="separate"/>
      </w:r>
      <w:r>
        <w:t>4</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_Toc21737 </w:instrText>
      </w:r>
      <w:r>
        <w:rPr>
          <w:rFonts w:hint="eastAsia" w:ascii="宋体" w:hAnsi="宋体" w:cs="宋体"/>
          <w:highlight w:val="none"/>
        </w:rPr>
        <w:fldChar w:fldCharType="separate"/>
      </w:r>
      <w:r>
        <w:rPr>
          <w:rFonts w:hint="eastAsia" w:ascii="新宋体" w:hAnsi="新宋体" w:eastAsia="新宋体" w:cs="新宋体"/>
          <w:bCs/>
          <w:kern w:val="0"/>
          <w:szCs w:val="40"/>
          <w:highlight w:val="none"/>
          <w:lang w:val="en-US" w:eastAsia="zh-CN" w:bidi="ar"/>
        </w:rPr>
        <w:t>克州疾病预防控制中心离子色谱仪采购项目公开招标公告</w:t>
      </w:r>
      <w:r>
        <w:tab/>
      </w:r>
      <w:r>
        <w:fldChar w:fldCharType="begin"/>
      </w:r>
      <w:r>
        <w:instrText xml:space="preserve"> PAGEREF _Toc21737 \h </w:instrText>
      </w:r>
      <w:r>
        <w:fldChar w:fldCharType="separate"/>
      </w:r>
      <w:r>
        <w:t>4</w:t>
      </w:r>
      <w:r>
        <w:fldChar w:fldCharType="end"/>
      </w:r>
      <w:r>
        <w:rPr>
          <w:rFonts w:hint="eastAsia" w:ascii="宋体" w:hAnsi="宋体" w:cs="宋体"/>
          <w:color w:val="auto"/>
          <w:highlight w:val="none"/>
        </w:rPr>
        <w:fldChar w:fldCharType="end"/>
      </w:r>
    </w:p>
    <w:p>
      <w:pPr>
        <w:pStyle w:val="18"/>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_Toc31281 </w:instrText>
      </w:r>
      <w:r>
        <w:rPr>
          <w:rFonts w:hint="eastAsia" w:ascii="宋体" w:hAnsi="宋体" w:cs="宋体"/>
          <w:highlight w:val="none"/>
        </w:rPr>
        <w:fldChar w:fldCharType="separate"/>
      </w:r>
      <w:r>
        <w:rPr>
          <w:rFonts w:hint="eastAsia" w:ascii="宋体" w:hAnsi="宋体" w:eastAsia="宋体" w:cs="宋体"/>
          <w:bCs/>
          <w:kern w:val="36"/>
          <w:szCs w:val="36"/>
          <w:highlight w:val="none"/>
          <w:lang w:val="en-US" w:eastAsia="zh-CN"/>
        </w:rPr>
        <w:t xml:space="preserve">第二章 </w:t>
      </w:r>
      <w:r>
        <w:rPr>
          <w:rFonts w:hint="eastAsia" w:ascii="宋体" w:hAnsi="宋体" w:eastAsia="宋体" w:cs="宋体"/>
          <w:bCs/>
          <w:kern w:val="36"/>
          <w:szCs w:val="36"/>
          <w:highlight w:val="none"/>
        </w:rPr>
        <w:t>投标人须知</w:t>
      </w:r>
      <w:r>
        <w:tab/>
      </w:r>
      <w:r>
        <w:fldChar w:fldCharType="begin"/>
      </w:r>
      <w:r>
        <w:instrText xml:space="preserve"> PAGEREF _Toc31281 \h </w:instrText>
      </w:r>
      <w:r>
        <w:fldChar w:fldCharType="separate"/>
      </w:r>
      <w:r>
        <w:t>7</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_Toc20957 </w:instrText>
      </w:r>
      <w:r>
        <w:rPr>
          <w:rFonts w:hint="eastAsia" w:ascii="宋体" w:hAnsi="宋体" w:cs="宋体"/>
          <w:highlight w:val="none"/>
        </w:rPr>
        <w:fldChar w:fldCharType="separate"/>
      </w:r>
      <w:r>
        <w:rPr>
          <w:rFonts w:hint="eastAsia"/>
        </w:rPr>
        <w:t xml:space="preserve">一、 </w:t>
      </w:r>
      <w:r>
        <w:rPr>
          <w:rFonts w:hint="eastAsia" w:ascii="宋体"/>
          <w:szCs w:val="28"/>
          <w:highlight w:val="none"/>
        </w:rPr>
        <w:t>投标人须知前附表</w:t>
      </w:r>
      <w:r>
        <w:tab/>
      </w:r>
      <w:r>
        <w:fldChar w:fldCharType="begin"/>
      </w:r>
      <w:r>
        <w:instrText xml:space="preserve"> PAGEREF _Toc20957 \h </w:instrText>
      </w:r>
      <w:r>
        <w:fldChar w:fldCharType="separate"/>
      </w:r>
      <w:r>
        <w:t>7</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_Toc25552 </w:instrText>
      </w:r>
      <w:r>
        <w:rPr>
          <w:rFonts w:hint="eastAsia" w:ascii="宋体" w:hAnsi="宋体" w:cs="宋体"/>
          <w:highlight w:val="none"/>
        </w:rPr>
        <w:fldChar w:fldCharType="separate"/>
      </w:r>
      <w:r>
        <w:rPr>
          <w:rFonts w:hint="eastAsia" w:ascii="宋体"/>
          <w:szCs w:val="28"/>
          <w:highlight w:val="none"/>
        </w:rPr>
        <w:t>二、投标人须知</w:t>
      </w:r>
      <w:r>
        <w:tab/>
      </w:r>
      <w:r>
        <w:fldChar w:fldCharType="begin"/>
      </w:r>
      <w:r>
        <w:instrText xml:space="preserve"> PAGEREF _Toc25552 \h </w:instrText>
      </w:r>
      <w:r>
        <w:fldChar w:fldCharType="separate"/>
      </w:r>
      <w:r>
        <w:t>12</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_Toc7806 </w:instrText>
      </w:r>
      <w:r>
        <w:rPr>
          <w:rFonts w:hint="eastAsia" w:ascii="宋体" w:hAnsi="宋体" w:cs="宋体"/>
          <w:highlight w:val="none"/>
        </w:rPr>
        <w:fldChar w:fldCharType="separate"/>
      </w:r>
      <w:r>
        <w:rPr>
          <w:rFonts w:hint="eastAsia" w:ascii="宋体"/>
          <w:szCs w:val="28"/>
          <w:highlight w:val="none"/>
        </w:rPr>
        <w:t>（一）</w:t>
      </w:r>
      <w:r>
        <w:rPr>
          <w:rFonts w:hint="eastAsia" w:ascii="宋体"/>
          <w:szCs w:val="32"/>
          <w:highlight w:val="none"/>
        </w:rPr>
        <w:t>总  则</w:t>
      </w:r>
      <w:r>
        <w:tab/>
      </w:r>
      <w:r>
        <w:fldChar w:fldCharType="begin"/>
      </w:r>
      <w:r>
        <w:instrText xml:space="preserve"> PAGEREF _Toc7806 \h </w:instrText>
      </w:r>
      <w:r>
        <w:fldChar w:fldCharType="separate"/>
      </w:r>
      <w:r>
        <w:t>12</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_Toc10894 </w:instrText>
      </w:r>
      <w:r>
        <w:rPr>
          <w:rFonts w:hint="eastAsia" w:ascii="宋体" w:hAnsi="宋体" w:cs="宋体"/>
          <w:highlight w:val="none"/>
        </w:rPr>
        <w:fldChar w:fldCharType="separate"/>
      </w:r>
      <w:r>
        <w:rPr>
          <w:rFonts w:hint="eastAsia" w:ascii="宋体"/>
          <w:szCs w:val="28"/>
          <w:highlight w:val="none"/>
        </w:rPr>
        <w:t>（二）</w:t>
      </w:r>
      <w:r>
        <w:rPr>
          <w:rFonts w:hint="eastAsia" w:ascii="宋体"/>
          <w:szCs w:val="28"/>
          <w:highlight w:val="none"/>
          <w:lang w:eastAsia="zh-CN"/>
        </w:rPr>
        <w:t>招标文件</w:t>
      </w:r>
      <w:r>
        <w:tab/>
      </w:r>
      <w:r>
        <w:fldChar w:fldCharType="begin"/>
      </w:r>
      <w:r>
        <w:instrText xml:space="preserve"> PAGEREF _Toc10894 \h </w:instrText>
      </w:r>
      <w:r>
        <w:fldChar w:fldCharType="separate"/>
      </w:r>
      <w:r>
        <w:t>14</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_Toc26884 </w:instrText>
      </w:r>
      <w:r>
        <w:rPr>
          <w:rFonts w:hint="eastAsia" w:ascii="宋体" w:hAnsi="宋体" w:cs="宋体"/>
          <w:highlight w:val="none"/>
        </w:rPr>
        <w:fldChar w:fldCharType="separate"/>
      </w:r>
      <w:r>
        <w:rPr>
          <w:rFonts w:hint="eastAsia" w:ascii="宋体"/>
          <w:szCs w:val="28"/>
          <w:highlight w:val="none"/>
        </w:rPr>
        <w:t>（三）投标文件的编制</w:t>
      </w:r>
      <w:r>
        <w:tab/>
      </w:r>
      <w:r>
        <w:fldChar w:fldCharType="begin"/>
      </w:r>
      <w:r>
        <w:instrText xml:space="preserve"> PAGEREF _Toc26884 \h </w:instrText>
      </w:r>
      <w:r>
        <w:fldChar w:fldCharType="separate"/>
      </w:r>
      <w:r>
        <w:t>16</w:t>
      </w:r>
      <w:r>
        <w:fldChar w:fldCharType="end"/>
      </w:r>
      <w:r>
        <w:rPr>
          <w:rFonts w:hint="eastAsia" w:ascii="宋体" w:hAnsi="宋体" w:cs="宋体"/>
          <w:color w:val="auto"/>
          <w:highlight w:val="none"/>
        </w:rPr>
        <w:fldChar w:fldCharType="end"/>
      </w:r>
    </w:p>
    <w:p>
      <w:pPr>
        <w:pStyle w:val="18"/>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_Toc225 </w:instrText>
      </w:r>
      <w:r>
        <w:rPr>
          <w:rFonts w:hint="eastAsia" w:ascii="宋体" w:hAnsi="宋体" w:cs="宋体"/>
          <w:highlight w:val="none"/>
        </w:rPr>
        <w:fldChar w:fldCharType="separate"/>
      </w:r>
      <w:r>
        <w:rPr>
          <w:rFonts w:hint="eastAsia"/>
          <w:szCs w:val="28"/>
          <w:highlight w:val="none"/>
        </w:rPr>
        <w:t>（四）投标文件的制作、上传及递交要求</w:t>
      </w:r>
      <w:r>
        <w:tab/>
      </w:r>
      <w:r>
        <w:fldChar w:fldCharType="begin"/>
      </w:r>
      <w:r>
        <w:instrText xml:space="preserve"> PAGEREF _Toc225 \h </w:instrText>
      </w:r>
      <w:r>
        <w:fldChar w:fldCharType="separate"/>
      </w:r>
      <w:r>
        <w:t>19</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_Toc3577 </w:instrText>
      </w:r>
      <w:r>
        <w:rPr>
          <w:rFonts w:hint="eastAsia" w:ascii="宋体" w:hAnsi="宋体" w:cs="宋体"/>
          <w:highlight w:val="none"/>
        </w:rPr>
        <w:fldChar w:fldCharType="separate"/>
      </w:r>
      <w:r>
        <w:rPr>
          <w:rFonts w:hint="eastAsia" w:ascii="黑体" w:eastAsia="黑体"/>
          <w:szCs w:val="28"/>
          <w:highlight w:val="none"/>
        </w:rPr>
        <w:t>（五）开 标、评标和定标</w:t>
      </w:r>
      <w:r>
        <w:tab/>
      </w:r>
      <w:r>
        <w:fldChar w:fldCharType="begin"/>
      </w:r>
      <w:r>
        <w:instrText xml:space="preserve"> PAGEREF _Toc3577 \h </w:instrText>
      </w:r>
      <w:r>
        <w:fldChar w:fldCharType="separate"/>
      </w:r>
      <w:r>
        <w:t>20</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_Toc15705 </w:instrText>
      </w:r>
      <w:r>
        <w:rPr>
          <w:rFonts w:hint="eastAsia" w:ascii="宋体" w:hAnsi="宋体" w:cs="宋体"/>
          <w:highlight w:val="none"/>
        </w:rPr>
        <w:fldChar w:fldCharType="separate"/>
      </w:r>
      <w:r>
        <w:rPr>
          <w:rFonts w:hint="eastAsia" w:ascii="黑体" w:eastAsia="黑体"/>
          <w:szCs w:val="28"/>
          <w:highlight w:val="none"/>
        </w:rPr>
        <w:t>（六）合同的授予</w:t>
      </w:r>
      <w:r>
        <w:tab/>
      </w:r>
      <w:r>
        <w:fldChar w:fldCharType="begin"/>
      </w:r>
      <w:r>
        <w:instrText xml:space="preserve"> PAGEREF _Toc15705 \h </w:instrText>
      </w:r>
      <w:r>
        <w:fldChar w:fldCharType="separate"/>
      </w:r>
      <w:r>
        <w:t>26</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_Toc27952 </w:instrText>
      </w:r>
      <w:r>
        <w:rPr>
          <w:rFonts w:hint="eastAsia" w:ascii="宋体" w:hAnsi="宋体" w:cs="宋体"/>
          <w:highlight w:val="none"/>
        </w:rPr>
        <w:fldChar w:fldCharType="separate"/>
      </w:r>
      <w:r>
        <w:rPr>
          <w:rFonts w:hint="eastAsia" w:ascii="黑体" w:eastAsia="黑体"/>
          <w:szCs w:val="28"/>
          <w:highlight w:val="none"/>
        </w:rPr>
        <w:t>（七）纪律和监督</w:t>
      </w:r>
      <w:r>
        <w:tab/>
      </w:r>
      <w:r>
        <w:fldChar w:fldCharType="begin"/>
      </w:r>
      <w:r>
        <w:instrText xml:space="preserve"> PAGEREF _Toc27952 \h </w:instrText>
      </w:r>
      <w:r>
        <w:fldChar w:fldCharType="separate"/>
      </w:r>
      <w:r>
        <w:t>27</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_Toc7666 </w:instrText>
      </w:r>
      <w:r>
        <w:rPr>
          <w:rFonts w:hint="eastAsia" w:ascii="宋体" w:hAnsi="宋体" w:cs="宋体"/>
          <w:highlight w:val="none"/>
        </w:rPr>
        <w:fldChar w:fldCharType="separate"/>
      </w:r>
      <w:r>
        <w:rPr>
          <w:rFonts w:hint="eastAsia" w:ascii="黑体" w:eastAsia="黑体"/>
          <w:szCs w:val="28"/>
          <w:highlight w:val="none"/>
        </w:rPr>
        <w:t>（八）</w:t>
      </w:r>
      <w:r>
        <w:rPr>
          <w:rFonts w:hint="eastAsia" w:ascii="黑体" w:hAnsi="宋体" w:eastAsia="黑体"/>
          <w:szCs w:val="28"/>
          <w:highlight w:val="none"/>
        </w:rPr>
        <w:t>质疑与投诉</w:t>
      </w:r>
      <w:r>
        <w:tab/>
      </w:r>
      <w:r>
        <w:fldChar w:fldCharType="begin"/>
      </w:r>
      <w:r>
        <w:instrText xml:space="preserve"> PAGEREF _Toc7666 \h </w:instrText>
      </w:r>
      <w:r>
        <w:fldChar w:fldCharType="separate"/>
      </w:r>
      <w:r>
        <w:t>27</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_Toc7245 </w:instrText>
      </w:r>
      <w:r>
        <w:rPr>
          <w:rFonts w:hint="eastAsia" w:ascii="宋体" w:hAnsi="宋体" w:cs="宋体"/>
          <w:highlight w:val="none"/>
        </w:rPr>
        <w:fldChar w:fldCharType="separate"/>
      </w:r>
      <w:r>
        <w:rPr>
          <w:rFonts w:hint="eastAsia" w:ascii="宋体" w:hAnsi="宋体" w:eastAsia="宋体" w:cs="宋体"/>
          <w:bCs/>
          <w:szCs w:val="32"/>
          <w:highlight w:val="none"/>
        </w:rPr>
        <w:t>投诉相关说明</w:t>
      </w:r>
      <w:r>
        <w:tab/>
      </w:r>
      <w:r>
        <w:fldChar w:fldCharType="begin"/>
      </w:r>
      <w:r>
        <w:instrText xml:space="preserve"> PAGEREF _Toc7245 \h </w:instrText>
      </w:r>
      <w:r>
        <w:fldChar w:fldCharType="separate"/>
      </w:r>
      <w:r>
        <w:t>30</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_Toc15118 </w:instrText>
      </w:r>
      <w:r>
        <w:rPr>
          <w:rFonts w:hint="eastAsia" w:ascii="宋体" w:hAnsi="宋体" w:cs="宋体"/>
          <w:highlight w:val="none"/>
        </w:rPr>
        <w:fldChar w:fldCharType="separate"/>
      </w:r>
      <w:r>
        <w:rPr>
          <w:rFonts w:hint="eastAsia" w:ascii="宋体" w:hAnsi="宋体" w:eastAsia="宋体" w:cs="宋体"/>
          <w:bCs/>
          <w:szCs w:val="21"/>
        </w:rPr>
        <w:t xml:space="preserve">一、 </w:t>
      </w:r>
      <w:r>
        <w:rPr>
          <w:rFonts w:hint="eastAsia" w:ascii="宋体" w:hAnsi="宋体" w:eastAsia="宋体" w:cs="宋体"/>
          <w:bCs/>
          <w:szCs w:val="21"/>
          <w:highlight w:val="none"/>
        </w:rPr>
        <w:t>质疑前置及时间要求</w:t>
      </w:r>
      <w:r>
        <w:tab/>
      </w:r>
      <w:r>
        <w:fldChar w:fldCharType="begin"/>
      </w:r>
      <w:r>
        <w:instrText xml:space="preserve"> PAGEREF _Toc15118 \h </w:instrText>
      </w:r>
      <w:r>
        <w:fldChar w:fldCharType="separate"/>
      </w:r>
      <w:r>
        <w:t>30</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_Toc28226 </w:instrText>
      </w:r>
      <w:r>
        <w:rPr>
          <w:rFonts w:hint="eastAsia" w:ascii="宋体" w:hAnsi="宋体" w:cs="宋体"/>
          <w:highlight w:val="none"/>
        </w:rPr>
        <w:fldChar w:fldCharType="separate"/>
      </w:r>
      <w:r>
        <w:rPr>
          <w:rFonts w:hint="eastAsia" w:ascii="宋体" w:hAnsi="宋体" w:eastAsia="宋体" w:cs="宋体"/>
          <w:bCs/>
          <w:szCs w:val="21"/>
          <w:highlight w:val="none"/>
        </w:rPr>
        <w:t>二、书面方式</w:t>
      </w:r>
      <w:r>
        <w:tab/>
      </w:r>
      <w:r>
        <w:fldChar w:fldCharType="begin"/>
      </w:r>
      <w:r>
        <w:instrText xml:space="preserve"> PAGEREF _Toc28226 \h </w:instrText>
      </w:r>
      <w:r>
        <w:fldChar w:fldCharType="separate"/>
      </w:r>
      <w:r>
        <w:t>30</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_Toc20333 </w:instrText>
      </w:r>
      <w:r>
        <w:rPr>
          <w:rFonts w:hint="eastAsia" w:ascii="宋体" w:hAnsi="宋体" w:cs="宋体"/>
          <w:highlight w:val="none"/>
        </w:rPr>
        <w:fldChar w:fldCharType="separate"/>
      </w:r>
      <w:r>
        <w:rPr>
          <w:rFonts w:hint="eastAsia" w:ascii="宋体" w:hAnsi="宋体" w:eastAsia="宋体" w:cs="宋体"/>
          <w:bCs/>
          <w:szCs w:val="21"/>
          <w:highlight w:val="none"/>
        </w:rPr>
        <w:t>三、虚假、恶意投诉法律责任</w:t>
      </w:r>
      <w:r>
        <w:tab/>
      </w:r>
      <w:r>
        <w:fldChar w:fldCharType="begin"/>
      </w:r>
      <w:r>
        <w:instrText xml:space="preserve"> PAGEREF _Toc20333 \h </w:instrText>
      </w:r>
      <w:r>
        <w:fldChar w:fldCharType="separate"/>
      </w:r>
      <w:r>
        <w:t>31</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 </w:instrText>
      </w:r>
      <w:r>
        <w:rPr>
          <w:rFonts w:hint="eastAsia" w:ascii="宋体" w:hAnsi="宋体" w:cs="宋体"/>
          <w:highlight w:val="none"/>
        </w:rPr>
        <w:fldChar w:fldCharType="separate"/>
      </w:r>
      <w:r>
        <w:rPr>
          <w:rFonts w:hint="eastAsia" w:ascii="宋体" w:hAnsi="宋体" w:eastAsia="宋体" w:cs="宋体"/>
          <w:bCs/>
          <w:szCs w:val="32"/>
          <w:highlight w:val="none"/>
        </w:rPr>
        <w:t>质疑函范本</w:t>
      </w:r>
      <w:r>
        <w:tab/>
      </w:r>
      <w:r>
        <w:fldChar w:fldCharType="begin"/>
      </w:r>
      <w:r>
        <w:instrText xml:space="preserve"> PAGEREF _Toc10 \h </w:instrText>
      </w:r>
      <w:r>
        <w:fldChar w:fldCharType="separate"/>
      </w:r>
      <w:r>
        <w:t>32</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_Toc25740 </w:instrText>
      </w:r>
      <w:r>
        <w:rPr>
          <w:rFonts w:hint="eastAsia" w:ascii="宋体" w:hAnsi="宋体" w:cs="宋体"/>
          <w:highlight w:val="none"/>
        </w:rPr>
        <w:fldChar w:fldCharType="separate"/>
      </w:r>
      <w:r>
        <w:rPr>
          <w:rFonts w:hint="eastAsia" w:ascii="宋体" w:hAnsi="宋体" w:eastAsia="宋体" w:cs="宋体"/>
          <w:bCs/>
          <w:szCs w:val="21"/>
          <w:highlight w:val="none"/>
        </w:rPr>
        <w:t>一、质疑供应商基本信息</w:t>
      </w:r>
      <w:r>
        <w:tab/>
      </w:r>
      <w:r>
        <w:fldChar w:fldCharType="begin"/>
      </w:r>
      <w:r>
        <w:instrText xml:space="preserve"> PAGEREF _Toc25740 \h </w:instrText>
      </w:r>
      <w:r>
        <w:fldChar w:fldCharType="separate"/>
      </w:r>
      <w:r>
        <w:t>32</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_Toc15337 </w:instrText>
      </w:r>
      <w:r>
        <w:rPr>
          <w:rFonts w:hint="eastAsia" w:ascii="宋体" w:hAnsi="宋体" w:cs="宋体"/>
          <w:highlight w:val="none"/>
        </w:rPr>
        <w:fldChar w:fldCharType="separate"/>
      </w:r>
      <w:r>
        <w:rPr>
          <w:rFonts w:hint="eastAsia" w:ascii="宋体" w:hAnsi="宋体" w:eastAsia="宋体" w:cs="宋体"/>
          <w:bCs/>
          <w:szCs w:val="21"/>
          <w:highlight w:val="none"/>
        </w:rPr>
        <w:t>二、质疑项目基本情况</w:t>
      </w:r>
      <w:r>
        <w:tab/>
      </w:r>
      <w:r>
        <w:fldChar w:fldCharType="begin"/>
      </w:r>
      <w:r>
        <w:instrText xml:space="preserve"> PAGEREF _Toc15337 \h </w:instrText>
      </w:r>
      <w:r>
        <w:fldChar w:fldCharType="separate"/>
      </w:r>
      <w:r>
        <w:t>32</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_Toc12117 </w:instrText>
      </w:r>
      <w:r>
        <w:rPr>
          <w:rFonts w:hint="eastAsia" w:ascii="宋体" w:hAnsi="宋体" w:cs="宋体"/>
          <w:highlight w:val="none"/>
        </w:rPr>
        <w:fldChar w:fldCharType="separate"/>
      </w:r>
      <w:r>
        <w:rPr>
          <w:rFonts w:hint="eastAsia" w:ascii="宋体" w:hAnsi="宋体" w:eastAsia="宋体" w:cs="宋体"/>
          <w:bCs/>
          <w:szCs w:val="21"/>
          <w:highlight w:val="none"/>
        </w:rPr>
        <w:t>三、质疑事项具体内容</w:t>
      </w:r>
      <w:r>
        <w:tab/>
      </w:r>
      <w:r>
        <w:fldChar w:fldCharType="begin"/>
      </w:r>
      <w:r>
        <w:instrText xml:space="preserve"> PAGEREF _Toc12117 \h </w:instrText>
      </w:r>
      <w:r>
        <w:fldChar w:fldCharType="separate"/>
      </w:r>
      <w:r>
        <w:t>32</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_Toc4087 </w:instrText>
      </w:r>
      <w:r>
        <w:rPr>
          <w:rFonts w:hint="eastAsia" w:ascii="宋体" w:hAnsi="宋体" w:cs="宋体"/>
          <w:highlight w:val="none"/>
        </w:rPr>
        <w:fldChar w:fldCharType="separate"/>
      </w:r>
      <w:r>
        <w:rPr>
          <w:rFonts w:hint="eastAsia" w:ascii="宋体" w:hAnsi="宋体" w:eastAsia="宋体" w:cs="宋体"/>
          <w:bCs/>
          <w:szCs w:val="21"/>
          <w:highlight w:val="none"/>
        </w:rPr>
        <w:t>四、与质疑事项相关的质疑请求</w:t>
      </w:r>
      <w:r>
        <w:tab/>
      </w:r>
      <w:r>
        <w:fldChar w:fldCharType="begin"/>
      </w:r>
      <w:r>
        <w:instrText xml:space="preserve"> PAGEREF _Toc4087 \h </w:instrText>
      </w:r>
      <w:r>
        <w:fldChar w:fldCharType="separate"/>
      </w:r>
      <w:r>
        <w:t>32</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_Toc1806 </w:instrText>
      </w:r>
      <w:r>
        <w:rPr>
          <w:rFonts w:hint="eastAsia" w:ascii="宋体" w:hAnsi="宋体" w:cs="宋体"/>
          <w:highlight w:val="none"/>
        </w:rPr>
        <w:fldChar w:fldCharType="separate"/>
      </w:r>
      <w:r>
        <w:rPr>
          <w:rFonts w:hint="eastAsia" w:ascii="宋体" w:hAnsi="宋体" w:cs="宋体"/>
        </w:rPr>
        <w:t>1.供应商提出质疑时，应提交质疑函和必要的证明材料。</w:t>
      </w:r>
      <w:r>
        <w:tab/>
      </w:r>
      <w:r>
        <w:fldChar w:fldCharType="begin"/>
      </w:r>
      <w:r>
        <w:instrText xml:space="preserve"> PAGEREF _Toc1806 \h </w:instrText>
      </w:r>
      <w:r>
        <w:fldChar w:fldCharType="separate"/>
      </w:r>
      <w:r>
        <w:t>33</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_Toc14789 </w:instrText>
      </w:r>
      <w:r>
        <w:rPr>
          <w:rFonts w:hint="eastAsia" w:ascii="宋体" w:hAnsi="宋体" w:cs="宋体"/>
          <w:highlight w:val="none"/>
        </w:rPr>
        <w:fldChar w:fldCharType="separate"/>
      </w:r>
      <w:r>
        <w:rPr>
          <w:rFonts w:hint="eastAsia" w:ascii="宋体" w:hAnsi="宋体" w:cs="宋体"/>
        </w:rPr>
        <w:t>5.质疑函的质疑请求应与质疑事项相关。</w:t>
      </w:r>
      <w:r>
        <w:tab/>
      </w:r>
      <w:r>
        <w:fldChar w:fldCharType="begin"/>
      </w:r>
      <w:r>
        <w:instrText xml:space="preserve"> PAGEREF _Toc14789 \h </w:instrText>
      </w:r>
      <w:r>
        <w:fldChar w:fldCharType="separate"/>
      </w:r>
      <w:r>
        <w:t>33</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_Toc28891 </w:instrText>
      </w:r>
      <w:r>
        <w:rPr>
          <w:rFonts w:hint="eastAsia" w:ascii="宋体" w:hAnsi="宋体" w:cs="宋体"/>
          <w:highlight w:val="none"/>
        </w:rPr>
        <w:fldChar w:fldCharType="separate"/>
      </w:r>
      <w:r>
        <w:rPr>
          <w:rFonts w:hint="eastAsia" w:ascii="宋体" w:hAnsi="宋体" w:cs="宋体"/>
        </w:rPr>
        <w:t>1、投标人对所附表格中要求的资料和询问应做出肯定的回答。</w:t>
      </w:r>
      <w:r>
        <w:tab/>
      </w:r>
      <w:r>
        <w:fldChar w:fldCharType="begin"/>
      </w:r>
      <w:r>
        <w:instrText xml:space="preserve"> PAGEREF _Toc28891 \h </w:instrText>
      </w:r>
      <w:r>
        <w:fldChar w:fldCharType="separate"/>
      </w:r>
      <w:r>
        <w:t>33</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_Toc22615 </w:instrText>
      </w:r>
      <w:r>
        <w:rPr>
          <w:rFonts w:hint="eastAsia" w:ascii="宋体" w:hAnsi="宋体" w:cs="宋体"/>
          <w:highlight w:val="none"/>
        </w:rPr>
        <w:fldChar w:fldCharType="separate"/>
      </w:r>
      <w:r>
        <w:rPr>
          <w:rFonts w:hint="eastAsia" w:ascii="宋体" w:hAnsi="宋体" w:cs="宋体"/>
        </w:rPr>
        <w:t>4、投标人提交的文件将给予保密，但不退还。</w:t>
      </w:r>
      <w:r>
        <w:tab/>
      </w:r>
      <w:r>
        <w:fldChar w:fldCharType="begin"/>
      </w:r>
      <w:r>
        <w:instrText xml:space="preserve"> PAGEREF _Toc22615 \h </w:instrText>
      </w:r>
      <w:r>
        <w:fldChar w:fldCharType="separate"/>
      </w:r>
      <w:r>
        <w:t>33</w:t>
      </w:r>
      <w:r>
        <w:fldChar w:fldCharType="end"/>
      </w:r>
      <w:r>
        <w:rPr>
          <w:rFonts w:hint="eastAsia" w:ascii="宋体" w:hAnsi="宋体" w:cs="宋体"/>
          <w:color w:val="auto"/>
          <w:highlight w:val="none"/>
        </w:rPr>
        <w:fldChar w:fldCharType="end"/>
      </w:r>
    </w:p>
    <w:p>
      <w:pPr>
        <w:pStyle w:val="18"/>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_Toc19548 </w:instrText>
      </w:r>
      <w:r>
        <w:rPr>
          <w:rFonts w:hint="eastAsia" w:ascii="宋体" w:hAnsi="宋体" w:cs="宋体"/>
          <w:highlight w:val="none"/>
        </w:rPr>
        <w:fldChar w:fldCharType="separate"/>
      </w:r>
      <w:r>
        <w:rPr>
          <w:rFonts w:hint="eastAsia" w:ascii="宋体" w:hAnsi="宋体" w:eastAsia="宋体" w:cs="宋体"/>
          <w:bCs/>
          <w:kern w:val="36"/>
          <w:szCs w:val="36"/>
          <w:highlight w:val="none"/>
          <w:lang w:val="en-US" w:eastAsia="zh-CN"/>
        </w:rPr>
        <w:t>第三章  评标办法</w:t>
      </w:r>
      <w:r>
        <w:tab/>
      </w:r>
      <w:r>
        <w:fldChar w:fldCharType="begin"/>
      </w:r>
      <w:r>
        <w:instrText xml:space="preserve"> PAGEREF _Toc19548 \h </w:instrText>
      </w:r>
      <w:r>
        <w:fldChar w:fldCharType="separate"/>
      </w:r>
      <w:r>
        <w:t>34</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_Toc16077 </w:instrText>
      </w:r>
      <w:r>
        <w:rPr>
          <w:rFonts w:hint="eastAsia" w:ascii="宋体" w:hAnsi="宋体" w:cs="宋体"/>
          <w:highlight w:val="none"/>
        </w:rPr>
        <w:fldChar w:fldCharType="separate"/>
      </w:r>
      <w:r>
        <w:rPr>
          <w:rFonts w:hint="eastAsia" w:ascii="宋体" w:hAnsi="Times New Roman" w:eastAsia="宋体" w:cs="Times New Roman"/>
          <w:szCs w:val="28"/>
          <w:highlight w:val="none"/>
        </w:rPr>
        <w:t>一</w:t>
      </w:r>
      <w:r>
        <w:rPr>
          <w:rFonts w:hint="eastAsia" w:ascii="宋体" w:hAnsi="Times New Roman" w:eastAsia="宋体" w:cs="Times New Roman"/>
          <w:szCs w:val="28"/>
          <w:highlight w:val="none"/>
          <w:lang w:val="en-US" w:eastAsia="zh-CN"/>
        </w:rPr>
        <w:t xml:space="preserve">  </w:t>
      </w:r>
      <w:r>
        <w:rPr>
          <w:rFonts w:hint="eastAsia" w:ascii="宋体" w:hAnsi="Times New Roman" w:eastAsia="宋体" w:cs="Times New Roman"/>
          <w:szCs w:val="28"/>
          <w:highlight w:val="none"/>
        </w:rPr>
        <w:t>总  则</w:t>
      </w:r>
      <w:r>
        <w:tab/>
      </w:r>
      <w:r>
        <w:fldChar w:fldCharType="begin"/>
      </w:r>
      <w:r>
        <w:instrText xml:space="preserve"> PAGEREF _Toc16077 \h </w:instrText>
      </w:r>
      <w:r>
        <w:fldChar w:fldCharType="separate"/>
      </w:r>
      <w:r>
        <w:t>34</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_Toc21036 </w:instrText>
      </w:r>
      <w:r>
        <w:rPr>
          <w:rFonts w:hint="eastAsia" w:ascii="宋体" w:hAnsi="宋体" w:cs="宋体"/>
          <w:highlight w:val="none"/>
        </w:rPr>
        <w:fldChar w:fldCharType="separate"/>
      </w:r>
      <w:r>
        <w:rPr>
          <w:rFonts w:hint="eastAsia" w:ascii="宋体" w:hAnsi="宋体" w:eastAsia="宋体" w:cs="宋体"/>
          <w:szCs w:val="21"/>
          <w:highlight w:val="none"/>
        </w:rPr>
        <w:t>1、一般规定</w:t>
      </w:r>
      <w:r>
        <w:tab/>
      </w:r>
      <w:r>
        <w:fldChar w:fldCharType="begin"/>
      </w:r>
      <w:r>
        <w:instrText xml:space="preserve"> PAGEREF _Toc21036 \h </w:instrText>
      </w:r>
      <w:r>
        <w:fldChar w:fldCharType="separate"/>
      </w:r>
      <w:r>
        <w:t>34</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_Toc5484 </w:instrText>
      </w:r>
      <w:r>
        <w:rPr>
          <w:rFonts w:hint="eastAsia" w:ascii="宋体" w:hAnsi="宋体" w:cs="宋体"/>
          <w:highlight w:val="none"/>
        </w:rPr>
        <w:fldChar w:fldCharType="separate"/>
      </w:r>
      <w:r>
        <w:rPr>
          <w:rFonts w:hint="eastAsia" w:ascii="宋体" w:hAnsi="宋体" w:eastAsia="宋体" w:cs="宋体"/>
          <w:szCs w:val="21"/>
          <w:highlight w:val="none"/>
        </w:rPr>
        <w:t>2、评标组织机构的组成</w:t>
      </w:r>
      <w:r>
        <w:tab/>
      </w:r>
      <w:r>
        <w:fldChar w:fldCharType="begin"/>
      </w:r>
      <w:r>
        <w:instrText xml:space="preserve"> PAGEREF _Toc5484 \h </w:instrText>
      </w:r>
      <w:r>
        <w:fldChar w:fldCharType="separate"/>
      </w:r>
      <w:r>
        <w:t>34</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_Toc23363 </w:instrText>
      </w:r>
      <w:r>
        <w:rPr>
          <w:rFonts w:hint="eastAsia" w:ascii="宋体" w:hAnsi="宋体" w:cs="宋体"/>
          <w:highlight w:val="none"/>
        </w:rPr>
        <w:fldChar w:fldCharType="separate"/>
      </w:r>
      <w:r>
        <w:rPr>
          <w:rFonts w:hint="eastAsia" w:ascii="宋体" w:hAnsi="宋体" w:eastAsia="宋体" w:cs="宋体"/>
          <w:szCs w:val="21"/>
          <w:highlight w:val="none"/>
        </w:rPr>
        <w:t>3、评标委员会职责</w:t>
      </w:r>
      <w:r>
        <w:tab/>
      </w:r>
      <w:r>
        <w:fldChar w:fldCharType="begin"/>
      </w:r>
      <w:r>
        <w:instrText xml:space="preserve"> PAGEREF _Toc23363 \h </w:instrText>
      </w:r>
      <w:r>
        <w:fldChar w:fldCharType="separate"/>
      </w:r>
      <w:r>
        <w:t>34</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_Toc1006 </w:instrText>
      </w:r>
      <w:r>
        <w:rPr>
          <w:rFonts w:hint="eastAsia" w:ascii="宋体" w:hAnsi="宋体" w:cs="宋体"/>
          <w:highlight w:val="none"/>
        </w:rPr>
        <w:fldChar w:fldCharType="separate"/>
      </w:r>
      <w:r>
        <w:rPr>
          <w:rFonts w:hint="eastAsia" w:ascii="宋体" w:hAnsi="宋体" w:eastAsia="宋体" w:cs="宋体"/>
          <w:szCs w:val="21"/>
          <w:highlight w:val="none"/>
        </w:rPr>
        <w:t>4、评标委员会义务</w:t>
      </w:r>
      <w:r>
        <w:tab/>
      </w:r>
      <w:r>
        <w:fldChar w:fldCharType="begin"/>
      </w:r>
      <w:r>
        <w:instrText xml:space="preserve"> PAGEREF _Toc1006 \h </w:instrText>
      </w:r>
      <w:r>
        <w:fldChar w:fldCharType="separate"/>
      </w:r>
      <w:r>
        <w:t>34</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_Toc24718 </w:instrText>
      </w:r>
      <w:r>
        <w:rPr>
          <w:rFonts w:hint="eastAsia" w:ascii="宋体" w:hAnsi="宋体" w:cs="宋体"/>
          <w:highlight w:val="none"/>
        </w:rPr>
        <w:fldChar w:fldCharType="separate"/>
      </w:r>
      <w:r>
        <w:rPr>
          <w:rFonts w:hint="eastAsia" w:ascii="宋体" w:hAnsi="宋体" w:eastAsia="宋体" w:cs="宋体"/>
          <w:szCs w:val="21"/>
          <w:highlight w:val="none"/>
          <w:lang w:bidi="ar-SA"/>
        </w:rPr>
        <w:t>5、 评标程序</w:t>
      </w:r>
      <w:r>
        <w:tab/>
      </w:r>
      <w:r>
        <w:fldChar w:fldCharType="begin"/>
      </w:r>
      <w:r>
        <w:instrText xml:space="preserve"> PAGEREF _Toc24718 \h </w:instrText>
      </w:r>
      <w:r>
        <w:fldChar w:fldCharType="separate"/>
      </w:r>
      <w:r>
        <w:t>35</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_Toc14138 </w:instrText>
      </w:r>
      <w:r>
        <w:rPr>
          <w:rFonts w:hint="eastAsia" w:ascii="宋体" w:hAnsi="宋体" w:cs="宋体"/>
          <w:highlight w:val="none"/>
        </w:rPr>
        <w:fldChar w:fldCharType="separate"/>
      </w:r>
      <w:r>
        <w:rPr>
          <w:rFonts w:hint="eastAsia" w:ascii="宋体"/>
          <w:szCs w:val="28"/>
          <w:highlight w:val="none"/>
        </w:rPr>
        <w:t>二  投标文件初审</w:t>
      </w:r>
      <w:r>
        <w:tab/>
      </w:r>
      <w:r>
        <w:fldChar w:fldCharType="begin"/>
      </w:r>
      <w:r>
        <w:instrText xml:space="preserve"> PAGEREF _Toc14138 \h </w:instrText>
      </w:r>
      <w:r>
        <w:fldChar w:fldCharType="separate"/>
      </w:r>
      <w:r>
        <w:t>36</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_Toc23618 </w:instrText>
      </w:r>
      <w:r>
        <w:rPr>
          <w:rFonts w:hint="eastAsia" w:ascii="宋体" w:hAnsi="宋体" w:cs="宋体"/>
          <w:highlight w:val="none"/>
        </w:rPr>
        <w:fldChar w:fldCharType="separate"/>
      </w:r>
      <w:r>
        <w:rPr>
          <w:rFonts w:hint="eastAsia" w:ascii="宋体"/>
          <w:szCs w:val="21"/>
          <w:highlight w:val="none"/>
          <w:lang w:val="en-US" w:eastAsia="zh-CN"/>
        </w:rPr>
        <w:t>6</w:t>
      </w:r>
      <w:r>
        <w:rPr>
          <w:rFonts w:hint="eastAsia" w:ascii="宋体"/>
          <w:szCs w:val="21"/>
          <w:highlight w:val="none"/>
        </w:rPr>
        <w:t>.资格性审查:</w:t>
      </w:r>
      <w:r>
        <w:tab/>
      </w:r>
      <w:r>
        <w:fldChar w:fldCharType="begin"/>
      </w:r>
      <w:r>
        <w:instrText xml:space="preserve"> PAGEREF _Toc23618 \h </w:instrText>
      </w:r>
      <w:r>
        <w:fldChar w:fldCharType="separate"/>
      </w:r>
      <w:r>
        <w:t>36</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_Toc26100 </w:instrText>
      </w:r>
      <w:r>
        <w:rPr>
          <w:rFonts w:hint="eastAsia" w:ascii="宋体" w:hAnsi="宋体" w:cs="宋体"/>
          <w:highlight w:val="none"/>
        </w:rPr>
        <w:fldChar w:fldCharType="separate"/>
      </w:r>
      <w:r>
        <w:rPr>
          <w:rFonts w:hint="eastAsia" w:ascii="宋体"/>
          <w:szCs w:val="21"/>
          <w:highlight w:val="none"/>
          <w:lang w:val="en-US" w:eastAsia="zh-CN"/>
        </w:rPr>
        <w:t>7</w:t>
      </w:r>
      <w:r>
        <w:rPr>
          <w:rFonts w:hint="eastAsia" w:ascii="宋体"/>
          <w:szCs w:val="21"/>
          <w:highlight w:val="none"/>
        </w:rPr>
        <w:t>.符合性审查</w:t>
      </w:r>
      <w:r>
        <w:tab/>
      </w:r>
      <w:r>
        <w:fldChar w:fldCharType="begin"/>
      </w:r>
      <w:r>
        <w:instrText xml:space="preserve"> PAGEREF _Toc26100 \h </w:instrText>
      </w:r>
      <w:r>
        <w:fldChar w:fldCharType="separate"/>
      </w:r>
      <w:r>
        <w:t>37</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_Toc17067 </w:instrText>
      </w:r>
      <w:r>
        <w:rPr>
          <w:rFonts w:hint="eastAsia" w:ascii="宋体" w:hAnsi="宋体" w:cs="宋体"/>
          <w:highlight w:val="none"/>
        </w:rPr>
        <w:fldChar w:fldCharType="separate"/>
      </w:r>
      <w:r>
        <w:rPr>
          <w:rFonts w:hint="eastAsia" w:ascii="宋体"/>
          <w:szCs w:val="28"/>
          <w:highlight w:val="none"/>
        </w:rPr>
        <w:t>三  投标文件的澄清和补正</w:t>
      </w:r>
      <w:r>
        <w:tab/>
      </w:r>
      <w:r>
        <w:fldChar w:fldCharType="begin"/>
      </w:r>
      <w:r>
        <w:instrText xml:space="preserve"> PAGEREF _Toc17067 \h </w:instrText>
      </w:r>
      <w:r>
        <w:fldChar w:fldCharType="separate"/>
      </w:r>
      <w:r>
        <w:t>38</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_Toc21133 </w:instrText>
      </w:r>
      <w:r>
        <w:rPr>
          <w:rFonts w:hint="eastAsia" w:ascii="宋体" w:hAnsi="宋体" w:cs="宋体"/>
          <w:highlight w:val="none"/>
        </w:rPr>
        <w:fldChar w:fldCharType="separate"/>
      </w:r>
      <w:r>
        <w:rPr>
          <w:rFonts w:hint="eastAsia" w:ascii="宋体"/>
          <w:bCs w:val="0"/>
          <w:szCs w:val="21"/>
          <w:highlight w:val="none"/>
          <w:lang w:val="en-US" w:eastAsia="zh-CN"/>
        </w:rPr>
        <w:t>8．澄清、说明或补正的形式</w:t>
      </w:r>
      <w:r>
        <w:tab/>
      </w:r>
      <w:r>
        <w:fldChar w:fldCharType="begin"/>
      </w:r>
      <w:r>
        <w:instrText xml:space="preserve"> PAGEREF _Toc21133 \h </w:instrText>
      </w:r>
      <w:r>
        <w:fldChar w:fldCharType="separate"/>
      </w:r>
      <w:r>
        <w:t>38</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_Toc13958 </w:instrText>
      </w:r>
      <w:r>
        <w:rPr>
          <w:rFonts w:hint="eastAsia" w:ascii="宋体" w:hAnsi="宋体" w:cs="宋体"/>
          <w:highlight w:val="none"/>
        </w:rPr>
        <w:fldChar w:fldCharType="separate"/>
      </w:r>
      <w:r>
        <w:rPr>
          <w:rFonts w:hint="eastAsia" w:ascii="宋体"/>
          <w:bCs w:val="0"/>
          <w:szCs w:val="21"/>
          <w:highlight w:val="none"/>
          <w:lang w:val="en-US" w:eastAsia="zh-CN"/>
        </w:rPr>
        <w:t>9．错误修正的原则</w:t>
      </w:r>
      <w:r>
        <w:tab/>
      </w:r>
      <w:r>
        <w:fldChar w:fldCharType="begin"/>
      </w:r>
      <w:r>
        <w:instrText xml:space="preserve"> PAGEREF _Toc13958 \h </w:instrText>
      </w:r>
      <w:r>
        <w:fldChar w:fldCharType="separate"/>
      </w:r>
      <w:r>
        <w:t>38</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_Toc32430 </w:instrText>
      </w:r>
      <w:r>
        <w:rPr>
          <w:rFonts w:hint="eastAsia" w:ascii="宋体" w:hAnsi="宋体" w:cs="宋体"/>
          <w:highlight w:val="none"/>
        </w:rPr>
        <w:fldChar w:fldCharType="separate"/>
      </w:r>
      <w:r>
        <w:rPr>
          <w:rFonts w:hint="eastAsia" w:ascii="宋体" w:hAnsi="宋体" w:eastAsia="宋体" w:cs="宋体"/>
          <w:szCs w:val="21"/>
          <w:highlight w:val="none"/>
          <w:lang w:val="en-US" w:eastAsia="zh-CN"/>
        </w:rPr>
        <w:t>3、与招标文件有重大偏离的投标文件将被拒绝。</w:t>
      </w:r>
      <w:r>
        <w:tab/>
      </w:r>
      <w:r>
        <w:fldChar w:fldCharType="begin"/>
      </w:r>
      <w:r>
        <w:instrText xml:space="preserve"> PAGEREF _Toc32430 \h </w:instrText>
      </w:r>
      <w:r>
        <w:fldChar w:fldCharType="separate"/>
      </w:r>
      <w:r>
        <w:t>41</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_Toc32044 </w:instrText>
      </w:r>
      <w:r>
        <w:rPr>
          <w:rFonts w:hint="eastAsia" w:ascii="宋体" w:hAnsi="宋体" w:cs="宋体"/>
          <w:highlight w:val="none"/>
        </w:rPr>
        <w:fldChar w:fldCharType="separate"/>
      </w:r>
      <w:r>
        <w:rPr>
          <w:rFonts w:hint="eastAsia" w:ascii="宋体" w:hAnsi="宋体" w:eastAsia="宋体" w:cs="宋体"/>
          <w:szCs w:val="21"/>
          <w:highlight w:val="none"/>
          <w:lang w:val="en-US" w:eastAsia="zh-CN"/>
        </w:rPr>
        <w:t>6、经评标委员会评议，认为投标报价过高、超出采购人预算的项目，可以不确立中标人，做为废标处理。</w:t>
      </w:r>
      <w:r>
        <w:tab/>
      </w:r>
      <w:r>
        <w:fldChar w:fldCharType="begin"/>
      </w:r>
      <w:r>
        <w:instrText xml:space="preserve"> PAGEREF _Toc32044 \h </w:instrText>
      </w:r>
      <w:r>
        <w:fldChar w:fldCharType="separate"/>
      </w:r>
      <w:r>
        <w:t>41</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_Toc9021 </w:instrText>
      </w:r>
      <w:r>
        <w:rPr>
          <w:rFonts w:hint="eastAsia" w:ascii="宋体" w:hAnsi="宋体" w:cs="宋体"/>
          <w:highlight w:val="none"/>
        </w:rPr>
        <w:fldChar w:fldCharType="separate"/>
      </w:r>
      <w:r>
        <w:rPr>
          <w:rFonts w:hint="eastAsia" w:ascii="宋体"/>
          <w:bCs/>
          <w:highlight w:val="none"/>
        </w:rPr>
        <w:t>五</w:t>
      </w:r>
      <w:r>
        <w:rPr>
          <w:rFonts w:hint="eastAsia" w:ascii="宋体"/>
          <w:bCs/>
          <w:highlight w:val="none"/>
          <w:lang w:eastAsia="zh-CN"/>
        </w:rPr>
        <w:t>、</w:t>
      </w:r>
      <w:r>
        <w:rPr>
          <w:rFonts w:hint="eastAsia" w:ascii="宋体"/>
          <w:bCs/>
          <w:highlight w:val="none"/>
        </w:rPr>
        <w:t>推荐中标候选人</w:t>
      </w:r>
      <w:r>
        <w:tab/>
      </w:r>
      <w:r>
        <w:fldChar w:fldCharType="begin"/>
      </w:r>
      <w:r>
        <w:instrText xml:space="preserve"> PAGEREF _Toc9021 \h </w:instrText>
      </w:r>
      <w:r>
        <w:fldChar w:fldCharType="separate"/>
      </w:r>
      <w:r>
        <w:t>41</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_Toc6425 </w:instrText>
      </w:r>
      <w:r>
        <w:rPr>
          <w:rFonts w:hint="eastAsia" w:ascii="宋体" w:hAnsi="宋体" w:cs="宋体"/>
          <w:highlight w:val="none"/>
        </w:rPr>
        <w:fldChar w:fldCharType="separate"/>
      </w:r>
      <w:r>
        <w:rPr>
          <w:rFonts w:hint="eastAsia" w:ascii="宋体"/>
          <w:bCs/>
          <w:szCs w:val="21"/>
          <w:highlight w:val="none"/>
          <w:lang w:val="en-US" w:eastAsia="zh-CN"/>
        </w:rPr>
        <w:t>11.1</w:t>
      </w:r>
      <w:r>
        <w:rPr>
          <w:rFonts w:hint="eastAsia" w:ascii="宋体" w:hAnsi="宋体"/>
          <w:bCs/>
          <w:szCs w:val="21"/>
          <w:highlight w:val="none"/>
        </w:rPr>
        <w:t>评标委员会推荐</w:t>
      </w:r>
      <w:r>
        <w:rPr>
          <w:rFonts w:hint="eastAsia" w:ascii="宋体" w:hAnsi="宋体"/>
          <w:bCs/>
          <w:szCs w:val="21"/>
          <w:highlight w:val="none"/>
          <w:lang w:val="en-US" w:eastAsia="zh-CN"/>
        </w:rPr>
        <w:t>3</w:t>
      </w:r>
      <w:r>
        <w:rPr>
          <w:rFonts w:hint="eastAsia" w:ascii="宋体" w:hAnsi="宋体"/>
          <w:bCs/>
          <w:szCs w:val="21"/>
          <w:highlight w:val="none"/>
        </w:rPr>
        <w:t>名中标候选人，并标明排序。</w:t>
      </w:r>
      <w:r>
        <w:tab/>
      </w:r>
      <w:r>
        <w:fldChar w:fldCharType="begin"/>
      </w:r>
      <w:r>
        <w:instrText xml:space="preserve"> PAGEREF _Toc6425 \h </w:instrText>
      </w:r>
      <w:r>
        <w:fldChar w:fldCharType="separate"/>
      </w:r>
      <w:r>
        <w:t>41</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_Toc22861 </w:instrText>
      </w:r>
      <w:r>
        <w:rPr>
          <w:rFonts w:hint="eastAsia" w:ascii="宋体" w:hAnsi="宋体" w:cs="宋体"/>
          <w:highlight w:val="none"/>
        </w:rPr>
        <w:fldChar w:fldCharType="separate"/>
      </w:r>
      <w:r>
        <w:rPr>
          <w:rFonts w:hint="eastAsia" w:ascii="宋体" w:hAnsi="宋体" w:cs="宋体"/>
          <w:bCs/>
          <w:szCs w:val="21"/>
          <w:highlight w:val="none"/>
          <w:lang w:val="en-US" w:eastAsia="zh-CN"/>
        </w:rPr>
        <w:t>12</w:t>
      </w:r>
      <w:r>
        <w:rPr>
          <w:rFonts w:hint="eastAsia" w:ascii="宋体" w:hAnsi="宋体" w:cs="宋体"/>
          <w:bCs/>
          <w:szCs w:val="21"/>
          <w:highlight w:val="none"/>
        </w:rPr>
        <w:t>.1投标文件有下列情形之一的,其投标文件拒收:</w:t>
      </w:r>
      <w:r>
        <w:tab/>
      </w:r>
      <w:r>
        <w:fldChar w:fldCharType="begin"/>
      </w:r>
      <w:r>
        <w:instrText xml:space="preserve"> PAGEREF _Toc22861 \h </w:instrText>
      </w:r>
      <w:r>
        <w:fldChar w:fldCharType="separate"/>
      </w:r>
      <w:r>
        <w:t>41</w:t>
      </w:r>
      <w:r>
        <w:fldChar w:fldCharType="end"/>
      </w:r>
      <w:r>
        <w:rPr>
          <w:rFonts w:hint="eastAsia" w:ascii="宋体" w:hAnsi="宋体" w:cs="宋体"/>
          <w:color w:val="auto"/>
          <w:highlight w:val="none"/>
        </w:rPr>
        <w:fldChar w:fldCharType="end"/>
      </w:r>
    </w:p>
    <w:p>
      <w:pPr>
        <w:pStyle w:val="18"/>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_Toc25994 </w:instrText>
      </w:r>
      <w:r>
        <w:rPr>
          <w:rFonts w:hint="eastAsia" w:ascii="宋体" w:hAnsi="宋体" w:cs="宋体"/>
          <w:highlight w:val="none"/>
        </w:rPr>
        <w:fldChar w:fldCharType="separate"/>
      </w:r>
      <w:r>
        <w:rPr>
          <w:rFonts w:hint="eastAsia" w:ascii="宋体" w:hAnsi="宋体" w:eastAsia="宋体" w:cs="宋体"/>
          <w:bCs/>
          <w:kern w:val="36"/>
          <w:szCs w:val="36"/>
          <w:highlight w:val="none"/>
          <w:lang w:val="en-US" w:eastAsia="zh-CN"/>
        </w:rPr>
        <w:t>第四章 采购内容及技术要求</w:t>
      </w:r>
      <w:r>
        <w:tab/>
      </w:r>
      <w:r>
        <w:fldChar w:fldCharType="begin"/>
      </w:r>
      <w:r>
        <w:instrText xml:space="preserve"> PAGEREF _Toc25994 \h </w:instrText>
      </w:r>
      <w:r>
        <w:fldChar w:fldCharType="separate"/>
      </w:r>
      <w:r>
        <w:t>43</w:t>
      </w:r>
      <w:r>
        <w:fldChar w:fldCharType="end"/>
      </w:r>
      <w:r>
        <w:rPr>
          <w:rFonts w:hint="eastAsia" w:ascii="宋体" w:hAnsi="宋体" w:cs="宋体"/>
          <w:color w:val="auto"/>
          <w:highlight w:val="none"/>
        </w:rPr>
        <w:fldChar w:fldCharType="end"/>
      </w:r>
    </w:p>
    <w:p>
      <w:pPr>
        <w:pStyle w:val="18"/>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_Toc945 </w:instrText>
      </w:r>
      <w:r>
        <w:rPr>
          <w:rFonts w:hint="eastAsia" w:ascii="宋体" w:hAnsi="宋体" w:cs="宋体"/>
          <w:highlight w:val="none"/>
        </w:rPr>
        <w:fldChar w:fldCharType="separate"/>
      </w:r>
      <w:r>
        <w:rPr>
          <w:rFonts w:hint="eastAsia" w:ascii="宋体" w:hAnsi="宋体" w:eastAsia="宋体" w:cs="宋体"/>
          <w:bCs/>
          <w:kern w:val="36"/>
          <w:szCs w:val="36"/>
          <w:highlight w:val="none"/>
          <w:lang w:val="en-US" w:eastAsia="zh-CN"/>
        </w:rPr>
        <w:t>第五章  合同条款及格式</w:t>
      </w:r>
      <w:r>
        <w:tab/>
      </w:r>
      <w:r>
        <w:fldChar w:fldCharType="begin"/>
      </w:r>
      <w:r>
        <w:instrText xml:space="preserve"> PAGEREF _Toc945 \h </w:instrText>
      </w:r>
      <w:r>
        <w:fldChar w:fldCharType="separate"/>
      </w:r>
      <w:r>
        <w:t>51</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_Toc9302 </w:instrText>
      </w:r>
      <w:r>
        <w:rPr>
          <w:rFonts w:hint="eastAsia" w:ascii="宋体" w:hAnsi="宋体" w:cs="宋体"/>
          <w:highlight w:val="none"/>
        </w:rPr>
        <w:fldChar w:fldCharType="separate"/>
      </w:r>
      <w:r>
        <w:rPr>
          <w:rFonts w:hint="eastAsia" w:ascii="宋体" w:hAnsi="宋体" w:eastAsia="宋体" w:cs="宋体"/>
          <w:szCs w:val="21"/>
          <w:highlight w:val="none"/>
        </w:rPr>
        <w:t>（本合同为合同样稿，最终稿由供需双方协商后确定）</w:t>
      </w:r>
      <w:r>
        <w:tab/>
      </w:r>
      <w:r>
        <w:fldChar w:fldCharType="begin"/>
      </w:r>
      <w:r>
        <w:instrText xml:space="preserve"> PAGEREF _Toc9302 \h </w:instrText>
      </w:r>
      <w:r>
        <w:fldChar w:fldCharType="separate"/>
      </w:r>
      <w:r>
        <w:t>51</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_Toc17934 </w:instrText>
      </w:r>
      <w:r>
        <w:rPr>
          <w:rFonts w:hint="eastAsia" w:ascii="宋体" w:hAnsi="宋体" w:cs="宋体"/>
          <w:highlight w:val="none"/>
        </w:rPr>
        <w:fldChar w:fldCharType="separate"/>
      </w:r>
      <w:r>
        <w:rPr>
          <w:rFonts w:hint="default" w:ascii="宋体" w:hAnsi="宋体" w:eastAsia="宋体"/>
          <w:szCs w:val="28"/>
        </w:rPr>
        <w:t xml:space="preserve">一 </w:t>
      </w:r>
      <w:r>
        <w:rPr>
          <w:rFonts w:hint="eastAsia" w:ascii="宋体"/>
          <w:szCs w:val="28"/>
          <w:highlight w:val="none"/>
        </w:rPr>
        <w:t>合同协议书</w:t>
      </w:r>
      <w:r>
        <w:tab/>
      </w:r>
      <w:r>
        <w:fldChar w:fldCharType="begin"/>
      </w:r>
      <w:r>
        <w:instrText xml:space="preserve"> PAGEREF _Toc17934 \h </w:instrText>
      </w:r>
      <w:r>
        <w:fldChar w:fldCharType="separate"/>
      </w:r>
      <w:r>
        <w:t>51</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_Toc14113 </w:instrText>
      </w:r>
      <w:r>
        <w:rPr>
          <w:rFonts w:hint="eastAsia" w:ascii="宋体" w:hAnsi="宋体" w:cs="宋体"/>
          <w:highlight w:val="none"/>
        </w:rPr>
        <w:fldChar w:fldCharType="separate"/>
      </w:r>
      <w:r>
        <w:rPr>
          <w:rFonts w:hint="eastAsia" w:ascii="宋体" w:cs="宋体"/>
          <w:szCs w:val="21"/>
          <w:highlight w:val="none"/>
        </w:rPr>
        <w:t>一.  合同文件</w:t>
      </w:r>
      <w:r>
        <w:tab/>
      </w:r>
      <w:r>
        <w:fldChar w:fldCharType="begin"/>
      </w:r>
      <w:r>
        <w:instrText xml:space="preserve"> PAGEREF _Toc14113 \h </w:instrText>
      </w:r>
      <w:r>
        <w:fldChar w:fldCharType="separate"/>
      </w:r>
      <w:r>
        <w:t>52</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_Toc32162 </w:instrText>
      </w:r>
      <w:r>
        <w:rPr>
          <w:rFonts w:hint="eastAsia" w:ascii="宋体" w:hAnsi="宋体" w:cs="宋体"/>
          <w:highlight w:val="none"/>
        </w:rPr>
        <w:fldChar w:fldCharType="separate"/>
      </w:r>
      <w:r>
        <w:rPr>
          <w:rFonts w:hint="eastAsia" w:ascii="宋体" w:cs="宋体"/>
          <w:szCs w:val="21"/>
          <w:highlight w:val="none"/>
        </w:rPr>
        <w:t>1、合同文件适用法律</w:t>
      </w:r>
      <w:r>
        <w:tab/>
      </w:r>
      <w:r>
        <w:fldChar w:fldCharType="begin"/>
      </w:r>
      <w:r>
        <w:instrText xml:space="preserve"> PAGEREF _Toc32162 \h </w:instrText>
      </w:r>
      <w:r>
        <w:fldChar w:fldCharType="separate"/>
      </w:r>
      <w:r>
        <w:t>52</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_Toc18336 </w:instrText>
      </w:r>
      <w:r>
        <w:rPr>
          <w:rFonts w:hint="eastAsia" w:ascii="宋体" w:hAnsi="宋体" w:cs="宋体"/>
          <w:highlight w:val="none"/>
        </w:rPr>
        <w:fldChar w:fldCharType="separate"/>
      </w:r>
      <w:r>
        <w:rPr>
          <w:rFonts w:hint="eastAsia" w:ascii="宋体" w:cs="宋体"/>
          <w:szCs w:val="21"/>
          <w:highlight w:val="none"/>
        </w:rPr>
        <w:t>2、合同文件组成和解释顺序</w:t>
      </w:r>
      <w:r>
        <w:tab/>
      </w:r>
      <w:r>
        <w:fldChar w:fldCharType="begin"/>
      </w:r>
      <w:r>
        <w:instrText xml:space="preserve"> PAGEREF _Toc18336 \h </w:instrText>
      </w:r>
      <w:r>
        <w:fldChar w:fldCharType="separate"/>
      </w:r>
      <w:r>
        <w:t>52</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_Toc4377 </w:instrText>
      </w:r>
      <w:r>
        <w:rPr>
          <w:rFonts w:hint="eastAsia" w:ascii="宋体" w:hAnsi="宋体" w:cs="宋体"/>
          <w:highlight w:val="none"/>
        </w:rPr>
        <w:fldChar w:fldCharType="separate"/>
      </w:r>
      <w:r>
        <w:rPr>
          <w:rFonts w:hint="eastAsia" w:ascii="宋体" w:cs="宋体"/>
          <w:szCs w:val="21"/>
          <w:highlight w:val="none"/>
        </w:rPr>
        <w:t>3、合同文件使用文字</w:t>
      </w:r>
      <w:r>
        <w:tab/>
      </w:r>
      <w:r>
        <w:fldChar w:fldCharType="begin"/>
      </w:r>
      <w:r>
        <w:instrText xml:space="preserve"> PAGEREF _Toc4377 \h </w:instrText>
      </w:r>
      <w:r>
        <w:fldChar w:fldCharType="separate"/>
      </w:r>
      <w:r>
        <w:t>52</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_Toc32391 </w:instrText>
      </w:r>
      <w:r>
        <w:rPr>
          <w:rFonts w:hint="eastAsia" w:ascii="宋体" w:hAnsi="宋体" w:cs="宋体"/>
          <w:highlight w:val="none"/>
        </w:rPr>
        <w:fldChar w:fldCharType="separate"/>
      </w:r>
      <w:r>
        <w:rPr>
          <w:rFonts w:hint="eastAsia" w:ascii="宋体" w:cs="宋体"/>
          <w:szCs w:val="21"/>
          <w:highlight w:val="none"/>
        </w:rPr>
        <w:t>二.  标的物的一般条款</w:t>
      </w:r>
      <w:r>
        <w:tab/>
      </w:r>
      <w:r>
        <w:fldChar w:fldCharType="begin"/>
      </w:r>
      <w:r>
        <w:instrText xml:space="preserve"> PAGEREF _Toc32391 \h </w:instrText>
      </w:r>
      <w:r>
        <w:fldChar w:fldCharType="separate"/>
      </w:r>
      <w:r>
        <w:t>52</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_Toc22561 </w:instrText>
      </w:r>
      <w:r>
        <w:rPr>
          <w:rFonts w:hint="eastAsia" w:ascii="宋体" w:hAnsi="宋体" w:cs="宋体"/>
          <w:highlight w:val="none"/>
        </w:rPr>
        <w:fldChar w:fldCharType="separate"/>
      </w:r>
      <w:r>
        <w:rPr>
          <w:rFonts w:hint="eastAsia" w:ascii="宋体" w:cs="宋体"/>
          <w:szCs w:val="21"/>
          <w:highlight w:val="none"/>
        </w:rPr>
        <w:t>4、完整物权</w:t>
      </w:r>
      <w:r>
        <w:tab/>
      </w:r>
      <w:r>
        <w:fldChar w:fldCharType="begin"/>
      </w:r>
      <w:r>
        <w:instrText xml:space="preserve"> PAGEREF _Toc22561 \h </w:instrText>
      </w:r>
      <w:r>
        <w:fldChar w:fldCharType="separate"/>
      </w:r>
      <w:r>
        <w:t>52</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_Toc10067 </w:instrText>
      </w:r>
      <w:r>
        <w:rPr>
          <w:rFonts w:hint="eastAsia" w:ascii="宋体" w:hAnsi="宋体" w:cs="宋体"/>
          <w:highlight w:val="none"/>
        </w:rPr>
        <w:fldChar w:fldCharType="separate"/>
      </w:r>
      <w:r>
        <w:rPr>
          <w:rFonts w:hint="eastAsia" w:ascii="宋体" w:cs="宋体"/>
          <w:szCs w:val="21"/>
          <w:highlight w:val="none"/>
        </w:rPr>
        <w:t>5、质量保证</w:t>
      </w:r>
      <w:r>
        <w:tab/>
      </w:r>
      <w:r>
        <w:fldChar w:fldCharType="begin"/>
      </w:r>
      <w:r>
        <w:instrText xml:space="preserve"> PAGEREF _Toc10067 \h </w:instrText>
      </w:r>
      <w:r>
        <w:fldChar w:fldCharType="separate"/>
      </w:r>
      <w:r>
        <w:t>52</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_Toc8360 </w:instrText>
      </w:r>
      <w:r>
        <w:rPr>
          <w:rFonts w:hint="eastAsia" w:ascii="宋体" w:hAnsi="宋体" w:cs="宋体"/>
          <w:highlight w:val="none"/>
        </w:rPr>
        <w:fldChar w:fldCharType="separate"/>
      </w:r>
      <w:r>
        <w:rPr>
          <w:rFonts w:hint="eastAsia" w:ascii="宋体" w:cs="宋体"/>
          <w:szCs w:val="21"/>
          <w:highlight w:val="none"/>
        </w:rPr>
        <w:t>6、包装</w:t>
      </w:r>
      <w:r>
        <w:tab/>
      </w:r>
      <w:r>
        <w:fldChar w:fldCharType="begin"/>
      </w:r>
      <w:r>
        <w:instrText xml:space="preserve"> PAGEREF _Toc8360 \h </w:instrText>
      </w:r>
      <w:r>
        <w:fldChar w:fldCharType="separate"/>
      </w:r>
      <w:r>
        <w:t>53</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_Toc20251 </w:instrText>
      </w:r>
      <w:r>
        <w:rPr>
          <w:rFonts w:hint="eastAsia" w:ascii="宋体" w:hAnsi="宋体" w:cs="宋体"/>
          <w:highlight w:val="none"/>
        </w:rPr>
        <w:fldChar w:fldCharType="separate"/>
      </w:r>
      <w:r>
        <w:rPr>
          <w:rFonts w:hint="eastAsia" w:ascii="宋体" w:cs="宋体"/>
          <w:szCs w:val="21"/>
          <w:highlight w:val="none"/>
        </w:rPr>
        <w:t>7、伴随服务</w:t>
      </w:r>
      <w:r>
        <w:tab/>
      </w:r>
      <w:r>
        <w:fldChar w:fldCharType="begin"/>
      </w:r>
      <w:r>
        <w:instrText xml:space="preserve"> PAGEREF _Toc20251 \h </w:instrText>
      </w:r>
      <w:r>
        <w:fldChar w:fldCharType="separate"/>
      </w:r>
      <w:r>
        <w:t>53</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_Toc18140 </w:instrText>
      </w:r>
      <w:r>
        <w:rPr>
          <w:rFonts w:hint="eastAsia" w:ascii="宋体" w:hAnsi="宋体" w:cs="宋体"/>
          <w:highlight w:val="none"/>
        </w:rPr>
        <w:fldChar w:fldCharType="separate"/>
      </w:r>
      <w:r>
        <w:rPr>
          <w:rFonts w:hint="eastAsia" w:ascii="宋体" w:cs="宋体"/>
          <w:szCs w:val="21"/>
          <w:highlight w:val="none"/>
        </w:rPr>
        <w:t xml:space="preserve">三. </w:t>
      </w:r>
      <w:r>
        <w:rPr>
          <w:rFonts w:hint="eastAsia" w:ascii="宋体" w:hAnsi="宋体" w:eastAsia="宋体" w:cs="宋体"/>
          <w:highlight w:val="none"/>
        </w:rPr>
        <w:t xml:space="preserve"> 检验和验收</w:t>
      </w:r>
      <w:r>
        <w:tab/>
      </w:r>
      <w:r>
        <w:fldChar w:fldCharType="begin"/>
      </w:r>
      <w:r>
        <w:instrText xml:space="preserve"> PAGEREF _Toc18140 \h </w:instrText>
      </w:r>
      <w:r>
        <w:fldChar w:fldCharType="separate"/>
      </w:r>
      <w:r>
        <w:t>53</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_Toc7931 </w:instrText>
      </w:r>
      <w:r>
        <w:rPr>
          <w:rFonts w:hint="eastAsia" w:ascii="宋体" w:hAnsi="宋体" w:cs="宋体"/>
          <w:highlight w:val="none"/>
        </w:rPr>
        <w:fldChar w:fldCharType="separate"/>
      </w:r>
      <w:r>
        <w:rPr>
          <w:rFonts w:hint="eastAsia" w:ascii="宋体" w:cs="宋体"/>
          <w:szCs w:val="21"/>
          <w:highlight w:val="none"/>
        </w:rPr>
        <w:t>四. 对标的物提出异议的时间和办法</w:t>
      </w:r>
      <w:r>
        <w:tab/>
      </w:r>
      <w:r>
        <w:fldChar w:fldCharType="begin"/>
      </w:r>
      <w:r>
        <w:instrText xml:space="preserve"> PAGEREF _Toc7931 \h </w:instrText>
      </w:r>
      <w:r>
        <w:fldChar w:fldCharType="separate"/>
      </w:r>
      <w:r>
        <w:t>53</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_Toc15979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、对标的物提出异议的时间和办法</w:t>
      </w:r>
      <w:r>
        <w:tab/>
      </w:r>
      <w:r>
        <w:fldChar w:fldCharType="begin"/>
      </w:r>
      <w:r>
        <w:instrText xml:space="preserve"> PAGEREF _Toc15979 \h </w:instrText>
      </w:r>
      <w:r>
        <w:fldChar w:fldCharType="separate"/>
      </w:r>
      <w:r>
        <w:t>53</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_Toc30433 </w:instrText>
      </w:r>
      <w:r>
        <w:rPr>
          <w:rFonts w:hint="eastAsia" w:ascii="宋体" w:hAnsi="宋体" w:cs="宋体"/>
          <w:highlight w:val="none"/>
        </w:rPr>
        <w:fldChar w:fldCharType="separate"/>
      </w:r>
      <w:r>
        <w:rPr>
          <w:rFonts w:hint="eastAsia" w:ascii="宋体" w:cs="宋体"/>
          <w:szCs w:val="21"/>
          <w:highlight w:val="none"/>
        </w:rPr>
        <w:t>五. 合同价款和支付</w:t>
      </w:r>
      <w:r>
        <w:tab/>
      </w:r>
      <w:r>
        <w:fldChar w:fldCharType="begin"/>
      </w:r>
      <w:r>
        <w:instrText xml:space="preserve"> PAGEREF _Toc30433 \h </w:instrText>
      </w:r>
      <w:r>
        <w:fldChar w:fldCharType="separate"/>
      </w:r>
      <w:r>
        <w:t>53</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_Toc7837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合同价款和支付</w:t>
      </w:r>
      <w:r>
        <w:tab/>
      </w:r>
      <w:r>
        <w:fldChar w:fldCharType="begin"/>
      </w:r>
      <w:r>
        <w:instrText xml:space="preserve"> PAGEREF _Toc7837 \h </w:instrText>
      </w:r>
      <w:r>
        <w:fldChar w:fldCharType="separate"/>
      </w:r>
      <w:r>
        <w:t>53</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_Toc13252 </w:instrText>
      </w:r>
      <w:r>
        <w:rPr>
          <w:rFonts w:hint="eastAsia" w:ascii="宋体" w:hAnsi="宋体" w:cs="宋体"/>
          <w:highlight w:val="none"/>
        </w:rPr>
        <w:fldChar w:fldCharType="separate"/>
      </w:r>
      <w:r>
        <w:rPr>
          <w:rFonts w:hint="eastAsia" w:ascii="宋体" w:cs="宋体"/>
          <w:szCs w:val="21"/>
          <w:highlight w:val="none"/>
        </w:rPr>
        <w:t>六. 违约责任</w:t>
      </w:r>
      <w:r>
        <w:tab/>
      </w:r>
      <w:r>
        <w:fldChar w:fldCharType="begin"/>
      </w:r>
      <w:r>
        <w:instrText xml:space="preserve"> PAGEREF _Toc13252 \h </w:instrText>
      </w:r>
      <w:r>
        <w:fldChar w:fldCharType="separate"/>
      </w:r>
      <w:r>
        <w:t>54</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_Toc4140 </w:instrText>
      </w:r>
      <w:r>
        <w:rPr>
          <w:rFonts w:hint="eastAsia" w:ascii="宋体" w:hAnsi="宋体" w:cs="宋体"/>
          <w:highlight w:val="none"/>
        </w:rPr>
        <w:fldChar w:fldCharType="separate"/>
      </w:r>
      <w:r>
        <w:rPr>
          <w:rFonts w:hint="eastAsia" w:ascii="宋体" w:hAnsi="宋体" w:cs="宋体"/>
          <w:bCs/>
          <w:kern w:val="0"/>
          <w:szCs w:val="24"/>
          <w:highlight w:val="none"/>
          <w:lang w:val="en-US" w:eastAsia="zh-CN" w:bidi="ar"/>
        </w:rPr>
        <w:t>1</w:t>
      </w:r>
      <w:r>
        <w:rPr>
          <w:rFonts w:hint="eastAsia" w:ascii="宋体" w:hAnsi="宋体" w:eastAsia="宋体" w:cs="宋体"/>
          <w:bCs/>
          <w:kern w:val="0"/>
          <w:szCs w:val="24"/>
          <w:highlight w:val="none"/>
          <w:lang w:val="en-US" w:eastAsia="zh-CN" w:bidi="ar"/>
        </w:rPr>
        <w:t>、违约责任：</w:t>
      </w:r>
      <w:r>
        <w:tab/>
      </w:r>
      <w:r>
        <w:fldChar w:fldCharType="begin"/>
      </w:r>
      <w:r>
        <w:instrText xml:space="preserve"> PAGEREF _Toc4140 \h </w:instrText>
      </w:r>
      <w:r>
        <w:fldChar w:fldCharType="separate"/>
      </w:r>
      <w:r>
        <w:t>54</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_Toc9357 </w:instrText>
      </w:r>
      <w:r>
        <w:rPr>
          <w:rFonts w:hint="eastAsia" w:ascii="宋体" w:hAnsi="宋体" w:cs="宋体"/>
          <w:highlight w:val="none"/>
        </w:rPr>
        <w:fldChar w:fldCharType="separate"/>
      </w:r>
      <w:r>
        <w:rPr>
          <w:rFonts w:hint="eastAsia" w:ascii="宋体" w:cs="宋体"/>
          <w:szCs w:val="21"/>
          <w:highlight w:val="none"/>
        </w:rPr>
        <w:t>七. 索赔</w:t>
      </w:r>
      <w:r>
        <w:tab/>
      </w:r>
      <w:r>
        <w:fldChar w:fldCharType="begin"/>
      </w:r>
      <w:r>
        <w:instrText xml:space="preserve"> PAGEREF _Toc9357 \h </w:instrText>
      </w:r>
      <w:r>
        <w:fldChar w:fldCharType="separate"/>
      </w:r>
      <w:r>
        <w:t>54</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_Toc13075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、索赔</w:t>
      </w:r>
      <w:r>
        <w:tab/>
      </w:r>
      <w:r>
        <w:fldChar w:fldCharType="begin"/>
      </w:r>
      <w:r>
        <w:instrText xml:space="preserve"> PAGEREF _Toc13075 \h </w:instrText>
      </w:r>
      <w:r>
        <w:fldChar w:fldCharType="separate"/>
      </w:r>
      <w:r>
        <w:t>54</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_Toc2866 </w:instrText>
      </w:r>
      <w:r>
        <w:rPr>
          <w:rFonts w:hint="eastAsia" w:ascii="宋体" w:hAnsi="宋体" w:cs="宋体"/>
          <w:highlight w:val="none"/>
        </w:rPr>
        <w:fldChar w:fldCharType="separate"/>
      </w:r>
      <w:r>
        <w:rPr>
          <w:rFonts w:hint="eastAsia" w:ascii="宋体" w:cs="宋体"/>
          <w:szCs w:val="21"/>
          <w:highlight w:val="none"/>
        </w:rPr>
        <w:t>八. 履约保证金</w:t>
      </w:r>
      <w:r>
        <w:tab/>
      </w:r>
      <w:r>
        <w:fldChar w:fldCharType="begin"/>
      </w:r>
      <w:r>
        <w:instrText xml:space="preserve"> PAGEREF _Toc2866 \h </w:instrText>
      </w:r>
      <w:r>
        <w:fldChar w:fldCharType="separate"/>
      </w:r>
      <w:r>
        <w:t>55</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_Toc943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、履约保证金</w:t>
      </w:r>
      <w:r>
        <w:tab/>
      </w:r>
      <w:r>
        <w:fldChar w:fldCharType="begin"/>
      </w:r>
      <w:r>
        <w:instrText xml:space="preserve"> PAGEREF _Toc943 \h </w:instrText>
      </w:r>
      <w:r>
        <w:fldChar w:fldCharType="separate"/>
      </w:r>
      <w:r>
        <w:t>55</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_Toc13277 </w:instrText>
      </w:r>
      <w:r>
        <w:rPr>
          <w:rFonts w:hint="eastAsia" w:ascii="宋体" w:hAnsi="宋体" w:cs="宋体"/>
          <w:highlight w:val="none"/>
        </w:rPr>
        <w:fldChar w:fldCharType="separate"/>
      </w:r>
      <w:r>
        <w:rPr>
          <w:rFonts w:hint="eastAsia" w:ascii="宋体" w:cs="宋体"/>
          <w:szCs w:val="21"/>
          <w:highlight w:val="none"/>
        </w:rPr>
        <w:t>九.  合同的解除和转让</w:t>
      </w:r>
      <w:r>
        <w:tab/>
      </w:r>
      <w:r>
        <w:fldChar w:fldCharType="begin"/>
      </w:r>
      <w:r>
        <w:instrText xml:space="preserve"> PAGEREF _Toc13277 \h </w:instrText>
      </w:r>
      <w:r>
        <w:fldChar w:fldCharType="separate"/>
      </w:r>
      <w:r>
        <w:t>55</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_Toc16853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、合同的解除</w:t>
      </w:r>
      <w:r>
        <w:tab/>
      </w:r>
      <w:r>
        <w:fldChar w:fldCharType="begin"/>
      </w:r>
      <w:r>
        <w:instrText xml:space="preserve"> PAGEREF _Toc16853 \h </w:instrText>
      </w:r>
      <w:r>
        <w:fldChar w:fldCharType="separate"/>
      </w:r>
      <w:r>
        <w:t>55</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_Toc14866 </w:instrText>
      </w:r>
      <w:r>
        <w:rPr>
          <w:rFonts w:hint="eastAsia" w:ascii="宋体" w:hAnsi="宋体" w:cs="宋体"/>
          <w:highlight w:val="none"/>
        </w:rPr>
        <w:fldChar w:fldCharType="separate"/>
      </w:r>
      <w:r>
        <w:rPr>
          <w:rFonts w:hint="eastAsia" w:ascii="宋体" w:cs="宋体"/>
          <w:szCs w:val="21"/>
          <w:highlight w:val="none"/>
          <w:lang w:val="en-US" w:eastAsia="zh-CN"/>
        </w:rPr>
        <w:t>2</w:t>
      </w:r>
      <w:r>
        <w:rPr>
          <w:rFonts w:hint="eastAsia" w:ascii="宋体" w:cs="宋体"/>
          <w:szCs w:val="21"/>
          <w:highlight w:val="none"/>
        </w:rPr>
        <w:t>、合同的转让</w:t>
      </w:r>
      <w:r>
        <w:tab/>
      </w:r>
      <w:r>
        <w:fldChar w:fldCharType="begin"/>
      </w:r>
      <w:r>
        <w:instrText xml:space="preserve"> PAGEREF _Toc14866 \h </w:instrText>
      </w:r>
      <w:r>
        <w:fldChar w:fldCharType="separate"/>
      </w:r>
      <w:r>
        <w:t>55</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_Toc12764 </w:instrText>
      </w:r>
      <w:r>
        <w:rPr>
          <w:rFonts w:hint="eastAsia" w:ascii="宋体" w:hAnsi="宋体" w:cs="宋体"/>
          <w:highlight w:val="none"/>
        </w:rPr>
        <w:fldChar w:fldCharType="separate"/>
      </w:r>
      <w:r>
        <w:rPr>
          <w:rFonts w:hint="eastAsia" w:ascii="宋体" w:cs="宋体"/>
          <w:szCs w:val="21"/>
          <w:highlight w:val="none"/>
        </w:rPr>
        <w:t>十. 合同的生效</w:t>
      </w:r>
      <w:r>
        <w:tab/>
      </w:r>
      <w:r>
        <w:fldChar w:fldCharType="begin"/>
      </w:r>
      <w:r>
        <w:instrText xml:space="preserve"> PAGEREF _Toc12764 \h </w:instrText>
      </w:r>
      <w:r>
        <w:fldChar w:fldCharType="separate"/>
      </w:r>
      <w:r>
        <w:t>55</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_Toc5164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、合同的生效</w:t>
      </w:r>
      <w:r>
        <w:tab/>
      </w:r>
      <w:r>
        <w:fldChar w:fldCharType="begin"/>
      </w:r>
      <w:r>
        <w:instrText xml:space="preserve"> PAGEREF _Toc5164 \h </w:instrText>
      </w:r>
      <w:r>
        <w:fldChar w:fldCharType="separate"/>
      </w:r>
      <w:r>
        <w:t>55</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_Toc3748 </w:instrText>
      </w:r>
      <w:r>
        <w:rPr>
          <w:rFonts w:hint="eastAsia" w:ascii="宋体" w:hAnsi="宋体" w:cs="宋体"/>
          <w:highlight w:val="none"/>
        </w:rPr>
        <w:fldChar w:fldCharType="separate"/>
      </w:r>
      <w:r>
        <w:rPr>
          <w:rFonts w:hint="eastAsia" w:ascii="宋体" w:cs="宋体"/>
          <w:szCs w:val="21"/>
          <w:highlight w:val="none"/>
        </w:rPr>
        <w:t>十一. 争议解决</w:t>
      </w:r>
      <w:r>
        <w:tab/>
      </w:r>
      <w:r>
        <w:fldChar w:fldCharType="begin"/>
      </w:r>
      <w:r>
        <w:instrText xml:space="preserve"> PAGEREF _Toc3748 \h </w:instrText>
      </w:r>
      <w:r>
        <w:fldChar w:fldCharType="separate"/>
      </w:r>
      <w:r>
        <w:t>55</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_Toc32689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、争议解决</w:t>
      </w:r>
      <w:r>
        <w:tab/>
      </w:r>
      <w:r>
        <w:fldChar w:fldCharType="begin"/>
      </w:r>
      <w:r>
        <w:instrText xml:space="preserve"> PAGEREF _Toc32689 \h </w:instrText>
      </w:r>
      <w:r>
        <w:fldChar w:fldCharType="separate"/>
      </w:r>
      <w:r>
        <w:t>55</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_Toc32031 </w:instrText>
      </w:r>
      <w:r>
        <w:rPr>
          <w:rFonts w:hint="eastAsia" w:ascii="宋体" w:hAnsi="宋体" w:cs="宋体"/>
          <w:highlight w:val="none"/>
        </w:rPr>
        <w:fldChar w:fldCharType="separate"/>
      </w:r>
      <w:r>
        <w:rPr>
          <w:rFonts w:hint="eastAsia" w:ascii="宋体" w:cs="宋体"/>
          <w:szCs w:val="21"/>
          <w:highlight w:val="none"/>
        </w:rPr>
        <w:t>十二 .附则</w:t>
      </w:r>
      <w:r>
        <w:tab/>
      </w:r>
      <w:r>
        <w:fldChar w:fldCharType="begin"/>
      </w:r>
      <w:r>
        <w:instrText xml:space="preserve"> PAGEREF _Toc32031 \h </w:instrText>
      </w:r>
      <w:r>
        <w:fldChar w:fldCharType="separate"/>
      </w:r>
      <w:r>
        <w:t>56</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_Toc32069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、合同份数。</w:t>
      </w:r>
      <w:r>
        <w:tab/>
      </w:r>
      <w:r>
        <w:fldChar w:fldCharType="begin"/>
      </w:r>
      <w:r>
        <w:instrText xml:space="preserve"> PAGEREF _Toc32069 \h </w:instrText>
      </w:r>
      <w:r>
        <w:fldChar w:fldCharType="separate"/>
      </w:r>
      <w:r>
        <w:t>56</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_Toc5360 </w:instrText>
      </w:r>
      <w:r>
        <w:rPr>
          <w:rFonts w:hint="eastAsia" w:ascii="宋体" w:hAnsi="宋体" w:cs="宋体"/>
          <w:highlight w:val="none"/>
        </w:rPr>
        <w:fldChar w:fldCharType="separate"/>
      </w:r>
      <w:r>
        <w:rPr>
          <w:rFonts w:hint="eastAsia" w:ascii="宋体" w:cs="宋体"/>
          <w:szCs w:val="21"/>
          <w:highlight w:val="none"/>
          <w:lang w:val="en-US" w:eastAsia="zh-CN"/>
        </w:rPr>
        <w:t>2</w:t>
      </w:r>
      <w:r>
        <w:rPr>
          <w:rFonts w:hint="eastAsia" w:ascii="宋体" w:cs="宋体"/>
          <w:szCs w:val="21"/>
          <w:highlight w:val="none"/>
        </w:rPr>
        <w:t>、未尽事宜</w:t>
      </w:r>
      <w:r>
        <w:tab/>
      </w:r>
      <w:r>
        <w:fldChar w:fldCharType="begin"/>
      </w:r>
      <w:r>
        <w:instrText xml:space="preserve"> PAGEREF _Toc5360 \h </w:instrText>
      </w:r>
      <w:r>
        <w:fldChar w:fldCharType="separate"/>
      </w:r>
      <w:r>
        <w:t>56</w:t>
      </w:r>
      <w:r>
        <w:fldChar w:fldCharType="end"/>
      </w:r>
      <w:r>
        <w:rPr>
          <w:rFonts w:hint="eastAsia" w:ascii="宋体" w:hAnsi="宋体" w:cs="宋体"/>
          <w:color w:val="auto"/>
          <w:highlight w:val="none"/>
        </w:rPr>
        <w:fldChar w:fldCharType="end"/>
      </w:r>
    </w:p>
    <w:p>
      <w:pPr>
        <w:pStyle w:val="18"/>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_Toc16715 </w:instrText>
      </w:r>
      <w:r>
        <w:rPr>
          <w:rFonts w:hint="eastAsia" w:ascii="宋体" w:hAnsi="宋体" w:cs="宋体"/>
          <w:highlight w:val="none"/>
        </w:rPr>
        <w:fldChar w:fldCharType="separate"/>
      </w:r>
      <w:r>
        <w:rPr>
          <w:rFonts w:hint="eastAsia" w:ascii="宋体" w:hAnsi="宋体" w:eastAsia="宋体" w:cs="宋体"/>
          <w:bCs/>
          <w:kern w:val="36"/>
          <w:szCs w:val="36"/>
          <w:highlight w:val="none"/>
          <w:lang w:val="en-US" w:eastAsia="zh-CN"/>
        </w:rPr>
        <w:t>第六章  投标文件格式</w:t>
      </w:r>
      <w:r>
        <w:tab/>
      </w:r>
      <w:r>
        <w:fldChar w:fldCharType="begin"/>
      </w:r>
      <w:r>
        <w:instrText xml:space="preserve"> PAGEREF _Toc16715 \h </w:instrText>
      </w:r>
      <w:r>
        <w:fldChar w:fldCharType="separate"/>
      </w:r>
      <w:r>
        <w:t>57</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_Toc28432 </w:instrText>
      </w:r>
      <w:r>
        <w:rPr>
          <w:rFonts w:hint="eastAsia" w:ascii="宋体" w:hAnsi="宋体" w:cs="宋体"/>
          <w:highlight w:val="none"/>
        </w:rPr>
        <w:fldChar w:fldCharType="separate"/>
      </w:r>
      <w:r>
        <w:rPr>
          <w:rFonts w:hint="eastAsia" w:ascii="宋体" w:hAnsi="宋体" w:eastAsia="宋体" w:cs="宋体"/>
          <w:bCs/>
          <w:highlight w:val="none"/>
        </w:rPr>
        <w:t>第一部分 资格证明文件</w:t>
      </w:r>
      <w:r>
        <w:tab/>
      </w:r>
      <w:r>
        <w:fldChar w:fldCharType="begin"/>
      </w:r>
      <w:r>
        <w:instrText xml:space="preserve"> PAGEREF _Toc28432 \h </w:instrText>
      </w:r>
      <w:r>
        <w:fldChar w:fldCharType="separate"/>
      </w:r>
      <w:r>
        <w:t>57</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_Toc26229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1、</w:t>
      </w:r>
      <w:r>
        <w:rPr>
          <w:rFonts w:hint="eastAsia" w:ascii="宋体" w:hAnsi="宋体" w:eastAsia="宋体" w:cs="宋体"/>
          <w:bCs/>
          <w:highlight w:val="none"/>
        </w:rPr>
        <w:t xml:space="preserve"> 法人或者非法人组织的营业执照等证明文件或自然人的身份证明</w:t>
      </w:r>
      <w:r>
        <w:tab/>
      </w:r>
      <w:r>
        <w:fldChar w:fldCharType="begin"/>
      </w:r>
      <w:r>
        <w:instrText xml:space="preserve"> PAGEREF _Toc26229 \h </w:instrText>
      </w:r>
      <w:r>
        <w:fldChar w:fldCharType="separate"/>
      </w:r>
      <w:r>
        <w:t>58</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_Toc29342 </w:instrText>
      </w:r>
      <w:r>
        <w:rPr>
          <w:rFonts w:hint="eastAsia" w:ascii="宋体" w:hAnsi="宋体" w:cs="宋体"/>
          <w:highlight w:val="none"/>
        </w:rPr>
        <w:fldChar w:fldCharType="separate"/>
      </w:r>
      <w:r>
        <w:rPr>
          <w:rFonts w:hint="eastAsia" w:ascii="宋体" w:hAnsi="宋体" w:eastAsia="宋体" w:cs="宋体"/>
          <w:highlight w:val="none"/>
          <w:lang w:val="en-US" w:eastAsia="zh-CN"/>
        </w:rPr>
        <w:t>2</w:t>
      </w:r>
      <w:r>
        <w:rPr>
          <w:rFonts w:hint="eastAsia" w:ascii="宋体" w:hAnsi="宋体" w:eastAsia="宋体" w:cs="宋体"/>
          <w:highlight w:val="none"/>
        </w:rPr>
        <w:t xml:space="preserve"> </w:t>
      </w:r>
      <w:r>
        <w:rPr>
          <w:rFonts w:hint="eastAsia" w:ascii="宋体" w:hAnsi="宋体" w:eastAsia="宋体" w:cs="宋体"/>
          <w:bCs/>
          <w:highlight w:val="none"/>
          <w:lang w:eastAsia="zh-CN"/>
        </w:rPr>
        <w:t>、</w:t>
      </w:r>
      <w:r>
        <w:rPr>
          <w:rFonts w:hint="eastAsia" w:ascii="宋体" w:hAnsi="宋体" w:eastAsia="宋体" w:cs="宋体"/>
          <w:bCs/>
          <w:highlight w:val="none"/>
        </w:rPr>
        <w:t>法定代表人资格证明书</w:t>
      </w:r>
      <w:r>
        <w:tab/>
      </w:r>
      <w:r>
        <w:fldChar w:fldCharType="begin"/>
      </w:r>
      <w:r>
        <w:instrText xml:space="preserve"> PAGEREF _Toc29342 \h </w:instrText>
      </w:r>
      <w:r>
        <w:fldChar w:fldCharType="separate"/>
      </w:r>
      <w:r>
        <w:t>59</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_Toc22982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3</w:t>
      </w:r>
      <w:r>
        <w:rPr>
          <w:rFonts w:hint="eastAsia" w:ascii="宋体" w:hAnsi="宋体" w:eastAsia="宋体" w:cs="宋体"/>
          <w:bCs/>
          <w:highlight w:val="none"/>
        </w:rPr>
        <w:t xml:space="preserve"> </w:t>
      </w:r>
      <w:r>
        <w:rPr>
          <w:rFonts w:hint="eastAsia" w:ascii="宋体" w:hAnsi="宋体" w:eastAsia="宋体" w:cs="宋体"/>
          <w:bCs/>
          <w:highlight w:val="none"/>
          <w:lang w:eastAsia="zh-CN"/>
        </w:rPr>
        <w:t>、</w:t>
      </w:r>
      <w:r>
        <w:rPr>
          <w:rFonts w:hint="eastAsia" w:ascii="宋体" w:hAnsi="宋体" w:eastAsia="宋体" w:cs="宋体"/>
          <w:bCs/>
          <w:highlight w:val="none"/>
        </w:rPr>
        <w:t>法定代表人授权委托书</w:t>
      </w:r>
      <w:r>
        <w:tab/>
      </w:r>
      <w:r>
        <w:fldChar w:fldCharType="begin"/>
      </w:r>
      <w:r>
        <w:instrText xml:space="preserve"> PAGEREF _Toc22982 \h </w:instrText>
      </w:r>
      <w:r>
        <w:fldChar w:fldCharType="separate"/>
      </w:r>
      <w:r>
        <w:t>60</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_Toc6479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4</w:t>
      </w:r>
      <w:r>
        <w:rPr>
          <w:rFonts w:hint="eastAsia" w:ascii="宋体" w:hAnsi="宋体" w:eastAsia="宋体" w:cs="宋体"/>
          <w:bCs/>
          <w:highlight w:val="none"/>
          <w:lang w:eastAsia="zh-CN"/>
        </w:rPr>
        <w:t>、</w:t>
      </w:r>
      <w:r>
        <w:rPr>
          <w:rFonts w:hint="eastAsia" w:ascii="宋体" w:hAnsi="宋体" w:eastAsia="宋体" w:cs="宋体"/>
          <w:bCs/>
          <w:highlight w:val="none"/>
        </w:rPr>
        <w:t>投标保证金缴纳凭证或投标担保函</w:t>
      </w:r>
      <w:r>
        <w:tab/>
      </w:r>
      <w:r>
        <w:fldChar w:fldCharType="begin"/>
      </w:r>
      <w:r>
        <w:instrText xml:space="preserve"> PAGEREF _Toc6479 \h </w:instrText>
      </w:r>
      <w:r>
        <w:fldChar w:fldCharType="separate"/>
      </w:r>
      <w:r>
        <w:t>61</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_Toc29668 </w:instrText>
      </w:r>
      <w:r>
        <w:rPr>
          <w:rFonts w:hint="eastAsia" w:ascii="宋体" w:hAnsi="宋体" w:cs="宋体"/>
          <w:highlight w:val="none"/>
        </w:rPr>
        <w:fldChar w:fldCharType="separate"/>
      </w:r>
      <w:r>
        <w:rPr>
          <w:rFonts w:hint="eastAsia" w:ascii="宋体" w:hAnsi="宋体" w:eastAsia="宋体" w:cs="宋体"/>
          <w:bCs/>
          <w:szCs w:val="28"/>
          <w:highlight w:val="none"/>
        </w:rPr>
        <w:t>政府采购投标担保函 （项目用）</w:t>
      </w:r>
      <w:r>
        <w:tab/>
      </w:r>
      <w:r>
        <w:fldChar w:fldCharType="begin"/>
      </w:r>
      <w:r>
        <w:instrText xml:space="preserve"> PAGEREF _Toc29668 \h </w:instrText>
      </w:r>
      <w:r>
        <w:fldChar w:fldCharType="separate"/>
      </w:r>
      <w:r>
        <w:t>61</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_Toc28681 </w:instrText>
      </w:r>
      <w:r>
        <w:rPr>
          <w:rFonts w:hint="eastAsia" w:ascii="宋体" w:hAnsi="宋体" w:cs="宋体"/>
          <w:highlight w:val="none"/>
        </w:rPr>
        <w:fldChar w:fldCharType="separate"/>
      </w:r>
      <w:r>
        <w:rPr>
          <w:rFonts w:hint="eastAsia" w:ascii="宋体" w:hAnsi="宋体" w:eastAsia="宋体" w:cs="宋体"/>
          <w:bCs/>
          <w:kern w:val="0"/>
          <w:szCs w:val="20"/>
          <w:highlight w:val="none"/>
          <w:lang w:val="en-US" w:eastAsia="zh-CN" w:bidi="ar-SA"/>
        </w:rPr>
        <w:t>6、参加政府采购活动前3年内在经营活动中没有重大违法记录的书面声明</w:t>
      </w:r>
      <w:r>
        <w:rPr>
          <w:rFonts w:hint="eastAsia" w:ascii="宋体" w:hAnsi="宋体" w:cs="宋体"/>
          <w:bCs/>
          <w:kern w:val="0"/>
          <w:szCs w:val="20"/>
          <w:highlight w:val="none"/>
          <w:lang w:val="en-US" w:eastAsia="zh-CN" w:bidi="ar-SA"/>
        </w:rPr>
        <w:t>；</w:t>
      </w:r>
      <w:r>
        <w:tab/>
      </w:r>
      <w:r>
        <w:fldChar w:fldCharType="begin"/>
      </w:r>
      <w:r>
        <w:instrText xml:space="preserve"> PAGEREF _Toc28681 \h </w:instrText>
      </w:r>
      <w:r>
        <w:fldChar w:fldCharType="separate"/>
      </w:r>
      <w:r>
        <w:t>62</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_Toc4512 </w:instrText>
      </w:r>
      <w:r>
        <w:rPr>
          <w:rFonts w:hint="eastAsia" w:ascii="宋体" w:hAnsi="宋体" w:cs="宋体"/>
          <w:highlight w:val="none"/>
        </w:rPr>
        <w:fldChar w:fldCharType="separate"/>
      </w:r>
      <w:r>
        <w:rPr>
          <w:rFonts w:hint="eastAsia" w:ascii="宋体" w:hAnsi="宋体" w:eastAsia="宋体" w:cs="宋体"/>
          <w:bCs/>
          <w:kern w:val="0"/>
          <w:szCs w:val="20"/>
          <w:lang w:val="en-US" w:eastAsia="zh-CN" w:bidi="ar-SA"/>
        </w:rPr>
        <w:t xml:space="preserve">9、 </w:t>
      </w:r>
      <w:r>
        <w:rPr>
          <w:rFonts w:hint="eastAsia" w:ascii="宋体" w:hAnsi="宋体" w:eastAsia="宋体" w:cs="宋体"/>
          <w:bCs/>
          <w:kern w:val="0"/>
          <w:szCs w:val="20"/>
          <w:highlight w:val="none"/>
          <w:lang w:val="en-US" w:eastAsia="zh-CN" w:bidi="ar-SA"/>
        </w:rPr>
        <w:t>投标人须知资料表要求的其他资格证明文件；</w:t>
      </w:r>
      <w:r>
        <w:tab/>
      </w:r>
      <w:r>
        <w:fldChar w:fldCharType="begin"/>
      </w:r>
      <w:r>
        <w:instrText xml:space="preserve"> PAGEREF _Toc4512 \h </w:instrText>
      </w:r>
      <w:r>
        <w:fldChar w:fldCharType="separate"/>
      </w:r>
      <w:r>
        <w:t>62</w:t>
      </w:r>
      <w:r>
        <w:fldChar w:fldCharType="end"/>
      </w:r>
      <w:r>
        <w:rPr>
          <w:rFonts w:hint="eastAsia" w:ascii="宋体" w:hAnsi="宋体" w:cs="宋体"/>
          <w:color w:val="auto"/>
          <w:highlight w:val="none"/>
        </w:rPr>
        <w:fldChar w:fldCharType="end"/>
      </w:r>
    </w:p>
    <w:p>
      <w:pPr>
        <w:pStyle w:val="18"/>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_Toc32178 </w:instrText>
      </w:r>
      <w:r>
        <w:rPr>
          <w:rFonts w:hint="eastAsia" w:ascii="宋体" w:hAnsi="宋体" w:cs="宋体"/>
          <w:highlight w:val="none"/>
        </w:rPr>
        <w:fldChar w:fldCharType="separate"/>
      </w:r>
      <w:r>
        <w:rPr>
          <w:rFonts w:hint="eastAsia"/>
          <w:szCs w:val="32"/>
          <w:highlight w:val="none"/>
        </w:rPr>
        <w:t>第二部分  商务及技术文件</w:t>
      </w:r>
      <w:r>
        <w:tab/>
      </w:r>
      <w:r>
        <w:fldChar w:fldCharType="begin"/>
      </w:r>
      <w:r>
        <w:instrText xml:space="preserve"> PAGEREF _Toc32178 \h </w:instrText>
      </w:r>
      <w:r>
        <w:fldChar w:fldCharType="separate"/>
      </w:r>
      <w:r>
        <w:t>63</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_Toc20004 </w:instrText>
      </w:r>
      <w:r>
        <w:rPr>
          <w:rFonts w:hint="eastAsia" w:ascii="宋体" w:hAnsi="宋体" w:cs="宋体"/>
          <w:highlight w:val="none"/>
        </w:rPr>
        <w:fldChar w:fldCharType="separate"/>
      </w:r>
      <w:r>
        <w:rPr>
          <w:rFonts w:hint="eastAsia" w:ascii="宋体" w:hAnsi="宋体" w:cs="宋体"/>
          <w:szCs w:val="21"/>
          <w:highlight w:val="none"/>
          <w:lang w:val="en-US" w:eastAsia="zh-CN"/>
        </w:rPr>
        <w:t>2、</w:t>
      </w:r>
      <w:r>
        <w:rPr>
          <w:rFonts w:hint="eastAsia" w:ascii="宋体" w:hAnsi="宋体" w:eastAsia="宋体" w:cs="宋体"/>
          <w:szCs w:val="21"/>
          <w:highlight w:val="none"/>
        </w:rPr>
        <w:t>开标一览表</w:t>
      </w:r>
      <w:r>
        <w:tab/>
      </w:r>
      <w:r>
        <w:fldChar w:fldCharType="begin"/>
      </w:r>
      <w:r>
        <w:instrText xml:space="preserve"> PAGEREF _Toc20004 \h </w:instrText>
      </w:r>
      <w:r>
        <w:fldChar w:fldCharType="separate"/>
      </w:r>
      <w:r>
        <w:t>66</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_Toc18759 </w:instrText>
      </w:r>
      <w:r>
        <w:rPr>
          <w:rFonts w:hint="eastAsia" w:ascii="宋体" w:hAnsi="宋体" w:cs="宋体"/>
          <w:highlight w:val="none"/>
        </w:rPr>
        <w:fldChar w:fldCharType="separate"/>
      </w:r>
      <w:r>
        <w:rPr>
          <w:rFonts w:hint="default" w:ascii="宋体" w:hAnsi="宋体" w:eastAsia="宋体" w:cs="宋体"/>
          <w:bCs/>
        </w:rPr>
        <w:t xml:space="preserve">3. </w:t>
      </w:r>
      <w:r>
        <w:rPr>
          <w:rFonts w:hint="eastAsia" w:ascii="宋体" w:hAnsi="宋体" w:eastAsia="宋体" w:cs="宋体"/>
          <w:bCs/>
          <w:highlight w:val="none"/>
        </w:rPr>
        <w:t>投标分项报价表</w:t>
      </w:r>
      <w:r>
        <w:tab/>
      </w:r>
      <w:r>
        <w:fldChar w:fldCharType="begin"/>
      </w:r>
      <w:r>
        <w:instrText xml:space="preserve"> PAGEREF _Toc18759 \h </w:instrText>
      </w:r>
      <w:r>
        <w:fldChar w:fldCharType="separate"/>
      </w:r>
      <w:r>
        <w:t>67</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_Toc21287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4、</w:t>
      </w:r>
      <w:r>
        <w:rPr>
          <w:rFonts w:hint="eastAsia" w:ascii="宋体" w:hAnsi="宋体" w:eastAsia="宋体" w:cs="宋体"/>
          <w:bCs/>
          <w:highlight w:val="none"/>
        </w:rPr>
        <w:t>技术规格偏离表</w:t>
      </w:r>
      <w:r>
        <w:tab/>
      </w:r>
      <w:r>
        <w:fldChar w:fldCharType="begin"/>
      </w:r>
      <w:r>
        <w:instrText xml:space="preserve"> PAGEREF _Toc21287 \h </w:instrText>
      </w:r>
      <w:r>
        <w:fldChar w:fldCharType="separate"/>
      </w:r>
      <w:r>
        <w:t>68</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_Toc16803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5</w:t>
      </w:r>
      <w:r>
        <w:rPr>
          <w:rFonts w:hint="eastAsia" w:ascii="宋体" w:hAnsi="宋体" w:eastAsia="宋体" w:cs="宋体"/>
          <w:bCs/>
          <w:highlight w:val="none"/>
          <w:lang w:eastAsia="zh-CN"/>
        </w:rPr>
        <w:t>、</w:t>
      </w:r>
      <w:r>
        <w:rPr>
          <w:rFonts w:hint="eastAsia" w:ascii="宋体" w:hAnsi="宋体" w:eastAsia="宋体" w:cs="宋体"/>
          <w:bCs/>
          <w:highlight w:val="none"/>
        </w:rPr>
        <w:t>商务条款偏离表（投标文件格式</w:t>
      </w:r>
      <w:r>
        <w:rPr>
          <w:rFonts w:hint="eastAsia" w:ascii="宋体" w:hAnsi="宋体" w:eastAsia="宋体" w:cs="宋体"/>
          <w:bCs/>
          <w:highlight w:val="none"/>
          <w:lang w:eastAsia="zh-CN"/>
        </w:rPr>
        <w:t>九</w:t>
      </w:r>
      <w:r>
        <w:rPr>
          <w:rFonts w:hint="eastAsia" w:ascii="宋体" w:hAnsi="宋体" w:eastAsia="宋体" w:cs="宋体"/>
          <w:bCs/>
          <w:highlight w:val="none"/>
        </w:rPr>
        <w:t>）</w:t>
      </w:r>
      <w:r>
        <w:tab/>
      </w:r>
      <w:r>
        <w:fldChar w:fldCharType="begin"/>
      </w:r>
      <w:r>
        <w:instrText xml:space="preserve"> PAGEREF _Toc16803 \h </w:instrText>
      </w:r>
      <w:r>
        <w:fldChar w:fldCharType="separate"/>
      </w:r>
      <w:r>
        <w:t>69</w:t>
      </w:r>
      <w:r>
        <w:fldChar w:fldCharType="end"/>
      </w:r>
      <w:r>
        <w:rPr>
          <w:rFonts w:hint="eastAsia" w:ascii="宋体" w:hAnsi="宋体" w:cs="宋体"/>
          <w:color w:val="auto"/>
          <w:highlight w:val="none"/>
        </w:rPr>
        <w:fldChar w:fldCharType="end"/>
      </w:r>
    </w:p>
    <w:p>
      <w:pPr>
        <w:pStyle w:val="12"/>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_Toc6155 </w:instrText>
      </w:r>
      <w:r>
        <w:rPr>
          <w:rFonts w:hint="eastAsia" w:ascii="宋体" w:hAnsi="宋体" w:cs="宋体"/>
          <w:highlight w:val="none"/>
        </w:rPr>
        <w:fldChar w:fldCharType="separate"/>
      </w:r>
      <w:r>
        <w:rPr>
          <w:rFonts w:hint="eastAsia" w:ascii="宋体" w:hAnsi="宋体" w:eastAsia="宋体" w:cs="宋体"/>
          <w:bCs/>
          <w:kern w:val="0"/>
          <w:szCs w:val="20"/>
          <w:highlight w:val="none"/>
          <w:lang w:val="en-US" w:eastAsia="zh-CN" w:bidi="ar-SA"/>
        </w:rPr>
        <w:t>8、中小企业声明函(货物)</w:t>
      </w:r>
      <w:r>
        <w:tab/>
      </w:r>
      <w:r>
        <w:fldChar w:fldCharType="begin"/>
      </w:r>
      <w:r>
        <w:instrText xml:space="preserve"> PAGEREF _Toc6155 \h </w:instrText>
      </w:r>
      <w:r>
        <w:fldChar w:fldCharType="separate"/>
      </w:r>
      <w:r>
        <w:t>72</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_Toc7341 </w:instrText>
      </w:r>
      <w:r>
        <w:rPr>
          <w:rFonts w:hint="eastAsia" w:ascii="宋体" w:hAnsi="宋体" w:cs="宋体"/>
          <w:highlight w:val="none"/>
        </w:rPr>
        <w:fldChar w:fldCharType="separate"/>
      </w:r>
      <w:r>
        <w:rPr>
          <w:rFonts w:hint="eastAsia" w:ascii="宋体" w:hAnsi="宋体" w:cs="宋体"/>
          <w:bCs/>
          <w:highlight w:val="none"/>
          <w:lang w:val="en-US" w:eastAsia="zh-CN"/>
        </w:rPr>
        <w:t>9</w:t>
      </w:r>
      <w:r>
        <w:rPr>
          <w:rFonts w:hint="eastAsia" w:ascii="宋体" w:hAnsi="宋体" w:eastAsia="宋体" w:cs="宋体"/>
          <w:bCs/>
          <w:highlight w:val="none"/>
          <w:lang w:eastAsia="zh-CN"/>
        </w:rPr>
        <w:t>、</w:t>
      </w:r>
      <w:r>
        <w:rPr>
          <w:rFonts w:hint="eastAsia" w:ascii="宋体" w:hAnsi="宋体" w:eastAsia="宋体" w:cs="宋体"/>
          <w:bCs/>
          <w:highlight w:val="none"/>
        </w:rPr>
        <w:t>投标人关联单位的说明</w:t>
      </w:r>
      <w:r>
        <w:tab/>
      </w:r>
      <w:r>
        <w:fldChar w:fldCharType="begin"/>
      </w:r>
      <w:r>
        <w:instrText xml:space="preserve"> PAGEREF _Toc7341 \h </w:instrText>
      </w:r>
      <w:r>
        <w:fldChar w:fldCharType="separate"/>
      </w:r>
      <w:r>
        <w:t>73</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_Toc28392 </w:instrText>
      </w:r>
      <w:r>
        <w:rPr>
          <w:rFonts w:hint="eastAsia" w:ascii="宋体" w:hAnsi="宋体" w:cs="宋体"/>
          <w:highlight w:val="none"/>
        </w:rPr>
        <w:fldChar w:fldCharType="separate"/>
      </w:r>
      <w:r>
        <w:rPr>
          <w:rFonts w:hint="eastAsia" w:ascii="宋体" w:hAnsi="宋体" w:cs="宋体"/>
          <w:bCs/>
          <w:highlight w:val="none"/>
          <w:lang w:val="en-US" w:eastAsia="zh-CN"/>
        </w:rPr>
        <w:t>10</w:t>
      </w:r>
      <w:r>
        <w:rPr>
          <w:rFonts w:hint="eastAsia" w:ascii="宋体" w:hAnsi="宋体" w:eastAsia="宋体" w:cs="宋体"/>
          <w:bCs/>
          <w:highlight w:val="none"/>
          <w:lang w:val="en-US" w:eastAsia="zh-CN"/>
        </w:rPr>
        <w:t>、</w:t>
      </w:r>
      <w:r>
        <w:rPr>
          <w:rFonts w:hint="eastAsia" w:ascii="宋体" w:hAnsi="宋体" w:eastAsia="宋体" w:cs="宋体"/>
          <w:bCs/>
          <w:highlight w:val="none"/>
          <w:lang w:eastAsia="zh-CN"/>
        </w:rPr>
        <w:t>评分标准和细则中技术部分证明材料（格式自拟）</w:t>
      </w:r>
      <w:r>
        <w:tab/>
      </w:r>
      <w:r>
        <w:fldChar w:fldCharType="begin"/>
      </w:r>
      <w:r>
        <w:instrText xml:space="preserve"> PAGEREF _Toc28392 \h </w:instrText>
      </w:r>
      <w:r>
        <w:fldChar w:fldCharType="separate"/>
      </w:r>
      <w:r>
        <w:t>73</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_Toc12483 </w:instrText>
      </w:r>
      <w:r>
        <w:rPr>
          <w:rFonts w:hint="eastAsia" w:ascii="宋体" w:hAnsi="宋体" w:cs="宋体"/>
          <w:highlight w:val="none"/>
        </w:rPr>
        <w:fldChar w:fldCharType="separate"/>
      </w:r>
      <w:r>
        <w:rPr>
          <w:rFonts w:hint="eastAsia" w:ascii="宋体" w:hAnsi="宋体" w:cs="宋体"/>
          <w:bCs/>
          <w:highlight w:val="none"/>
          <w:lang w:val="en-US" w:eastAsia="zh-CN"/>
        </w:rPr>
        <w:t>11</w:t>
      </w:r>
      <w:r>
        <w:rPr>
          <w:rFonts w:hint="eastAsia" w:ascii="宋体" w:hAnsi="宋体" w:eastAsia="宋体" w:cs="宋体"/>
          <w:bCs/>
          <w:highlight w:val="none"/>
          <w:lang w:val="en-US" w:eastAsia="zh-CN"/>
        </w:rPr>
        <w:t>、</w:t>
      </w:r>
      <w:r>
        <w:rPr>
          <w:rFonts w:hint="eastAsia" w:ascii="宋体" w:hAnsi="宋体" w:eastAsia="宋体" w:cs="宋体"/>
          <w:bCs/>
          <w:highlight w:val="none"/>
          <w:lang w:eastAsia="zh-CN"/>
        </w:rPr>
        <w:t>评分标准和细则中商务部分证明材料（格式自拟）</w:t>
      </w:r>
      <w:r>
        <w:tab/>
      </w:r>
      <w:r>
        <w:fldChar w:fldCharType="begin"/>
      </w:r>
      <w:r>
        <w:instrText xml:space="preserve"> PAGEREF _Toc12483 \h </w:instrText>
      </w:r>
      <w:r>
        <w:fldChar w:fldCharType="separate"/>
      </w:r>
      <w:r>
        <w:t>73</w:t>
      </w:r>
      <w:r>
        <w:fldChar w:fldCharType="end"/>
      </w:r>
      <w:r>
        <w:rPr>
          <w:rFonts w:hint="eastAsia" w:ascii="宋体" w:hAnsi="宋体" w:cs="宋体"/>
          <w:color w:val="auto"/>
          <w:highlight w:val="none"/>
        </w:rPr>
        <w:fldChar w:fldCharType="end"/>
      </w:r>
    </w:p>
    <w:p>
      <w:pPr>
        <w:pStyle w:val="21"/>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_Toc30398 </w:instrText>
      </w:r>
      <w:r>
        <w:rPr>
          <w:rFonts w:hint="eastAsia" w:ascii="宋体" w:hAnsi="宋体" w:cs="宋体"/>
          <w:highlight w:val="none"/>
        </w:rPr>
        <w:fldChar w:fldCharType="separate"/>
      </w:r>
      <w:r>
        <w:rPr>
          <w:rFonts w:hint="eastAsia" w:ascii="宋体" w:hAnsi="宋体" w:cs="宋体"/>
          <w:bCs/>
          <w:highlight w:val="none"/>
          <w:lang w:val="en-US" w:eastAsia="zh-CN"/>
        </w:rPr>
        <w:t>12</w:t>
      </w:r>
      <w:r>
        <w:rPr>
          <w:rFonts w:hint="eastAsia" w:ascii="宋体" w:hAnsi="宋体" w:eastAsia="宋体" w:cs="宋体"/>
          <w:bCs/>
          <w:highlight w:val="none"/>
          <w:lang w:val="en-US" w:eastAsia="zh-CN"/>
        </w:rPr>
        <w:t>、</w:t>
      </w:r>
      <w:r>
        <w:rPr>
          <w:rFonts w:hint="eastAsia" w:ascii="宋体" w:hAnsi="宋体" w:eastAsia="宋体" w:cs="宋体"/>
          <w:bCs/>
          <w:highlight w:val="none"/>
          <w:lang w:eastAsia="zh-CN"/>
        </w:rPr>
        <w:t>投标人认为有必要提供的其他证明材料（格式自拟）</w:t>
      </w:r>
      <w:r>
        <w:tab/>
      </w:r>
      <w:r>
        <w:fldChar w:fldCharType="begin"/>
      </w:r>
      <w:r>
        <w:instrText xml:space="preserve"> PAGEREF _Toc30398 \h </w:instrText>
      </w:r>
      <w:r>
        <w:fldChar w:fldCharType="separate"/>
      </w:r>
      <w:r>
        <w:t>73</w:t>
      </w:r>
      <w:r>
        <w:fldChar w:fldCharType="end"/>
      </w:r>
      <w:r>
        <w:rPr>
          <w:rFonts w:hint="eastAsia" w:ascii="宋体" w:hAnsi="宋体" w:cs="宋体"/>
          <w:color w:val="auto"/>
          <w:highlight w:val="none"/>
        </w:rPr>
        <w:fldChar w:fldCharType="end"/>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6" w:firstLineChars="200"/>
        <w:jc w:val="center"/>
        <w:textAlignment w:val="auto"/>
        <w:rPr>
          <w:rFonts w:hint="eastAsia" w:ascii="宋体" w:hAnsi="宋体" w:cs="宋体"/>
          <w:color w:val="auto"/>
          <w:sz w:val="24"/>
          <w:highlight w:val="none"/>
        </w:rPr>
      </w:pPr>
      <w:r>
        <w:rPr>
          <w:rFonts w:hint="eastAsia" w:ascii="宋体" w:hAnsi="宋体" w:cs="宋体"/>
          <w:color w:val="auto"/>
          <w:highlight w:val="none"/>
        </w:rPr>
        <w:fldChar w:fldCharType="end"/>
      </w:r>
    </w:p>
    <w:p>
      <w:pPr>
        <w:spacing w:line="240" w:lineRule="auto"/>
        <w:jc w:val="center"/>
        <w:rPr>
          <w:rFonts w:ascii="宋体" w:hAnsi="宋体" w:cs="宋体"/>
          <w:b/>
          <w:bCs/>
          <w:color w:val="auto"/>
          <w:kern w:val="36"/>
          <w:sz w:val="36"/>
          <w:szCs w:val="36"/>
          <w:highlight w:val="none"/>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tabs>
          <w:tab w:val="center" w:pos="4155"/>
        </w:tabs>
        <w:bidi w:val="0"/>
        <w:jc w:val="left"/>
        <w:rPr>
          <w:lang w:val="en-US" w:eastAsia="zh-CN"/>
        </w:rPr>
        <w:sectPr>
          <w:footerReference r:id="rId5" w:type="default"/>
          <w:pgSz w:w="11905" w:h="16838"/>
          <w:pgMar w:top="1440" w:right="1797" w:bottom="1440" w:left="1797" w:header="850" w:footer="992" w:gutter="0"/>
          <w:pgNumType w:fmt="decimal" w:start="1"/>
          <w:cols w:space="720" w:num="1"/>
          <w:rtlGutter w:val="0"/>
          <w:docGrid w:type="linesAndChars" w:linePitch="325" w:charSpace="635"/>
        </w:sectPr>
      </w:pPr>
      <w:r>
        <w:rPr>
          <w:rFonts w:hint="eastAsia"/>
          <w:lang w:val="en-US" w:eastAsia="zh-CN"/>
        </w:rPr>
        <w:tab/>
      </w:r>
    </w:p>
    <w:p>
      <w:pPr>
        <w:spacing w:line="240" w:lineRule="auto"/>
        <w:jc w:val="center"/>
        <w:outlineLvl w:val="0"/>
        <w:rPr>
          <w:rFonts w:ascii="宋体" w:hAnsi="宋体" w:cs="宋体"/>
          <w:b/>
          <w:bCs/>
          <w:color w:val="auto"/>
          <w:kern w:val="36"/>
          <w:sz w:val="36"/>
          <w:szCs w:val="36"/>
          <w:highlight w:val="none"/>
        </w:rPr>
      </w:pPr>
      <w:bookmarkStart w:id="20" w:name="_Toc11138"/>
      <w:r>
        <w:rPr>
          <w:rFonts w:ascii="宋体" w:hAnsi="宋体" w:cs="宋体"/>
          <w:b/>
          <w:bCs/>
          <w:color w:val="auto"/>
          <w:kern w:val="36"/>
          <w:sz w:val="36"/>
          <w:szCs w:val="36"/>
          <w:highlight w:val="none"/>
        </w:rPr>
        <w:t>第一</w:t>
      </w:r>
      <w:r>
        <w:rPr>
          <w:rFonts w:hint="eastAsia" w:ascii="宋体" w:hAnsi="宋体" w:cs="宋体"/>
          <w:b/>
          <w:bCs/>
          <w:color w:val="auto"/>
          <w:kern w:val="36"/>
          <w:sz w:val="36"/>
          <w:szCs w:val="36"/>
          <w:highlight w:val="none"/>
          <w:lang w:eastAsia="zh-CN"/>
        </w:rPr>
        <w:t>章</w:t>
      </w:r>
      <w:r>
        <w:rPr>
          <w:rFonts w:ascii="宋体" w:hAnsi="宋体" w:cs="宋体"/>
          <w:b/>
          <w:bCs/>
          <w:color w:val="auto"/>
          <w:kern w:val="36"/>
          <w:sz w:val="36"/>
          <w:szCs w:val="36"/>
          <w:highlight w:val="none"/>
        </w:rPr>
        <w:t xml:space="preserve"> 招标公告</w:t>
      </w:r>
      <w:bookmarkEnd w:id="20"/>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600" w:lineRule="exact"/>
        <w:ind w:left="0" w:right="0" w:firstLine="723" w:firstLineChars="200"/>
        <w:jc w:val="center"/>
        <w:textAlignment w:val="auto"/>
        <w:outlineLvl w:val="1"/>
        <w:rPr>
          <w:rFonts w:hint="eastAsia" w:ascii="新宋体" w:hAnsi="新宋体" w:eastAsia="新宋体" w:cs="新宋体"/>
          <w:b/>
          <w:bCs/>
          <w:color w:val="auto"/>
          <w:kern w:val="0"/>
          <w:sz w:val="36"/>
          <w:szCs w:val="36"/>
          <w:highlight w:val="none"/>
          <w:u w:val="none"/>
          <w:lang w:val="en-US" w:eastAsia="zh-CN" w:bidi="ar"/>
        </w:rPr>
      </w:pPr>
      <w:r>
        <w:rPr>
          <w:rFonts w:hint="eastAsia" w:ascii="新宋体" w:hAnsi="新宋体" w:eastAsia="新宋体" w:cs="新宋体"/>
          <w:b/>
          <w:bCs/>
          <w:color w:val="auto"/>
          <w:kern w:val="0"/>
          <w:sz w:val="36"/>
          <w:szCs w:val="36"/>
          <w:highlight w:val="none"/>
          <w:u w:val="none"/>
          <w:lang w:val="en-US" w:eastAsia="zh-CN" w:bidi="ar"/>
        </w:rPr>
        <w:t xml:space="preserve"> </w:t>
      </w:r>
      <w:bookmarkStart w:id="21" w:name="_Toc15051"/>
      <w:bookmarkStart w:id="22" w:name="_Toc21737"/>
      <w:r>
        <w:rPr>
          <w:rFonts w:hint="eastAsia" w:ascii="新宋体" w:hAnsi="新宋体" w:eastAsia="新宋体" w:cs="新宋体"/>
          <w:b/>
          <w:bCs/>
          <w:color w:val="auto"/>
          <w:kern w:val="0"/>
          <w:sz w:val="36"/>
          <w:szCs w:val="36"/>
          <w:highlight w:val="none"/>
          <w:u w:val="none"/>
          <w:lang w:val="en-US" w:eastAsia="zh-CN" w:bidi="ar"/>
        </w:rPr>
        <w:t>克州疾病预防控制中心离子色谱仪采购项目</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600" w:lineRule="exact"/>
        <w:ind w:left="0" w:right="0" w:firstLine="723" w:firstLineChars="200"/>
        <w:jc w:val="center"/>
        <w:textAlignment w:val="auto"/>
        <w:outlineLvl w:val="1"/>
        <w:rPr>
          <w:rFonts w:hint="eastAsia" w:ascii="新宋体" w:hAnsi="新宋体" w:eastAsia="新宋体" w:cs="新宋体"/>
          <w:b/>
          <w:bCs/>
          <w:color w:val="auto"/>
          <w:kern w:val="0"/>
          <w:sz w:val="36"/>
          <w:szCs w:val="36"/>
          <w:highlight w:val="none"/>
          <w:u w:val="none"/>
          <w:lang w:val="en-US" w:eastAsia="zh-CN" w:bidi="ar"/>
        </w:rPr>
      </w:pPr>
      <w:r>
        <w:rPr>
          <w:rFonts w:hint="eastAsia" w:ascii="新宋体" w:hAnsi="新宋体" w:eastAsia="新宋体" w:cs="新宋体"/>
          <w:b/>
          <w:bCs/>
          <w:color w:val="auto"/>
          <w:kern w:val="0"/>
          <w:sz w:val="36"/>
          <w:szCs w:val="36"/>
          <w:highlight w:val="none"/>
          <w:u w:val="none"/>
          <w:lang w:val="en-US" w:eastAsia="zh-CN" w:bidi="ar"/>
        </w:rPr>
        <w:t>公开招标公告</w:t>
      </w:r>
      <w:bookmarkEnd w:id="21"/>
      <w:bookmarkEnd w:id="22"/>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600" w:lineRule="exact"/>
        <w:ind w:left="0" w:right="0" w:firstLine="803" w:firstLineChars="200"/>
        <w:jc w:val="center"/>
        <w:textAlignment w:val="auto"/>
        <w:outlineLvl w:val="9"/>
        <w:rPr>
          <w:rFonts w:hint="eastAsia" w:ascii="新宋体" w:hAnsi="新宋体" w:eastAsia="新宋体" w:cs="新宋体"/>
          <w:b/>
          <w:bCs/>
          <w:color w:val="auto"/>
          <w:kern w:val="0"/>
          <w:sz w:val="40"/>
          <w:szCs w:val="40"/>
          <w:highlight w:val="none"/>
          <w:u w:val="none"/>
          <w:lang w:val="en-US" w:eastAsia="zh-CN" w:bidi="ar"/>
        </w:rPr>
      </w:pPr>
    </w:p>
    <w:tbl>
      <w:tblPr>
        <w:tblStyle w:val="27"/>
        <w:tblpPr w:leftFromText="180" w:rightFromText="180" w:vertAnchor="page" w:horzAnchor="page" w:tblpX="1354" w:tblpY="371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9280" w:type="dxa"/>
            <w:tcBorders>
              <w:top w:val="single" w:color="auto" w:sz="4" w:space="0"/>
              <w:left w:val="single" w:color="auto" w:sz="4" w:space="0"/>
              <w:bottom w:val="single" w:color="auto" w:sz="4" w:space="0"/>
              <w:right w:val="single" w:color="auto" w:sz="4" w:space="0"/>
            </w:tcBorders>
            <w:noWrap w:val="0"/>
            <w:vAlign w:val="top"/>
          </w:tcPr>
          <w:p>
            <w:pPr>
              <w:pStyle w:val="23"/>
              <w:keepNext w:val="0"/>
              <w:keepLines w:val="0"/>
              <w:widowControl/>
              <w:suppressLineNumbers w:val="0"/>
              <w:autoSpaceDE w:val="0"/>
              <w:autoSpaceDN/>
              <w:spacing w:before="75" w:beforeAutospacing="0" w:after="75" w:afterAutospacing="0" w:line="300" w:lineRule="exact"/>
              <w:ind w:left="0" w:right="0"/>
              <w:jc w:val="left"/>
              <w:rPr>
                <w:rFonts w:hint="eastAsia" w:ascii="新宋体" w:hAnsi="新宋体" w:eastAsia="新宋体" w:cs="新宋体"/>
                <w:color w:val="auto"/>
                <w:sz w:val="21"/>
                <w:szCs w:val="21"/>
                <w:highlight w:val="none"/>
              </w:rPr>
            </w:pPr>
            <w:r>
              <w:rPr>
                <w:rFonts w:hint="eastAsia" w:ascii="新宋体" w:hAnsi="新宋体" w:eastAsia="新宋体" w:cs="新宋体"/>
                <w:i w:val="0"/>
                <w:caps w:val="0"/>
                <w:color w:val="auto"/>
                <w:spacing w:val="0"/>
                <w:kern w:val="0"/>
                <w:sz w:val="21"/>
                <w:szCs w:val="21"/>
                <w:highlight w:val="none"/>
              </w:rPr>
              <w:t>项目概况</w:t>
            </w:r>
          </w:p>
          <w:p>
            <w:pPr>
              <w:pStyle w:val="23"/>
              <w:keepNext w:val="0"/>
              <w:keepLines w:val="0"/>
              <w:widowControl/>
              <w:suppressLineNumbers w:val="0"/>
              <w:autoSpaceDE w:val="0"/>
              <w:autoSpaceDN/>
              <w:spacing w:before="75" w:beforeAutospacing="0" w:after="75" w:afterAutospacing="0" w:line="300" w:lineRule="exact"/>
              <w:ind w:left="0" w:right="0"/>
              <w:rPr>
                <w:rFonts w:hint="eastAsia" w:ascii="新宋体" w:hAnsi="新宋体" w:eastAsia="新宋体" w:cs="新宋体"/>
                <w:color w:val="auto"/>
                <w:sz w:val="21"/>
                <w:szCs w:val="21"/>
                <w:highlight w:val="none"/>
              </w:rPr>
            </w:pPr>
            <w:r>
              <w:rPr>
                <w:rFonts w:hint="eastAsia" w:ascii="新宋体" w:hAnsi="新宋体" w:eastAsia="新宋体" w:cs="新宋体"/>
                <w:i w:val="0"/>
                <w:caps w:val="0"/>
                <w:color w:val="auto"/>
                <w:spacing w:val="0"/>
                <w:kern w:val="0"/>
                <w:sz w:val="21"/>
                <w:szCs w:val="21"/>
                <w:highlight w:val="none"/>
              </w:rPr>
              <w:t xml:space="preserve"> </w:t>
            </w:r>
            <w:r>
              <w:rPr>
                <w:rFonts w:hint="eastAsia" w:ascii="新宋体" w:hAnsi="新宋体" w:eastAsia="新宋体" w:cs="新宋体"/>
                <w:i w:val="0"/>
                <w:caps w:val="0"/>
                <w:color w:val="auto"/>
                <w:spacing w:val="0"/>
                <w:kern w:val="0"/>
                <w:sz w:val="21"/>
                <w:szCs w:val="21"/>
                <w:highlight w:val="none"/>
                <w:lang w:val="en-US" w:eastAsia="zh-CN"/>
              </w:rPr>
              <w:t xml:space="preserve">   克州疾病预防控制中心离子色谱仪采购项目的潜在供应商应在供应商登陆政采云平台http://www.zcygov.cn/，在线申请获取招标文件（登录政府采购云平台 → 项目采购 → 获取招标文件，如有操作性问题，可与政采云在线客服进行咨询，咨询电话：95763）获取采购文件，并于2024年4月8日 10:30（北京时间）前递交投标文件</w:t>
            </w:r>
            <w:r>
              <w:rPr>
                <w:rFonts w:hint="eastAsia" w:ascii="新宋体" w:hAnsi="新宋体" w:eastAsia="新宋体" w:cs="新宋体"/>
                <w:i w:val="0"/>
                <w:caps w:val="0"/>
                <w:color w:val="auto"/>
                <w:spacing w:val="0"/>
                <w:kern w:val="0"/>
                <w:sz w:val="21"/>
                <w:szCs w:val="21"/>
                <w:highlight w:val="none"/>
              </w:rPr>
              <w:t>。</w:t>
            </w:r>
          </w:p>
        </w:tc>
      </w:tr>
    </w:tbl>
    <w:p>
      <w:pPr>
        <w:pStyle w:val="2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0" w:lineRule="exact"/>
        <w:ind w:left="0" w:right="0" w:firstLine="422" w:firstLineChars="200"/>
        <w:jc w:val="both"/>
        <w:textAlignment w:val="auto"/>
        <w:outlineLvl w:val="1"/>
        <w:rPr>
          <w:rFonts w:hint="eastAsia" w:ascii="新宋体" w:hAnsi="新宋体" w:eastAsia="新宋体" w:cs="新宋体"/>
          <w:b/>
          <w:bCs/>
          <w:i w:val="0"/>
          <w:caps w:val="0"/>
          <w:color w:val="auto"/>
          <w:spacing w:val="0"/>
          <w:sz w:val="21"/>
          <w:szCs w:val="21"/>
          <w:highlight w:val="none"/>
        </w:rPr>
      </w:pPr>
      <w:bookmarkStart w:id="23" w:name="_Toc15555"/>
      <w:bookmarkStart w:id="24" w:name="_Toc22556"/>
      <w:r>
        <w:rPr>
          <w:rFonts w:hint="eastAsia" w:ascii="新宋体" w:hAnsi="新宋体" w:eastAsia="新宋体" w:cs="新宋体"/>
          <w:b/>
          <w:bCs/>
          <w:i w:val="0"/>
          <w:caps w:val="0"/>
          <w:color w:val="auto"/>
          <w:spacing w:val="0"/>
          <w:sz w:val="21"/>
          <w:szCs w:val="21"/>
          <w:highlight w:val="none"/>
        </w:rPr>
        <w:t>一、项目基本情况</w:t>
      </w:r>
      <w:bookmarkEnd w:id="23"/>
      <w:bookmarkEnd w:id="24"/>
    </w:p>
    <w:p>
      <w:pPr>
        <w:pStyle w:val="2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0" w:lineRule="exact"/>
        <w:ind w:left="0" w:right="0" w:firstLine="420" w:firstLineChars="200"/>
        <w:jc w:val="both"/>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项目编号：KZZB-2024022 </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项目名称：</w:t>
      </w:r>
      <w:r>
        <w:rPr>
          <w:rFonts w:hint="eastAsia" w:ascii="新宋体" w:hAnsi="新宋体" w:eastAsia="新宋体" w:cs="新宋体"/>
          <w:i w:val="0"/>
          <w:caps w:val="0"/>
          <w:color w:val="auto"/>
          <w:spacing w:val="0"/>
          <w:kern w:val="0"/>
          <w:sz w:val="21"/>
          <w:szCs w:val="21"/>
          <w:highlight w:val="none"/>
          <w:lang w:val="en-US" w:eastAsia="zh-CN"/>
        </w:rPr>
        <w:t>克州疾病预防控制中心离子色谱仪采购项目</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采购方式：公开招标</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8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i w:val="0"/>
          <w:caps w:val="0"/>
          <w:color w:val="auto"/>
          <w:spacing w:val="0"/>
          <w:kern w:val="0"/>
          <w:sz w:val="21"/>
          <w:szCs w:val="21"/>
          <w:highlight w:val="none"/>
        </w:rPr>
        <w:t>预算金额（元）</w:t>
      </w:r>
      <w:r>
        <w:rPr>
          <w:rFonts w:hint="eastAsia" w:ascii="新宋体" w:hAnsi="新宋体" w:eastAsia="新宋体" w:cs="新宋体"/>
          <w:color w:val="auto"/>
          <w:kern w:val="0"/>
          <w:sz w:val="21"/>
          <w:szCs w:val="21"/>
          <w:highlight w:val="none"/>
          <w:u w:val="none"/>
          <w:lang w:val="en-US" w:eastAsia="zh-CN" w:bidi="ar"/>
        </w:rPr>
        <w:t>：1200000</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8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最高限价（元）：1200000</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80"/>
        <w:jc w:val="left"/>
        <w:textAlignment w:val="auto"/>
        <w:rPr>
          <w:rFonts w:hint="eastAsia" w:ascii="新宋体" w:hAnsi="新宋体" w:eastAsia="新宋体" w:cs="新宋体"/>
          <w:i w:val="0"/>
          <w:caps w:val="0"/>
          <w:color w:val="auto"/>
          <w:spacing w:val="0"/>
          <w:kern w:val="0"/>
          <w:sz w:val="21"/>
          <w:szCs w:val="21"/>
          <w:highlight w:val="none"/>
        </w:rPr>
      </w:pPr>
      <w:r>
        <w:rPr>
          <w:rFonts w:hint="eastAsia" w:ascii="新宋体" w:hAnsi="新宋体" w:eastAsia="新宋体" w:cs="新宋体"/>
          <w:i w:val="0"/>
          <w:caps w:val="0"/>
          <w:color w:val="auto"/>
          <w:spacing w:val="0"/>
          <w:kern w:val="0"/>
          <w:sz w:val="21"/>
          <w:szCs w:val="21"/>
          <w:highlight w:val="none"/>
        </w:rPr>
        <w:t>采购需求：</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标项名称:克州疾病预防控制中心离子色谱仪采购项目</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数量: 1  </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预算金额（元）:</w:t>
      </w:r>
      <w:r>
        <w:rPr>
          <w:rFonts w:hint="eastAsia" w:ascii="新宋体" w:hAnsi="新宋体" w:eastAsia="新宋体" w:cs="新宋体"/>
          <w:color w:val="auto"/>
          <w:kern w:val="0"/>
          <w:sz w:val="21"/>
          <w:szCs w:val="21"/>
          <w:highlight w:val="none"/>
          <w:u w:val="none"/>
          <w:lang w:val="en-US" w:eastAsia="zh-CN" w:bidi="ar"/>
        </w:rPr>
        <w:t>1200000</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color w:val="auto"/>
          <w:kern w:val="0"/>
          <w:sz w:val="21"/>
          <w:szCs w:val="21"/>
          <w:highlight w:val="none"/>
          <w:u w:val="none"/>
          <w:lang w:val="en-US" w:eastAsia="zh-CN" w:bidi="ar"/>
        </w:rPr>
        <w:t>单位：台</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简要规格描述或项目基本概况介绍、用途：离子色谱仪一台</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备注：具体详见招标文件采购内容及技术要求</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i w:val="0"/>
          <w:caps w:val="0"/>
          <w:color w:val="auto"/>
          <w:spacing w:val="0"/>
          <w:kern w:val="0"/>
          <w:sz w:val="21"/>
          <w:szCs w:val="21"/>
          <w:highlight w:val="none"/>
          <w:u w:val="none"/>
          <w:lang w:val="en-US" w:eastAsia="zh-CN"/>
        </w:rPr>
      </w:pPr>
      <w:r>
        <w:rPr>
          <w:rFonts w:hint="eastAsia" w:ascii="新宋体" w:hAnsi="新宋体" w:eastAsia="新宋体" w:cs="新宋体"/>
          <w:i w:val="0"/>
          <w:caps w:val="0"/>
          <w:color w:val="auto"/>
          <w:spacing w:val="0"/>
          <w:kern w:val="0"/>
          <w:sz w:val="21"/>
          <w:szCs w:val="21"/>
          <w:highlight w:val="none"/>
        </w:rPr>
        <w:t>合同履行期限：</w:t>
      </w:r>
      <w:r>
        <w:rPr>
          <w:rFonts w:hint="eastAsia" w:ascii="新宋体" w:hAnsi="新宋体" w:eastAsia="新宋体" w:cs="新宋体"/>
          <w:i w:val="0"/>
          <w:caps w:val="0"/>
          <w:color w:val="auto"/>
          <w:spacing w:val="0"/>
          <w:kern w:val="0"/>
          <w:sz w:val="21"/>
          <w:szCs w:val="21"/>
          <w:highlight w:val="none"/>
          <w:lang w:eastAsia="zh-CN"/>
        </w:rPr>
        <w:t>标项</w:t>
      </w:r>
      <w:r>
        <w:rPr>
          <w:rFonts w:hint="eastAsia" w:ascii="新宋体" w:hAnsi="新宋体" w:eastAsia="新宋体" w:cs="新宋体"/>
          <w:i w:val="0"/>
          <w:caps w:val="0"/>
          <w:color w:val="auto"/>
          <w:spacing w:val="0"/>
          <w:kern w:val="0"/>
          <w:sz w:val="21"/>
          <w:szCs w:val="21"/>
          <w:highlight w:val="none"/>
          <w:lang w:val="en-US" w:eastAsia="zh-CN"/>
        </w:rPr>
        <w:t>1，</w:t>
      </w:r>
      <w:r>
        <w:rPr>
          <w:rFonts w:hint="eastAsia" w:ascii="新宋体" w:hAnsi="新宋体" w:eastAsia="新宋体" w:cs="新宋体"/>
          <w:i w:val="0"/>
          <w:caps w:val="0"/>
          <w:color w:val="auto"/>
          <w:spacing w:val="0"/>
          <w:kern w:val="0"/>
          <w:sz w:val="21"/>
          <w:szCs w:val="21"/>
          <w:highlight w:val="none"/>
        </w:rPr>
        <w:t>详见</w:t>
      </w:r>
      <w:r>
        <w:rPr>
          <w:rFonts w:hint="eastAsia" w:ascii="新宋体" w:hAnsi="新宋体" w:eastAsia="新宋体" w:cs="新宋体"/>
          <w:i w:val="0"/>
          <w:caps w:val="0"/>
          <w:color w:val="auto"/>
          <w:spacing w:val="0"/>
          <w:kern w:val="0"/>
          <w:sz w:val="21"/>
          <w:szCs w:val="21"/>
          <w:highlight w:val="none"/>
          <w:lang w:val="en-US" w:eastAsia="zh-CN"/>
        </w:rPr>
        <w:t>招标文件</w:t>
      </w:r>
      <w:r>
        <w:rPr>
          <w:rFonts w:hint="eastAsia" w:ascii="新宋体" w:hAnsi="新宋体" w:eastAsia="新宋体" w:cs="新宋体"/>
          <w:i w:val="0"/>
          <w:caps w:val="0"/>
          <w:color w:val="auto"/>
          <w:spacing w:val="0"/>
          <w:kern w:val="0"/>
          <w:sz w:val="21"/>
          <w:szCs w:val="21"/>
          <w:highlight w:val="none"/>
        </w:rPr>
        <w:t xml:space="preserve"> </w:t>
      </w:r>
    </w:p>
    <w:p>
      <w:pPr>
        <w:pStyle w:val="2"/>
        <w:keepNext w:val="0"/>
        <w:keepLines w:val="0"/>
        <w:pageBreakBefore w:val="0"/>
        <w:tabs>
          <w:tab w:val="left" w:pos="562"/>
          <w:tab w:val="left" w:pos="3372"/>
          <w:tab w:val="left" w:pos="3653"/>
        </w:tabs>
        <w:kinsoku/>
        <w:wordWrap/>
        <w:overflowPunct/>
        <w:topLinePunct w:val="0"/>
        <w:autoSpaceDN/>
        <w:bidi w:val="0"/>
        <w:adjustRightInd/>
        <w:snapToGrid/>
        <w:spacing w:line="380" w:lineRule="exact"/>
        <w:ind w:firstLine="420" w:firstLineChars="200"/>
        <w:textAlignment w:val="auto"/>
        <w:rPr>
          <w:rFonts w:hint="eastAsia" w:ascii="新宋体" w:hAnsi="新宋体" w:eastAsia="新宋体" w:cs="新宋体"/>
          <w:i w:val="0"/>
          <w:caps w:val="0"/>
          <w:color w:val="auto"/>
          <w:spacing w:val="0"/>
          <w:kern w:val="0"/>
          <w:sz w:val="21"/>
          <w:szCs w:val="21"/>
          <w:highlight w:val="none"/>
          <w:lang w:val="en-US" w:eastAsia="zh-CN" w:bidi="ar-SA"/>
        </w:rPr>
      </w:pPr>
      <w:r>
        <w:rPr>
          <w:rFonts w:hint="eastAsia" w:ascii="新宋体" w:hAnsi="新宋体" w:eastAsia="新宋体" w:cs="新宋体"/>
          <w:i w:val="0"/>
          <w:caps w:val="0"/>
          <w:color w:val="auto"/>
          <w:spacing w:val="0"/>
          <w:kern w:val="0"/>
          <w:sz w:val="21"/>
          <w:szCs w:val="21"/>
          <w:highlight w:val="none"/>
          <w:lang w:val="en-US" w:eastAsia="zh-CN" w:bidi="ar-SA"/>
        </w:rPr>
        <w:t>本项目（否）接受联合体投标</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bookmarkStart w:id="25" w:name="_Toc14395"/>
      <w:bookmarkStart w:id="26" w:name="_Toc15167"/>
      <w:r>
        <w:rPr>
          <w:rFonts w:hint="eastAsia" w:ascii="新宋体" w:hAnsi="新宋体" w:eastAsia="新宋体" w:cs="新宋体"/>
          <w:i w:val="0"/>
          <w:caps w:val="0"/>
          <w:color w:val="auto"/>
          <w:spacing w:val="0"/>
          <w:kern w:val="0"/>
          <w:sz w:val="21"/>
          <w:szCs w:val="21"/>
          <w:highlight w:val="none"/>
          <w:lang w:val="en-US" w:eastAsia="zh-CN"/>
        </w:rPr>
        <w:t>二、申请人的资格要求：</w:t>
      </w:r>
      <w:bookmarkEnd w:id="25"/>
      <w:bookmarkEnd w:id="26"/>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bookmarkStart w:id="27" w:name="_Toc21186"/>
      <w:bookmarkStart w:id="28" w:name="_Toc20273"/>
      <w:r>
        <w:rPr>
          <w:rFonts w:hint="eastAsia" w:ascii="新宋体" w:hAnsi="新宋体" w:eastAsia="新宋体" w:cs="新宋体"/>
          <w:i w:val="0"/>
          <w:caps w:val="0"/>
          <w:color w:val="auto"/>
          <w:spacing w:val="0"/>
          <w:kern w:val="0"/>
          <w:sz w:val="21"/>
          <w:szCs w:val="21"/>
          <w:highlight w:val="none"/>
          <w:lang w:val="en-US" w:eastAsia="zh-CN"/>
        </w:rPr>
        <w:t>1.满足《中华人民共和国政府采购法》第二十二条规定；</w:t>
      </w:r>
      <w:bookmarkEnd w:id="27"/>
      <w:bookmarkEnd w:id="28"/>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2.落实政府采购政策需满足的资格要求：标项1：供应商为中小微企业。 </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sectPr>
          <w:footerReference r:id="rId6" w:type="default"/>
          <w:pgSz w:w="11905" w:h="16838"/>
          <w:pgMar w:top="1440" w:right="1083" w:bottom="1440" w:left="1083" w:header="850" w:footer="992" w:gutter="0"/>
          <w:pgNumType w:fmt="decimal"/>
          <w:cols w:space="720" w:num="1"/>
          <w:rtlGutter w:val="0"/>
          <w:docGrid w:type="lines" w:linePitch="314" w:charSpace="0"/>
        </w:sectPr>
      </w:pPr>
    </w:p>
    <w:p>
      <w:pPr>
        <w:pStyle w:val="23"/>
        <w:keepNext w:val="0"/>
        <w:keepLines w:val="0"/>
        <w:pageBreakBefore w:val="0"/>
        <w:kinsoku/>
        <w:wordWrap/>
        <w:overflowPunct/>
        <w:topLinePunct w:val="0"/>
        <w:autoSpaceDE w:val="0"/>
        <w:autoSpaceDN/>
        <w:bidi w:val="0"/>
        <w:adjustRightInd/>
        <w:snapToGrid/>
        <w:spacing w:before="75" w:beforeAutospacing="0" w:after="75" w:afterAutospacing="0" w:line="380" w:lineRule="exact"/>
        <w:ind w:firstLine="420" w:firstLineChars="200"/>
        <w:textAlignment w:val="auto"/>
        <w:outlineLvl w:val="2"/>
        <w:rPr>
          <w:rFonts w:hint="eastAsia" w:ascii="新宋体" w:hAnsi="新宋体" w:eastAsia="新宋体" w:cs="新宋体"/>
          <w:color w:val="auto"/>
          <w:sz w:val="21"/>
          <w:szCs w:val="21"/>
          <w:highlight w:val="none"/>
          <w:lang w:bidi="ar"/>
        </w:rPr>
      </w:pPr>
      <w:bookmarkStart w:id="29" w:name="_Toc18147"/>
      <w:bookmarkStart w:id="30" w:name="_Toc13029"/>
      <w:r>
        <w:rPr>
          <w:rFonts w:hint="eastAsia" w:ascii="新宋体" w:hAnsi="新宋体" w:eastAsia="新宋体" w:cs="新宋体"/>
          <w:color w:val="auto"/>
          <w:sz w:val="21"/>
          <w:szCs w:val="21"/>
          <w:highlight w:val="none"/>
          <w:lang w:bidi="ar"/>
        </w:rPr>
        <w:t>3.本项目的特定资格要求：</w:t>
      </w:r>
      <w:r>
        <w:rPr>
          <w:rFonts w:hint="eastAsia" w:ascii="新宋体" w:hAnsi="新宋体" w:eastAsia="新宋体" w:cs="新宋体"/>
          <w:color w:val="auto"/>
          <w:sz w:val="21"/>
          <w:szCs w:val="21"/>
          <w:highlight w:val="none"/>
          <w:lang w:eastAsia="zh-CN" w:bidi="ar"/>
        </w:rPr>
        <w:t>标项1</w:t>
      </w:r>
      <w:r>
        <w:rPr>
          <w:rFonts w:hint="eastAsia" w:ascii="新宋体" w:hAnsi="新宋体" w:eastAsia="新宋体" w:cs="新宋体"/>
          <w:color w:val="auto"/>
          <w:sz w:val="21"/>
          <w:szCs w:val="21"/>
          <w:highlight w:val="none"/>
          <w:lang w:bidi="ar"/>
        </w:rPr>
        <w:t>：</w:t>
      </w:r>
      <w:bookmarkEnd w:id="29"/>
      <w:bookmarkEnd w:id="3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1).具备三证合一营业执照；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2).法定代表人投标需提供法定代表人资格证明书，委托代理人投标需提供法定代表人授权委托书；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3).投标企业须提供投标人（被授权在职人员）近3个月有效的社保证明；</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4).未被“信用中国”（www.creditchina.gov.cn）、中国政府采购网（www.ccgp.gov.cn）列入失信被执行人、重大税收违法案件当事人名单、政府采购严重违法失信行为记录名单；</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5).投标人具有有效的《医疗器械生产许可证》或《医疗器械经营许可证》。</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default"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eastAsia" w:ascii="新宋体" w:hAnsi="新宋体" w:eastAsia="新宋体" w:cs="新宋体"/>
          <w:color w:val="auto"/>
          <w:kern w:val="0"/>
          <w:sz w:val="21"/>
          <w:szCs w:val="21"/>
          <w:highlight w:val="none"/>
          <w:u w:val="none"/>
          <w:lang w:val="en-US" w:eastAsia="zh-CN" w:bidi="ar"/>
        </w:rPr>
      </w:pPr>
      <w:bookmarkStart w:id="31" w:name="_Toc24575"/>
      <w:bookmarkStart w:id="32" w:name="_Toc8742"/>
      <w:r>
        <w:rPr>
          <w:rFonts w:hint="eastAsia" w:ascii="新宋体" w:hAnsi="新宋体" w:eastAsia="新宋体" w:cs="新宋体"/>
          <w:b/>
          <w:bCs/>
          <w:color w:val="auto"/>
          <w:kern w:val="0"/>
          <w:sz w:val="21"/>
          <w:szCs w:val="21"/>
          <w:highlight w:val="none"/>
          <w:u w:val="none"/>
          <w:lang w:val="en-US" w:eastAsia="zh-CN" w:bidi="ar"/>
        </w:rPr>
        <w:t>三、获取招标文件</w:t>
      </w:r>
      <w:bookmarkEnd w:id="31"/>
      <w:bookmarkEnd w:id="32"/>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0000FF"/>
          <w:kern w:val="0"/>
          <w:sz w:val="21"/>
          <w:szCs w:val="21"/>
          <w:highlight w:val="none"/>
          <w:u w:val="none"/>
          <w:lang w:val="en-US" w:eastAsia="zh-CN" w:bidi="ar"/>
        </w:rPr>
      </w:pPr>
      <w:r>
        <w:rPr>
          <w:rFonts w:hint="eastAsia" w:ascii="新宋体" w:hAnsi="新宋体" w:eastAsia="新宋体" w:cs="新宋体"/>
          <w:color w:val="0000FF"/>
          <w:kern w:val="0"/>
          <w:sz w:val="21"/>
          <w:szCs w:val="21"/>
          <w:highlight w:val="none"/>
          <w:u w:val="none"/>
          <w:lang w:val="en-US" w:eastAsia="zh-CN" w:bidi="ar"/>
        </w:rPr>
        <w:t>时间：2024年 3月13日至2024年3月20日，每天上午10:00至14:00，下午16:00至19：30（北京时间，法定节假日除外）</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地点：供应商登陆政采云平台http://www.zcygov.cn/，在线申请获取招标文件（登录政府采购云平台 → 项目采购 → 获取招标文件，如有操作性问题，可与政采云在线客服进行咨询，咨询电话：</w:t>
      </w:r>
      <w:r>
        <w:rPr>
          <w:rFonts w:hint="eastAsia" w:ascii="新宋体" w:hAnsi="新宋体" w:eastAsia="新宋体" w:cs="新宋体"/>
          <w:i w:val="0"/>
          <w:caps w:val="0"/>
          <w:color w:val="auto"/>
          <w:spacing w:val="0"/>
          <w:kern w:val="0"/>
          <w:sz w:val="21"/>
          <w:szCs w:val="21"/>
          <w:highlight w:val="none"/>
          <w:lang w:val="en-US" w:eastAsia="zh-CN"/>
        </w:rPr>
        <w:t>95763</w:t>
      </w:r>
      <w:r>
        <w:rPr>
          <w:rFonts w:hint="eastAsia" w:ascii="新宋体" w:hAnsi="新宋体" w:eastAsia="新宋体" w:cs="新宋体"/>
          <w:color w:val="auto"/>
          <w:kern w:val="0"/>
          <w:sz w:val="21"/>
          <w:szCs w:val="21"/>
          <w:highlight w:val="none"/>
          <w:u w:val="none"/>
          <w:lang w:val="en-US" w:eastAsia="zh-CN" w:bidi="ar"/>
        </w:rPr>
        <w:t>）。</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方式：（1）线上获取（登录政府采购云平台 → 项目采购 → 获取招标文件）。本次招标不提供纸质版招标文件。</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（2）供应商获取招标文件前应注册成为政府采购云平台正式供应商。</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售价（元）：0</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eastAsia" w:ascii="新宋体" w:hAnsi="新宋体" w:eastAsia="新宋体" w:cs="新宋体"/>
          <w:b/>
          <w:bCs/>
          <w:color w:val="auto"/>
          <w:kern w:val="0"/>
          <w:sz w:val="21"/>
          <w:szCs w:val="21"/>
          <w:highlight w:val="none"/>
          <w:u w:val="none"/>
          <w:lang w:val="en-US" w:eastAsia="zh-CN" w:bidi="ar"/>
        </w:rPr>
      </w:pPr>
      <w:bookmarkStart w:id="33" w:name="_Toc23129"/>
      <w:bookmarkStart w:id="34" w:name="_Toc12869"/>
      <w:r>
        <w:rPr>
          <w:rFonts w:hint="eastAsia" w:ascii="新宋体" w:hAnsi="新宋体" w:eastAsia="新宋体" w:cs="新宋体"/>
          <w:b/>
          <w:bCs/>
          <w:color w:val="auto"/>
          <w:kern w:val="0"/>
          <w:sz w:val="21"/>
          <w:szCs w:val="21"/>
          <w:highlight w:val="none"/>
          <w:u w:val="none"/>
          <w:lang w:val="en-US" w:eastAsia="zh-CN" w:bidi="ar"/>
        </w:rPr>
        <w:t>四、提交投标文件截止时间、开标时间和地点</w:t>
      </w:r>
      <w:bookmarkEnd w:id="33"/>
      <w:bookmarkEnd w:id="34"/>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C00000"/>
          <w:kern w:val="0"/>
          <w:sz w:val="21"/>
          <w:szCs w:val="21"/>
          <w:highlight w:val="none"/>
          <w:u w:val="none"/>
          <w:lang w:val="en-US" w:eastAsia="zh-CN" w:bidi="ar"/>
        </w:rPr>
      </w:pPr>
      <w:r>
        <w:rPr>
          <w:rFonts w:hint="eastAsia" w:ascii="新宋体" w:hAnsi="新宋体" w:eastAsia="新宋体" w:cs="新宋体"/>
          <w:color w:val="C00000"/>
          <w:kern w:val="0"/>
          <w:sz w:val="21"/>
          <w:szCs w:val="21"/>
          <w:highlight w:val="none"/>
          <w:u w:val="none"/>
          <w:lang w:val="en-US" w:eastAsia="zh-CN" w:bidi="ar"/>
        </w:rPr>
        <w:t>提交投标文件截止时间：2024年4月8日 10：30 （北京时间）</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C00000"/>
          <w:kern w:val="0"/>
          <w:sz w:val="21"/>
          <w:szCs w:val="21"/>
          <w:highlight w:val="none"/>
          <w:u w:val="none"/>
          <w:lang w:val="en-US" w:eastAsia="zh-CN" w:bidi="ar"/>
        </w:rPr>
      </w:pPr>
      <w:r>
        <w:rPr>
          <w:rFonts w:hint="eastAsia" w:ascii="新宋体" w:hAnsi="新宋体" w:eastAsia="新宋体" w:cs="新宋体"/>
          <w:color w:val="C00000"/>
          <w:kern w:val="0"/>
          <w:sz w:val="21"/>
          <w:szCs w:val="21"/>
          <w:highlight w:val="none"/>
          <w:u w:val="none"/>
          <w:lang w:val="en-US" w:eastAsia="zh-CN" w:bidi="ar"/>
        </w:rPr>
        <w:t>投标地点：政府采购云平台（</w:t>
      </w:r>
      <w:r>
        <w:rPr>
          <w:rFonts w:hint="eastAsia" w:ascii="新宋体" w:hAnsi="新宋体" w:eastAsia="新宋体" w:cs="新宋体"/>
          <w:color w:val="C00000"/>
          <w:kern w:val="0"/>
          <w:sz w:val="21"/>
          <w:szCs w:val="21"/>
          <w:highlight w:val="none"/>
          <w:u w:val="none"/>
          <w:lang w:val="en-US" w:eastAsia="zh-CN" w:bidi="ar"/>
        </w:rPr>
        <w:fldChar w:fldCharType="begin"/>
      </w:r>
      <w:r>
        <w:rPr>
          <w:rFonts w:hint="eastAsia" w:ascii="新宋体" w:hAnsi="新宋体" w:eastAsia="新宋体" w:cs="新宋体"/>
          <w:color w:val="C00000"/>
          <w:kern w:val="0"/>
          <w:sz w:val="21"/>
          <w:szCs w:val="21"/>
          <w:highlight w:val="none"/>
          <w:u w:val="none"/>
          <w:lang w:val="en-US" w:eastAsia="zh-CN" w:bidi="ar"/>
        </w:rPr>
        <w:instrText xml:space="preserve"> HYPERLINK "http://www.zcygov.cn/" </w:instrText>
      </w:r>
      <w:r>
        <w:rPr>
          <w:rFonts w:hint="eastAsia" w:ascii="新宋体" w:hAnsi="新宋体" w:eastAsia="新宋体" w:cs="新宋体"/>
          <w:color w:val="C00000"/>
          <w:kern w:val="0"/>
          <w:sz w:val="21"/>
          <w:szCs w:val="21"/>
          <w:highlight w:val="none"/>
          <w:u w:val="none"/>
          <w:lang w:val="en-US" w:eastAsia="zh-CN" w:bidi="ar"/>
        </w:rPr>
        <w:fldChar w:fldCharType="separate"/>
      </w:r>
      <w:r>
        <w:rPr>
          <w:rFonts w:hint="eastAsia" w:ascii="新宋体" w:hAnsi="新宋体" w:eastAsia="新宋体" w:cs="新宋体"/>
          <w:color w:val="C00000"/>
          <w:kern w:val="0"/>
          <w:sz w:val="21"/>
          <w:szCs w:val="21"/>
          <w:highlight w:val="none"/>
          <w:u w:val="none"/>
          <w:lang w:val="en-US" w:eastAsia="zh-CN" w:bidi="ar"/>
        </w:rPr>
        <w:t>www.zcygov.cn</w:t>
      </w:r>
      <w:r>
        <w:rPr>
          <w:rFonts w:hint="eastAsia" w:ascii="新宋体" w:hAnsi="新宋体" w:eastAsia="新宋体" w:cs="新宋体"/>
          <w:color w:val="C00000"/>
          <w:kern w:val="0"/>
          <w:sz w:val="21"/>
          <w:szCs w:val="21"/>
          <w:highlight w:val="none"/>
          <w:u w:val="none"/>
          <w:lang w:val="en-US" w:eastAsia="zh-CN" w:bidi="ar"/>
        </w:rPr>
        <w:fldChar w:fldCharType="end"/>
      </w:r>
      <w:r>
        <w:rPr>
          <w:rFonts w:hint="eastAsia" w:ascii="新宋体" w:hAnsi="新宋体" w:eastAsia="新宋体" w:cs="新宋体"/>
          <w:color w:val="C00000"/>
          <w:kern w:val="0"/>
          <w:sz w:val="21"/>
          <w:szCs w:val="21"/>
          <w:highlight w:val="none"/>
          <w:u w:val="none"/>
          <w:lang w:val="en-US" w:eastAsia="zh-CN" w:bidi="ar"/>
        </w:rPr>
        <w:t>）</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C00000"/>
          <w:kern w:val="0"/>
          <w:sz w:val="21"/>
          <w:szCs w:val="21"/>
          <w:highlight w:val="none"/>
          <w:u w:val="none"/>
          <w:lang w:val="en-US" w:eastAsia="zh-CN" w:bidi="ar"/>
        </w:rPr>
      </w:pPr>
      <w:r>
        <w:rPr>
          <w:rFonts w:hint="eastAsia" w:ascii="新宋体" w:hAnsi="新宋体" w:eastAsia="新宋体" w:cs="新宋体"/>
          <w:color w:val="C00000"/>
          <w:kern w:val="0"/>
          <w:sz w:val="21"/>
          <w:szCs w:val="21"/>
          <w:highlight w:val="none"/>
          <w:u w:val="none"/>
          <w:lang w:val="en-US" w:eastAsia="zh-CN" w:bidi="ar"/>
        </w:rPr>
        <w:t>开标时间：2024年4月8日 10：30（北京时间）</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i w:val="0"/>
          <w:caps w:val="0"/>
          <w:color w:val="auto"/>
          <w:spacing w:val="0"/>
          <w:kern w:val="0"/>
          <w:sz w:val="21"/>
          <w:szCs w:val="21"/>
          <w:highlight w:val="none"/>
        </w:rPr>
      </w:pPr>
      <w:r>
        <w:rPr>
          <w:rFonts w:hint="eastAsia" w:ascii="新宋体" w:hAnsi="新宋体" w:eastAsia="新宋体" w:cs="新宋体"/>
          <w:i w:val="0"/>
          <w:caps w:val="0"/>
          <w:color w:val="auto"/>
          <w:spacing w:val="0"/>
          <w:kern w:val="0"/>
          <w:sz w:val="21"/>
          <w:szCs w:val="21"/>
          <w:highlight w:val="none"/>
        </w:rPr>
        <w:t>开标地点：在政府采购云平台（</w:t>
      </w:r>
      <w:r>
        <w:rPr>
          <w:rFonts w:hint="eastAsia" w:ascii="新宋体" w:hAnsi="新宋体" w:eastAsia="新宋体" w:cs="新宋体"/>
          <w:i w:val="0"/>
          <w:caps w:val="0"/>
          <w:color w:val="auto"/>
          <w:spacing w:val="0"/>
          <w:kern w:val="0"/>
          <w:sz w:val="21"/>
          <w:szCs w:val="21"/>
          <w:highlight w:val="none"/>
        </w:rPr>
        <w:fldChar w:fldCharType="begin"/>
      </w:r>
      <w:r>
        <w:rPr>
          <w:rFonts w:hint="eastAsia" w:ascii="新宋体" w:hAnsi="新宋体" w:eastAsia="新宋体" w:cs="新宋体"/>
          <w:i w:val="0"/>
          <w:caps w:val="0"/>
          <w:color w:val="auto"/>
          <w:spacing w:val="0"/>
          <w:kern w:val="0"/>
          <w:sz w:val="21"/>
          <w:szCs w:val="21"/>
          <w:highlight w:val="none"/>
        </w:rPr>
        <w:instrText xml:space="preserve"> HYPERLINK "http://www.zcygov.cn/" </w:instrText>
      </w:r>
      <w:r>
        <w:rPr>
          <w:rFonts w:hint="eastAsia" w:ascii="新宋体" w:hAnsi="新宋体" w:eastAsia="新宋体" w:cs="新宋体"/>
          <w:i w:val="0"/>
          <w:caps w:val="0"/>
          <w:color w:val="auto"/>
          <w:spacing w:val="0"/>
          <w:kern w:val="0"/>
          <w:sz w:val="21"/>
          <w:szCs w:val="21"/>
          <w:highlight w:val="none"/>
        </w:rPr>
        <w:fldChar w:fldCharType="separate"/>
      </w:r>
      <w:r>
        <w:rPr>
          <w:rFonts w:hint="eastAsia" w:ascii="新宋体" w:hAnsi="新宋体" w:eastAsia="新宋体" w:cs="新宋体"/>
          <w:i w:val="0"/>
          <w:caps w:val="0"/>
          <w:color w:val="auto"/>
          <w:spacing w:val="0"/>
          <w:kern w:val="0"/>
          <w:sz w:val="21"/>
          <w:szCs w:val="21"/>
          <w:highlight w:val="none"/>
        </w:rPr>
        <w:t>www.zcygov.cn</w:t>
      </w:r>
      <w:r>
        <w:rPr>
          <w:rFonts w:hint="eastAsia" w:ascii="新宋体" w:hAnsi="新宋体" w:eastAsia="新宋体" w:cs="新宋体"/>
          <w:i w:val="0"/>
          <w:caps w:val="0"/>
          <w:color w:val="auto"/>
          <w:spacing w:val="0"/>
          <w:kern w:val="0"/>
          <w:sz w:val="21"/>
          <w:szCs w:val="21"/>
          <w:highlight w:val="none"/>
        </w:rPr>
        <w:fldChar w:fldCharType="end"/>
      </w:r>
      <w:r>
        <w:rPr>
          <w:rFonts w:hint="eastAsia" w:ascii="新宋体" w:hAnsi="新宋体" w:eastAsia="新宋体" w:cs="新宋体"/>
          <w:i w:val="0"/>
          <w:caps w:val="0"/>
          <w:color w:val="auto"/>
          <w:spacing w:val="0"/>
          <w:kern w:val="0"/>
          <w:sz w:val="21"/>
          <w:szCs w:val="21"/>
          <w:highlight w:val="none"/>
        </w:rPr>
        <w:t>）上开启投标文件</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eastAsia" w:ascii="新宋体" w:hAnsi="新宋体" w:eastAsia="新宋体" w:cs="新宋体"/>
          <w:b/>
          <w:bCs/>
          <w:color w:val="auto"/>
          <w:kern w:val="0"/>
          <w:sz w:val="21"/>
          <w:szCs w:val="21"/>
          <w:highlight w:val="none"/>
          <w:u w:val="none"/>
          <w:lang w:val="en-US" w:eastAsia="zh-CN" w:bidi="ar"/>
        </w:rPr>
      </w:pPr>
      <w:bookmarkStart w:id="35" w:name="_Toc18450"/>
      <w:bookmarkStart w:id="36" w:name="_Toc16652"/>
      <w:r>
        <w:rPr>
          <w:rFonts w:hint="eastAsia" w:ascii="新宋体" w:hAnsi="新宋体" w:eastAsia="新宋体" w:cs="新宋体"/>
          <w:b/>
          <w:bCs/>
          <w:color w:val="auto"/>
          <w:kern w:val="0"/>
          <w:sz w:val="21"/>
          <w:szCs w:val="21"/>
          <w:highlight w:val="none"/>
          <w:u w:val="none"/>
          <w:lang w:val="en-US" w:eastAsia="zh-CN" w:bidi="ar"/>
        </w:rPr>
        <w:t>五、公告期限</w:t>
      </w:r>
      <w:bookmarkEnd w:id="35"/>
      <w:bookmarkEnd w:id="36"/>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自本公告发布之日起5个工作日</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default" w:ascii="新宋体" w:hAnsi="新宋体" w:eastAsia="新宋体" w:cs="新宋体"/>
          <w:b/>
          <w:bCs/>
          <w:color w:val="auto"/>
          <w:kern w:val="0"/>
          <w:sz w:val="21"/>
          <w:szCs w:val="21"/>
          <w:highlight w:val="none"/>
          <w:u w:val="none"/>
          <w:lang w:val="en-US" w:eastAsia="zh-CN" w:bidi="ar"/>
        </w:rPr>
      </w:pPr>
      <w:bookmarkStart w:id="37" w:name="_Toc28795"/>
      <w:bookmarkStart w:id="38" w:name="_Toc15231"/>
      <w:r>
        <w:rPr>
          <w:rFonts w:hint="eastAsia" w:ascii="新宋体" w:hAnsi="新宋体" w:eastAsia="新宋体" w:cs="新宋体"/>
          <w:b/>
          <w:bCs/>
          <w:color w:val="auto"/>
          <w:kern w:val="0"/>
          <w:sz w:val="21"/>
          <w:szCs w:val="21"/>
          <w:highlight w:val="none"/>
          <w:u w:val="none"/>
          <w:lang w:val="en-US" w:eastAsia="zh-CN" w:bidi="ar"/>
        </w:rPr>
        <w:t>六、其他补充事宜</w:t>
      </w:r>
      <w:bookmarkEnd w:id="37"/>
      <w:bookmarkEnd w:id="38"/>
      <w:r>
        <w:rPr>
          <w:rFonts w:hint="eastAsia" w:ascii="新宋体" w:hAnsi="新宋体" w:eastAsia="新宋体" w:cs="新宋体"/>
          <w:b/>
          <w:bCs/>
          <w:color w:val="auto"/>
          <w:kern w:val="0"/>
          <w:sz w:val="21"/>
          <w:szCs w:val="21"/>
          <w:highlight w:val="none"/>
          <w:u w:val="none"/>
          <w:lang w:val="en-US" w:eastAsia="zh-CN" w:bidi="ar"/>
        </w:rPr>
        <w:t xml:space="preserve"> </w:t>
      </w:r>
    </w:p>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08" w:lineRule="atLeast"/>
        <w:ind w:left="0" w:right="0" w:firstLine="1200" w:firstLineChars="500"/>
        <w:jc w:val="left"/>
        <w:rPr>
          <w:rFonts w:hint="eastAsia"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color w:val="auto"/>
          <w:kern w:val="0"/>
          <w:sz w:val="24"/>
          <w:szCs w:val="24"/>
          <w:highlight w:val="none"/>
          <w:u w:val="none"/>
          <w:lang w:val="en-US" w:eastAsia="zh-CN" w:bidi="ar"/>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ascii="仿宋" w:hAnsi="仿宋" w:eastAsia="仿宋" w:cs="仿宋"/>
          <w:i w:val="0"/>
          <w:iCs w:val="0"/>
          <w:caps w:val="0"/>
          <w:color w:val="auto"/>
          <w:spacing w:val="0"/>
          <w:kern w:val="0"/>
          <w:sz w:val="21"/>
          <w:szCs w:val="21"/>
          <w:highlight w:val="none"/>
          <w:lang w:val="en-US" w:eastAsia="zh-CN" w:bidi="ar"/>
        </w:rPr>
      </w:pPr>
      <w:r>
        <w:rPr>
          <w:rFonts w:ascii="仿宋" w:hAnsi="仿宋" w:eastAsia="仿宋" w:cs="仿宋"/>
          <w:i w:val="0"/>
          <w:iCs w:val="0"/>
          <w:caps w:val="0"/>
          <w:color w:val="auto"/>
          <w:spacing w:val="0"/>
          <w:kern w:val="0"/>
          <w:sz w:val="21"/>
          <w:szCs w:val="21"/>
          <w:highlight w:val="none"/>
          <w:lang w:val="en-US" w:eastAsia="zh-CN" w:bidi="ar"/>
        </w:rPr>
        <w:t>特别提示：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1、采购限额标准以上，200万元以下的货物和服务采购项目、400万元以下的工程采购项目，适宜由中小企业提供的，采购人应当专门面向中小企业采购。</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2、超过200万元的货物和服务采购项目、超过400万元的工程采购项目中适宜由中小企业提供的，预留该部分采购项目预算总额的30%以上专门面向中小企业采购，其中预留给小微企业的比例不低于60%。</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82" w:firstLineChars="200"/>
        <w:jc w:val="left"/>
        <w:textAlignment w:val="auto"/>
        <w:rPr>
          <w:rFonts w:hint="eastAsia" w:ascii="新宋体" w:hAnsi="新宋体" w:eastAsia="新宋体" w:cs="新宋体"/>
          <w:b/>
          <w:bCs/>
          <w:color w:val="auto"/>
          <w:kern w:val="0"/>
          <w:sz w:val="24"/>
          <w:szCs w:val="24"/>
          <w:highlight w:val="none"/>
          <w:u w:val="none"/>
          <w:lang w:val="en-US" w:eastAsia="zh-CN" w:bidi="ar"/>
        </w:rPr>
      </w:pP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22" w:firstLineChars="200"/>
        <w:jc w:val="left"/>
        <w:textAlignment w:val="auto"/>
        <w:outlineLvl w:val="1"/>
        <w:rPr>
          <w:rFonts w:hint="eastAsia" w:ascii="新宋体" w:hAnsi="新宋体" w:eastAsia="新宋体" w:cs="新宋体"/>
          <w:color w:val="auto"/>
          <w:kern w:val="0"/>
          <w:sz w:val="21"/>
          <w:szCs w:val="21"/>
          <w:highlight w:val="none"/>
          <w:u w:val="none"/>
          <w:lang w:val="en-US" w:eastAsia="zh-CN" w:bidi="ar"/>
        </w:rPr>
      </w:pPr>
      <w:bookmarkStart w:id="39" w:name="_Toc27444"/>
      <w:bookmarkStart w:id="40" w:name="_Toc19138"/>
      <w:r>
        <w:rPr>
          <w:rFonts w:hint="eastAsia" w:ascii="新宋体" w:hAnsi="新宋体" w:eastAsia="新宋体" w:cs="新宋体"/>
          <w:b/>
          <w:bCs/>
          <w:color w:val="auto"/>
          <w:kern w:val="0"/>
          <w:sz w:val="21"/>
          <w:szCs w:val="21"/>
          <w:highlight w:val="none"/>
          <w:u w:val="none"/>
          <w:lang w:val="en-US" w:eastAsia="zh-CN" w:bidi="ar"/>
        </w:rPr>
        <w:t>七、对本次采购提出询问，请按以下方式联系</w:t>
      </w:r>
      <w:bookmarkEnd w:id="39"/>
      <w:bookmarkEnd w:id="40"/>
      <w:r>
        <w:rPr>
          <w:rFonts w:hint="eastAsia" w:ascii="新宋体" w:hAnsi="新宋体" w:eastAsia="新宋体" w:cs="新宋体"/>
          <w:b/>
          <w:bCs/>
          <w:color w:val="auto"/>
          <w:kern w:val="0"/>
          <w:sz w:val="21"/>
          <w:szCs w:val="21"/>
          <w:highlight w:val="none"/>
          <w:u w:val="none"/>
          <w:lang w:val="en-US" w:eastAsia="zh-CN" w:bidi="ar"/>
        </w:rPr>
        <w:t xml:space="preserve"> </w:t>
      </w:r>
      <w:r>
        <w:rPr>
          <w:rFonts w:hint="eastAsia" w:ascii="新宋体" w:hAnsi="新宋体" w:eastAsia="新宋体" w:cs="新宋体"/>
          <w:color w:val="auto"/>
          <w:kern w:val="0"/>
          <w:sz w:val="21"/>
          <w:szCs w:val="21"/>
          <w:highlight w:val="none"/>
          <w:u w:val="none"/>
          <w:lang w:val="en-US" w:eastAsia="zh-CN" w:bidi="ar"/>
        </w:rPr>
        <w:t xml:space="preserve">        </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outlineLvl w:val="2"/>
        <w:rPr>
          <w:rFonts w:hint="eastAsia" w:ascii="新宋体" w:hAnsi="新宋体" w:eastAsia="新宋体" w:cs="新宋体"/>
          <w:color w:val="auto"/>
          <w:kern w:val="0"/>
          <w:sz w:val="21"/>
          <w:szCs w:val="21"/>
          <w:highlight w:val="none"/>
          <w:u w:val="none"/>
          <w:lang w:val="en-US" w:eastAsia="zh-CN" w:bidi="ar"/>
        </w:rPr>
      </w:pPr>
      <w:bookmarkStart w:id="41" w:name="_Toc16089"/>
      <w:bookmarkStart w:id="42" w:name="_Toc20121"/>
      <w:r>
        <w:rPr>
          <w:rFonts w:hint="eastAsia" w:ascii="新宋体" w:hAnsi="新宋体" w:eastAsia="新宋体" w:cs="新宋体"/>
          <w:color w:val="auto"/>
          <w:kern w:val="0"/>
          <w:sz w:val="21"/>
          <w:szCs w:val="21"/>
          <w:highlight w:val="none"/>
          <w:u w:val="none"/>
          <w:lang w:val="en-US" w:eastAsia="zh-CN" w:bidi="ar"/>
        </w:rPr>
        <w:t>1.采购人信息</w:t>
      </w:r>
      <w:bookmarkEnd w:id="41"/>
      <w:bookmarkEnd w:id="42"/>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名    称：</w:t>
      </w:r>
      <w:r>
        <w:rPr>
          <w:rFonts w:hint="eastAsia" w:cs="宋体"/>
          <w:color w:val="auto"/>
          <w:sz w:val="21"/>
          <w:szCs w:val="21"/>
          <w:highlight w:val="none"/>
          <w:lang w:val="en-US" w:eastAsia="zh-CN"/>
        </w:rPr>
        <w:t>克孜勒苏柯尔克孜自治州疾病预防控制中心</w:t>
      </w:r>
      <w:r>
        <w:rPr>
          <w:rFonts w:hint="eastAsia" w:ascii="新宋体" w:hAnsi="新宋体" w:eastAsia="新宋体" w:cs="新宋体"/>
          <w:color w:val="auto"/>
          <w:kern w:val="0"/>
          <w:sz w:val="21"/>
          <w:szCs w:val="21"/>
          <w:highlight w:val="none"/>
          <w:u w:val="none"/>
          <w:lang w:val="en-US" w:eastAsia="zh-CN" w:bidi="ar"/>
        </w:rPr>
        <w:t xml:space="preserve">         </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地    址：新疆阿图什市站前路12号</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项目联系人：赵女士            </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项目联系方式：0908-4239517  </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outlineLvl w:val="2"/>
        <w:rPr>
          <w:rFonts w:hint="eastAsia" w:ascii="新宋体" w:hAnsi="新宋体" w:eastAsia="新宋体" w:cs="新宋体"/>
          <w:color w:val="auto"/>
          <w:kern w:val="0"/>
          <w:sz w:val="21"/>
          <w:szCs w:val="21"/>
          <w:highlight w:val="none"/>
          <w:u w:val="none"/>
          <w:lang w:val="en-US" w:eastAsia="zh-CN" w:bidi="ar"/>
        </w:rPr>
      </w:pPr>
      <w:bookmarkStart w:id="43" w:name="_Toc7122"/>
      <w:bookmarkStart w:id="44" w:name="_Toc9089"/>
      <w:r>
        <w:rPr>
          <w:rFonts w:hint="eastAsia" w:ascii="新宋体" w:hAnsi="新宋体" w:eastAsia="新宋体" w:cs="新宋体"/>
          <w:color w:val="auto"/>
          <w:kern w:val="0"/>
          <w:sz w:val="21"/>
          <w:szCs w:val="21"/>
          <w:highlight w:val="none"/>
          <w:u w:val="none"/>
          <w:lang w:val="en-US" w:eastAsia="zh-CN" w:bidi="ar"/>
        </w:rPr>
        <w:t>2.采购代理机构信息</w:t>
      </w:r>
      <w:bookmarkEnd w:id="43"/>
      <w:bookmarkEnd w:id="44"/>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名    称：新疆泽远工程项目管理有限公司    </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地    址：阿图什市香港城西区8号楼2单元402室 </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联 系 人：张女士            </w:t>
      </w:r>
    </w:p>
    <w:p>
      <w:pPr>
        <w:pStyle w:val="23"/>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rPr>
      </w:pPr>
      <w:r>
        <w:rPr>
          <w:rFonts w:hint="eastAsia" w:ascii="新宋体" w:hAnsi="新宋体" w:eastAsia="新宋体" w:cs="新宋体"/>
          <w:color w:val="auto"/>
          <w:kern w:val="0"/>
          <w:sz w:val="21"/>
          <w:szCs w:val="21"/>
          <w:highlight w:val="none"/>
          <w:u w:val="none"/>
          <w:lang w:val="en-US" w:eastAsia="zh-CN" w:bidi="ar"/>
        </w:rPr>
        <w:t xml:space="preserve">项目联系方式：13179869852 </w:t>
      </w:r>
    </w:p>
    <w:p>
      <w:pPr>
        <w:rPr>
          <w:color w:val="auto"/>
          <w:highlight w:val="none"/>
        </w:rPr>
      </w:pPr>
    </w:p>
    <w:p>
      <w:pPr>
        <w:pStyle w:val="5"/>
        <w:outlineLvl w:val="9"/>
        <w:rPr>
          <w:color w:val="auto"/>
          <w:highlight w:val="none"/>
        </w:rPr>
      </w:pPr>
    </w:p>
    <w:p>
      <w:pPr>
        <w:rPr>
          <w:color w:val="auto"/>
          <w:highlight w:val="none"/>
        </w:rPr>
      </w:pPr>
    </w:p>
    <w:p>
      <w:pPr>
        <w:pStyle w:val="5"/>
        <w:outlineLvl w:val="9"/>
      </w:pPr>
    </w:p>
    <w:p/>
    <w:p>
      <w:pPr>
        <w:spacing w:line="240" w:lineRule="auto"/>
        <w:jc w:val="center"/>
        <w:outlineLvl w:val="0"/>
        <w:rPr>
          <w:rFonts w:hint="eastAsia" w:ascii="宋体" w:hAnsi="宋体" w:eastAsia="宋体" w:cs="宋体"/>
          <w:b/>
          <w:bCs/>
          <w:color w:val="auto"/>
          <w:kern w:val="36"/>
          <w:sz w:val="36"/>
          <w:szCs w:val="36"/>
          <w:highlight w:val="none"/>
        </w:rPr>
      </w:pPr>
      <w:r>
        <w:rPr>
          <w:rFonts w:hint="eastAsia" w:ascii="宋体" w:hAnsi="宋体" w:eastAsia="宋体" w:cs="宋体"/>
          <w:b/>
          <w:bCs/>
          <w:color w:val="auto"/>
          <w:kern w:val="36"/>
          <w:sz w:val="36"/>
          <w:szCs w:val="36"/>
          <w:highlight w:val="none"/>
          <w:lang w:val="en-US" w:eastAsia="zh-CN"/>
        </w:rPr>
        <w:t xml:space="preserve"> </w:t>
      </w:r>
      <w:bookmarkStart w:id="45" w:name="_Toc31281"/>
      <w:r>
        <w:rPr>
          <w:rFonts w:hint="eastAsia" w:ascii="宋体" w:hAnsi="宋体" w:eastAsia="宋体" w:cs="宋体"/>
          <w:b/>
          <w:bCs/>
          <w:color w:val="auto"/>
          <w:kern w:val="36"/>
          <w:sz w:val="36"/>
          <w:szCs w:val="36"/>
          <w:highlight w:val="none"/>
          <w:lang w:val="en-US" w:eastAsia="zh-CN"/>
        </w:rPr>
        <w:t xml:space="preserve">第二章 </w:t>
      </w:r>
      <w:r>
        <w:rPr>
          <w:rFonts w:hint="eastAsia" w:ascii="宋体" w:hAnsi="宋体" w:eastAsia="宋体" w:cs="宋体"/>
          <w:b/>
          <w:bCs/>
          <w:color w:val="auto"/>
          <w:kern w:val="36"/>
          <w:sz w:val="36"/>
          <w:szCs w:val="36"/>
          <w:highlight w:val="none"/>
        </w:rPr>
        <w:t>投标人须知</w:t>
      </w:r>
      <w:bookmarkEnd w:id="45"/>
    </w:p>
    <w:p>
      <w:pPr>
        <w:numPr>
          <w:ilvl w:val="0"/>
          <w:numId w:val="3"/>
        </w:numPr>
        <w:shd w:val="clear" w:color="auto" w:fill="auto"/>
        <w:spacing w:line="500" w:lineRule="exact"/>
        <w:ind w:left="0" w:leftChars="0" w:firstLine="3520" w:firstLineChars="0"/>
        <w:jc w:val="both"/>
        <w:outlineLvl w:val="1"/>
        <w:rPr>
          <w:rFonts w:hint="eastAsia"/>
          <w:color w:val="auto"/>
          <w:highlight w:val="none"/>
        </w:rPr>
      </w:pPr>
      <w:bookmarkStart w:id="46" w:name="_Toc20957"/>
      <w:r>
        <w:rPr>
          <w:rFonts w:hint="eastAsia" w:ascii="宋体"/>
          <w:b/>
          <w:color w:val="auto"/>
          <w:sz w:val="28"/>
          <w:szCs w:val="28"/>
          <w:highlight w:val="none"/>
        </w:rPr>
        <w:t>投标人须知前附表</w:t>
      </w:r>
      <w:bookmarkEnd w:id="46"/>
    </w:p>
    <w:tbl>
      <w:tblPr>
        <w:tblStyle w:val="27"/>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94" w:leftChars="-45" w:right="-82"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0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1</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highlight w:val="none"/>
                <w:lang w:val="en-US" w:eastAsia="zh-CN"/>
              </w:rPr>
            </w:pPr>
            <w:r>
              <w:rPr>
                <w:rFonts w:hint="default" w:eastAsia="宋体"/>
                <w:b w:val="0"/>
                <w:bCs/>
                <w:color w:val="auto"/>
                <w:sz w:val="21"/>
                <w:szCs w:val="21"/>
                <w:highlight w:val="none"/>
                <w:lang w:val="en-US" w:eastAsia="zh-CN"/>
              </w:rPr>
              <w:t>采购单位：</w:t>
            </w:r>
            <w:r>
              <w:rPr>
                <w:rFonts w:hint="eastAsia"/>
                <w:b w:val="0"/>
                <w:bCs/>
                <w:color w:val="auto"/>
                <w:sz w:val="21"/>
                <w:szCs w:val="21"/>
                <w:highlight w:val="none"/>
                <w:lang w:val="en-US" w:eastAsia="zh-CN"/>
              </w:rPr>
              <w:t>克孜勒苏柯尔克孜自治州疾病预防控制中心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highlight w:val="none"/>
                <w:lang w:val="en-US" w:eastAsia="zh-CN"/>
              </w:rPr>
            </w:pPr>
            <w:r>
              <w:rPr>
                <w:rFonts w:hint="default" w:eastAsia="宋体"/>
                <w:b w:val="0"/>
                <w:bCs/>
                <w:color w:val="auto"/>
                <w:sz w:val="21"/>
                <w:szCs w:val="21"/>
                <w:highlight w:val="none"/>
                <w:lang w:val="en-US" w:eastAsia="zh-CN"/>
              </w:rPr>
              <w:t>联 系 人：</w:t>
            </w:r>
            <w:r>
              <w:rPr>
                <w:rFonts w:hint="eastAsia"/>
                <w:b w:val="0"/>
                <w:bCs/>
                <w:color w:val="auto"/>
                <w:sz w:val="21"/>
                <w:szCs w:val="21"/>
                <w:highlight w:val="none"/>
                <w:lang w:val="en-US" w:eastAsia="zh-CN"/>
              </w:rPr>
              <w:t>赵女士</w:t>
            </w:r>
            <w:r>
              <w:rPr>
                <w:rFonts w:hint="default" w:eastAsia="宋体"/>
                <w:b w:val="0"/>
                <w:bCs/>
                <w:color w:val="auto"/>
                <w:sz w:val="21"/>
                <w:szCs w:val="21"/>
                <w:highlight w:val="none"/>
                <w:lang w:val="en-US" w:eastAsia="zh-CN"/>
              </w:rPr>
              <w:t xml:space="preserve">   联系电话</w:t>
            </w:r>
            <w:r>
              <w:rPr>
                <w:rFonts w:hint="default" w:ascii="Times New Roman" w:hAnsi="Times New Roman" w:eastAsia="宋体" w:cs="Times New Roman"/>
                <w:b w:val="0"/>
                <w:bCs/>
                <w:color w:val="auto"/>
                <w:sz w:val="21"/>
                <w:szCs w:val="21"/>
                <w:highlight w:val="none"/>
                <w:lang w:val="en-US" w:eastAsia="zh-CN"/>
              </w:rPr>
              <w:t>：</w:t>
            </w:r>
            <w:r>
              <w:rPr>
                <w:rFonts w:hint="eastAsia" w:ascii="Times New Roman" w:hAnsi="Times New Roman" w:eastAsia="宋体" w:cs="Times New Roman"/>
                <w:b w:val="0"/>
                <w:bCs/>
                <w:color w:val="auto"/>
                <w:sz w:val="21"/>
                <w:szCs w:val="21"/>
                <w:highlight w:val="none"/>
                <w:lang w:val="en-US" w:eastAsia="zh-CN"/>
              </w:rPr>
              <w:t>0908-4239517</w:t>
            </w:r>
            <w:r>
              <w:rPr>
                <w:rFonts w:hint="default" w:ascii="Times New Roman" w:hAnsi="Times New Roman" w:eastAsia="宋体" w:cs="Times New Roman"/>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default"/>
                <w:b/>
                <w:bCs w:val="0"/>
                <w:color w:val="auto"/>
                <w:sz w:val="21"/>
                <w:szCs w:val="21"/>
                <w:highlight w:val="none"/>
                <w:lang w:val="en-US" w:eastAsia="zh-CN"/>
              </w:rPr>
              <w:t>2</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  称：</w:t>
            </w:r>
            <w:r>
              <w:rPr>
                <w:rFonts w:hint="eastAsia" w:ascii="宋体" w:hAnsi="宋体" w:cs="宋体"/>
                <w:color w:val="auto"/>
                <w:kern w:val="0"/>
                <w:sz w:val="21"/>
                <w:szCs w:val="21"/>
                <w:highlight w:val="none"/>
                <w:lang w:eastAsia="zh-CN"/>
              </w:rPr>
              <w:t>新疆泽远工程项目管理有限公司</w:t>
            </w:r>
          </w:p>
          <w:p>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cs="宋体"/>
                <w:color w:val="auto"/>
                <w:kern w:val="0"/>
                <w:sz w:val="21"/>
                <w:szCs w:val="21"/>
                <w:highlight w:val="none"/>
                <w:lang w:val="en-US" w:eastAsia="zh-CN"/>
              </w:rPr>
              <w:t>阿图什市香港城西区8号楼2单元402室</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张女士</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shd w:val="clear" w:color="auto" w:fill="FFFFFF"/>
              </w:rPr>
              <w:t>联系</w:t>
            </w:r>
            <w:r>
              <w:rPr>
                <w:rFonts w:hint="eastAsia" w:ascii="宋体" w:hAnsi="宋体" w:eastAsia="宋体" w:cs="宋体"/>
                <w:color w:val="auto"/>
                <w:kern w:val="0"/>
                <w:sz w:val="21"/>
                <w:szCs w:val="21"/>
                <w:highlight w:val="none"/>
              </w:rPr>
              <w:t>电话：</w:t>
            </w:r>
            <w:r>
              <w:rPr>
                <w:rFonts w:hint="eastAsia" w:ascii="宋体" w:hAnsi="宋体" w:cs="宋体"/>
                <w:color w:val="auto"/>
                <w:kern w:val="2"/>
                <w:sz w:val="21"/>
                <w:szCs w:val="21"/>
                <w:highlight w:val="none"/>
                <w:lang w:val="en-US" w:eastAsia="zh-CN" w:bidi="ar"/>
              </w:rPr>
              <w:t>13179869852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3</w:t>
            </w:r>
          </w:p>
        </w:tc>
        <w:tc>
          <w:tcPr>
            <w:tcW w:w="1536" w:type="dxa"/>
            <w:noWrap w:val="0"/>
            <w:vAlign w:val="center"/>
          </w:tcPr>
          <w:p>
            <w:pPr>
              <w:pStyle w:val="23"/>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项目名称</w:t>
            </w:r>
          </w:p>
          <w:p>
            <w:pPr>
              <w:pStyle w:val="23"/>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项目编号</w:t>
            </w:r>
          </w:p>
          <w:p>
            <w:pPr>
              <w:pStyle w:val="23"/>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采购内容</w:t>
            </w:r>
          </w:p>
        </w:tc>
        <w:tc>
          <w:tcPr>
            <w:tcW w:w="7288" w:type="dxa"/>
            <w:noWrap w:val="0"/>
            <w:vAlign w:val="center"/>
          </w:tcPr>
          <w:p>
            <w:pPr>
              <w:pStyle w:val="23"/>
              <w:keepNext w:val="0"/>
              <w:keepLines w:val="0"/>
              <w:widowControl/>
              <w:suppressLineNumbers w:val="0"/>
              <w:spacing w:before="0" w:beforeAutospacing="0" w:after="0" w:afterAutospacing="0" w:line="510" w:lineRule="atLeast"/>
              <w:ind w:right="0"/>
              <w:jc w:val="both"/>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项目名称</w:t>
            </w:r>
            <w:r>
              <w:rPr>
                <w:rFonts w:hint="eastAsia" w:ascii="Times New Roman" w:hAnsi="Times New Roman" w:eastAsia="宋体" w:cs="Times New Roman"/>
                <w:b/>
                <w:bCs w:val="0"/>
                <w:color w:val="auto"/>
                <w:kern w:val="2"/>
                <w:sz w:val="21"/>
                <w:szCs w:val="21"/>
                <w:highlight w:val="none"/>
                <w:lang w:val="en-US" w:eastAsia="zh-CN" w:bidi="ar-SA"/>
              </w:rPr>
              <w:t>：</w:t>
            </w:r>
            <w:r>
              <w:rPr>
                <w:rFonts w:hint="eastAsia" w:ascii="Times New Roman" w:hAnsi="Times New Roman" w:cs="Times New Roman"/>
                <w:b w:val="0"/>
                <w:bCs/>
                <w:color w:val="auto"/>
                <w:kern w:val="2"/>
                <w:sz w:val="21"/>
                <w:szCs w:val="21"/>
                <w:highlight w:val="none"/>
                <w:lang w:val="en-US" w:eastAsia="zh-CN" w:bidi="ar-SA"/>
              </w:rPr>
              <w:t>克州疾病预防控制中心离子色谱仪采购项目</w:t>
            </w:r>
            <w:r>
              <w:rPr>
                <w:rFonts w:hint="eastAsia" w:ascii="Times New Roman" w:hAnsi="Times New Roman" w:eastAsia="宋体" w:cs="Times New Roman"/>
                <w:b w:val="0"/>
                <w:bCs/>
                <w:color w:val="auto"/>
                <w:kern w:val="2"/>
                <w:sz w:val="21"/>
                <w:szCs w:val="21"/>
                <w:highlight w:val="none"/>
                <w:lang w:val="en-US" w:eastAsia="zh-CN" w:bidi="ar-SA"/>
              </w:rPr>
              <w:t xml:space="preserve"> </w:t>
            </w:r>
          </w:p>
          <w:p>
            <w:pPr>
              <w:pStyle w:val="23"/>
              <w:keepNext w:val="0"/>
              <w:keepLines w:val="0"/>
              <w:widowControl/>
              <w:suppressLineNumbers w:val="0"/>
              <w:spacing w:before="0" w:beforeAutospacing="0" w:after="0" w:afterAutospacing="0" w:line="510" w:lineRule="atLeast"/>
              <w:ind w:right="0"/>
              <w:jc w:val="both"/>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项目编号</w:t>
            </w:r>
            <w:r>
              <w:rPr>
                <w:rFonts w:hint="eastAsia" w:ascii="Times New Roman" w:hAnsi="Times New Roman" w:eastAsia="宋体" w:cs="Times New Roman"/>
                <w:b/>
                <w:bCs w:val="0"/>
                <w:color w:val="auto"/>
                <w:kern w:val="2"/>
                <w:sz w:val="21"/>
                <w:szCs w:val="21"/>
                <w:highlight w:val="none"/>
                <w:lang w:val="en-US" w:eastAsia="zh-CN" w:bidi="ar-SA"/>
              </w:rPr>
              <w:t>：</w:t>
            </w:r>
            <w:r>
              <w:rPr>
                <w:rFonts w:hint="eastAsia" w:ascii="新宋体" w:hAnsi="新宋体" w:eastAsia="新宋体" w:cs="新宋体"/>
                <w:color w:val="auto"/>
                <w:kern w:val="0"/>
                <w:sz w:val="21"/>
                <w:szCs w:val="21"/>
                <w:highlight w:val="none"/>
                <w:u w:val="none"/>
                <w:lang w:val="en-US" w:eastAsia="zh-CN" w:bidi="ar"/>
              </w:rPr>
              <w:t>KZZB-2024022</w:t>
            </w:r>
          </w:p>
          <w:p>
            <w:pPr>
              <w:pStyle w:val="23"/>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采购内容：离子色谱仪一台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4</w:t>
            </w:r>
          </w:p>
        </w:tc>
        <w:tc>
          <w:tcPr>
            <w:tcW w:w="1536" w:type="dxa"/>
            <w:noWrap w:val="0"/>
            <w:vAlign w:val="center"/>
          </w:tcPr>
          <w:p>
            <w:pPr>
              <w:pStyle w:val="23"/>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采购预算</w:t>
            </w:r>
          </w:p>
          <w:p>
            <w:pPr>
              <w:pStyle w:val="23"/>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最高投标限价</w:t>
            </w:r>
          </w:p>
        </w:tc>
        <w:tc>
          <w:tcPr>
            <w:tcW w:w="7288" w:type="dxa"/>
            <w:noWrap w:val="0"/>
            <w:vAlign w:val="center"/>
          </w:tcPr>
          <w:p>
            <w:pPr>
              <w:pStyle w:val="23"/>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b w:val="0"/>
                <w:bCs/>
                <w:color w:val="auto"/>
                <w:kern w:val="2"/>
                <w:sz w:val="21"/>
                <w:szCs w:val="21"/>
                <w:highlight w:val="none"/>
                <w:lang w:val="en-US" w:eastAsia="zh-CN" w:bidi="ar-SA"/>
              </w:rPr>
            </w:pPr>
            <w:r>
              <w:rPr>
                <w:rFonts w:hint="eastAsia" w:ascii="宋体" w:hAnsi="宋体" w:cs="宋体"/>
                <w:color w:val="auto"/>
                <w:sz w:val="21"/>
                <w:szCs w:val="21"/>
                <w:highlight w:val="none"/>
              </w:rPr>
              <w:t>招标人设置投标报价最高上限：</w:t>
            </w:r>
            <w:r>
              <w:rPr>
                <w:rFonts w:hint="eastAsia" w:cs="宋体"/>
                <w:b/>
                <w:bCs/>
                <w:color w:val="auto"/>
                <w:sz w:val="21"/>
                <w:szCs w:val="21"/>
                <w:highlight w:val="none"/>
                <w:u w:val="single"/>
                <w:lang w:val="en-US" w:eastAsia="zh-CN"/>
              </w:rPr>
              <w:t>1200000</w:t>
            </w:r>
            <w:r>
              <w:rPr>
                <w:rFonts w:hint="eastAsia" w:ascii="宋体" w:hAnsi="宋体" w:cs="宋体"/>
                <w:b/>
                <w:bCs/>
                <w:color w:val="auto"/>
                <w:sz w:val="21"/>
                <w:szCs w:val="21"/>
                <w:highlight w:val="none"/>
                <w:u w:val="single"/>
                <w:lang w:val="en-US" w:eastAsia="zh-CN"/>
              </w:rPr>
              <w:t>元</w:t>
            </w:r>
            <w:r>
              <w:rPr>
                <w:rFonts w:hint="eastAsia" w:ascii="宋体" w:hAnsi="宋体" w:cs="宋体"/>
                <w:b/>
                <w:bCs/>
                <w:color w:val="auto"/>
                <w:sz w:val="21"/>
                <w:szCs w:val="21"/>
                <w:highlight w:val="none"/>
                <w:u w:val="single"/>
              </w:rPr>
              <w:t>，高于最高限价的，</w:t>
            </w:r>
            <w:r>
              <w:rPr>
                <w:rFonts w:hint="eastAsia" w:ascii="宋体" w:hAnsi="宋体" w:cs="宋体"/>
                <w:color w:val="auto"/>
                <w:sz w:val="21"/>
                <w:szCs w:val="21"/>
                <w:highlight w:val="none"/>
              </w:rPr>
              <w:t>其投标文件按无效投标处理。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5</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资金来源</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0070C0"/>
                <w:kern w:val="0"/>
                <w:sz w:val="21"/>
                <w:szCs w:val="21"/>
                <w:highlight w:val="none"/>
                <w:lang w:val="en-US" w:eastAsia="zh-CN"/>
              </w:rPr>
              <w:t>中央转移支付资金（2023年重大传染病防控资金与2024年重大传染病防控资金）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7"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6</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供货时间</w:t>
            </w:r>
          </w:p>
        </w:tc>
        <w:tc>
          <w:tcPr>
            <w:tcW w:w="7288" w:type="dxa"/>
            <w:noWrap w:val="0"/>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00" w:lineRule="exact"/>
              <w:ind w:left="0" w:leftChars="0" w:right="0" w:rightChars="0"/>
              <w:jc w:val="both"/>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0070C0"/>
                <w:sz w:val="21"/>
                <w:szCs w:val="21"/>
                <w:highlight w:val="none"/>
                <w:lang w:val="en-US" w:eastAsia="zh-CN"/>
              </w:rPr>
              <w:t>甲乙双方签订合同后</w:t>
            </w:r>
            <w:r>
              <w:rPr>
                <w:rFonts w:hint="eastAsia" w:ascii="Times New Roman" w:hAnsi="Times New Roman" w:cs="Times New Roman"/>
                <w:color w:val="0070C0"/>
                <w:sz w:val="21"/>
                <w:szCs w:val="21"/>
                <w:highlight w:val="none"/>
                <w:lang w:val="en-US" w:eastAsia="zh-CN"/>
              </w:rPr>
              <w:t>60</w:t>
            </w:r>
            <w:r>
              <w:rPr>
                <w:rFonts w:hint="eastAsia" w:ascii="Times New Roman" w:hAnsi="Times New Roman" w:eastAsia="宋体" w:cs="Times New Roman"/>
                <w:color w:val="0070C0"/>
                <w:sz w:val="21"/>
                <w:szCs w:val="21"/>
                <w:highlight w:val="none"/>
                <w:lang w:val="en-US" w:eastAsia="zh-CN"/>
              </w:rPr>
              <w:t>个日历天内完成供货、安装调试完毕。</w:t>
            </w:r>
            <w:r>
              <w:rPr>
                <w:rFonts w:hint="eastAsia" w:ascii="宋体" w:hAnsi="宋体" w:eastAsia="宋体" w:cs="宋体"/>
                <w:color w:val="0070C0"/>
                <w:kern w:val="2"/>
                <w:sz w:val="21"/>
                <w:szCs w:val="21"/>
                <w:highlight w:val="none"/>
                <w:lang w:val="en-US" w:eastAsia="zh-CN" w:bidi="ar-SA"/>
              </w:rPr>
              <w:t>（具体以甲乙双方签订采购合同为准，严格按照采购单位的时间及要求按时供货）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7</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outlineLvl w:val="9"/>
              <w:rPr>
                <w:rFonts w:hint="eastAsia"/>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供货</w:t>
            </w:r>
            <w:r>
              <w:rPr>
                <w:rFonts w:hint="eastAsia" w:ascii="宋体" w:hAnsi="宋体" w:eastAsia="宋体" w:cs="宋体"/>
                <w:b/>
                <w:bCs w:val="0"/>
                <w:color w:val="auto"/>
                <w:sz w:val="21"/>
                <w:szCs w:val="21"/>
                <w:highlight w:val="none"/>
                <w:lang w:eastAsia="zh-CN"/>
              </w:rPr>
              <w:t>地点</w:t>
            </w:r>
          </w:p>
        </w:tc>
        <w:tc>
          <w:tcPr>
            <w:tcW w:w="7288"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70C0"/>
                <w:sz w:val="21"/>
                <w:szCs w:val="21"/>
                <w:highlight w:val="none"/>
                <w:lang w:eastAsia="zh-CN"/>
              </w:rPr>
            </w:pPr>
            <w:r>
              <w:rPr>
                <w:rFonts w:hint="eastAsia" w:ascii="宋体" w:hAnsi="宋体" w:cs="宋体"/>
                <w:bCs/>
                <w:color w:val="0070C0"/>
                <w:szCs w:val="21"/>
                <w:highlight w:val="none"/>
                <w:lang w:val="en-US" w:eastAsia="zh-CN"/>
              </w:rPr>
              <w:t>按照</w:t>
            </w:r>
            <w:r>
              <w:rPr>
                <w:rFonts w:hint="eastAsia" w:ascii="宋体" w:hAnsi="宋体" w:cs="宋体"/>
                <w:bCs/>
                <w:color w:val="0070C0"/>
                <w:szCs w:val="21"/>
                <w:highlight w:val="none"/>
                <w:lang w:eastAsia="zh-CN"/>
              </w:rPr>
              <w:t>甲方</w:t>
            </w:r>
            <w:r>
              <w:rPr>
                <w:rFonts w:hint="eastAsia" w:ascii="宋体" w:hAnsi="宋体" w:cs="宋体"/>
                <w:bCs/>
                <w:color w:val="0070C0"/>
                <w:szCs w:val="21"/>
                <w:highlight w:val="none"/>
              </w:rPr>
              <w:t>指定的任何地</w:t>
            </w:r>
            <w:r>
              <w:rPr>
                <w:rFonts w:hint="eastAsia" w:ascii="宋体" w:hAnsi="宋体" w:eastAsia="宋体" w:cs="宋体"/>
                <w:bCs/>
                <w:color w:val="0070C0"/>
                <w:szCs w:val="21"/>
                <w:highlight w:val="none"/>
              </w:rPr>
              <w:t>点</w:t>
            </w:r>
            <w:r>
              <w:rPr>
                <w:rFonts w:hint="eastAsia" w:ascii="宋体" w:hAnsi="宋体" w:eastAsia="宋体" w:cs="宋体"/>
                <w:bCs/>
                <w:color w:val="0070C0"/>
                <w:szCs w:val="21"/>
                <w:highlight w:val="none"/>
                <w:lang w:val="en-US" w:eastAsia="zh-CN"/>
              </w:rPr>
              <w:t xml:space="preserve">供货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8</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质保期</w:t>
            </w:r>
          </w:p>
        </w:tc>
        <w:tc>
          <w:tcPr>
            <w:tcW w:w="728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90" w:lineRule="exact"/>
              <w:jc w:val="left"/>
              <w:textAlignment w:val="auto"/>
              <w:rPr>
                <w:rFonts w:hint="eastAsia" w:ascii="宋体" w:hAnsi="宋体" w:eastAsia="宋体" w:cs="宋体"/>
                <w:color w:val="0070C0"/>
                <w:kern w:val="0"/>
                <w:szCs w:val="21"/>
                <w:highlight w:val="none"/>
                <w:lang w:val="en-US" w:eastAsia="zh-CN"/>
              </w:rPr>
            </w:pPr>
            <w:r>
              <w:rPr>
                <w:rFonts w:hint="eastAsia" w:ascii="宋体" w:hAnsi="宋体" w:eastAsia="宋体" w:cs="宋体"/>
                <w:color w:val="0070C0"/>
                <w:kern w:val="0"/>
                <w:szCs w:val="21"/>
                <w:highlight w:val="none"/>
                <w:lang w:val="en-US" w:eastAsia="zh-CN"/>
              </w:rPr>
              <w:t>本项目的质保期</w:t>
            </w:r>
            <w:r>
              <w:rPr>
                <w:rFonts w:hint="eastAsia" w:ascii="宋体" w:hAnsi="宋体" w:cs="宋体"/>
                <w:color w:val="0070C0"/>
                <w:kern w:val="0"/>
                <w:szCs w:val="21"/>
                <w:highlight w:val="none"/>
                <w:lang w:val="en-US" w:eastAsia="zh-CN"/>
              </w:rPr>
              <w:t>不少于2</w:t>
            </w:r>
            <w:r>
              <w:rPr>
                <w:rFonts w:hint="eastAsia" w:ascii="宋体" w:hAnsi="宋体" w:eastAsia="宋体" w:cs="宋体"/>
                <w:color w:val="0070C0"/>
                <w:kern w:val="0"/>
                <w:szCs w:val="21"/>
                <w:highlight w:val="none"/>
                <w:lang w:val="en-US" w:eastAsia="zh-CN"/>
              </w:rPr>
              <w:t>年</w:t>
            </w:r>
            <w:r>
              <w:rPr>
                <w:rFonts w:hint="eastAsia" w:ascii="宋体" w:hAnsi="宋体" w:eastAsia="宋体" w:cs="宋体"/>
                <w:color w:val="0070C0"/>
                <w:kern w:val="2"/>
                <w:sz w:val="21"/>
                <w:szCs w:val="21"/>
                <w:highlight w:val="none"/>
                <w:lang w:val="en-US" w:eastAsia="zh-CN" w:bidi="ar-SA"/>
              </w:rPr>
              <w:t>（具体以甲乙双方签订采购合同为准）</w:t>
            </w:r>
            <w:r>
              <w:rPr>
                <w:rFonts w:hint="eastAsia" w:ascii="宋体" w:hAnsi="宋体" w:eastAsia="宋体" w:cs="宋体"/>
                <w:color w:val="0070C0"/>
                <w:kern w:val="0"/>
                <w:szCs w:val="21"/>
                <w:highlight w:val="none"/>
                <w:lang w:val="en-US" w:eastAsia="zh-CN"/>
              </w:rPr>
              <w:t>。</w:t>
            </w:r>
          </w:p>
          <w:p>
            <w:pPr>
              <w:keepNext w:val="0"/>
              <w:keepLines w:val="0"/>
              <w:pageBreakBefore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color w:val="0070C0"/>
                <w:kern w:val="2"/>
                <w:sz w:val="21"/>
                <w:szCs w:val="21"/>
                <w:highlight w:val="none"/>
                <w:lang w:val="en-US" w:eastAsia="zh-CN" w:bidi="ar-SA"/>
              </w:rPr>
            </w:pPr>
            <w:r>
              <w:rPr>
                <w:rFonts w:hint="eastAsia" w:ascii="宋体" w:hAnsi="宋体" w:eastAsia="宋体" w:cs="宋体"/>
                <w:color w:val="0070C0"/>
                <w:kern w:val="0"/>
                <w:szCs w:val="21"/>
                <w:highlight w:val="none"/>
                <w:lang w:val="en-US" w:eastAsia="zh-CN"/>
              </w:rPr>
              <w:t>质保期自货物最终验收合格之日起算，质保期内中标人对所提供的货物实行包换、包退且不收取任何费用</w:t>
            </w:r>
            <w:r>
              <w:rPr>
                <w:rFonts w:hint="eastAsia"/>
                <w:color w:val="0070C0"/>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5"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9</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付款方式</w:t>
            </w:r>
          </w:p>
        </w:tc>
        <w:tc>
          <w:tcPr>
            <w:tcW w:w="7288" w:type="dxa"/>
            <w:noWrap w:val="0"/>
            <w:vAlign w:val="center"/>
          </w:tcPr>
          <w:p>
            <w:pPr>
              <w:pStyle w:val="2"/>
              <w:spacing w:line="360" w:lineRule="auto"/>
              <w:rPr>
                <w:rFonts w:hint="default" w:ascii="宋体" w:hAnsi="宋体" w:eastAsia="宋体" w:cs="宋体"/>
                <w:b w:val="0"/>
                <w:bCs/>
                <w:color w:val="0070C0"/>
                <w:sz w:val="21"/>
                <w:szCs w:val="21"/>
                <w:highlight w:val="none"/>
                <w:lang w:val="en-US" w:eastAsia="zh-CN"/>
              </w:rPr>
            </w:pPr>
            <w:r>
              <w:rPr>
                <w:rFonts w:hint="eastAsia" w:ascii="宋体" w:hAnsi="宋体" w:cs="宋体"/>
                <w:b w:val="0"/>
                <w:bCs/>
                <w:color w:val="0070C0"/>
                <w:sz w:val="21"/>
                <w:szCs w:val="21"/>
                <w:highlight w:val="none"/>
                <w:lang w:val="en-US" w:eastAsia="zh-CN"/>
              </w:rPr>
              <w:t>供货方与采购人签订合同后支付合同价款60%预付款，货物到达采购人指定地点，安装验收合格后，支付合同价款的40%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10</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11</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1.满足《中华人民共和国政府采购法》第二十二条规定；</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2.落实政府采购政策需满足的资格要求：</w:t>
            </w:r>
            <w:r>
              <w:rPr>
                <w:rFonts w:hint="eastAsia" w:ascii="新宋体" w:hAnsi="新宋体" w:eastAsia="新宋体" w:cs="新宋体"/>
                <w:color w:val="auto"/>
                <w:kern w:val="0"/>
                <w:sz w:val="21"/>
                <w:szCs w:val="21"/>
                <w:highlight w:val="none"/>
                <w:u w:val="none"/>
                <w:lang w:val="en-US" w:eastAsia="zh-CN" w:bidi="ar"/>
              </w:rPr>
              <w:t>标项1：</w:t>
            </w:r>
            <w:r>
              <w:rPr>
                <w:rFonts w:hint="eastAsia" w:ascii="新宋体" w:hAnsi="新宋体" w:eastAsia="新宋体" w:cs="新宋体"/>
                <w:color w:val="auto"/>
                <w:sz w:val="21"/>
                <w:szCs w:val="21"/>
                <w:highlight w:val="none"/>
                <w:lang w:val="en-US" w:eastAsia="zh-CN" w:bidi="ar"/>
              </w:rPr>
              <w:t>供应商为中小企业。</w:t>
            </w:r>
            <w:r>
              <w:rPr>
                <w:rFonts w:hint="eastAsia" w:cs="Times New Roman"/>
                <w:b w:val="0"/>
                <w:bCs/>
                <w:color w:val="auto"/>
                <w:sz w:val="21"/>
                <w:szCs w:val="21"/>
                <w:highlight w:val="none"/>
                <w:lang w:val="en-US" w:eastAsia="zh-CN"/>
              </w:rPr>
              <w:t> </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3.本项目的特定资格要求：标项1：</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1).具备三证合一营业执照；</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2).法定代表人投标需提供法定代表人资格证明书，委托代理人投标需提供法定代表人授权委托书；</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3).投标企业须提供投标人（被授权在职人员）近3个月有效的社保证明；</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4).未被“信用中国”（www.creditchina.gov.cn）、中国政府采购网（www.ccgp.gov.cn）列入失信被执行人、重大税收违法案件当事人名单、政府采购严重违法失信行为记录名单；</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5).</w:t>
            </w:r>
            <w:r>
              <w:rPr>
                <w:rFonts w:hint="eastAsia" w:hAnsi="Times New Roman" w:cs="Times New Roman"/>
                <w:b w:val="0"/>
                <w:bCs/>
                <w:color w:val="auto"/>
                <w:sz w:val="21"/>
                <w:szCs w:val="21"/>
                <w:highlight w:val="none"/>
                <w:lang w:val="en-US" w:eastAsia="zh-CN"/>
              </w:rPr>
              <w:t>本项目不接受联合体投标。</w:t>
            </w:r>
          </w:p>
          <w:p>
            <w:pPr>
              <w:pStyle w:val="14"/>
              <w:ind w:left="0" w:leftChars="0" w:firstLine="0" w:firstLineChars="0"/>
              <w:rPr>
                <w:rFonts w:hint="eastAsia"/>
                <w:lang w:val="en-US" w:eastAsia="zh-CN"/>
              </w:rPr>
            </w:pPr>
            <w:r>
              <w:rPr>
                <w:rFonts w:hint="eastAsia" w:cs="Times New Roman"/>
                <w:b w:val="0"/>
                <w:bCs/>
                <w:color w:val="auto"/>
                <w:sz w:val="21"/>
                <w:szCs w:val="21"/>
                <w:highlight w:val="none"/>
                <w:lang w:val="en-US" w:eastAsia="zh-CN"/>
              </w:rPr>
              <w:t>6).</w:t>
            </w:r>
            <w:r>
              <w:rPr>
                <w:rFonts w:hint="eastAsia" w:ascii="宋体" w:hAnsi="宋体" w:cs="宋体"/>
                <w:color w:val="auto"/>
                <w:kern w:val="0"/>
                <w:szCs w:val="21"/>
              </w:rPr>
              <w:t>投标人</w:t>
            </w:r>
            <w:r>
              <w:rPr>
                <w:rFonts w:hint="eastAsia" w:ascii="宋体" w:hAnsi="宋体" w:cs="宋体"/>
                <w:color w:val="auto"/>
                <w:kern w:val="0"/>
                <w:szCs w:val="21"/>
                <w:lang w:val="en-US" w:eastAsia="zh-CN"/>
              </w:rPr>
              <w:t>具有有效的《医疗器械生产许可证》或《医疗器械经营许可证》</w:t>
            </w:r>
            <w:r>
              <w:rPr>
                <w:rFonts w:hint="eastAsia" w:ascii="宋体" w:hAnsi="宋体" w:cs="宋体"/>
                <w:color w:val="auto"/>
                <w:kern w:val="0"/>
                <w:szCs w:val="21"/>
              </w:rPr>
              <w:t>。</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b w:val="0"/>
                <w:bCs/>
                <w:color w:val="auto"/>
                <w:highlight w:val="none"/>
                <w:lang w:val="en-US" w:eastAsia="zh-CN"/>
              </w:rPr>
            </w:pPr>
            <w:r>
              <w:rPr>
                <w:rFonts w:hint="eastAsia" w:cs="Times New Roman"/>
                <w:b w:val="0"/>
                <w:bCs/>
                <w:color w:val="auto"/>
                <w:sz w:val="21"/>
                <w:szCs w:val="21"/>
                <w:highlight w:val="none"/>
                <w:lang w:val="en-US" w:eastAsia="zh-CN"/>
              </w:rPr>
              <w:t>7).</w:t>
            </w:r>
            <w:r>
              <w:rPr>
                <w:rFonts w:hint="eastAsia" w:hAnsi="Times New Roman" w:cs="Times New Roman"/>
                <w:b w:val="0"/>
                <w:bCs/>
                <w:color w:val="auto"/>
                <w:sz w:val="21"/>
                <w:szCs w:val="21"/>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47"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12</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3、信用信息查询记录和证据留存的具体方式：由采购组织机构在规定查询时间内打印信用信息查询记录并归入项目档案。</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6"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13</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5"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14</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82"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15</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33"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16</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招标代理费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b w:val="0"/>
                <w:bCs/>
                <w:color w:val="auto"/>
                <w:sz w:val="21"/>
                <w:szCs w:val="21"/>
                <w:highlight w:val="none"/>
              </w:rPr>
            </w:pPr>
            <w:r>
              <w:rPr>
                <w:rFonts w:hint="eastAsia" w:ascii="宋体" w:hAnsi="宋体" w:eastAsia="宋体" w:cs="宋体"/>
                <w:b w:val="0"/>
                <w:bCs/>
                <w:color w:val="auto"/>
                <w:kern w:val="2"/>
                <w:sz w:val="21"/>
                <w:szCs w:val="21"/>
                <w:highlight w:val="none"/>
                <w:u w:val="none" w:color="000000"/>
                <w:lang w:val="en-US" w:eastAsia="zh-CN" w:bidi="ar-SA"/>
              </w:rPr>
              <w:t>中标（成交）人应按本招标文件的规定，在《中标（成交）通知书》核发时，向采购代理机构支付中标（成交）服务费。参照发改价格[2011]534号文计算的招标代理服务收费标准收费。按发改价格[2015]299号规定全面放开招标代理费，由实行政府指导价管理改为实行市场调节价，价格由双方协商确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17</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bCs w:val="0"/>
                <w:color w:val="auto"/>
                <w:sz w:val="21"/>
                <w:szCs w:val="21"/>
                <w:highlight w:val="none"/>
                <w:lang w:val="en-US" w:eastAsia="zh-CN"/>
              </w:rPr>
              <w:t>投标有效期为</w:t>
            </w:r>
            <w:r>
              <w:rPr>
                <w:rFonts w:hint="eastAsia" w:ascii="宋体" w:hAnsi="Times New Roman" w:eastAsia="宋体" w:cs="Times New Roman"/>
                <w:b/>
                <w:bCs w:val="0"/>
                <w:color w:val="auto"/>
                <w:sz w:val="21"/>
                <w:szCs w:val="21"/>
                <w:highlight w:val="none"/>
                <w:u w:val="single" w:color="auto"/>
                <w:lang w:val="en-US" w:eastAsia="zh-CN"/>
              </w:rPr>
              <w:t xml:space="preserve"> 60 日历</w:t>
            </w:r>
            <w:r>
              <w:rPr>
                <w:rFonts w:hint="eastAsia"/>
                <w:b/>
                <w:bCs w:val="0"/>
                <w:color w:val="auto"/>
                <w:sz w:val="21"/>
                <w:szCs w:val="21"/>
                <w:highlight w:val="none"/>
                <w:lang w:val="en-US" w:eastAsia="zh-CN"/>
              </w:rPr>
              <w:t>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19</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Cs w:val="21"/>
                <w:highlight w:val="none"/>
              </w:rPr>
            </w:pPr>
            <w:r>
              <w:rPr>
                <w:rFonts w:hint="eastAsia" w:ascii="宋体"/>
                <w:b/>
                <w:bCs w:val="0"/>
                <w:color w:val="auto"/>
                <w:szCs w:val="21"/>
                <w:highlight w:val="none"/>
              </w:rPr>
              <w:t>投标保证金</w:t>
            </w:r>
          </w:p>
        </w:tc>
        <w:tc>
          <w:tcPr>
            <w:tcW w:w="7288" w:type="dxa"/>
            <w:noWrap w:val="0"/>
            <w:vAlign w:val="center"/>
          </w:tcPr>
          <w:p>
            <w:pPr>
              <w:snapToGrid w:val="0"/>
              <w:spacing w:line="290" w:lineRule="exact"/>
              <w:rPr>
                <w:rFonts w:hint="eastAsia" w:ascii="宋体" w:hAnsi="宋体" w:cs="宋体-18030"/>
                <w:b w:val="0"/>
                <w:bCs/>
                <w:color w:val="auto"/>
                <w:szCs w:val="21"/>
                <w:highlight w:val="none"/>
              </w:rPr>
            </w:pPr>
            <w:r>
              <w:rPr>
                <w:rFonts w:hint="eastAsia" w:ascii="宋体" w:hAnsi="宋体" w:cs="宋体-18030"/>
                <w:b w:val="0"/>
                <w:bCs/>
                <w:color w:val="auto"/>
                <w:szCs w:val="21"/>
                <w:highlight w:val="none"/>
              </w:rPr>
              <w:t>投标保证金应当以支票、汇票、本票、网上银行支付或者金融机构、担保机构出具的保函等非现金形式缴纳。</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18030"/>
                <w:b w:val="0"/>
                <w:bCs/>
                <w:color w:val="auto"/>
                <w:szCs w:val="21"/>
                <w:highlight w:val="none"/>
              </w:rPr>
            </w:pPr>
            <w:r>
              <w:rPr>
                <w:rFonts w:hint="eastAsia" w:ascii="宋体" w:hAnsi="宋体" w:cs="宋体-18030"/>
                <w:b/>
                <w:bCs w:val="0"/>
                <w:color w:val="auto"/>
                <w:szCs w:val="21"/>
                <w:highlight w:val="none"/>
              </w:rPr>
              <w:t>投标保证金的金额：</w:t>
            </w:r>
            <w:r>
              <w:rPr>
                <w:rFonts w:hint="eastAsia" w:hAnsi="宋体" w:cs="宋体-18030"/>
                <w:b/>
                <w:bCs w:val="0"/>
                <w:color w:val="auto"/>
                <w:szCs w:val="21"/>
                <w:highlight w:val="none"/>
                <w:lang w:val="en-US" w:eastAsia="zh-CN"/>
              </w:rPr>
              <w:t>2</w:t>
            </w:r>
            <w:r>
              <w:rPr>
                <w:rFonts w:hint="eastAsia" w:ascii="宋体" w:hAnsi="宋体" w:cs="宋体-18030"/>
                <w:b/>
                <w:bCs w:val="0"/>
                <w:color w:val="auto"/>
                <w:szCs w:val="21"/>
                <w:highlight w:val="none"/>
              </w:rPr>
              <w:t>0000</w:t>
            </w:r>
            <w:r>
              <w:rPr>
                <w:rFonts w:hint="eastAsia" w:hAnsi="宋体" w:cs="宋体-18030"/>
                <w:b/>
                <w:bCs w:val="0"/>
                <w:color w:val="auto"/>
                <w:szCs w:val="21"/>
                <w:highlight w:val="none"/>
                <w:lang w:val="en-US" w:eastAsia="zh-CN"/>
              </w:rPr>
              <w:t>.00</w:t>
            </w:r>
            <w:r>
              <w:rPr>
                <w:rFonts w:hint="eastAsia" w:ascii="宋体" w:hAnsi="宋体" w:cs="宋体-18030"/>
                <w:b/>
                <w:bCs w:val="0"/>
                <w:color w:val="auto"/>
                <w:szCs w:val="21"/>
                <w:highlight w:val="none"/>
              </w:rPr>
              <w:t>元（</w:t>
            </w:r>
            <w:r>
              <w:rPr>
                <w:rFonts w:hint="eastAsia" w:hAnsi="宋体" w:cs="宋体-18030"/>
                <w:b/>
                <w:bCs w:val="0"/>
                <w:color w:val="auto"/>
                <w:szCs w:val="21"/>
                <w:highlight w:val="none"/>
                <w:lang w:eastAsia="zh-CN"/>
              </w:rPr>
              <w:t>贰</w:t>
            </w:r>
            <w:r>
              <w:rPr>
                <w:rFonts w:hint="eastAsia" w:ascii="宋体" w:hAnsi="宋体" w:cs="宋体-18030"/>
                <w:b/>
                <w:bCs w:val="0"/>
                <w:color w:val="auto"/>
                <w:szCs w:val="21"/>
                <w:highlight w:val="none"/>
                <w:lang w:eastAsia="zh-CN"/>
              </w:rPr>
              <w:t>万</w:t>
            </w:r>
            <w:r>
              <w:rPr>
                <w:rFonts w:hint="eastAsia" w:ascii="宋体" w:hAnsi="宋体" w:cs="宋体-18030"/>
                <w:b/>
                <w:bCs w:val="0"/>
                <w:color w:val="auto"/>
                <w:szCs w:val="21"/>
                <w:highlight w:val="none"/>
              </w:rPr>
              <w:t>元整）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20</w:t>
            </w:r>
          </w:p>
        </w:tc>
        <w:tc>
          <w:tcPr>
            <w:tcW w:w="1536" w:type="dxa"/>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hAnsi="宋体"/>
                <w:b/>
                <w:bCs w:val="0"/>
                <w:color w:val="auto"/>
                <w:sz w:val="21"/>
                <w:szCs w:val="21"/>
                <w:highlight w:val="none"/>
                <w:lang w:eastAsia="zh-CN"/>
              </w:rPr>
              <w:t>投标保证金</w:t>
            </w:r>
          </w:p>
        </w:tc>
        <w:tc>
          <w:tcPr>
            <w:tcW w:w="7288" w:type="dxa"/>
            <w:tcBorders>
              <w:bottom w:val="single" w:color="auto" w:sz="4" w:space="0"/>
            </w:tcBorders>
            <w:noWrap w:val="0"/>
            <w:vAlign w:val="top"/>
          </w:tcPr>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投标保证金缴纳要求：</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2、其他特殊情况处理：有效投标保证金成功交纳后，截止开标时间，供应商无正当理由不参加该项目投标且不递交弃标函，投标保证金不予退还。</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户名：克孜勒苏柯尔克孜自治州政务服务和公共资源交易中心</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账号：30456301040005069</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行名：农行阿图什市天山分理处</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行号：103893045636</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联系人：张女士</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电话：0908-4220265  18199721001</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（备注：必须写清楚xx公司xx项目保证金）</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二、申请退还投标保证金资料（招投标结束中标结果公示后）：</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1、投标企业：待开标完成后，未中标企业3-5个工作日内政资中心将收取的项目投标保证金按投标企业基本户退回。</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2、中标企业：需提供已签订合同复印件一份，复印件每页需加盖企业鲜章（并携带合同原件，由中心工作人员核对后退还）。</w:t>
            </w:r>
          </w:p>
          <w:p>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三、其他特殊情况处理：</w:t>
            </w:r>
          </w:p>
          <w:p>
            <w:pPr>
              <w:rPr>
                <w:rFonts w:hint="eastAsia" w:ascii="宋体" w:hAnsi="宋体" w:cs="宋体-18030"/>
                <w:b w:val="0"/>
                <w:bCs/>
                <w:color w:val="auto"/>
                <w:sz w:val="21"/>
                <w:szCs w:val="21"/>
                <w:highlight w:val="none"/>
              </w:rPr>
            </w:pPr>
            <w:r>
              <w:rPr>
                <w:rFonts w:hint="eastAsia" w:ascii="宋体" w:hAnsi="宋体" w:eastAsia="宋体" w:cs="宋体"/>
                <w:b w:val="0"/>
                <w:bCs/>
                <w:color w:val="auto"/>
                <w:szCs w:val="21"/>
                <w:highlight w:val="none"/>
                <w:lang w:val="en-US" w:eastAsia="zh-CN"/>
              </w:rPr>
              <w:t>1、按照招标文件要求规定：投标企业无正当理由不参加该项目投标且在规定开标时间前不递交弃标函，投标保证金不予退还。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21</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电子投标文件包括“电子加密投标文件”和“备份投标文件”，在投标文件编制完成后同时生成。</w:t>
            </w:r>
          </w:p>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1、“电子加密投标文件”是指通过“政采云电子交易客户端”完成投标文件编制后生成并加密的数据电文形式的投标文件。</w:t>
            </w:r>
          </w:p>
          <w:p>
            <w:pPr>
              <w:pStyle w:val="14"/>
              <w:ind w:left="0" w:leftChars="0" w:firstLine="0" w:firstLineChars="0"/>
              <w:rPr>
                <w:rFonts w:hint="eastAsia"/>
                <w:color w:val="auto"/>
                <w:highlight w:val="none"/>
                <w:lang w:val="en-US" w:eastAsia="zh-CN"/>
              </w:rPr>
            </w:pPr>
            <w:r>
              <w:rPr>
                <w:rFonts w:hint="eastAsia"/>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22</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投标文件份数及要求</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default"/>
                <w:b w:val="0"/>
                <w:bCs/>
                <w:color w:val="auto"/>
                <w:sz w:val="21"/>
                <w:szCs w:val="21"/>
                <w:highlight w:val="none"/>
                <w:lang w:val="en-US" w:eastAsia="zh-CN"/>
              </w:rPr>
              <w:t>1、一份电子加密标书（“.jmbs”格式），一份备份标书文件（“.bfbs”格式）。</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default"/>
                <w:b w:val="0"/>
                <w:bCs/>
                <w:color w:val="auto"/>
                <w:sz w:val="21"/>
                <w:szCs w:val="21"/>
                <w:highlight w:val="none"/>
                <w:lang w:val="en-US" w:eastAsia="zh-CN"/>
              </w:rPr>
              <w:t>2、每份电子投标文件应包括资格证明文件和商务及技术文件两部分。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23</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u w:val="single" w:color="auto"/>
                <w:lang w:val="en-US" w:eastAsia="zh-CN"/>
              </w:rPr>
            </w:pPr>
            <w:r>
              <w:rPr>
                <w:rFonts w:hint="eastAsia"/>
                <w:b w:val="0"/>
                <w:bCs/>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val="0"/>
                <w:bCs/>
                <w:color w:val="auto"/>
                <w:sz w:val="21"/>
                <w:szCs w:val="21"/>
                <w:highlight w:val="none"/>
                <w:u w:val="single" w:color="auto"/>
                <w:lang w:val="en-US" w:eastAsia="zh-CN"/>
              </w:rPr>
              <w:t>在开标时间开始后，待采购组织机构发出解密通知后30分钟内解密投标文件。</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a.供应商未能在投标截止时间前成功上传电子加密投标文件的投标无效。</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24</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FF0000"/>
                <w:sz w:val="21"/>
                <w:szCs w:val="21"/>
                <w:highlight w:val="none"/>
              </w:rPr>
            </w:pPr>
            <w:r>
              <w:rPr>
                <w:rFonts w:hint="eastAsia" w:ascii="Times New Roman" w:hAnsi="Times New Roman" w:cs="Times New Roman"/>
                <w:b w:val="0"/>
                <w:bCs/>
                <w:color w:val="FF0000"/>
                <w:sz w:val="21"/>
                <w:szCs w:val="21"/>
                <w:highlight w:val="none"/>
                <w:lang w:eastAsia="zh-CN"/>
              </w:rPr>
              <w:t>投标截止</w:t>
            </w:r>
            <w:r>
              <w:rPr>
                <w:rFonts w:hint="eastAsia" w:ascii="Times New Roman" w:hAnsi="Times New Roman" w:cs="Times New Roman"/>
                <w:b w:val="0"/>
                <w:bCs/>
                <w:color w:val="FF0000"/>
                <w:sz w:val="21"/>
                <w:szCs w:val="21"/>
                <w:highlight w:val="none"/>
              </w:rPr>
              <w:t>时间：</w:t>
            </w:r>
            <w:r>
              <w:rPr>
                <w:rFonts w:hint="eastAsia"/>
                <w:b w:val="0"/>
                <w:bCs/>
                <w:color w:val="FF0000"/>
                <w:sz w:val="21"/>
                <w:szCs w:val="21"/>
                <w:highlight w:val="none"/>
                <w:lang w:val="en-US" w:eastAsia="zh-CN"/>
              </w:rPr>
              <w:t>2024</w:t>
            </w:r>
            <w:r>
              <w:rPr>
                <w:rFonts w:hint="eastAsia"/>
                <w:b w:val="0"/>
                <w:bCs/>
                <w:color w:val="FF0000"/>
                <w:sz w:val="21"/>
                <w:szCs w:val="21"/>
                <w:highlight w:val="none"/>
              </w:rPr>
              <w:t>年</w:t>
            </w:r>
            <w:r>
              <w:rPr>
                <w:rFonts w:hint="eastAsia"/>
                <w:b w:val="0"/>
                <w:bCs/>
                <w:color w:val="FF0000"/>
                <w:sz w:val="21"/>
                <w:szCs w:val="21"/>
                <w:highlight w:val="none"/>
                <w:lang w:val="en-US" w:eastAsia="zh-CN"/>
              </w:rPr>
              <w:t>4</w:t>
            </w:r>
            <w:r>
              <w:rPr>
                <w:rFonts w:hint="eastAsia"/>
                <w:b w:val="0"/>
                <w:bCs/>
                <w:color w:val="FF0000"/>
                <w:sz w:val="21"/>
                <w:szCs w:val="21"/>
                <w:highlight w:val="none"/>
              </w:rPr>
              <w:t>月</w:t>
            </w:r>
            <w:r>
              <w:rPr>
                <w:rFonts w:hint="eastAsia"/>
                <w:b w:val="0"/>
                <w:bCs/>
                <w:color w:val="FF0000"/>
                <w:sz w:val="21"/>
                <w:szCs w:val="21"/>
                <w:highlight w:val="none"/>
                <w:lang w:val="en-US" w:eastAsia="zh-CN"/>
              </w:rPr>
              <w:t>8</w:t>
            </w:r>
            <w:r>
              <w:rPr>
                <w:rFonts w:hint="eastAsia"/>
                <w:b w:val="0"/>
                <w:bCs/>
                <w:color w:val="FF0000"/>
                <w:sz w:val="21"/>
                <w:szCs w:val="21"/>
                <w:highlight w:val="none"/>
              </w:rPr>
              <w:t>日</w:t>
            </w:r>
            <w:r>
              <w:rPr>
                <w:rFonts w:hint="eastAsia"/>
                <w:b w:val="0"/>
                <w:bCs/>
                <w:color w:val="FF0000"/>
                <w:sz w:val="21"/>
                <w:szCs w:val="21"/>
                <w:highlight w:val="none"/>
                <w:lang w:val="en-US" w:eastAsia="zh-CN"/>
              </w:rPr>
              <w:t>10</w:t>
            </w:r>
            <w:r>
              <w:rPr>
                <w:rFonts w:hint="eastAsia"/>
                <w:b w:val="0"/>
                <w:bCs/>
                <w:color w:val="FF0000"/>
                <w:sz w:val="21"/>
                <w:szCs w:val="21"/>
                <w:highlight w:val="none"/>
              </w:rPr>
              <w:t>时</w:t>
            </w:r>
            <w:r>
              <w:rPr>
                <w:rFonts w:hint="eastAsia"/>
                <w:b w:val="0"/>
                <w:bCs/>
                <w:color w:val="FF0000"/>
                <w:sz w:val="21"/>
                <w:szCs w:val="21"/>
                <w:highlight w:val="none"/>
                <w:lang w:val="en-US" w:eastAsia="zh-CN"/>
              </w:rPr>
              <w:t>30</w:t>
            </w:r>
            <w:r>
              <w:rPr>
                <w:rFonts w:hint="eastAsia"/>
                <w:b w:val="0"/>
                <w:bCs/>
                <w:color w:val="FF0000"/>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FF0000"/>
                <w:sz w:val="21"/>
                <w:szCs w:val="21"/>
                <w:highlight w:val="none"/>
                <w:lang w:eastAsia="zh-CN"/>
              </w:rPr>
              <w:t>投标</w:t>
            </w:r>
            <w:r>
              <w:rPr>
                <w:rFonts w:hint="eastAsia"/>
                <w:b w:val="0"/>
                <w:bCs/>
                <w:color w:val="FF0000"/>
                <w:sz w:val="21"/>
                <w:szCs w:val="21"/>
                <w:highlight w:val="none"/>
              </w:rPr>
              <w:t>地点：</w:t>
            </w:r>
            <w:r>
              <w:rPr>
                <w:rFonts w:hint="eastAsia"/>
                <w:b w:val="0"/>
                <w:bCs/>
                <w:color w:val="FF0000"/>
                <w:sz w:val="21"/>
                <w:szCs w:val="21"/>
                <w:highlight w:val="none"/>
                <w:lang w:eastAsia="zh-CN"/>
              </w:rPr>
              <w:t>新疆</w:t>
            </w:r>
            <w:r>
              <w:rPr>
                <w:rFonts w:hint="eastAsia"/>
                <w:b w:val="0"/>
                <w:bCs/>
                <w:color w:val="FF0000"/>
                <w:sz w:val="21"/>
                <w:szCs w:val="21"/>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b/>
                <w:bCs w:val="0"/>
                <w:color w:val="auto"/>
                <w:sz w:val="21"/>
                <w:szCs w:val="21"/>
                <w:highlight w:val="none"/>
                <w:lang w:val="en-US" w:eastAsia="zh-CN"/>
              </w:rPr>
              <w:t>25</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FF0000"/>
                <w:sz w:val="21"/>
                <w:szCs w:val="21"/>
                <w:highlight w:val="none"/>
              </w:rPr>
              <w:t>开标时间：</w:t>
            </w:r>
            <w:r>
              <w:rPr>
                <w:rFonts w:hint="eastAsia"/>
                <w:b w:val="0"/>
                <w:bCs/>
                <w:color w:val="FF0000"/>
                <w:sz w:val="21"/>
                <w:szCs w:val="21"/>
                <w:highlight w:val="none"/>
                <w:lang w:val="en-US" w:eastAsia="zh-CN"/>
              </w:rPr>
              <w:t>2024</w:t>
            </w:r>
            <w:r>
              <w:rPr>
                <w:rFonts w:hint="eastAsia"/>
                <w:b w:val="0"/>
                <w:bCs/>
                <w:color w:val="FF0000"/>
                <w:sz w:val="21"/>
                <w:szCs w:val="21"/>
                <w:highlight w:val="none"/>
              </w:rPr>
              <w:t>年</w:t>
            </w:r>
            <w:r>
              <w:rPr>
                <w:rFonts w:hint="eastAsia"/>
                <w:b w:val="0"/>
                <w:bCs/>
                <w:color w:val="FF0000"/>
                <w:sz w:val="21"/>
                <w:szCs w:val="21"/>
                <w:highlight w:val="none"/>
                <w:lang w:val="en-US" w:eastAsia="zh-CN"/>
              </w:rPr>
              <w:t>4</w:t>
            </w:r>
            <w:r>
              <w:rPr>
                <w:rFonts w:hint="eastAsia"/>
                <w:b w:val="0"/>
                <w:bCs/>
                <w:color w:val="FF0000"/>
                <w:sz w:val="21"/>
                <w:szCs w:val="21"/>
                <w:highlight w:val="none"/>
              </w:rPr>
              <w:t>月</w:t>
            </w:r>
            <w:r>
              <w:rPr>
                <w:rFonts w:hint="eastAsia"/>
                <w:b w:val="0"/>
                <w:bCs/>
                <w:color w:val="FF0000"/>
                <w:sz w:val="21"/>
                <w:szCs w:val="21"/>
                <w:highlight w:val="none"/>
                <w:lang w:val="en-US" w:eastAsia="zh-CN"/>
              </w:rPr>
              <w:t>8</w:t>
            </w:r>
            <w:r>
              <w:rPr>
                <w:rFonts w:hint="eastAsia"/>
                <w:b w:val="0"/>
                <w:bCs/>
                <w:color w:val="FF0000"/>
                <w:sz w:val="21"/>
                <w:szCs w:val="21"/>
                <w:highlight w:val="none"/>
              </w:rPr>
              <w:t>日</w:t>
            </w:r>
            <w:r>
              <w:rPr>
                <w:rFonts w:hint="eastAsia"/>
                <w:b w:val="0"/>
                <w:bCs/>
                <w:color w:val="FF0000"/>
                <w:sz w:val="21"/>
                <w:szCs w:val="21"/>
                <w:highlight w:val="none"/>
                <w:lang w:val="en-US" w:eastAsia="zh-CN"/>
              </w:rPr>
              <w:t>10</w:t>
            </w:r>
            <w:r>
              <w:rPr>
                <w:rFonts w:hint="eastAsia"/>
                <w:b w:val="0"/>
                <w:bCs/>
                <w:color w:val="FF0000"/>
                <w:sz w:val="21"/>
                <w:szCs w:val="21"/>
                <w:highlight w:val="none"/>
              </w:rPr>
              <w:t>时</w:t>
            </w:r>
            <w:r>
              <w:rPr>
                <w:rFonts w:hint="eastAsia"/>
                <w:b w:val="0"/>
                <w:bCs/>
                <w:color w:val="FF0000"/>
                <w:sz w:val="21"/>
                <w:szCs w:val="21"/>
                <w:highlight w:val="none"/>
                <w:lang w:val="en-US" w:eastAsia="zh-CN"/>
              </w:rPr>
              <w:t>30</w:t>
            </w:r>
            <w:r>
              <w:rPr>
                <w:rFonts w:hint="eastAsia"/>
                <w:b w:val="0"/>
                <w:bCs/>
                <w:color w:val="FF0000"/>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开标地点：在</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26</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288" w:type="dxa"/>
            <w:noWrap w:val="0"/>
            <w:vAlign w:val="top"/>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评标委员会由招标人依法组建；采购人代表1人，评审专家4人，共5人。</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27</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28</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29</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288" w:type="dxa"/>
            <w:noWrap w:val="0"/>
            <w:vAlign w:val="top"/>
          </w:tcPr>
          <w:p>
            <w:pPr>
              <w:keepNext w:val="0"/>
              <w:keepLines w:val="0"/>
              <w:pageBreakBefore w:val="0"/>
              <w:numPr>
                <w:ilvl w:val="0"/>
                <w:numId w:val="4"/>
              </w:numPr>
              <w:shd w:val="clear" w:color="auto" w:fill="auto"/>
              <w:kinsoku/>
              <w:wordWrap/>
              <w:overflowPunct/>
              <w:topLinePunct w:val="0"/>
              <w:autoSpaceDE/>
              <w:autoSpaceDN/>
              <w:bidi w:val="0"/>
              <w:adjustRightInd/>
              <w:snapToGrid w:val="0"/>
              <w:spacing w:line="360" w:lineRule="auto"/>
              <w:textAlignment w:val="auto"/>
              <w:outlineLvl w:val="9"/>
              <w:rPr>
                <w:rFonts w:hint="eastAsia" w:ascii="宋体"/>
                <w:b w:val="0"/>
                <w:bCs/>
                <w:color w:val="auto"/>
                <w:szCs w:val="21"/>
                <w:highlight w:val="none"/>
                <w:lang w:val="en-US" w:eastAsia="zh-CN"/>
              </w:rPr>
            </w:pPr>
            <w:r>
              <w:rPr>
                <w:rFonts w:hint="eastAsia"/>
                <w:b w:val="0"/>
                <w:bCs/>
                <w:color w:val="auto"/>
                <w:highlight w:val="none"/>
                <w:lang w:val="en-US" w:eastAsia="zh-CN"/>
              </w:rPr>
              <w:t>中标供应商在合同签订后5个工作日内向采购人交纳中标价5%的履约保证金（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p>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textAlignment w:val="auto"/>
              <w:outlineLvl w:val="9"/>
              <w:rPr>
                <w:rFonts w:hint="eastAsia" w:ascii="宋体"/>
                <w:b w:val="0"/>
                <w:bCs/>
                <w:color w:val="auto"/>
                <w:szCs w:val="21"/>
                <w:highlight w:val="none"/>
                <w:lang w:val="en-US" w:eastAsia="zh-CN"/>
              </w:rPr>
            </w:pPr>
            <w:r>
              <w:rPr>
                <w:rFonts w:hint="eastAsia" w:ascii="宋体" w:hAnsi="Times New Roman" w:eastAsia="宋体" w:cs="宋体"/>
                <w:b w:val="0"/>
                <w:bCs/>
                <w:color w:val="auto"/>
                <w:kern w:val="0"/>
                <w:sz w:val="21"/>
                <w:szCs w:val="21"/>
                <w:highlight w:val="none"/>
                <w:u w:val="none" w:color="000000"/>
                <w:lang w:val="en-US" w:eastAsia="zh-CN" w:bidi="ar-SA"/>
              </w:rPr>
              <w:t>2、</w:t>
            </w:r>
            <w:r>
              <w:rPr>
                <w:rFonts w:hint="eastAsia" w:ascii="宋体"/>
                <w:b w:val="0"/>
                <w:bCs/>
                <w:color w:val="auto"/>
                <w:szCs w:val="21"/>
                <w:highlight w:val="none"/>
                <w:lang w:val="en-US" w:eastAsia="zh-CN"/>
              </w:rPr>
              <w:t>签订合同后，如中标供应商不按合同约定履约的，履约保证金不予退还，履约保证金不足以赔偿损失的，按实际损失赔偿。</w:t>
            </w:r>
          </w:p>
          <w:p>
            <w:pPr>
              <w:shd w:val="clear" w:color="auto" w:fill="auto"/>
              <w:spacing w:line="440" w:lineRule="exact"/>
              <w:jc w:val="left"/>
              <w:rPr>
                <w:rFonts w:hint="eastAsia"/>
                <w:b w:val="0"/>
                <w:bCs/>
                <w:color w:val="auto"/>
                <w:highlight w:val="none"/>
                <w:lang w:val="en-US" w:eastAsia="zh-CN"/>
              </w:rPr>
            </w:pPr>
            <w:r>
              <w:rPr>
                <w:rFonts w:hint="eastAsia" w:ascii="宋体"/>
                <w:b w:val="0"/>
                <w:bCs/>
                <w:color w:val="auto"/>
                <w:szCs w:val="21"/>
                <w:highlight w:val="none"/>
                <w:lang w:val="en-US" w:eastAsia="zh-CN"/>
              </w:rPr>
              <w:t>3、如果中标供应商在供货期内没有涉及采购人的应付而未付金额或违约行为，采购人在项目验收合格后或提前终止合同后全额无息退还履约保证金。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2"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30</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FF0000"/>
                <w:sz w:val="21"/>
                <w:szCs w:val="21"/>
                <w:highlight w:val="none"/>
                <w:lang w:val="en-US" w:eastAsia="zh-CN"/>
              </w:rPr>
            </w:pPr>
            <w:r>
              <w:rPr>
                <w:rFonts w:hint="eastAsia" w:ascii="宋体" w:hAnsi="宋体" w:cs="宋体"/>
                <w:b w:val="0"/>
                <w:bCs/>
                <w:color w:val="auto"/>
                <w:sz w:val="21"/>
                <w:szCs w:val="21"/>
                <w:highlight w:val="none"/>
                <w:lang w:val="en-US" w:eastAsia="zh-CN"/>
              </w:rPr>
              <w:t>时间：</w:t>
            </w:r>
            <w:r>
              <w:rPr>
                <w:rFonts w:hint="eastAsia" w:ascii="宋体" w:hAnsi="宋体" w:cs="宋体"/>
                <w:b w:val="0"/>
                <w:bCs/>
                <w:color w:val="FF0000"/>
                <w:sz w:val="21"/>
                <w:szCs w:val="21"/>
                <w:highlight w:val="none"/>
                <w:lang w:val="en-US" w:eastAsia="zh-CN"/>
              </w:rPr>
              <w:t>2024年3月13日至2024年3月20日，每天上午10:00至14:00，下午16:00至19：30（北京时间，法定节假日除外）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w:t>
            </w:r>
            <w:r>
              <w:rPr>
                <w:rFonts w:hint="eastAsia" w:ascii="宋体" w:hAnsi="宋体" w:cs="宋体"/>
                <w:b w:val="0"/>
                <w:bCs/>
                <w:color w:val="auto"/>
                <w:sz w:val="21"/>
                <w:szCs w:val="21"/>
                <w:highlight w:val="none"/>
                <w:lang w:val="en-US" w:eastAsia="zh-CN"/>
              </w:rPr>
              <w:t>供应商登陆政采云平台http://www.zcygov.cn/，在线申请获取招标文件（登录政府采购云平台 → 项目采购 → 获取招标文件，如有操作性问题，可与政采云在线客服进行咨询，咨询电话：95763）。</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w:t>
            </w:r>
            <w:r>
              <w:rPr>
                <w:rFonts w:hint="eastAsia" w:ascii="宋体" w:hAnsi="宋体" w:cs="宋体"/>
                <w:b w:val="0"/>
                <w:bCs/>
                <w:color w:val="auto"/>
                <w:sz w:val="21"/>
                <w:szCs w:val="21"/>
                <w:highlight w:val="none"/>
                <w:lang w:val="en-US" w:eastAsia="zh-CN"/>
              </w:rPr>
              <w:t>（1）线上获取（登录政府采购云平台 → 项目采购 → 获取招标文件）。本次招标不提供纸质版招标文件。</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31</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highlight w:val="none"/>
              </w:rPr>
              <w:t>中小微企业政策文件</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（1）根据财政部、工业和信息化部关于印发《政府采购促进中小企业发展管理办法》的通知（财库[2020]46号）和</w:t>
            </w:r>
            <w:r>
              <w:rPr>
                <w:rFonts w:hint="eastAsia" w:ascii="宋体" w:hAnsi="宋体" w:eastAsia="宋体" w:cs="宋体"/>
                <w:b w:val="0"/>
                <w:bCs/>
                <w:color w:val="auto"/>
                <w:sz w:val="21"/>
                <w:szCs w:val="21"/>
                <w:highlight w:val="none"/>
                <w:lang w:val="en-US" w:eastAsia="zh-CN"/>
              </w:rPr>
              <w:t>关于进一步加大政府采购支持中小企业力度的通知-</w:t>
            </w:r>
            <w:r>
              <w:rPr>
                <w:rFonts w:hint="eastAsia" w:ascii="宋体" w:hAnsi="宋体" w:eastAsia="宋体" w:cs="宋体"/>
                <w:b w:val="0"/>
                <w:bCs/>
                <w:color w:val="auto"/>
                <w:sz w:val="21"/>
                <w:szCs w:val="21"/>
                <w:highlight w:val="none"/>
                <w:lang w:eastAsia="zh-CN"/>
              </w:rPr>
              <w:t>财库[2022]19号，供应商提供的服务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cs="宋体"/>
                <w:b w:val="0"/>
                <w:bCs/>
                <w:color w:val="auto"/>
                <w:sz w:val="21"/>
                <w:szCs w:val="21"/>
                <w:highlight w:val="none"/>
                <w:lang w:val="en-US" w:eastAsia="zh-CN"/>
              </w:rPr>
              <w:t>货物</w:t>
            </w:r>
            <w:r>
              <w:rPr>
                <w:rFonts w:hint="eastAsia" w:ascii="宋体" w:hAnsi="宋体" w:eastAsia="宋体" w:cs="宋体"/>
                <w:b w:val="0"/>
                <w:bCs/>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4"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highlight w:val="none"/>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highlight w:val="none"/>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8"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32</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highlight w:val="none"/>
                <w:lang w:val="en-US" w:eastAsia="zh-CN"/>
              </w:rPr>
              <w:t>中小微企业政策文件说明</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支持中小企业发展：给予小型和微型企业产品的价格10%-20%的扣除，用扣除后的价格参与评审，本项目具体扣除比例为10%。用扣除后的价格参与评审。残疾人福利性单位视同小型、微型企业，享受同等价格扣除，但同时属于残疾人福利性单位和小微企业的，不重复价格扣除。</w:t>
            </w:r>
          </w:p>
          <w:p>
            <w:pPr>
              <w:pStyle w:val="25"/>
              <w:ind w:left="0" w:leftChars="0" w:firstLine="0" w:firstLineChars="0"/>
              <w:rPr>
                <w:rFonts w:hint="eastAsia"/>
                <w:color w:val="auto"/>
                <w:highlight w:val="none"/>
                <w:lang w:val="en-US" w:eastAsia="zh-CN"/>
              </w:rPr>
            </w:pPr>
            <w:r>
              <w:rPr>
                <w:rFonts w:hint="eastAsia"/>
                <w:color w:val="auto"/>
                <w:highlight w:val="none"/>
                <w:lang w:val="en-US" w:eastAsia="zh-CN"/>
              </w:rPr>
              <w:t>（2）不符合上述适用情形的供应商无需提供上述声明函件。</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highlight w:val="none"/>
              </w:rPr>
            </w:pP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lang w:val="en-US" w:eastAsia="zh-CN"/>
              </w:rPr>
              <w:t>本采购项目中小企业划分标准所属行业为：</w:t>
            </w:r>
            <w:r>
              <w:rPr>
                <w:rFonts w:hint="eastAsia" w:ascii="宋体" w:hAnsi="宋体" w:eastAsia="宋体" w:cs="宋体"/>
                <w:b w:val="0"/>
                <w:bCs/>
                <w:color w:val="auto"/>
                <w:szCs w:val="21"/>
                <w:highlight w:val="yellow"/>
                <w:shd w:val="clear" w:color="auto" w:fill="auto"/>
                <w:lang w:val="en-US" w:eastAsia="zh-CN"/>
              </w:rPr>
              <w:t>工业</w:t>
            </w:r>
            <w:r>
              <w:rPr>
                <w:rFonts w:hint="eastAsia" w:ascii="宋体" w:hAnsi="宋体" w:cs="宋体"/>
                <w:b w:val="0"/>
                <w:bCs/>
                <w:color w:val="auto"/>
                <w:szCs w:val="21"/>
                <w:highlight w:val="yellow"/>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rPr>
            </w:pPr>
            <w:r>
              <w:rPr>
                <w:rFonts w:hint="eastAsia"/>
                <w:b/>
                <w:bCs w:val="0"/>
                <w:color w:val="auto"/>
                <w:sz w:val="21"/>
                <w:szCs w:val="21"/>
                <w:highlight w:val="none"/>
              </w:rPr>
              <w:t>备注</w:t>
            </w:r>
          </w:p>
        </w:tc>
        <w:tc>
          <w:tcPr>
            <w:tcW w:w="8824" w:type="dxa"/>
            <w:gridSpan w:val="2"/>
            <w:noWrap w:val="0"/>
            <w:vAlign w:val="center"/>
          </w:tcPr>
          <w:p>
            <w:pPr>
              <w:numPr>
                <w:ilvl w:val="0"/>
                <w:numId w:val="0"/>
              </w:numPr>
              <w:spacing w:line="400" w:lineRule="exact"/>
              <w:ind w:leftChars="0"/>
              <w:jc w:val="left"/>
              <w:rPr>
                <w:rFonts w:hint="eastAsia"/>
                <w:color w:val="auto"/>
                <w:highlight w:val="none"/>
              </w:rPr>
            </w:pPr>
            <w:r>
              <w:rPr>
                <w:rFonts w:hint="eastAsia"/>
                <w:b/>
                <w:bCs w:val="0"/>
                <w:color w:val="auto"/>
                <w:sz w:val="21"/>
                <w:szCs w:val="21"/>
                <w:highlight w:val="none"/>
              </w:rPr>
              <w:t>投标人使用相同IP地址的，一经发现，</w:t>
            </w:r>
            <w:r>
              <w:rPr>
                <w:rFonts w:hint="eastAsia"/>
                <w:b/>
                <w:bCs w:val="0"/>
                <w:color w:val="auto"/>
                <w:sz w:val="21"/>
                <w:szCs w:val="21"/>
                <w:highlight w:val="none"/>
                <w:lang w:eastAsia="zh-CN"/>
              </w:rPr>
              <w:t>相关</w:t>
            </w:r>
            <w:r>
              <w:rPr>
                <w:rFonts w:hint="eastAsia"/>
                <w:b/>
                <w:bCs w:val="0"/>
                <w:color w:val="auto"/>
                <w:sz w:val="21"/>
                <w:szCs w:val="21"/>
                <w:highlight w:val="none"/>
              </w:rPr>
              <w:t>部门将进一步核实，查实后按串通投标处理</w:t>
            </w:r>
            <w:r>
              <w:rPr>
                <w:rFonts w:hint="eastAsia"/>
                <w:b/>
                <w:bCs w:val="0"/>
                <w:color w:val="auto"/>
                <w:sz w:val="21"/>
                <w:szCs w:val="21"/>
                <w:highlight w:val="none"/>
                <w:lang w:eastAsia="zh-CN"/>
              </w:rPr>
              <w:t>。</w:t>
            </w:r>
          </w:p>
        </w:tc>
      </w:tr>
    </w:tbl>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bookmarkStart w:id="47" w:name="_Toc25552"/>
      <w:r>
        <w:rPr>
          <w:rFonts w:hint="eastAsia" w:ascii="宋体"/>
          <w:b/>
          <w:color w:val="auto"/>
          <w:sz w:val="28"/>
          <w:szCs w:val="28"/>
          <w:highlight w:val="none"/>
        </w:rPr>
        <w:t>二、投标人须知</w:t>
      </w:r>
      <w:bookmarkEnd w:id="47"/>
    </w:p>
    <w:p>
      <w:pPr>
        <w:shd w:val="clear" w:color="auto" w:fill="auto"/>
        <w:spacing w:line="440" w:lineRule="exact"/>
        <w:jc w:val="center"/>
        <w:outlineLvl w:val="2"/>
        <w:rPr>
          <w:rFonts w:hint="eastAsia" w:ascii="宋体"/>
          <w:color w:val="auto"/>
          <w:sz w:val="28"/>
          <w:szCs w:val="28"/>
          <w:highlight w:val="none"/>
        </w:rPr>
      </w:pPr>
      <w:bookmarkStart w:id="48" w:name="_Toc7806"/>
      <w:bookmarkStart w:id="49" w:name="_Toc469495724"/>
      <w:r>
        <w:rPr>
          <w:rFonts w:hint="eastAsia" w:ascii="宋体"/>
          <w:b/>
          <w:color w:val="auto"/>
          <w:sz w:val="28"/>
          <w:szCs w:val="28"/>
          <w:highlight w:val="none"/>
        </w:rPr>
        <w:t>（一）</w:t>
      </w:r>
      <w:r>
        <w:rPr>
          <w:rFonts w:hint="eastAsia" w:ascii="宋体"/>
          <w:b/>
          <w:color w:val="auto"/>
          <w:sz w:val="28"/>
          <w:szCs w:val="32"/>
          <w:highlight w:val="none"/>
        </w:rPr>
        <w:t>总  则</w:t>
      </w:r>
      <w:bookmarkEnd w:id="48"/>
      <w:bookmarkEnd w:id="49"/>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0" w:firstLineChars="200"/>
        <w:outlineLvl w:val="4"/>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840"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pPr>
        <w:shd w:val="clear" w:color="auto" w:fill="auto"/>
        <w:snapToGrid w:val="0"/>
        <w:spacing w:line="440" w:lineRule="exact"/>
        <w:ind w:firstLine="840"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pPr>
        <w:shd w:val="clear" w:color="auto" w:fill="auto"/>
        <w:snapToGrid w:val="0"/>
        <w:spacing w:line="440" w:lineRule="exact"/>
        <w:ind w:firstLine="840" w:firstLineChars="400"/>
        <w:rPr>
          <w:rFonts w:hint="eastAsia" w:ascii="宋体"/>
          <w:color w:val="auto"/>
          <w:szCs w:val="21"/>
          <w:highlight w:val="none"/>
          <w:u w:val="single"/>
        </w:rPr>
      </w:pPr>
      <w:r>
        <w:rPr>
          <w:rFonts w:hint="eastAsia" w:ascii="宋体"/>
          <w:color w:val="auto"/>
          <w:szCs w:val="21"/>
          <w:highlight w:val="none"/>
        </w:rPr>
        <w:t>供货期（服务周期）：见投标人须知前附表。</w:t>
      </w:r>
    </w:p>
    <w:p>
      <w:pPr>
        <w:shd w:val="clear" w:color="auto" w:fill="auto"/>
        <w:snapToGrid w:val="0"/>
        <w:spacing w:line="440" w:lineRule="exact"/>
        <w:ind w:firstLine="840"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pPr>
        <w:shd w:val="clear" w:color="auto" w:fill="auto"/>
        <w:snapToGrid w:val="0"/>
        <w:spacing w:line="440" w:lineRule="exact"/>
        <w:ind w:firstLine="420" w:firstLineChars="200"/>
        <w:outlineLvl w:val="4"/>
        <w:rPr>
          <w:rFonts w:hint="eastAsia" w:ascii="宋体"/>
          <w:color w:val="auto"/>
          <w:szCs w:val="21"/>
          <w:highlight w:val="none"/>
          <w:u w:val="single"/>
        </w:rPr>
      </w:pPr>
      <w:r>
        <w:rPr>
          <w:rFonts w:hint="eastAsia" w:ascii="宋体"/>
          <w:color w:val="auto"/>
          <w:szCs w:val="21"/>
          <w:highlight w:val="none"/>
        </w:rPr>
        <w:t>1.2招标人及联系人:见投标人须知前附表。</w:t>
      </w:r>
    </w:p>
    <w:p>
      <w:pPr>
        <w:shd w:val="clear" w:color="auto" w:fill="auto"/>
        <w:snapToGrid w:val="0"/>
        <w:spacing w:line="440" w:lineRule="exact"/>
        <w:ind w:firstLine="735"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0" w:firstLineChars="200"/>
        <w:jc w:val="left"/>
        <w:outlineLvl w:val="4"/>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固定合价</w:t>
      </w:r>
      <w:r>
        <w:rPr>
          <w:rFonts w:hint="eastAsia" w:ascii="宋体"/>
          <w:color w:val="auto"/>
          <w:szCs w:val="21"/>
          <w:highlight w:val="none"/>
          <w:u w:val="single"/>
        </w:rPr>
        <w:t xml:space="preserve"> 。</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outlineLvl w:val="3"/>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outlineLvl w:val="3"/>
        <w:rPr>
          <w:rFonts w:hint="eastAsia"/>
          <w:b/>
          <w:color w:val="auto"/>
          <w:szCs w:val="21"/>
          <w:highlight w:val="none"/>
        </w:rPr>
      </w:pPr>
      <w:r>
        <w:rPr>
          <w:rFonts w:hint="eastAsia"/>
          <w:b/>
          <w:color w:val="auto"/>
          <w:szCs w:val="21"/>
          <w:highlight w:val="none"/>
        </w:rPr>
        <w:t>9.</w:t>
      </w:r>
      <w:bookmarkStart w:id="50" w:name="_Toc152042315"/>
      <w:bookmarkStart w:id="51" w:name="_Toc296602429"/>
      <w:bookmarkStart w:id="52" w:name="_Toc144974507"/>
      <w:bookmarkStart w:id="53" w:name="_Toc247513962"/>
      <w:bookmarkStart w:id="54" w:name="_Toc152045539"/>
      <w:bookmarkStart w:id="55" w:name="_Toc247527563"/>
      <w:bookmarkStart w:id="56" w:name="_Toc247592876"/>
      <w:r>
        <w:rPr>
          <w:rFonts w:hint="eastAsia"/>
          <w:b/>
          <w:color w:val="auto"/>
          <w:szCs w:val="21"/>
          <w:highlight w:val="none"/>
        </w:rPr>
        <w:t xml:space="preserve"> 踏勘现场</w:t>
      </w:r>
      <w:bookmarkEnd w:id="50"/>
      <w:bookmarkEnd w:id="51"/>
      <w:bookmarkEnd w:id="52"/>
      <w:bookmarkEnd w:id="53"/>
      <w:bookmarkEnd w:id="54"/>
      <w:bookmarkEnd w:id="55"/>
      <w:bookmarkEnd w:id="56"/>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pPr>
        <w:shd w:val="clear" w:color="auto" w:fill="auto"/>
        <w:spacing w:line="440" w:lineRule="exact"/>
        <w:ind w:firstLine="409" w:firstLineChars="195"/>
        <w:outlineLvl w:val="4"/>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57" w:name="_Toc247527564"/>
      <w:bookmarkStart w:id="58" w:name="_Toc247592877"/>
      <w:bookmarkStart w:id="59" w:name="_Toc144974508"/>
      <w:bookmarkStart w:id="60" w:name="_Toc296602430"/>
      <w:bookmarkStart w:id="61" w:name="_Toc247513963"/>
      <w:bookmarkStart w:id="62" w:name="_Toc152042316"/>
      <w:bookmarkStart w:id="63" w:name="_Toc152045540"/>
    </w:p>
    <w:p>
      <w:pPr>
        <w:shd w:val="clear" w:color="auto" w:fill="auto"/>
        <w:spacing w:line="440" w:lineRule="exact"/>
        <w:outlineLvl w:val="3"/>
        <w:rPr>
          <w:rFonts w:hint="eastAsia"/>
          <w:b/>
          <w:color w:val="auto"/>
          <w:szCs w:val="21"/>
          <w:highlight w:val="none"/>
        </w:rPr>
      </w:pPr>
      <w:r>
        <w:rPr>
          <w:rFonts w:hint="eastAsia"/>
          <w:b/>
          <w:color w:val="auto"/>
          <w:szCs w:val="21"/>
          <w:highlight w:val="none"/>
        </w:rPr>
        <w:t>10. 投标预备会</w:t>
      </w:r>
      <w:bookmarkEnd w:id="57"/>
      <w:bookmarkEnd w:id="58"/>
      <w:bookmarkEnd w:id="59"/>
      <w:bookmarkEnd w:id="60"/>
      <w:bookmarkEnd w:id="61"/>
      <w:bookmarkEnd w:id="62"/>
      <w:bookmarkEnd w:id="63"/>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outlineLvl w:val="3"/>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09"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11"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11"/>
        <w:shd w:val="clear" w:color="auto" w:fill="auto"/>
        <w:spacing w:after="0" w:line="400" w:lineRule="exact"/>
        <w:ind w:left="0" w:leftChars="0" w:firstLine="424"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jc w:val="left"/>
        <w:outlineLvl w:val="3"/>
        <w:rPr>
          <w:rFonts w:hint="eastAsia" w:ascii="宋体"/>
          <w:b/>
          <w:color w:val="auto"/>
          <w:szCs w:val="21"/>
          <w:highlight w:val="none"/>
        </w:rPr>
      </w:pPr>
      <w:r>
        <w:rPr>
          <w:rFonts w:hint="eastAsia" w:ascii="宋体"/>
          <w:b/>
          <w:color w:val="auto"/>
          <w:szCs w:val="21"/>
          <w:highlight w:val="none"/>
        </w:rPr>
        <w:t>12.招标代理费</w:t>
      </w:r>
    </w:p>
    <w:p>
      <w:pPr>
        <w:shd w:val="clear" w:color="auto" w:fill="auto"/>
        <w:spacing w:line="440" w:lineRule="exact"/>
        <w:ind w:firstLine="420" w:firstLineChars="200"/>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中标（成交）人应按本招标文件的规定，在《中标（成交）通知书》核发时，向采购代理机构支付中标（成交）服务费。参照发改价格[2011]534号文计算的招标代理服务收费标准收费。按发改价格[2015]299号规定全面放开招标代理费，由实行政府指导价管理改为实行市场调节价，价格由双方协商确定。</w:t>
      </w:r>
    </w:p>
    <w:p>
      <w:pPr>
        <w:shd w:val="clear" w:color="auto" w:fill="auto"/>
        <w:spacing w:line="440" w:lineRule="exact"/>
        <w:outlineLvl w:val="3"/>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0"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20"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5" w:firstLineChars="150"/>
        <w:outlineLvl w:val="4"/>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5"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bookmarkStart w:id="64" w:name="_Toc469495725"/>
    </w:p>
    <w:p>
      <w:pPr>
        <w:shd w:val="clear" w:color="auto" w:fill="auto"/>
        <w:spacing w:before="312" w:beforeLines="100" w:after="312" w:afterLines="100" w:line="440" w:lineRule="exact"/>
        <w:jc w:val="center"/>
        <w:outlineLvl w:val="9"/>
        <w:rPr>
          <w:rFonts w:hint="eastAsia" w:ascii="宋体"/>
          <w:b/>
          <w:color w:val="auto"/>
          <w:sz w:val="28"/>
          <w:szCs w:val="28"/>
          <w:highlight w:val="none"/>
        </w:rPr>
      </w:pPr>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bookmarkStart w:id="65" w:name="_Toc10894"/>
      <w:r>
        <w:rPr>
          <w:rFonts w:hint="eastAsia" w:ascii="宋体"/>
          <w:b/>
          <w:color w:val="auto"/>
          <w:sz w:val="28"/>
          <w:szCs w:val="28"/>
          <w:highlight w:val="none"/>
        </w:rPr>
        <w:t>（二）</w:t>
      </w:r>
      <w:bookmarkEnd w:id="64"/>
      <w:r>
        <w:rPr>
          <w:rFonts w:hint="eastAsia" w:ascii="宋体"/>
          <w:b/>
          <w:color w:val="auto"/>
          <w:sz w:val="28"/>
          <w:szCs w:val="28"/>
          <w:highlight w:val="none"/>
          <w:lang w:eastAsia="zh-CN"/>
        </w:rPr>
        <w:t>招标文件</w:t>
      </w:r>
      <w:bookmarkEnd w:id="65"/>
    </w:p>
    <w:p>
      <w:pPr>
        <w:shd w:val="clear" w:color="auto" w:fill="auto"/>
        <w:spacing w:line="440" w:lineRule="exact"/>
        <w:outlineLvl w:val="3"/>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w:t>
      </w:r>
      <w:r>
        <w:rPr>
          <w:rFonts w:hint="eastAsia" w:ascii="宋体"/>
          <w:color w:val="auto"/>
          <w:szCs w:val="21"/>
          <w:highlight w:val="none"/>
          <w:lang w:eastAsia="zh-CN"/>
        </w:rPr>
        <w:t>民法典</w:t>
      </w:r>
      <w:r>
        <w:rPr>
          <w:rFonts w:hint="eastAsia" w:ascii="宋体"/>
          <w:color w:val="auto"/>
          <w:szCs w:val="21"/>
          <w:highlight w:val="none"/>
        </w:rPr>
        <w:t>》</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outlineLvl w:val="3"/>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pPr>
        <w:shd w:val="clear" w:color="auto" w:fill="auto"/>
        <w:spacing w:line="440" w:lineRule="exact"/>
        <w:ind w:firstLine="210" w:firstLineChars="100"/>
        <w:outlineLvl w:val="4"/>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70" w:firstLineChars="700"/>
        <w:rPr>
          <w:rFonts w:hint="eastAsia" w:ascii="宋体"/>
          <w:color w:val="auto"/>
          <w:szCs w:val="21"/>
          <w:highlight w:val="none"/>
          <w:lang w:eastAsia="zh-CN"/>
        </w:rPr>
      </w:pPr>
      <w:r>
        <w:rPr>
          <w:rFonts w:hint="eastAsia" w:ascii="宋体"/>
          <w:color w:val="auto"/>
          <w:szCs w:val="21"/>
          <w:highlight w:val="none"/>
        </w:rPr>
        <w:t>第三章  评标办法</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第四章  采购内容及技术要求</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第六章  投标文件格式文本</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13"/>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pPr>
        <w:shd w:val="clear" w:color="auto" w:fill="auto"/>
        <w:spacing w:line="440" w:lineRule="exact"/>
        <w:outlineLvl w:val="3"/>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pPr>
        <w:shd w:val="clear" w:color="auto" w:fill="auto"/>
        <w:wordWrap w:val="0"/>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0" w:firstLineChars="200"/>
        <w:outlineLvl w:val="4"/>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pPr>
        <w:shd w:val="clear" w:color="auto" w:fill="auto"/>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pPr>
        <w:shd w:val="clear" w:color="auto" w:fill="auto"/>
        <w:spacing w:line="400" w:lineRule="exact"/>
        <w:outlineLvl w:val="3"/>
        <w:rPr>
          <w:rFonts w:ascii="宋体" w:hAnsi="宋体"/>
          <w:b/>
          <w:color w:val="auto"/>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pPr>
        <w:shd w:val="clear" w:color="auto" w:fill="auto"/>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rPr>
          <w:rFonts w:hint="eastAsia" w:ascii="宋体"/>
          <w:color w:val="auto"/>
          <w:szCs w:val="21"/>
          <w:highlight w:val="none"/>
        </w:rPr>
      </w:pPr>
      <w:bookmarkStart w:id="66"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bookmarkStart w:id="67" w:name="_Toc26884"/>
      <w:r>
        <w:rPr>
          <w:rFonts w:hint="eastAsia" w:ascii="宋体"/>
          <w:b/>
          <w:color w:val="auto"/>
          <w:sz w:val="28"/>
          <w:szCs w:val="28"/>
          <w:highlight w:val="none"/>
        </w:rPr>
        <w:t>（三）投标文件的编制</w:t>
      </w:r>
      <w:bookmarkEnd w:id="66"/>
      <w:bookmarkEnd w:id="67"/>
    </w:p>
    <w:p>
      <w:pPr>
        <w:shd w:val="clear" w:color="auto" w:fill="auto"/>
        <w:spacing w:line="440" w:lineRule="exact"/>
        <w:outlineLvl w:val="3"/>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outlineLvl w:val="3"/>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pPr>
        <w:shd w:val="clear" w:color="auto" w:fill="auto"/>
        <w:spacing w:line="400" w:lineRule="exact"/>
        <w:ind w:firstLine="420"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pPr>
        <w:shd w:val="clear" w:color="auto" w:fill="auto"/>
        <w:spacing w:line="440" w:lineRule="exact"/>
        <w:outlineLvl w:val="4"/>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pPr>
        <w:shd w:val="clear" w:color="auto" w:fill="auto"/>
        <w:spacing w:line="440" w:lineRule="exact"/>
        <w:ind w:firstLine="308"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1、法人或者非法人组织的营业执照等证明文件</w:t>
      </w:r>
      <w:r>
        <w:rPr>
          <w:rFonts w:hint="eastAsia" w:ascii="宋体" w:hAnsi="宋体" w:cs="Times New Roman"/>
          <w:color w:val="auto"/>
          <w:szCs w:val="21"/>
          <w:highlight w:val="none"/>
          <w:lang w:val="en-US" w:eastAsia="zh-CN"/>
        </w:rPr>
        <w:t>扫描</w:t>
      </w:r>
      <w:r>
        <w:rPr>
          <w:rFonts w:hint="eastAsia" w:ascii="宋体" w:hAnsi="宋体" w:eastAsia="宋体" w:cs="Times New Roman"/>
          <w:color w:val="auto"/>
          <w:szCs w:val="21"/>
          <w:highlight w:val="none"/>
          <w:lang w:val="en-US" w:eastAsia="zh-CN"/>
        </w:rPr>
        <w:t>件（须加盖本单位章）或自然人的身份证明</w:t>
      </w:r>
      <w:r>
        <w:rPr>
          <w:rFonts w:hint="eastAsia" w:ascii="宋体" w:hAnsi="宋体" w:cs="Times New Roman"/>
          <w:color w:val="auto"/>
          <w:szCs w:val="21"/>
          <w:highlight w:val="none"/>
          <w:lang w:val="en-US" w:eastAsia="zh-CN"/>
        </w:rPr>
        <w:t>扫描</w:t>
      </w:r>
      <w:r>
        <w:rPr>
          <w:rFonts w:hint="eastAsia" w:ascii="宋体" w:hAnsi="宋体" w:eastAsia="宋体" w:cs="Times New Roman"/>
          <w:color w:val="auto"/>
          <w:szCs w:val="21"/>
          <w:highlight w:val="none"/>
          <w:lang w:val="en-US" w:eastAsia="zh-CN"/>
        </w:rPr>
        <w:t>件;</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w:t>
      </w:r>
      <w:r>
        <w:rPr>
          <w:rFonts w:hint="eastAsia" w:ascii="宋体" w:hAnsi="宋体" w:cs="Times New Roman"/>
          <w:color w:val="auto"/>
          <w:szCs w:val="21"/>
          <w:highlight w:val="none"/>
          <w:lang w:val="en-US" w:eastAsia="zh-CN"/>
        </w:rPr>
        <w:t>缴纳凭证或</w:t>
      </w:r>
      <w:r>
        <w:rPr>
          <w:rFonts w:hint="eastAsia" w:ascii="宋体" w:hAnsi="宋体" w:eastAsia="宋体" w:cs="Times New Roman"/>
          <w:color w:val="auto"/>
          <w:szCs w:val="21"/>
          <w:highlight w:val="none"/>
          <w:lang w:val="en-US" w:eastAsia="zh-CN"/>
        </w:rPr>
        <w:t>投标担保函；</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cs="Times New Roman"/>
          <w:color w:val="auto"/>
          <w:szCs w:val="21"/>
          <w:highlight w:val="none"/>
          <w:lang w:val="en-US" w:eastAsia="zh-CN"/>
        </w:rPr>
        <w:t>投标企业须提供投标人（被授权在职人员）近3个月有效的社保证明；</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eastAsia" w:ascii="宋体" w:hAnsi="宋体" w:eastAsia="宋体" w:cs="宋体"/>
          <w:color w:val="auto"/>
          <w:kern w:val="2"/>
          <w:sz w:val="21"/>
          <w:szCs w:val="21"/>
          <w:highlight w:val="none"/>
          <w:lang w:val="en-US" w:eastAsia="zh-CN" w:bidi="ar-SA"/>
        </w:rPr>
        <w:t>未被“信用中国”（www.creditchina.gov.cn）、中国政府采购网（www.ccgp.gov.cn）列入失信被执行人、重大税收违法案件当事人名单、政府采购严重违法失信行为记录名单；</w:t>
      </w:r>
    </w:p>
    <w:p>
      <w:pPr>
        <w:shd w:val="clear" w:color="auto" w:fill="auto"/>
        <w:spacing w:line="440" w:lineRule="exact"/>
        <w:ind w:firstLine="283" w:firstLineChars="135"/>
        <w:outlineLvl w:val="3"/>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spacing w:line="440" w:lineRule="exact"/>
        <w:ind w:firstLine="283" w:firstLineChars="135"/>
        <w:rPr>
          <w:rFonts w:hint="eastAsia" w:ascii="宋体" w:hAnsi="宋体" w:eastAsia="宋体" w:cs="Times New Roman"/>
          <w:b w:val="0"/>
          <w:bCs w:val="0"/>
          <w:color w:val="auto"/>
          <w:kern w:val="2"/>
          <w:sz w:val="21"/>
          <w:szCs w:val="21"/>
          <w:highlight w:val="none"/>
          <w:u w:val="none"/>
          <w:lang w:val="en-US" w:eastAsia="zh-CN" w:bidi="ar-SA"/>
        </w:rPr>
      </w:pPr>
      <w:r>
        <w:rPr>
          <w:rFonts w:hint="eastAsia" w:ascii="宋体" w:hAnsi="宋体" w:eastAsia="宋体" w:cs="Times New Roman"/>
          <w:b w:val="0"/>
          <w:bCs w:val="0"/>
          <w:color w:val="auto"/>
          <w:kern w:val="2"/>
          <w:sz w:val="21"/>
          <w:szCs w:val="21"/>
          <w:highlight w:val="none"/>
          <w:u w:val="none"/>
          <w:lang w:val="en-US" w:eastAsia="zh-CN" w:bidi="ar-SA"/>
        </w:rPr>
        <w:t>9、投标人具有有效的《医疗器械生产许可证》或《医疗器械经营许可证》原件扫描件。</w:t>
      </w:r>
    </w:p>
    <w:p>
      <w:pPr>
        <w:shd w:val="clear" w:color="auto" w:fill="auto"/>
        <w:spacing w:line="440" w:lineRule="exact"/>
        <w:outlineLvl w:val="4"/>
        <w:rPr>
          <w:rFonts w:hint="eastAsia" w:ascii="Times New Roman" w:hAnsi="宋体" w:eastAsia="宋体" w:cs="Times New Roman"/>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360" w:lineRule="auto"/>
        <w:ind w:firstLine="283" w:firstLine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w:t>
      </w:r>
      <w:r>
        <w:rPr>
          <w:rFonts w:hint="eastAsia" w:ascii="宋体" w:hAnsi="宋体" w:cs="Times New Roman"/>
          <w:color w:val="auto"/>
          <w:szCs w:val="21"/>
          <w:highlight w:val="none"/>
          <w:lang w:val="en-US" w:eastAsia="zh-CN"/>
        </w:rPr>
        <w:t>投标分项报价表</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4、技术规格偏离表</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5、商务条款偏离表</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6、投标人基本情况表</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7、近三年类似项目业绩表</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8、中小企业声明函(货物)</w:t>
      </w:r>
    </w:p>
    <w:p>
      <w:pPr>
        <w:shd w:val="clear" w:color="auto" w:fill="auto"/>
        <w:spacing w:line="360" w:lineRule="auto"/>
        <w:ind w:firstLine="283" w:firstLine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w:t>
      </w:r>
      <w:r>
        <w:rPr>
          <w:rFonts w:hint="eastAsia" w:ascii="宋体" w:hAnsi="宋体" w:cs="Times New Roman"/>
          <w:color w:val="auto"/>
          <w:szCs w:val="21"/>
          <w:highlight w:val="none"/>
          <w:lang w:val="en-US" w:eastAsia="zh-CN"/>
        </w:rPr>
        <w:t>投标人关联单位的说明</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、评分标准和细则中技术部分证明材料</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pPr>
        <w:shd w:val="clear" w:color="auto" w:fill="auto"/>
        <w:spacing w:line="360" w:lineRule="auto"/>
        <w:ind w:firstLine="283" w:firstLineChars="135"/>
        <w:rPr>
          <w:rFonts w:hint="eastAsia" w:ascii="宋体" w:hAnsi="宋体" w:eastAsia="宋体" w:cs="宋体"/>
          <w:color w:val="auto"/>
          <w:sz w:val="24"/>
          <w:highlight w:val="none"/>
        </w:rPr>
      </w:pP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val="en-US" w:eastAsia="zh-CN"/>
        </w:rPr>
        <w:t>、投标人认为有必要提供的其他证明材料（格式自拟）</w:t>
      </w:r>
    </w:p>
    <w:p>
      <w:pPr>
        <w:shd w:val="clear" w:color="auto" w:fill="auto"/>
        <w:spacing w:line="400" w:lineRule="exact"/>
        <w:ind w:firstLine="420"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17" w:firstLineChars="199"/>
        <w:outlineLvl w:val="4"/>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17"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outlineLvl w:val="3"/>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pPr>
        <w:shd w:val="clear" w:color="auto" w:fill="auto"/>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pPr>
        <w:shd w:val="clear" w:color="auto" w:fill="auto"/>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.4投标人应按“采购内容及技术参数要求”所列</w:t>
      </w:r>
      <w:r>
        <w:rPr>
          <w:rFonts w:hint="eastAsia" w:ascii="宋体"/>
          <w:color w:val="auto"/>
          <w:szCs w:val="21"/>
          <w:highlight w:val="none"/>
          <w:lang w:val="en-US" w:eastAsia="zh-CN"/>
        </w:rPr>
        <w:t>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pPr>
        <w:shd w:val="clear" w:color="auto" w:fill="auto"/>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pPr>
        <w:shd w:val="clear" w:color="auto" w:fill="auto"/>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3"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3"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pPr>
        <w:shd w:val="clear" w:color="auto" w:fill="auto"/>
        <w:spacing w:line="440" w:lineRule="exact"/>
        <w:ind w:firstLine="403"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outlineLvl w:val="3"/>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pPr>
        <w:shd w:val="clear" w:color="auto" w:fill="auto"/>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outlineLvl w:val="3"/>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0" w:firstLineChars="200"/>
        <w:outlineLvl w:val="4"/>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0" w:firstLineChars="200"/>
        <w:outlineLvl w:val="4"/>
        <w:rPr>
          <w:rFonts w:hint="eastAsia" w:ascii="宋体"/>
          <w:color w:val="auto"/>
          <w:szCs w:val="21"/>
          <w:highlight w:val="none"/>
        </w:rPr>
      </w:pPr>
      <w:bookmarkStart w:id="68"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3"/>
        <w:shd w:val="clear" w:color="auto" w:fill="auto"/>
        <w:bidi w:val="0"/>
        <w:jc w:val="center"/>
        <w:outlineLvl w:val="2"/>
        <w:rPr>
          <w:rFonts w:hint="eastAsia"/>
          <w:color w:val="auto"/>
          <w:sz w:val="28"/>
          <w:szCs w:val="28"/>
          <w:highlight w:val="none"/>
        </w:rPr>
      </w:pPr>
      <w:bookmarkStart w:id="69" w:name="_Toc225"/>
      <w:r>
        <w:rPr>
          <w:rFonts w:hint="eastAsia"/>
          <w:color w:val="auto"/>
          <w:sz w:val="28"/>
          <w:szCs w:val="28"/>
          <w:highlight w:val="none"/>
        </w:rPr>
        <w:t>（四）</w:t>
      </w:r>
      <w:bookmarkEnd w:id="68"/>
      <w:r>
        <w:rPr>
          <w:rFonts w:hint="eastAsia"/>
          <w:color w:val="auto"/>
          <w:sz w:val="28"/>
          <w:szCs w:val="28"/>
          <w:highlight w:val="none"/>
        </w:rPr>
        <w:t>投标文件的制作、上传及递交要求</w:t>
      </w:r>
      <w:bookmarkEnd w:id="69"/>
    </w:p>
    <w:p>
      <w:pPr>
        <w:shd w:val="clear" w:color="auto" w:fill="auto"/>
        <w:snapToGrid w:val="0"/>
        <w:spacing w:line="360" w:lineRule="auto"/>
        <w:outlineLvl w:val="3"/>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pPr>
        <w:pStyle w:val="7"/>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pPr>
        <w:pStyle w:val="7"/>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pPr>
        <w:shd w:val="clear" w:color="auto" w:fill="auto"/>
        <w:snapToGrid w:val="0"/>
        <w:spacing w:line="360" w:lineRule="auto"/>
        <w:outlineLvl w:val="3"/>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pPr>
        <w:pStyle w:val="7"/>
        <w:shd w:val="clear" w:color="auto" w:fill="auto"/>
        <w:snapToGrid w:val="0"/>
        <w:spacing w:line="360" w:lineRule="auto"/>
        <w:outlineLvl w:val="4"/>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pPr>
        <w:pStyle w:val="7"/>
        <w:shd w:val="clear" w:color="auto" w:fill="auto"/>
        <w:snapToGrid w:val="0"/>
        <w:spacing w:line="360" w:lineRule="auto"/>
        <w:ind w:firstLine="525"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pPr>
        <w:pStyle w:val="7"/>
        <w:shd w:val="clear" w:color="auto" w:fill="auto"/>
        <w:snapToGrid w:val="0"/>
        <w:spacing w:line="360" w:lineRule="auto"/>
        <w:ind w:firstLine="525"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pPr>
        <w:shd w:val="clear" w:color="auto" w:fill="auto"/>
        <w:snapToGrid w:val="0"/>
        <w:spacing w:line="360" w:lineRule="auto"/>
        <w:outlineLvl w:val="3"/>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pPr>
        <w:shd w:val="clear" w:color="auto" w:fill="auto"/>
        <w:tabs>
          <w:tab w:val="left" w:pos="1418"/>
        </w:tabs>
        <w:autoSpaceDE w:val="0"/>
        <w:autoSpaceDN w:val="0"/>
        <w:adjustRightInd w:val="0"/>
        <w:snapToGrid w:val="0"/>
        <w:spacing w:line="360" w:lineRule="auto"/>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pPr>
        <w:shd w:val="clear" w:color="auto" w:fill="auto"/>
        <w:tabs>
          <w:tab w:val="left" w:pos="960"/>
          <w:tab w:val="left" w:pos="1418"/>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70" w:name="_Toc469495728"/>
      <w:bookmarkStart w:id="71" w:name="_Toc3577"/>
      <w:r>
        <w:rPr>
          <w:rFonts w:hint="eastAsia" w:ascii="黑体" w:eastAsia="黑体"/>
          <w:color w:val="auto"/>
          <w:sz w:val="28"/>
          <w:szCs w:val="28"/>
          <w:highlight w:val="none"/>
        </w:rPr>
        <w:t>（五）开 标、评标和定标</w:t>
      </w:r>
      <w:bookmarkEnd w:id="70"/>
      <w:bookmarkEnd w:id="71"/>
    </w:p>
    <w:p>
      <w:pPr>
        <w:shd w:val="clear" w:color="auto" w:fill="auto"/>
        <w:snapToGrid w:val="0"/>
        <w:spacing w:line="360" w:lineRule="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pPr>
        <w:shd w:val="clear" w:color="auto" w:fill="auto"/>
        <w:snapToGrid w:val="0"/>
        <w:spacing w:line="360" w:lineRule="auto"/>
        <w:outlineLvl w:val="4"/>
        <w:rPr>
          <w:rFonts w:hint="eastAsia" w:ascii="宋体" w:hAnsi="宋体" w:eastAsia="宋体" w:cs="宋体"/>
          <w:b/>
          <w:bCs/>
          <w:color w:val="auto"/>
          <w:sz w:val="21"/>
          <w:szCs w:val="21"/>
          <w:highlight w:val="none"/>
          <w:lang w:val="en-US" w:eastAsia="zh-CN"/>
        </w:rPr>
      </w:pPr>
      <w:bookmarkStart w:id="72" w:name="_Toc73975822"/>
      <w:r>
        <w:rPr>
          <w:rFonts w:hint="eastAsia" w:ascii="宋体" w:hAnsi="宋体" w:eastAsia="宋体" w:cs="宋体"/>
          <w:b/>
          <w:bCs/>
          <w:color w:val="auto"/>
          <w:sz w:val="21"/>
          <w:szCs w:val="21"/>
          <w:highlight w:val="none"/>
          <w:lang w:val="en-US" w:eastAsia="zh-CN"/>
        </w:rPr>
        <w:t>28.1开标邀请</w:t>
      </w:r>
      <w:bookmarkEnd w:id="72"/>
    </w:p>
    <w:p>
      <w:pPr>
        <w:pStyle w:val="13"/>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13"/>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13"/>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38"/>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13"/>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outlineLvl w:val="4"/>
        <w:rPr>
          <w:rFonts w:hint="eastAsia" w:ascii="宋体" w:hAnsi="宋体" w:eastAsia="宋体" w:cs="宋体"/>
          <w:b/>
          <w:color w:val="auto"/>
          <w:sz w:val="21"/>
          <w:szCs w:val="21"/>
          <w:highlight w:val="none"/>
        </w:rPr>
      </w:pPr>
      <w:bookmarkStart w:id="73" w:name="_Toc73975823"/>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开标程序（先资格、商务技术后报价）</w:t>
      </w:r>
      <w:bookmarkEnd w:id="73"/>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r>
        <w:rPr>
          <w:rFonts w:hint="eastAsia" w:ascii="宋体" w:hAnsi="宋体" w:eastAsia="宋体" w:cs="宋体"/>
          <w:b/>
          <w:bCs/>
          <w:color w:val="auto"/>
          <w:kern w:val="0"/>
          <w:sz w:val="21"/>
          <w:szCs w:val="21"/>
          <w:highlight w:val="none"/>
        </w:rPr>
        <w:t>组织签署《政府采购活动现场确认声明书》，供应商应在20分钟内通过邮件形式将经签署的《政府采购活动现场确认声明书》发送至采购代理机构指定邮箱</w:t>
      </w:r>
      <w:r>
        <w:rPr>
          <w:rFonts w:hint="eastAsia" w:ascii="宋体" w:hAnsi="宋体" w:cs="宋体"/>
          <w:b/>
          <w:bCs/>
          <w:color w:val="auto"/>
          <w:kern w:val="0"/>
          <w:sz w:val="21"/>
          <w:szCs w:val="21"/>
          <w:highlight w:val="none"/>
          <w:lang w:val="en-US" w:eastAsia="zh-CN"/>
        </w:rPr>
        <w:t>546123694</w:t>
      </w:r>
      <w:r>
        <w:rPr>
          <w:rFonts w:hint="eastAsia" w:ascii="宋体" w:hAnsi="宋体" w:eastAsia="宋体" w:cs="宋体"/>
          <w:b/>
          <w:bCs/>
          <w:color w:val="auto"/>
          <w:kern w:val="0"/>
          <w:sz w:val="21"/>
          <w:szCs w:val="21"/>
          <w:highlight w:val="none"/>
          <w:lang w:val="en-US" w:eastAsia="zh-CN"/>
        </w:rPr>
        <w:t>@qq.com</w:t>
      </w:r>
      <w:r>
        <w:rPr>
          <w:rFonts w:hint="eastAsia" w:ascii="宋体" w:hAnsi="宋体" w:eastAsia="宋体" w:cs="宋体"/>
          <w:b/>
          <w:bCs/>
          <w:color w:val="auto"/>
          <w:kern w:val="0"/>
          <w:sz w:val="21"/>
          <w:szCs w:val="21"/>
          <w:highlight w:val="none"/>
        </w:rPr>
        <w:t>，逾期发送或未发送的视为无异议</w:t>
      </w:r>
      <w:r>
        <w:rPr>
          <w:rFonts w:hint="eastAsia" w:ascii="宋体" w:hAnsi="宋体" w:eastAsia="宋体" w:cs="宋体"/>
          <w:color w:val="auto"/>
          <w:kern w:val="0"/>
          <w:sz w:val="21"/>
          <w:szCs w:val="21"/>
          <w:highlight w:val="none"/>
        </w:rPr>
        <w:t>。</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3"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3"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jc w:val="left"/>
        <w:outlineLvl w:val="4"/>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shd w:val="clear" w:color="auto" w:fill="auto"/>
        <w:snapToGrid w:val="0"/>
        <w:spacing w:line="360" w:lineRule="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29.评审工作的组织</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shd w:val="clear" w:color="auto" w:fill="auto"/>
        <w:snapToGrid w:val="0"/>
        <w:spacing w:line="360" w:lineRule="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 评标委员会的组建</w:t>
      </w:r>
    </w:p>
    <w:p>
      <w:pPr>
        <w:widowControl/>
        <w:shd w:val="clear" w:color="auto" w:fill="auto"/>
        <w:spacing w:line="440" w:lineRule="exact"/>
        <w:ind w:firstLine="210"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1" w:firstLineChars="100"/>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1" w:firstLineChars="100"/>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1" w:firstLineChars="100"/>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11" w:firstLineChars="100"/>
        <w:outlineLvl w:val="3"/>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综合评分法货物项目的价格分值占总分值的比重(即权值)为</w:t>
      </w:r>
      <w:r>
        <w:rPr>
          <w:rFonts w:hint="eastAsia" w:ascii="宋体" w:hAnsi="宋体" w:cs="宋体"/>
          <w:color w:val="auto"/>
          <w:kern w:val="0"/>
          <w:szCs w:val="21"/>
          <w:highlight w:val="none"/>
          <w:lang w:val="en-US" w:eastAsia="zh-CN"/>
        </w:rPr>
        <w:t>35</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宋体"/>
          <w:color w:val="auto"/>
          <w:szCs w:val="21"/>
          <w:highlight w:val="none"/>
          <w:lang w:val="en-US" w:eastAsia="zh-CN"/>
        </w:rPr>
        <w:t>30</w:t>
      </w:r>
      <w:r>
        <w:rPr>
          <w:rFonts w:hint="eastAsia" w:ascii="宋体"/>
          <w:color w:val="auto"/>
          <w:szCs w:val="21"/>
          <w:highlight w:val="none"/>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1" w:firstLineChars="100"/>
        <w:jc w:val="left"/>
        <w:rPr>
          <w:rFonts w:hint="eastAsia" w:ascii="宋体" w:hAnsi="宋体" w:eastAsia="宋体" w:cs="宋体"/>
          <w:b/>
          <w:color w:val="auto"/>
          <w:sz w:val="21"/>
          <w:szCs w:val="21"/>
          <w:highlight w:val="none"/>
          <w:lang w:val="en-US" w:eastAsia="zh-CN"/>
        </w:rPr>
      </w:pPr>
    </w:p>
    <w:p>
      <w:pPr>
        <w:shd w:val="clear" w:color="auto" w:fill="auto"/>
        <w:spacing w:line="440" w:lineRule="exact"/>
        <w:ind w:firstLine="211" w:firstLineChars="100"/>
        <w:jc w:val="left"/>
        <w:outlineLvl w:val="3"/>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1" w:firstLineChars="100"/>
        <w:jc w:val="left"/>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pPr>
        <w:shd w:val="clear" w:color="auto" w:fill="auto"/>
        <w:spacing w:line="440" w:lineRule="exact"/>
        <w:ind w:firstLine="210"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1" w:firstLineChars="100"/>
        <w:jc w:val="left"/>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未按招标文件规定装订；</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投标文件内容未按招标文件规定签字或盖章的；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投标人未按招标文件变更通知更改投标文件的；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标项投标报价超过招标文件规定的预算金额或最高限价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未实质性响应招标文件中条款要求的投标文件；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不符合招标范围、技术规格、技术标准的要求无法满足采购人使用要求；</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投标文件附有采购人不能接受的条款；</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投标文件中提供了赠品或者与本项目采购无关的其他商品、服务；</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投标文件中承诺的投标有效期少于招标文件中载明的投标有效期；</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pPr>
        <w:shd w:val="clear" w:color="auto" w:fill="auto"/>
        <w:spacing w:line="440" w:lineRule="exact"/>
        <w:ind w:firstLine="211" w:firstLineChars="100"/>
        <w:jc w:val="left"/>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符合招标文件规定废标情形的；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pPr>
        <w:shd w:val="clear" w:color="auto" w:fill="auto"/>
        <w:spacing w:line="440" w:lineRule="exact"/>
        <w:ind w:firstLine="211" w:firstLineChars="100"/>
        <w:jc w:val="left"/>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211" w:firstLineChars="100"/>
        <w:jc w:val="left"/>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pPr>
        <w:shd w:val="clear" w:color="auto" w:fill="auto"/>
        <w:spacing w:line="440" w:lineRule="exact"/>
        <w:ind w:firstLine="420" w:firstLineChars="200"/>
        <w:jc w:val="left"/>
        <w:outlineLvl w:val="4"/>
        <w:rPr>
          <w:rFonts w:hint="eastAsia" w:ascii="宋体"/>
          <w:b w:val="0"/>
          <w:bCs w:val="0"/>
          <w:color w:val="auto"/>
          <w:szCs w:val="21"/>
          <w:highlight w:val="none"/>
          <w:lang w:val="en-US" w:eastAsia="zh-CN"/>
        </w:rPr>
      </w:pPr>
      <w:bookmarkStart w:id="74" w:name="_Toc469495729"/>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采购结果经采购人确认后2个工作日内，采购代理机构将在新疆政府采购网（www.zjzfcg.gov.cn）、克州公共资源交易网上公告采购结果，中标公告期限为1个工作日。</w:t>
      </w:r>
    </w:p>
    <w:p>
      <w:pPr>
        <w:shd w:val="clear" w:color="auto" w:fill="auto"/>
        <w:spacing w:line="440" w:lineRule="exact"/>
        <w:ind w:firstLine="210" w:firstLineChars="100"/>
        <w:jc w:val="left"/>
        <w:outlineLvl w:val="3"/>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pStyle w:val="53"/>
        <w:ind w:left="0" w:leftChars="0" w:firstLine="0" w:firstLineChars="0"/>
        <w:rPr>
          <w:rFonts w:hint="eastAsia" w:ascii="宋体"/>
          <w:b w:val="0"/>
          <w:bCs w:val="0"/>
          <w:color w:val="auto"/>
          <w:szCs w:val="21"/>
          <w:highlight w:val="none"/>
          <w:lang w:val="en-US" w:eastAsia="zh-CN"/>
        </w:rPr>
      </w:pPr>
    </w:p>
    <w:p>
      <w:pPr>
        <w:shd w:val="clear" w:color="auto" w:fill="auto"/>
        <w:spacing w:before="156" w:beforeLines="50" w:line="440" w:lineRule="exact"/>
        <w:ind w:firstLine="3080" w:firstLineChars="1100"/>
        <w:jc w:val="both"/>
        <w:outlineLvl w:val="2"/>
        <w:rPr>
          <w:rFonts w:hint="eastAsia" w:ascii="黑体" w:eastAsia="黑体"/>
          <w:color w:val="auto"/>
          <w:sz w:val="24"/>
          <w:highlight w:val="none"/>
        </w:rPr>
      </w:pPr>
      <w:bookmarkStart w:id="75" w:name="_Toc15705"/>
      <w:r>
        <w:rPr>
          <w:rFonts w:hint="eastAsia" w:ascii="黑体" w:eastAsia="黑体"/>
          <w:color w:val="auto"/>
          <w:sz w:val="28"/>
          <w:szCs w:val="28"/>
          <w:highlight w:val="none"/>
        </w:rPr>
        <w:t>（六）合同的授予</w:t>
      </w:r>
      <w:bookmarkEnd w:id="74"/>
      <w:bookmarkEnd w:id="75"/>
    </w:p>
    <w:p>
      <w:pPr>
        <w:shd w:val="clear" w:color="auto" w:fill="auto"/>
        <w:spacing w:line="440" w:lineRule="exact"/>
        <w:ind w:firstLine="210" w:firstLineChars="100"/>
        <w:jc w:val="left"/>
        <w:outlineLvl w:val="3"/>
        <w:rPr>
          <w:rFonts w:hint="eastAsia" w:ascii="宋体"/>
          <w:b w:val="0"/>
          <w:bCs w:val="0"/>
          <w:color w:val="auto"/>
          <w:szCs w:val="21"/>
          <w:highlight w:val="none"/>
          <w:lang w:val="en-US" w:eastAsia="zh-CN"/>
        </w:rPr>
      </w:pPr>
      <w:bookmarkStart w:id="76" w:name="_Toc73975842"/>
      <w:bookmarkStart w:id="77" w:name="_Toc469495730"/>
      <w:r>
        <w:rPr>
          <w:rFonts w:hint="eastAsia" w:ascii="宋体"/>
          <w:b w:val="0"/>
          <w:bCs w:val="0"/>
          <w:color w:val="auto"/>
          <w:szCs w:val="21"/>
          <w:highlight w:val="none"/>
          <w:lang w:val="en-US" w:eastAsia="zh-CN"/>
        </w:rPr>
        <w:t>42．履约保证金</w:t>
      </w:r>
      <w:bookmarkEnd w:id="76"/>
    </w:p>
    <w:p>
      <w:pPr>
        <w:widowControl/>
        <w:spacing w:line="440" w:lineRule="exact"/>
        <w:ind w:firstLine="210"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w:t>
      </w:r>
      <w:r>
        <w:rPr>
          <w:rFonts w:hint="eastAsia" w:ascii="宋体"/>
          <w:b/>
          <w:bCs/>
          <w:color w:val="auto"/>
          <w:szCs w:val="21"/>
          <w:highlight w:val="none"/>
          <w:lang w:val="en-US" w:eastAsia="zh-CN"/>
        </w:rPr>
        <w:t>5%的履约保证金</w:t>
      </w:r>
      <w:r>
        <w:rPr>
          <w:rFonts w:hint="eastAsia" w:ascii="宋体"/>
          <w:b w:val="0"/>
          <w:bCs w:val="0"/>
          <w:color w:val="auto"/>
          <w:szCs w:val="21"/>
          <w:highlight w:val="none"/>
          <w:lang w:val="en-US" w:eastAsia="zh-CN"/>
        </w:rPr>
        <w:t>（</w:t>
      </w:r>
      <w:r>
        <w:rPr>
          <w:rFonts w:hint="eastAsia" w:ascii="宋体" w:hAnsi="宋体" w:cs="宋体"/>
          <w:color w:val="auto"/>
          <w:kern w:val="0"/>
          <w:szCs w:val="21"/>
          <w:highlight w:val="none"/>
          <w:lang w:eastAsia="zh-CN"/>
        </w:rPr>
        <w:t>本项目履约保证金接收保函形式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pPr>
        <w:shd w:val="clear" w:color="auto" w:fill="auto"/>
        <w:spacing w:line="440" w:lineRule="exact"/>
        <w:ind w:firstLine="210" w:firstLineChars="100"/>
        <w:jc w:val="left"/>
        <w:outlineLvl w:val="3"/>
        <w:rPr>
          <w:rFonts w:hint="eastAsia" w:ascii="宋体"/>
          <w:b w:val="0"/>
          <w:bCs w:val="0"/>
          <w:color w:val="auto"/>
          <w:szCs w:val="21"/>
          <w:highlight w:val="none"/>
          <w:lang w:val="en-US" w:eastAsia="zh-CN"/>
        </w:rPr>
      </w:pPr>
      <w:bookmarkStart w:id="78" w:name="_Toc73975843"/>
      <w:r>
        <w:rPr>
          <w:rFonts w:hint="eastAsia" w:ascii="宋体"/>
          <w:b w:val="0"/>
          <w:bCs w:val="0"/>
          <w:color w:val="auto"/>
          <w:szCs w:val="21"/>
          <w:highlight w:val="none"/>
          <w:lang w:val="en-US" w:eastAsia="zh-CN"/>
        </w:rPr>
        <w:t>43．签订合同及公告</w:t>
      </w:r>
      <w:bookmarkEnd w:id="78"/>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bookmarkStart w:id="79" w:name="_Toc27952"/>
      <w:r>
        <w:rPr>
          <w:rFonts w:hint="eastAsia" w:ascii="黑体" w:eastAsia="黑体"/>
          <w:color w:val="auto"/>
          <w:sz w:val="28"/>
          <w:szCs w:val="28"/>
          <w:highlight w:val="none"/>
        </w:rPr>
        <w:t>（七）纪律和监督</w:t>
      </w:r>
      <w:bookmarkEnd w:id="77"/>
      <w:bookmarkEnd w:id="79"/>
    </w:p>
    <w:p>
      <w:pPr>
        <w:shd w:val="clear" w:color="auto" w:fill="auto"/>
        <w:spacing w:line="440" w:lineRule="exact"/>
        <w:ind w:firstLine="310" w:firstLineChars="147"/>
        <w:jc w:val="left"/>
        <w:outlineLvl w:val="3"/>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10" w:firstLineChars="147"/>
        <w:jc w:val="left"/>
        <w:outlineLvl w:val="3"/>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10" w:firstLineChars="147"/>
        <w:jc w:val="left"/>
        <w:outlineLvl w:val="3"/>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adjustRightInd w:val="0"/>
        <w:snapToGrid w:val="0"/>
        <w:spacing w:line="440" w:lineRule="exact"/>
        <w:ind w:firstLine="316" w:firstLineChars="150"/>
        <w:outlineLvl w:val="3"/>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0" w:firstLineChars="300"/>
        <w:jc w:val="center"/>
        <w:outlineLvl w:val="2"/>
        <w:rPr>
          <w:rFonts w:hint="eastAsia" w:ascii="黑体" w:hAnsi="宋体" w:eastAsia="黑体"/>
          <w:color w:val="auto"/>
          <w:sz w:val="28"/>
          <w:szCs w:val="28"/>
          <w:highlight w:val="none"/>
        </w:rPr>
      </w:pPr>
      <w:bookmarkStart w:id="80" w:name="_Toc7666"/>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bookmarkEnd w:id="80"/>
    </w:p>
    <w:p>
      <w:pPr>
        <w:shd w:val="clear" w:color="auto" w:fill="auto"/>
        <w:spacing w:line="440" w:lineRule="exact"/>
        <w:ind w:firstLine="310" w:firstLineChars="147"/>
        <w:jc w:val="left"/>
        <w:outlineLvl w:val="3"/>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w:t>
      </w:r>
      <w:r>
        <w:rPr>
          <w:rFonts w:hint="eastAsia" w:ascii="宋体" w:cs="Times New Roman"/>
          <w:b w:val="0"/>
          <w:bCs w:val="0"/>
          <w:color w:val="auto"/>
          <w:szCs w:val="21"/>
          <w:highlight w:val="none"/>
          <w:lang w:val="en-US" w:eastAsia="zh-CN"/>
        </w:rPr>
        <w:t>阿图什市</w:t>
      </w:r>
      <w:r>
        <w:rPr>
          <w:rFonts w:hint="eastAsia" w:ascii="宋体" w:hAnsi="Times New Roman" w:eastAsia="宋体" w:cs="Times New Roman"/>
          <w:b w:val="0"/>
          <w:bCs w:val="0"/>
          <w:color w:val="auto"/>
          <w:szCs w:val="21"/>
          <w:highlight w:val="none"/>
          <w:lang w:val="en-US" w:eastAsia="zh-CN"/>
        </w:rPr>
        <w:t>财政局政府采购办，</w:t>
      </w:r>
      <w:r>
        <w:rPr>
          <w:rFonts w:hint="eastAsia" w:ascii="宋体"/>
          <w:b w:val="0"/>
          <w:bCs w:val="0"/>
          <w:color w:val="auto"/>
          <w:szCs w:val="21"/>
          <w:highlight w:val="none"/>
          <w:lang w:val="en-US" w:eastAsia="zh-CN"/>
        </w:rPr>
        <w:t>将其列入不良行为记录名单：</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黑体" w:eastAsia="黑体"/>
          <w:color w:val="auto"/>
          <w:sz w:val="30"/>
          <w:szCs w:val="30"/>
          <w:highlight w:val="none"/>
        </w:rPr>
      </w:pPr>
    </w:p>
    <w:p>
      <w:pPr>
        <w:pStyle w:val="53"/>
        <w:shd w:val="clear" w:color="auto" w:fill="auto"/>
        <w:rPr>
          <w:rFonts w:hint="eastAsia" w:ascii="黑体" w:eastAsia="黑体"/>
          <w:color w:val="auto"/>
          <w:sz w:val="30"/>
          <w:szCs w:val="30"/>
          <w:highlight w:val="none"/>
        </w:rPr>
      </w:pPr>
    </w:p>
    <w:p>
      <w:pPr>
        <w:pStyle w:val="53"/>
        <w:shd w:val="clear" w:color="auto" w:fill="auto"/>
        <w:rPr>
          <w:rFonts w:hint="eastAsia" w:ascii="黑体" w:eastAsia="黑体"/>
          <w:color w:val="auto"/>
          <w:sz w:val="30"/>
          <w:szCs w:val="30"/>
          <w:highlight w:val="none"/>
        </w:rPr>
      </w:pPr>
    </w:p>
    <w:p>
      <w:pPr>
        <w:pStyle w:val="53"/>
        <w:shd w:val="clear" w:color="auto" w:fill="auto"/>
        <w:rPr>
          <w:rFonts w:hint="eastAsia" w:ascii="黑体" w:eastAsia="黑体"/>
          <w:color w:val="auto"/>
          <w:sz w:val="30"/>
          <w:szCs w:val="30"/>
          <w:highlight w:val="none"/>
        </w:rPr>
      </w:pPr>
    </w:p>
    <w:p>
      <w:pPr>
        <w:pStyle w:val="53"/>
        <w:shd w:val="clear" w:color="auto" w:fill="auto"/>
        <w:rPr>
          <w:rFonts w:hint="eastAsia" w:ascii="黑体" w:eastAsia="黑体"/>
          <w:color w:val="auto"/>
          <w:sz w:val="30"/>
          <w:szCs w:val="30"/>
          <w:highlight w:val="none"/>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6"/>
        <w:rPr>
          <w:rFonts w:hint="eastAsia" w:ascii="宋体" w:hAnsi="宋体" w:eastAsia="宋体" w:cs="宋体"/>
          <w:b/>
          <w:bCs/>
          <w:color w:val="auto"/>
          <w:sz w:val="21"/>
          <w:szCs w:val="21"/>
          <w:highlight w:val="none"/>
          <w:lang w:eastAsia="zh-CN"/>
        </w:rPr>
      </w:pPr>
    </w:p>
    <w:p>
      <w:pPr>
        <w:pStyle w:val="26"/>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pPr>
        <w:pStyle w:val="53"/>
        <w:rPr>
          <w:rFonts w:hint="eastAsia"/>
          <w:color w:val="auto"/>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w:t>
      </w:r>
      <w:r>
        <w:rPr>
          <w:rFonts w:hint="eastAsia" w:ascii="宋体" w:hAnsi="宋体" w:cs="宋体"/>
          <w:color w:val="auto"/>
          <w:sz w:val="21"/>
          <w:szCs w:val="21"/>
          <w:highlight w:val="none"/>
          <w:lang w:eastAsia="zh-CN"/>
        </w:rPr>
        <w:t>扫描</w:t>
      </w:r>
      <w:r>
        <w:rPr>
          <w:rFonts w:hint="eastAsia" w:ascii="宋体" w:hAnsi="宋体" w:eastAsia="宋体" w:cs="宋体"/>
          <w:color w:val="auto"/>
          <w:sz w:val="21"/>
          <w:szCs w:val="21"/>
          <w:highlight w:val="none"/>
        </w:rPr>
        <w:t>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360"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bookmarkStart w:id="81" w:name="_Toc17515"/>
    </w:p>
    <w:p>
      <w:pPr>
        <w:shd w:val="clear" w:color="auto" w:fill="auto"/>
        <w:ind w:left="7951" w:hanging="5783" w:hangingChars="1800"/>
        <w:jc w:val="center"/>
        <w:outlineLvl w:val="9"/>
        <w:rPr>
          <w:rFonts w:hint="eastAsia" w:ascii="宋体" w:hAnsi="宋体" w:eastAsia="宋体" w:cs="宋体"/>
          <w:b/>
          <w:bCs/>
          <w:color w:val="auto"/>
          <w:sz w:val="32"/>
          <w:szCs w:val="32"/>
          <w:highlight w:val="none"/>
        </w:rPr>
      </w:pPr>
    </w:p>
    <w:p>
      <w:pPr>
        <w:shd w:val="clear" w:color="auto" w:fill="auto"/>
        <w:ind w:left="7951" w:hanging="5783" w:hangingChars="1800"/>
        <w:jc w:val="center"/>
        <w:outlineLvl w:val="1"/>
        <w:rPr>
          <w:rFonts w:hint="eastAsia" w:ascii="宋体" w:hAnsi="宋体" w:eastAsia="宋体" w:cs="宋体"/>
          <w:b/>
          <w:bCs/>
          <w:color w:val="auto"/>
          <w:sz w:val="32"/>
          <w:szCs w:val="32"/>
          <w:highlight w:val="none"/>
        </w:rPr>
      </w:pPr>
      <w:bookmarkStart w:id="82" w:name="_Toc10317"/>
    </w:p>
    <w:p>
      <w:pPr>
        <w:shd w:val="clear" w:color="auto" w:fill="auto"/>
        <w:ind w:left="7951" w:hanging="5783" w:hangingChars="1800"/>
        <w:jc w:val="center"/>
        <w:outlineLvl w:val="1"/>
        <w:rPr>
          <w:rFonts w:hint="eastAsia" w:ascii="宋体" w:hAnsi="宋体" w:eastAsia="宋体" w:cs="宋体"/>
          <w:color w:val="auto"/>
          <w:sz w:val="32"/>
          <w:szCs w:val="32"/>
          <w:highlight w:val="none"/>
        </w:rPr>
      </w:pPr>
      <w:bookmarkStart w:id="83" w:name="_Toc7245"/>
      <w:r>
        <w:rPr>
          <w:rFonts w:hint="eastAsia" w:ascii="宋体" w:hAnsi="宋体" w:eastAsia="宋体" w:cs="宋体"/>
          <w:b/>
          <w:bCs/>
          <w:color w:val="auto"/>
          <w:sz w:val="32"/>
          <w:szCs w:val="32"/>
          <w:highlight w:val="none"/>
        </w:rPr>
        <w:t>投诉相关说明</w:t>
      </w:r>
      <w:bookmarkEnd w:id="81"/>
      <w:bookmarkEnd w:id="82"/>
      <w:bookmarkEnd w:id="83"/>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ind w:left="4011" w:leftChars="304" w:hanging="3373" w:hangingChars="1600"/>
        <w:textAlignment w:val="auto"/>
        <w:outlineLvl w:val="1"/>
        <w:rPr>
          <w:rFonts w:hint="eastAsia" w:ascii="宋体" w:hAnsi="宋体" w:eastAsia="宋体" w:cs="宋体"/>
          <w:b/>
          <w:bCs/>
          <w:color w:val="auto"/>
          <w:sz w:val="21"/>
          <w:szCs w:val="21"/>
          <w:highlight w:val="none"/>
        </w:rPr>
      </w:pPr>
      <w:bookmarkStart w:id="84" w:name="_Toc15118"/>
      <w:bookmarkStart w:id="85" w:name="_Toc10742"/>
      <w:bookmarkStart w:id="86" w:name="_Toc11499"/>
      <w:r>
        <w:rPr>
          <w:rFonts w:hint="eastAsia" w:ascii="宋体" w:hAnsi="宋体" w:eastAsia="宋体" w:cs="宋体"/>
          <w:b/>
          <w:bCs/>
          <w:color w:val="auto"/>
          <w:sz w:val="21"/>
          <w:szCs w:val="21"/>
          <w:highlight w:val="none"/>
        </w:rPr>
        <w:t>质疑前置及时间要求</w:t>
      </w:r>
      <w:bookmarkEnd w:id="84"/>
      <w:bookmarkEnd w:id="85"/>
      <w:bookmarkEnd w:id="86"/>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firstLine="422"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bookmarkStart w:id="87" w:name="_Toc28226"/>
      <w:bookmarkStart w:id="88" w:name="_Toc13508"/>
      <w:bookmarkStart w:id="89" w:name="_Toc26996"/>
      <w:r>
        <w:rPr>
          <w:rFonts w:hint="eastAsia" w:ascii="宋体" w:hAnsi="宋体" w:eastAsia="宋体" w:cs="宋体"/>
          <w:b/>
          <w:bCs/>
          <w:color w:val="auto"/>
          <w:sz w:val="21"/>
          <w:szCs w:val="21"/>
          <w:highlight w:val="none"/>
        </w:rPr>
        <w:t>二、书面方式</w:t>
      </w:r>
      <w:bookmarkEnd w:id="87"/>
      <w:bookmarkEnd w:id="88"/>
      <w:bookmarkEnd w:id="89"/>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1"/>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90" w:name="_Toc29713"/>
      <w:bookmarkStart w:id="91" w:name="_Toc20333"/>
      <w:bookmarkStart w:id="92" w:name="_Toc5978"/>
      <w:r>
        <w:rPr>
          <w:rFonts w:hint="eastAsia" w:ascii="宋体" w:hAnsi="宋体" w:eastAsia="宋体" w:cs="宋体"/>
          <w:b/>
          <w:bCs/>
          <w:color w:val="auto"/>
          <w:sz w:val="21"/>
          <w:szCs w:val="21"/>
          <w:highlight w:val="none"/>
        </w:rPr>
        <w:t>三、虚假、恶意投诉法律责任</w:t>
      </w:r>
      <w:bookmarkEnd w:id="90"/>
      <w:bookmarkEnd w:id="91"/>
      <w:bookmarkEnd w:id="92"/>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阿图什市</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9"/>
        <w:rPr>
          <w:rFonts w:hint="eastAsia" w:ascii="宋体" w:hAnsi="宋体" w:eastAsia="宋体" w:cs="宋体"/>
          <w:b/>
          <w:bCs/>
          <w:color w:val="auto"/>
          <w:sz w:val="32"/>
          <w:szCs w:val="32"/>
          <w:highlight w:val="none"/>
        </w:rPr>
      </w:pPr>
      <w:bookmarkStart w:id="93"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2"/>
        <w:rPr>
          <w:rFonts w:hint="eastAsia" w:ascii="宋体" w:hAnsi="宋体" w:eastAsia="宋体" w:cs="宋体"/>
          <w:b/>
          <w:bCs/>
          <w:color w:val="auto"/>
          <w:sz w:val="32"/>
          <w:szCs w:val="32"/>
          <w:highlight w:val="none"/>
        </w:rPr>
      </w:pPr>
      <w:bookmarkStart w:id="94" w:name="_Toc10"/>
      <w:bookmarkStart w:id="95" w:name="_Toc16451"/>
      <w:r>
        <w:rPr>
          <w:rFonts w:hint="eastAsia" w:ascii="宋体" w:hAnsi="宋体" w:eastAsia="宋体" w:cs="宋体"/>
          <w:b/>
          <w:bCs/>
          <w:color w:val="auto"/>
          <w:sz w:val="32"/>
          <w:szCs w:val="32"/>
          <w:highlight w:val="none"/>
        </w:rPr>
        <w:t>质疑函范本</w:t>
      </w:r>
      <w:bookmarkEnd w:id="93"/>
      <w:bookmarkEnd w:id="94"/>
      <w:bookmarkEnd w:id="95"/>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1"/>
        <w:rPr>
          <w:rFonts w:hint="eastAsia" w:ascii="宋体" w:hAnsi="宋体" w:eastAsia="宋体" w:cs="宋体"/>
          <w:bCs/>
          <w:color w:val="auto"/>
          <w:sz w:val="21"/>
          <w:szCs w:val="21"/>
          <w:highlight w:val="none"/>
        </w:rPr>
      </w:pPr>
      <w:bookmarkStart w:id="96" w:name="_Toc9061"/>
      <w:bookmarkStart w:id="97" w:name="_Toc25740"/>
      <w:bookmarkStart w:id="98" w:name="_Toc13311"/>
      <w:r>
        <w:rPr>
          <w:rFonts w:hint="eastAsia" w:ascii="宋体" w:hAnsi="宋体" w:eastAsia="宋体" w:cs="宋体"/>
          <w:bCs/>
          <w:color w:val="auto"/>
          <w:sz w:val="21"/>
          <w:szCs w:val="21"/>
          <w:highlight w:val="none"/>
        </w:rPr>
        <w:t>一、质疑供应商基本信息</w:t>
      </w:r>
      <w:bookmarkEnd w:id="96"/>
      <w:bookmarkEnd w:id="97"/>
      <w:bookmarkEnd w:id="98"/>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1"/>
        <w:rPr>
          <w:rFonts w:hint="eastAsia" w:ascii="宋体" w:hAnsi="宋体" w:eastAsia="宋体" w:cs="宋体"/>
          <w:bCs/>
          <w:color w:val="auto"/>
          <w:sz w:val="21"/>
          <w:szCs w:val="21"/>
          <w:highlight w:val="none"/>
        </w:rPr>
      </w:pPr>
      <w:bookmarkStart w:id="99" w:name="_Toc15337"/>
      <w:bookmarkStart w:id="100" w:name="_Toc3458"/>
      <w:bookmarkStart w:id="101" w:name="_Toc15938"/>
      <w:r>
        <w:rPr>
          <w:rFonts w:hint="eastAsia" w:ascii="宋体" w:hAnsi="宋体" w:eastAsia="宋体" w:cs="宋体"/>
          <w:bCs/>
          <w:color w:val="auto"/>
          <w:sz w:val="21"/>
          <w:szCs w:val="21"/>
          <w:highlight w:val="none"/>
        </w:rPr>
        <w:t>二、质疑项目基本情况</w:t>
      </w:r>
      <w:bookmarkEnd w:id="99"/>
      <w:bookmarkEnd w:id="100"/>
      <w:bookmarkEnd w:id="101"/>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1"/>
        <w:rPr>
          <w:rFonts w:hint="eastAsia" w:ascii="宋体" w:hAnsi="宋体" w:eastAsia="宋体" w:cs="宋体"/>
          <w:bCs/>
          <w:color w:val="auto"/>
          <w:sz w:val="21"/>
          <w:szCs w:val="21"/>
          <w:highlight w:val="none"/>
        </w:rPr>
      </w:pPr>
      <w:bookmarkStart w:id="102" w:name="_Toc18271"/>
      <w:bookmarkStart w:id="103" w:name="_Toc27082"/>
      <w:bookmarkStart w:id="104" w:name="_Toc12117"/>
      <w:r>
        <w:rPr>
          <w:rFonts w:hint="eastAsia" w:ascii="宋体" w:hAnsi="宋体" w:eastAsia="宋体" w:cs="宋体"/>
          <w:bCs/>
          <w:color w:val="auto"/>
          <w:sz w:val="21"/>
          <w:szCs w:val="21"/>
          <w:highlight w:val="none"/>
        </w:rPr>
        <w:t>三、质疑事项具体内容</w:t>
      </w:r>
      <w:bookmarkEnd w:id="102"/>
      <w:bookmarkEnd w:id="103"/>
      <w:bookmarkEnd w:id="104"/>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1"/>
        <w:rPr>
          <w:rFonts w:hint="eastAsia" w:ascii="宋体" w:hAnsi="宋体" w:eastAsia="宋体" w:cs="宋体"/>
          <w:bCs/>
          <w:color w:val="auto"/>
          <w:sz w:val="21"/>
          <w:szCs w:val="21"/>
          <w:highlight w:val="none"/>
        </w:rPr>
      </w:pPr>
      <w:bookmarkStart w:id="105" w:name="_Toc4087"/>
      <w:bookmarkStart w:id="106" w:name="_Toc22365"/>
      <w:bookmarkStart w:id="107" w:name="_Toc17839"/>
      <w:r>
        <w:rPr>
          <w:rFonts w:hint="eastAsia" w:ascii="宋体" w:hAnsi="宋体" w:eastAsia="宋体" w:cs="宋体"/>
          <w:bCs/>
          <w:color w:val="auto"/>
          <w:sz w:val="21"/>
          <w:szCs w:val="21"/>
          <w:highlight w:val="none"/>
        </w:rPr>
        <w:t>四、与质疑事项相关的质疑请求</w:t>
      </w:r>
      <w:bookmarkEnd w:id="105"/>
      <w:bookmarkEnd w:id="106"/>
      <w:bookmarkEnd w:id="107"/>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rPr>
      </w:pPr>
    </w:p>
    <w:p>
      <w:pPr>
        <w:rPr>
          <w:rFonts w:ascii="宋体" w:hAnsi="宋体" w:cs="宋体"/>
          <w:b/>
          <w:sz w:val="24"/>
        </w:rPr>
      </w:pPr>
      <w:r>
        <w:rPr>
          <w:rFonts w:hint="eastAsia" w:ascii="宋体" w:hAnsi="宋体" w:cs="宋体"/>
          <w:b/>
          <w:sz w:val="24"/>
        </w:rPr>
        <w:t>质疑函制作说明：</w:t>
      </w:r>
    </w:p>
    <w:p>
      <w:pPr>
        <w:widowControl/>
        <w:ind w:firstLine="480" w:firstLineChars="200"/>
        <w:jc w:val="left"/>
        <w:outlineLvl w:val="2"/>
        <w:rPr>
          <w:rFonts w:ascii="宋体" w:hAnsi="宋体" w:cs="宋体"/>
          <w:sz w:val="24"/>
        </w:rPr>
      </w:pPr>
      <w:bookmarkStart w:id="108" w:name="_Toc1806"/>
      <w:bookmarkStart w:id="109" w:name="_Toc7737"/>
      <w:r>
        <w:rPr>
          <w:rFonts w:hint="eastAsia" w:ascii="宋体" w:hAnsi="宋体" w:cs="宋体"/>
          <w:sz w:val="24"/>
        </w:rPr>
        <w:t>1.供应商提出质疑时，应提交质疑函和必要的证明材料。</w:t>
      </w:r>
      <w:bookmarkEnd w:id="108"/>
      <w:bookmarkEnd w:id="109"/>
    </w:p>
    <w:p>
      <w:pPr>
        <w:widowControl/>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ind w:firstLine="480" w:firstLineChars="200"/>
        <w:jc w:val="left"/>
        <w:outlineLvl w:val="2"/>
        <w:rPr>
          <w:rFonts w:ascii="宋体" w:hAnsi="宋体" w:cs="宋体"/>
          <w:sz w:val="24"/>
        </w:rPr>
      </w:pPr>
      <w:bookmarkStart w:id="110" w:name="_Toc21662"/>
      <w:bookmarkStart w:id="111" w:name="_Toc14789"/>
      <w:r>
        <w:rPr>
          <w:rFonts w:hint="eastAsia" w:ascii="宋体" w:hAnsi="宋体" w:cs="宋体"/>
          <w:sz w:val="24"/>
        </w:rPr>
        <w:t>5.质疑函的质疑请求应与质疑事项相关。</w:t>
      </w:r>
      <w:bookmarkEnd w:id="110"/>
      <w:bookmarkEnd w:id="111"/>
    </w:p>
    <w:p>
      <w:pPr>
        <w:widowControl/>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pStyle w:val="13"/>
        <w:rPr>
          <w:rFonts w:hint="eastAsia" w:ascii="宋体" w:hAnsi="宋体" w:cs="宋体"/>
          <w:sz w:val="24"/>
        </w:rPr>
      </w:pPr>
    </w:p>
    <w:p>
      <w:pPr>
        <w:pStyle w:val="14"/>
        <w:rPr>
          <w:rFonts w:hint="eastAsia" w:ascii="宋体" w:hAnsi="宋体" w:cs="宋体"/>
          <w:sz w:val="24"/>
        </w:rPr>
      </w:pPr>
    </w:p>
    <w:p>
      <w:pPr>
        <w:rPr>
          <w:rFonts w:hint="eastAsia" w:ascii="宋体" w:hAnsi="宋体" w:cs="宋体"/>
          <w:sz w:val="24"/>
        </w:rPr>
      </w:pPr>
    </w:p>
    <w:p>
      <w:pPr>
        <w:pStyle w:val="15"/>
        <w:jc w:val="left"/>
        <w:rPr>
          <w:rFonts w:ascii="宋体" w:hAnsi="宋体" w:cs="宋体"/>
          <w:sz w:val="32"/>
          <w:szCs w:val="32"/>
        </w:rPr>
      </w:pPr>
      <w:r>
        <w:rPr>
          <w:rFonts w:hint="eastAsia" w:ascii="宋体" w:hAnsi="宋体" w:cs="宋体"/>
          <w:b/>
          <w:bCs/>
          <w:spacing w:val="60"/>
          <w:sz w:val="32"/>
          <w:szCs w:val="32"/>
        </w:rPr>
        <w:t>注意事项</w:t>
      </w:r>
    </w:p>
    <w:p>
      <w:pPr>
        <w:spacing w:line="360" w:lineRule="auto"/>
        <w:outlineLvl w:val="2"/>
        <w:rPr>
          <w:rFonts w:ascii="宋体" w:hAnsi="宋体" w:cs="宋体"/>
          <w:sz w:val="24"/>
        </w:rPr>
      </w:pPr>
      <w:bookmarkStart w:id="112" w:name="_Toc9044"/>
      <w:bookmarkStart w:id="113" w:name="_Toc28891"/>
      <w:r>
        <w:rPr>
          <w:rFonts w:hint="eastAsia" w:ascii="宋体" w:hAnsi="宋体" w:cs="宋体"/>
          <w:sz w:val="24"/>
        </w:rPr>
        <w:t>1、投标人对所附表格中要求的资料和询问应做出肯定的回答。</w:t>
      </w:r>
      <w:bookmarkEnd w:id="112"/>
      <w:bookmarkEnd w:id="113"/>
    </w:p>
    <w:p>
      <w:pPr>
        <w:spacing w:line="360" w:lineRule="auto"/>
        <w:rPr>
          <w:rFonts w:ascii="宋体" w:hAnsi="宋体" w:cs="宋体"/>
          <w:sz w:val="24"/>
        </w:rPr>
      </w:pPr>
      <w:r>
        <w:rPr>
          <w:rFonts w:hint="eastAsia" w:ascii="宋体" w:hAnsi="宋体" w:cs="宋体"/>
          <w:sz w:val="24"/>
        </w:rPr>
        <w:t>2、采购文件的签字人应保证他所做的声明及对一切问题的回答的真实性和准确。</w:t>
      </w:r>
    </w:p>
    <w:p>
      <w:pPr>
        <w:spacing w:line="360" w:lineRule="auto"/>
        <w:rPr>
          <w:rFonts w:ascii="宋体" w:hAnsi="宋体" w:cs="宋体"/>
          <w:sz w:val="24"/>
        </w:rPr>
      </w:pPr>
      <w:r>
        <w:rPr>
          <w:rFonts w:hint="eastAsia" w:ascii="宋体" w:hAnsi="宋体" w:cs="宋体"/>
          <w:sz w:val="24"/>
        </w:rPr>
        <w:t>3、投标人提供的采购文件将由采购人使用，并据此进行评价和判断，确定投标人的能力。</w:t>
      </w:r>
    </w:p>
    <w:p>
      <w:pPr>
        <w:spacing w:line="360" w:lineRule="auto"/>
        <w:outlineLvl w:val="2"/>
        <w:rPr>
          <w:rFonts w:ascii="宋体" w:hAnsi="宋体" w:cs="宋体"/>
          <w:sz w:val="24"/>
        </w:rPr>
      </w:pPr>
      <w:bookmarkStart w:id="114" w:name="_Toc22615"/>
      <w:bookmarkStart w:id="115" w:name="_Toc2994"/>
      <w:r>
        <w:rPr>
          <w:rFonts w:hint="eastAsia" w:ascii="宋体" w:hAnsi="宋体" w:cs="宋体"/>
          <w:sz w:val="24"/>
        </w:rPr>
        <w:t>4、投标人提交的文件将给予保密，但不退还。</w:t>
      </w:r>
      <w:bookmarkEnd w:id="114"/>
      <w:bookmarkEnd w:id="115"/>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  </w:t>
      </w:r>
    </w:p>
    <w:p>
      <w:pPr>
        <w:pStyle w:val="53"/>
        <w:shd w:val="clear" w:color="auto" w:fill="auto"/>
        <w:ind w:left="0" w:leftChars="0" w:firstLine="0" w:firstLineChars="0"/>
        <w:rPr>
          <w:rFonts w:hint="eastAsia" w:ascii="黑体" w:eastAsia="黑体"/>
          <w:color w:val="auto"/>
          <w:sz w:val="30"/>
          <w:szCs w:val="30"/>
          <w:highlight w:val="none"/>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bookmarkStart w:id="116" w:name="_Toc19548"/>
      <w:r>
        <w:rPr>
          <w:rFonts w:hint="eastAsia" w:ascii="宋体" w:hAnsi="宋体" w:eastAsia="宋体" w:cs="宋体"/>
          <w:b/>
          <w:bCs/>
          <w:color w:val="auto"/>
          <w:kern w:val="36"/>
          <w:sz w:val="36"/>
          <w:szCs w:val="36"/>
          <w:highlight w:val="none"/>
          <w:lang w:val="en-US" w:eastAsia="zh-CN"/>
        </w:rPr>
        <w:t>第三章  评标办法</w:t>
      </w:r>
      <w:bookmarkEnd w:id="116"/>
    </w:p>
    <w:p>
      <w:pPr>
        <w:shd w:val="clear" w:color="auto" w:fill="auto"/>
        <w:jc w:val="center"/>
        <w:outlineLvl w:val="2"/>
        <w:rPr>
          <w:rFonts w:hint="eastAsia" w:ascii="宋体" w:hAnsi="Times New Roman" w:eastAsia="宋体" w:cs="Times New Roman"/>
          <w:b/>
          <w:color w:val="auto"/>
          <w:sz w:val="28"/>
          <w:szCs w:val="28"/>
          <w:highlight w:val="none"/>
        </w:rPr>
      </w:pPr>
      <w:bookmarkStart w:id="117" w:name="_Toc16077"/>
      <w:bookmarkStart w:id="118" w:name="_Toc362983802"/>
      <w:bookmarkStart w:id="119" w:name="_Toc363135205"/>
      <w:bookmarkStart w:id="120" w:name="_Toc267320058"/>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bookmarkEnd w:id="117"/>
    </w:p>
    <w:p>
      <w:pPr>
        <w:shd w:val="clear" w:color="auto" w:fill="auto"/>
        <w:tabs>
          <w:tab w:val="left" w:pos="567"/>
          <w:tab w:val="left" w:pos="600"/>
        </w:tabs>
        <w:spacing w:line="440" w:lineRule="exact"/>
        <w:ind w:firstLine="535" w:firstLineChars="255"/>
        <w:outlineLvl w:val="2"/>
        <w:rPr>
          <w:rFonts w:hint="eastAsia" w:ascii="宋体" w:hAnsi="宋体" w:eastAsia="宋体" w:cs="宋体"/>
          <w:color w:val="auto"/>
          <w:szCs w:val="21"/>
          <w:highlight w:val="none"/>
        </w:rPr>
      </w:pPr>
      <w:bookmarkStart w:id="121" w:name="_Toc21036"/>
      <w:r>
        <w:rPr>
          <w:rFonts w:hint="eastAsia" w:ascii="宋体" w:hAnsi="宋体" w:eastAsia="宋体" w:cs="宋体"/>
          <w:color w:val="auto"/>
          <w:szCs w:val="21"/>
          <w:highlight w:val="none"/>
        </w:rPr>
        <w:t>1、一般规定</w:t>
      </w:r>
      <w:bookmarkEnd w:id="121"/>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pPr>
        <w:shd w:val="clear" w:color="auto" w:fill="auto"/>
        <w:spacing w:line="440" w:lineRule="exact"/>
        <w:ind w:firstLine="535" w:firstLineChars="255"/>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535" w:firstLineChars="255"/>
        <w:outlineLvl w:val="2"/>
        <w:rPr>
          <w:rFonts w:hint="eastAsia" w:ascii="宋体" w:hAnsi="宋体" w:eastAsia="宋体" w:cs="宋体"/>
          <w:color w:val="auto"/>
          <w:szCs w:val="21"/>
          <w:highlight w:val="none"/>
        </w:rPr>
      </w:pPr>
      <w:bookmarkStart w:id="122" w:name="_Toc5484"/>
      <w:r>
        <w:rPr>
          <w:rFonts w:hint="eastAsia" w:ascii="宋体" w:hAnsi="宋体" w:eastAsia="宋体" w:cs="宋体"/>
          <w:color w:val="auto"/>
          <w:szCs w:val="21"/>
          <w:highlight w:val="none"/>
        </w:rPr>
        <w:t>2、评标组织机构的组成</w:t>
      </w:r>
      <w:bookmarkEnd w:id="122"/>
    </w:p>
    <w:p>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评标委员会由采购人代表和有关技术、经济等方面的专家组成，成员人数应当为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pPr>
        <w:shd w:val="clear" w:color="auto" w:fill="auto"/>
        <w:tabs>
          <w:tab w:val="left" w:pos="567"/>
          <w:tab w:val="left" w:pos="1145"/>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535" w:firstLineChars="255"/>
        <w:outlineLvl w:val="2"/>
        <w:rPr>
          <w:rFonts w:hint="eastAsia" w:ascii="宋体" w:hAnsi="宋体" w:eastAsia="宋体" w:cs="宋体"/>
          <w:color w:val="auto"/>
          <w:szCs w:val="21"/>
          <w:highlight w:val="none"/>
        </w:rPr>
      </w:pPr>
      <w:bookmarkStart w:id="123" w:name="_Toc23363"/>
      <w:r>
        <w:rPr>
          <w:rFonts w:hint="eastAsia" w:ascii="宋体" w:hAnsi="宋体" w:eastAsia="宋体" w:cs="宋体"/>
          <w:color w:val="auto"/>
          <w:szCs w:val="21"/>
          <w:highlight w:val="none"/>
        </w:rPr>
        <w:t>3、评标委员会职责</w:t>
      </w:r>
      <w:bookmarkEnd w:id="123"/>
    </w:p>
    <w:p>
      <w:pPr>
        <w:pStyle w:val="57"/>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pPr>
        <w:pStyle w:val="57"/>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pPr>
        <w:pStyle w:val="57"/>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pPr>
        <w:pStyle w:val="57"/>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pPr>
        <w:shd w:val="clear" w:color="auto" w:fill="auto"/>
        <w:tabs>
          <w:tab w:val="left" w:pos="567"/>
          <w:tab w:val="left" w:pos="600"/>
        </w:tabs>
        <w:spacing w:line="440" w:lineRule="exact"/>
        <w:ind w:firstLine="535" w:firstLineChars="255"/>
        <w:outlineLvl w:val="2"/>
        <w:rPr>
          <w:rFonts w:hint="eastAsia" w:ascii="宋体" w:hAnsi="宋体" w:eastAsia="宋体" w:cs="宋体"/>
          <w:color w:val="auto"/>
          <w:szCs w:val="21"/>
          <w:highlight w:val="none"/>
        </w:rPr>
      </w:pPr>
      <w:bookmarkStart w:id="124" w:name="_Toc1006"/>
      <w:r>
        <w:rPr>
          <w:rFonts w:hint="eastAsia" w:ascii="宋体" w:hAnsi="宋体" w:eastAsia="宋体" w:cs="宋体"/>
          <w:color w:val="auto"/>
          <w:szCs w:val="21"/>
          <w:highlight w:val="none"/>
        </w:rPr>
        <w:t>4、评标委员会义务</w:t>
      </w:r>
      <w:bookmarkEnd w:id="124"/>
    </w:p>
    <w:p>
      <w:pPr>
        <w:shd w:val="clear" w:color="auto" w:fill="auto"/>
        <w:tabs>
          <w:tab w:val="left" w:pos="567"/>
          <w:tab w:val="left" w:pos="600"/>
        </w:tabs>
        <w:spacing w:line="440" w:lineRule="exact"/>
        <w:ind w:firstLine="535" w:firstLineChars="255"/>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pPr>
        <w:shd w:val="clear" w:color="auto" w:fill="auto"/>
        <w:tabs>
          <w:tab w:val="left" w:pos="1547"/>
        </w:tabs>
        <w:spacing w:line="440" w:lineRule="exact"/>
        <w:ind w:firstLine="535" w:firstLineChars="255"/>
        <w:outlineLvl w:val="2"/>
        <w:rPr>
          <w:rFonts w:hint="eastAsia" w:ascii="宋体" w:hAnsi="宋体" w:eastAsia="宋体" w:cs="宋体"/>
          <w:color w:val="auto"/>
          <w:szCs w:val="21"/>
          <w:highlight w:val="none"/>
          <w:lang w:bidi="ar-SA"/>
        </w:rPr>
      </w:pPr>
      <w:bookmarkStart w:id="125" w:name="_Toc24718"/>
      <w:r>
        <w:rPr>
          <w:rFonts w:hint="eastAsia" w:ascii="宋体" w:hAnsi="宋体" w:eastAsia="宋体" w:cs="宋体"/>
          <w:color w:val="auto"/>
          <w:szCs w:val="21"/>
          <w:highlight w:val="none"/>
          <w:lang w:bidi="ar-SA"/>
        </w:rPr>
        <w:t>5、 评标程序</w:t>
      </w:r>
      <w:bookmarkEnd w:id="125"/>
    </w:p>
    <w:p>
      <w:pPr>
        <w:pStyle w:val="22"/>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535"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pPr>
        <w:pStyle w:val="22"/>
        <w:tabs>
          <w:tab w:val="left" w:pos="720"/>
          <w:tab w:val="clear" w:pos="0"/>
        </w:tabs>
        <w:spacing w:line="440" w:lineRule="exact"/>
        <w:ind w:firstLine="535" w:firstLineChars="255"/>
        <w:outlineLvl w:val="3"/>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5.3评标报告与推荐</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候选人</w:t>
      </w:r>
    </w:p>
    <w:p>
      <w:pPr>
        <w:pStyle w:val="22"/>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小组各成员应当独立对每个有效响应的文件进行评价、打分，然后汇总每个供应商每项评分因素的得分。</w:t>
      </w:r>
    </w:p>
    <w:p>
      <w:pPr>
        <w:pStyle w:val="22"/>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w:t>
      </w:r>
      <w:r>
        <w:rPr>
          <w:rFonts w:hint="eastAsia" w:ascii="宋体" w:hAnsi="宋体" w:cs="宋体"/>
          <w:bCs/>
          <w:color w:val="auto"/>
          <w:szCs w:val="21"/>
          <w:highlight w:val="none"/>
          <w:lang w:val="en-US" w:eastAsia="zh-CN"/>
        </w:rPr>
        <w:t>货物采购</w:t>
      </w:r>
      <w:r>
        <w:rPr>
          <w:rFonts w:hint="eastAsia" w:ascii="宋体" w:hAnsi="宋体" w:eastAsia="宋体" w:cs="宋体"/>
          <w:bCs/>
          <w:color w:val="auto"/>
          <w:szCs w:val="21"/>
          <w:highlight w:val="none"/>
        </w:rPr>
        <w:t>项目的价格分值占总分值的比重(即权值)为</w:t>
      </w:r>
      <w:r>
        <w:rPr>
          <w:rFonts w:hint="eastAsia" w:ascii="宋体" w:hAnsi="宋体" w:cs="宋体"/>
          <w:bCs/>
          <w:color w:val="auto"/>
          <w:szCs w:val="21"/>
          <w:highlight w:val="none"/>
          <w:lang w:val="en-US" w:eastAsia="zh-CN"/>
        </w:rPr>
        <w:t>35</w:t>
      </w:r>
      <w:r>
        <w:rPr>
          <w:rFonts w:hint="eastAsia" w:ascii="宋体" w:hAnsi="宋体" w:eastAsia="宋体" w:cs="宋体"/>
          <w:bCs/>
          <w:color w:val="auto"/>
          <w:szCs w:val="21"/>
          <w:highlight w:val="none"/>
        </w:rPr>
        <w:t>％，采购项目中含不同采购对象的，以占项目资金比例最高的采购对象确定其项目属性。其价格不列为评分因素，有特殊情况需要在上述规定范围外设定价格分权重的。</w:t>
      </w:r>
    </w:p>
    <w:p>
      <w:pPr>
        <w:pStyle w:val="22"/>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综合评分法中的价格分统一采用低价优先法计算，即满足</w:t>
      </w:r>
      <w:r>
        <w:rPr>
          <w:rFonts w:hint="eastAsia" w:ascii="宋体" w:hAnsi="宋体" w:eastAsia="宋体" w:cs="宋体"/>
          <w:bCs/>
          <w:color w:val="auto"/>
          <w:szCs w:val="21"/>
          <w:highlight w:val="none"/>
          <w:lang w:eastAsia="zh-CN"/>
        </w:rPr>
        <w:t>招标文件</w:t>
      </w:r>
      <w:r>
        <w:rPr>
          <w:rFonts w:hint="eastAsia" w:ascii="宋体" w:hAnsi="宋体" w:eastAsia="宋体" w:cs="宋体"/>
          <w:bCs/>
          <w:color w:val="auto"/>
          <w:szCs w:val="21"/>
          <w:highlight w:val="none"/>
        </w:rPr>
        <w:t>要求且最后报价最低的供应商的价格为</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基准价，其价格分为满分。其他供应商的价格分统一按照下列公式计算：</w:t>
      </w:r>
    </w:p>
    <w:p>
      <w:pPr>
        <w:pStyle w:val="22"/>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报价得分=（</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基准价/最后</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报价）×价格权值×100</w:t>
      </w:r>
    </w:p>
    <w:p>
      <w:pPr>
        <w:pStyle w:val="22"/>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项目评审过程中，不得去掉最后报价中的最高报价和最低报价。</w:t>
      </w:r>
    </w:p>
    <w:p>
      <w:pPr>
        <w:pStyle w:val="22"/>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小组应当根据综合评分情况，按照评审得分由高到低顺序推荐3名以上</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候选供应商符合《政府采购竞争性</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采购方式管理暂行办法》法第二十五条</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小组应当根据综合评分情况，按照评审得分由高到低顺序推荐3名以上</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候选供应商。符合本办法第二十一条第三款情形的，可以推荐2家</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候选供应商。评审得分相同的，按照最后报价由低到高的顺序推荐。评审得分且最后报价相同的，按照技术指标优劣顺序推荐。</w:t>
      </w: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both"/>
        <w:outlineLvl w:val="9"/>
        <w:rPr>
          <w:rFonts w:hint="eastAsia" w:ascii="宋体"/>
          <w:b/>
          <w:color w:val="auto"/>
          <w:sz w:val="28"/>
          <w:szCs w:val="28"/>
          <w:highlight w:val="none"/>
        </w:rPr>
      </w:pPr>
    </w:p>
    <w:p>
      <w:pPr>
        <w:shd w:val="clear" w:color="auto" w:fill="auto"/>
        <w:jc w:val="both"/>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both"/>
        <w:outlineLvl w:val="9"/>
        <w:rPr>
          <w:rFonts w:hint="eastAsia" w:ascii="宋体"/>
          <w:b/>
          <w:color w:val="auto"/>
          <w:sz w:val="28"/>
          <w:szCs w:val="28"/>
          <w:highlight w:val="none"/>
        </w:rPr>
      </w:pPr>
    </w:p>
    <w:p>
      <w:pPr>
        <w:shd w:val="clear" w:color="auto" w:fill="auto"/>
        <w:jc w:val="center"/>
        <w:outlineLvl w:val="2"/>
        <w:rPr>
          <w:rFonts w:hint="eastAsia"/>
          <w:color w:val="auto"/>
          <w:highlight w:val="none"/>
        </w:rPr>
      </w:pPr>
      <w:bookmarkStart w:id="126" w:name="_Toc14138"/>
      <w:r>
        <w:rPr>
          <w:rFonts w:hint="eastAsia" w:ascii="宋体"/>
          <w:b/>
          <w:color w:val="auto"/>
          <w:sz w:val="28"/>
          <w:szCs w:val="28"/>
          <w:highlight w:val="none"/>
        </w:rPr>
        <w:t>二  投标文件初审</w:t>
      </w:r>
      <w:bookmarkEnd w:id="118"/>
      <w:bookmarkEnd w:id="126"/>
    </w:p>
    <w:p>
      <w:pPr>
        <w:shd w:val="clear" w:color="auto" w:fill="auto"/>
        <w:spacing w:line="400" w:lineRule="exact"/>
        <w:ind w:firstLine="310" w:firstLineChars="147"/>
        <w:outlineLvl w:val="2"/>
        <w:rPr>
          <w:rFonts w:hint="eastAsia" w:ascii="宋体"/>
          <w:b/>
          <w:color w:val="auto"/>
          <w:szCs w:val="21"/>
          <w:highlight w:val="none"/>
        </w:rPr>
      </w:pPr>
      <w:bookmarkStart w:id="127" w:name="_Toc23618"/>
      <w:r>
        <w:rPr>
          <w:rFonts w:hint="eastAsia" w:ascii="宋体"/>
          <w:b/>
          <w:color w:val="auto"/>
          <w:szCs w:val="21"/>
          <w:highlight w:val="none"/>
          <w:lang w:val="en-US" w:eastAsia="zh-CN"/>
        </w:rPr>
        <w:t>6</w:t>
      </w:r>
      <w:r>
        <w:rPr>
          <w:rFonts w:hint="eastAsia" w:ascii="宋体"/>
          <w:b/>
          <w:color w:val="auto"/>
          <w:szCs w:val="21"/>
          <w:highlight w:val="none"/>
        </w:rPr>
        <w:t>.资格性审查:</w:t>
      </w:r>
      <w:bookmarkEnd w:id="127"/>
    </w:p>
    <w:p>
      <w:pPr>
        <w:shd w:val="clear" w:color="auto" w:fill="auto"/>
        <w:spacing w:line="400" w:lineRule="exact"/>
        <w:ind w:firstLine="308" w:firstLineChars="147"/>
        <w:outlineLvl w:val="3"/>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7"/>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项目</w:t>
            </w:r>
          </w:p>
        </w:tc>
        <w:tc>
          <w:tcPr>
            <w:tcW w:w="5952" w:type="dxa"/>
            <w:gridSpan w:val="2"/>
            <w:vMerge w:val="restart"/>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评审内容</w:t>
            </w:r>
          </w:p>
        </w:tc>
        <w:tc>
          <w:tcPr>
            <w:tcW w:w="2501" w:type="dxa"/>
            <w:gridSpan w:val="2"/>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5952" w:type="dxa"/>
            <w:gridSpan w:val="2"/>
            <w:vMerge w:val="continue"/>
            <w:noWrap w:val="0"/>
            <w:vAlign w:val="top"/>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1305" w:type="dxa"/>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是否合格</w:t>
            </w:r>
          </w:p>
        </w:tc>
        <w:tc>
          <w:tcPr>
            <w:tcW w:w="1196" w:type="dxa"/>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审</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查</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标</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准</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(适</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用</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于</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资</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格</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后</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审)</w:t>
            </w: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rPr>
              <w:t>具备</w:t>
            </w:r>
            <w:r>
              <w:rPr>
                <w:rFonts w:hint="eastAsia" w:ascii="宋体" w:hAnsi="宋体" w:eastAsia="宋体" w:cs="宋体"/>
                <w:color w:val="auto"/>
                <w:szCs w:val="21"/>
                <w:highlight w:val="none"/>
                <w:lang w:val="en-US" w:eastAsia="zh-CN"/>
              </w:rPr>
              <w:t>合格有效的</w:t>
            </w:r>
            <w:r>
              <w:rPr>
                <w:rFonts w:hint="eastAsia" w:ascii="宋体" w:hAnsi="宋体" w:eastAsia="宋体" w:cs="宋体"/>
                <w:color w:val="auto"/>
                <w:szCs w:val="21"/>
                <w:highlight w:val="none"/>
              </w:rPr>
              <w:t>三证合一营业执照</w:t>
            </w:r>
            <w:r>
              <w:rPr>
                <w:rFonts w:hint="eastAsia" w:ascii="宋体" w:hAnsi="宋体" w:cs="宋体"/>
                <w:color w:val="auto"/>
                <w:kern w:val="0"/>
                <w:szCs w:val="21"/>
                <w:lang w:eastAsia="zh-CN"/>
              </w:rPr>
              <w:t>扫描件</w:t>
            </w:r>
            <w:r>
              <w:rPr>
                <w:rFonts w:hint="eastAsia" w:ascii="宋体" w:hAnsi="宋体" w:eastAsia="宋体" w:cs="宋体"/>
                <w:color w:val="auto"/>
                <w:szCs w:val="21"/>
                <w:highlight w:val="none"/>
                <w:lang w:eastAsia="zh-CN"/>
              </w:rPr>
              <w:t>；</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法定代表人投标需提供法定代表人资格证明书，委托代理人投标需提供法定代表人授权委托书；</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w:t>
            </w:r>
          </w:p>
        </w:tc>
        <w:tc>
          <w:tcPr>
            <w:tcW w:w="5542" w:type="dxa"/>
            <w:noWrap w:val="0"/>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default" w:ascii="宋体" w:hAnsi="宋体" w:eastAsia="宋体" w:cs="宋体"/>
                <w:bCs/>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投标企业须提供投标人（被授权在职人员）近3个月有效的社保证明；</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w:t>
            </w:r>
          </w:p>
        </w:tc>
        <w:tc>
          <w:tcPr>
            <w:tcW w:w="5542" w:type="dxa"/>
            <w:noWrap w:val="0"/>
            <w:vAlign w:val="center"/>
          </w:tcPr>
          <w:p>
            <w:pPr>
              <w:tabs>
                <w:tab w:val="left" w:pos="720"/>
              </w:tabs>
              <w:spacing w:line="44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投标保证金汇款凭证或投标担保函；</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c>
          <w:tcPr>
            <w:tcW w:w="5542" w:type="dxa"/>
            <w:noWrap w:val="0"/>
            <w:vAlign w:val="center"/>
          </w:tcPr>
          <w:p>
            <w:pPr>
              <w:widowControl/>
              <w:shd w:val="clear" w:color="auto" w:fill="auto"/>
              <w:jc w:val="left"/>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未被“信用中国”（www.creditchina.gov.cn）、中国政府采购网（www.ccgp.gov.cn）列入失信被执行人、重大税收违法案件当事人名单、政府采购严重违法失信行为记录名单；</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6</w:t>
            </w:r>
          </w:p>
        </w:tc>
        <w:tc>
          <w:tcPr>
            <w:tcW w:w="5542" w:type="dxa"/>
            <w:noWrap w:val="0"/>
            <w:vAlign w:val="center"/>
          </w:tcPr>
          <w:p>
            <w:pPr>
              <w:widowControl/>
              <w:shd w:val="clear" w:color="auto" w:fill="auto"/>
              <w:jc w:val="left"/>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Cs w:val="21"/>
              </w:rPr>
              <w:t>投标人</w:t>
            </w:r>
            <w:r>
              <w:rPr>
                <w:rFonts w:hint="eastAsia" w:ascii="宋体" w:hAnsi="宋体" w:cs="宋体"/>
                <w:color w:val="auto"/>
                <w:kern w:val="0"/>
                <w:szCs w:val="21"/>
                <w:lang w:val="en-US" w:eastAsia="zh-CN"/>
              </w:rPr>
              <w:t>具有有效的《医疗器械生产许可证》或《医疗器械经营许可证》</w:t>
            </w:r>
            <w:r>
              <w:rPr>
                <w:rFonts w:hint="eastAsia" w:ascii="宋体" w:hAnsi="宋体" w:cs="宋体"/>
                <w:color w:val="auto"/>
                <w:kern w:val="0"/>
                <w:szCs w:val="21"/>
              </w:rPr>
              <w:t>原件</w:t>
            </w:r>
            <w:r>
              <w:rPr>
                <w:rFonts w:hint="eastAsia" w:ascii="宋体" w:hAnsi="宋体" w:cs="宋体"/>
                <w:color w:val="auto"/>
                <w:kern w:val="0"/>
                <w:szCs w:val="21"/>
                <w:lang w:eastAsia="zh-CN"/>
              </w:rPr>
              <w:t>扫描件</w:t>
            </w:r>
            <w:r>
              <w:rPr>
                <w:rFonts w:hint="eastAsia" w:ascii="宋体" w:hAnsi="宋体" w:cs="宋体"/>
                <w:color w:val="auto"/>
                <w:kern w:val="0"/>
                <w:szCs w:val="21"/>
              </w:rPr>
              <w:t>。</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7</w:t>
            </w:r>
          </w:p>
        </w:tc>
        <w:tc>
          <w:tcPr>
            <w:tcW w:w="5542" w:type="dxa"/>
            <w:noWrap w:val="0"/>
            <w:vAlign w:val="center"/>
          </w:tcPr>
          <w:p>
            <w:pPr>
              <w:widowControl/>
              <w:shd w:val="clear" w:color="auto" w:fill="auto"/>
              <w:jc w:val="left"/>
              <w:textAlignment w:val="center"/>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供应商应为中小企业</w:t>
            </w:r>
          </w:p>
        </w:tc>
        <w:tc>
          <w:tcPr>
            <w:tcW w:w="2501" w:type="dxa"/>
            <w:gridSpan w:val="2"/>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请根据要求单独上传《中小企业声明函》。格式以采购文件要求为准。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p>
        </w:tc>
        <w:tc>
          <w:tcPr>
            <w:tcW w:w="8453" w:type="dxa"/>
            <w:gridSpan w:val="4"/>
            <w:noWrap w:val="0"/>
            <w:vAlign w:val="center"/>
          </w:tcPr>
          <w:p>
            <w:pPr>
              <w:shd w:val="clear" w:color="auto" w:fill="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评审结果“√”表示合格；“×”表示不合格，一项不合格结果为不合格，如不合格，请在结果中写明原因。</w:t>
            </w:r>
          </w:p>
        </w:tc>
      </w:tr>
    </w:tbl>
    <w:p>
      <w:pPr>
        <w:shd w:val="clear" w:color="auto" w:fill="auto"/>
        <w:spacing w:before="156" w:beforeLines="50" w:line="440" w:lineRule="exact"/>
        <w:ind w:firstLine="211"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11" w:firstLineChars="100"/>
        <w:rPr>
          <w:rFonts w:hint="eastAsia" w:ascii="宋体"/>
          <w:b/>
          <w:color w:val="auto"/>
          <w:szCs w:val="21"/>
          <w:highlight w:val="none"/>
          <w:lang w:val="en-US" w:eastAsia="zh-CN"/>
        </w:rPr>
      </w:pPr>
    </w:p>
    <w:p>
      <w:pPr>
        <w:shd w:val="clear" w:color="auto" w:fill="auto"/>
        <w:spacing w:before="156" w:beforeLines="50" w:line="440" w:lineRule="exact"/>
        <w:ind w:firstLine="211" w:firstLineChars="100"/>
        <w:rPr>
          <w:rFonts w:hint="eastAsia" w:ascii="宋体"/>
          <w:b/>
          <w:color w:val="auto"/>
          <w:szCs w:val="21"/>
          <w:highlight w:val="none"/>
          <w:lang w:val="en-US" w:eastAsia="zh-CN"/>
        </w:rPr>
      </w:pPr>
    </w:p>
    <w:p>
      <w:pPr>
        <w:shd w:val="clear" w:color="auto" w:fill="auto"/>
        <w:spacing w:before="156" w:beforeLines="50" w:line="440" w:lineRule="exact"/>
        <w:ind w:firstLine="211" w:firstLineChars="100"/>
        <w:rPr>
          <w:rFonts w:hint="eastAsia" w:ascii="宋体"/>
          <w:b/>
          <w:color w:val="auto"/>
          <w:szCs w:val="21"/>
          <w:highlight w:val="none"/>
          <w:lang w:val="en-US" w:eastAsia="zh-CN"/>
        </w:rPr>
      </w:pPr>
    </w:p>
    <w:p>
      <w:pPr>
        <w:pStyle w:val="25"/>
        <w:rPr>
          <w:rFonts w:hint="eastAsia"/>
          <w:lang w:val="en-US" w:eastAsia="zh-CN"/>
        </w:rPr>
      </w:pPr>
    </w:p>
    <w:p>
      <w:pPr>
        <w:shd w:val="clear" w:color="auto" w:fill="auto"/>
        <w:spacing w:before="156" w:beforeLines="50" w:line="440" w:lineRule="exact"/>
        <w:ind w:firstLine="211" w:firstLineChars="100"/>
        <w:outlineLvl w:val="2"/>
        <w:rPr>
          <w:rFonts w:hint="eastAsia" w:ascii="宋体"/>
          <w:b/>
          <w:color w:val="auto"/>
          <w:szCs w:val="21"/>
          <w:highlight w:val="none"/>
        </w:rPr>
      </w:pPr>
      <w:bookmarkStart w:id="128" w:name="_Toc26100"/>
      <w:r>
        <w:rPr>
          <w:rFonts w:hint="eastAsia" w:ascii="宋体"/>
          <w:b/>
          <w:color w:val="auto"/>
          <w:szCs w:val="21"/>
          <w:highlight w:val="none"/>
          <w:lang w:val="en-US" w:eastAsia="zh-CN"/>
        </w:rPr>
        <w:t>7</w:t>
      </w:r>
      <w:r>
        <w:rPr>
          <w:rFonts w:hint="eastAsia" w:ascii="宋体"/>
          <w:b/>
          <w:color w:val="auto"/>
          <w:szCs w:val="21"/>
          <w:highlight w:val="none"/>
        </w:rPr>
        <w:t>.符合性审查</w:t>
      </w:r>
      <w:bookmarkEnd w:id="128"/>
    </w:p>
    <w:p>
      <w:pPr>
        <w:shd w:val="clear" w:color="auto" w:fill="auto"/>
        <w:spacing w:line="440" w:lineRule="exact"/>
        <w:ind w:firstLine="315" w:firstLineChars="150"/>
        <w:outlineLvl w:val="3"/>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27"/>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7074" w:type="dxa"/>
            <w:gridSpan w:val="2"/>
            <w:tcBorders>
              <w:top w:val="single" w:color="auto" w:sz="4" w:space="0"/>
            </w:tcBorders>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评审内容</w:t>
            </w:r>
          </w:p>
        </w:tc>
        <w:tc>
          <w:tcPr>
            <w:tcW w:w="1502" w:type="dxa"/>
            <w:gridSpan w:val="2"/>
            <w:tcBorders>
              <w:top w:val="single" w:color="auto" w:sz="4" w:space="0"/>
              <w:right w:val="single" w:color="auto" w:sz="4" w:space="0"/>
            </w:tcBorders>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pPr>
              <w:rPr>
                <w:rFonts w:hint="eastAsia" w:ascii="宋体" w:hAnsi="宋体" w:cs="宋体"/>
                <w:color w:val="auto"/>
                <w:highlight w:val="none"/>
              </w:rPr>
            </w:pPr>
          </w:p>
        </w:tc>
        <w:tc>
          <w:tcPr>
            <w:tcW w:w="7074" w:type="dxa"/>
            <w:gridSpan w:val="2"/>
            <w:tcBorders>
              <w:bottom w:val="single" w:color="auto" w:sz="4" w:space="0"/>
            </w:tcBorders>
            <w:noWrap w:val="0"/>
            <w:vAlign w:val="top"/>
          </w:tcPr>
          <w:p>
            <w:pPr>
              <w:rPr>
                <w:rFonts w:hint="eastAsia" w:ascii="宋体" w:hAnsi="宋体" w:cs="宋体"/>
                <w:color w:val="auto"/>
                <w:highlight w:val="none"/>
              </w:rPr>
            </w:pPr>
          </w:p>
        </w:tc>
        <w:tc>
          <w:tcPr>
            <w:tcW w:w="753" w:type="dxa"/>
            <w:noWrap w:val="0"/>
            <w:vAlign w:val="center"/>
          </w:tcPr>
          <w:p>
            <w:pPr>
              <w:jc w:val="center"/>
              <w:rPr>
                <w:rFonts w:hint="eastAsia" w:ascii="宋体" w:hAnsi="宋体" w:cs="宋体"/>
                <w:b/>
                <w:color w:val="auto"/>
                <w:sz w:val="24"/>
                <w:highlight w:val="none"/>
              </w:rPr>
            </w:pPr>
            <w:r>
              <w:rPr>
                <w:rFonts w:hint="eastAsia" w:ascii="宋体" w:hAnsi="宋体" w:cs="宋体"/>
                <w:color w:val="auto"/>
                <w:spacing w:val="-2"/>
                <w:szCs w:val="21"/>
                <w:highlight w:val="none"/>
              </w:rPr>
              <w:t>√</w:t>
            </w:r>
          </w:p>
        </w:tc>
        <w:tc>
          <w:tcPr>
            <w:tcW w:w="749" w:type="dxa"/>
            <w:tcBorders>
              <w:right w:val="single" w:color="auto" w:sz="4" w:space="0"/>
            </w:tcBorders>
            <w:noWrap w:val="0"/>
            <w:vAlign w:val="center"/>
          </w:tcPr>
          <w:p>
            <w:pPr>
              <w:ind w:firstLine="206" w:firstLineChars="100"/>
              <w:rPr>
                <w:rFonts w:hint="eastAsia" w:ascii="宋体" w:hAnsi="宋体" w:cs="宋体"/>
                <w:b/>
                <w:color w:val="auto"/>
                <w:sz w:val="24"/>
                <w:highlight w:val="none"/>
              </w:rPr>
            </w:pPr>
            <w:r>
              <w:rPr>
                <w:rFonts w:hint="eastAsia" w:ascii="宋体" w:hAnsi="宋体" w:cs="宋体"/>
                <w:color w:val="auto"/>
                <w:spacing w:val="-2"/>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审</w:t>
            </w:r>
          </w:p>
          <w:p>
            <w:pPr>
              <w:jc w:val="center"/>
              <w:rPr>
                <w:rFonts w:hint="eastAsia" w:ascii="宋体" w:hAnsi="宋体" w:cs="宋体"/>
                <w:color w:val="auto"/>
                <w:szCs w:val="21"/>
                <w:highlight w:val="none"/>
              </w:rPr>
            </w:pPr>
            <w:r>
              <w:rPr>
                <w:rFonts w:hint="eastAsia" w:ascii="宋体" w:hAnsi="宋体" w:cs="宋体"/>
                <w:color w:val="auto"/>
                <w:szCs w:val="21"/>
                <w:highlight w:val="none"/>
              </w:rPr>
              <w:t>查</w:t>
            </w:r>
          </w:p>
          <w:p>
            <w:pPr>
              <w:jc w:val="center"/>
              <w:rPr>
                <w:rFonts w:hint="eastAsia" w:ascii="宋体" w:hAnsi="宋体" w:cs="宋体"/>
                <w:color w:val="auto"/>
                <w:szCs w:val="21"/>
                <w:highlight w:val="none"/>
              </w:rPr>
            </w:pPr>
            <w:r>
              <w:rPr>
                <w:rFonts w:hint="eastAsia" w:ascii="宋体" w:hAnsi="宋体" w:cs="宋体"/>
                <w:color w:val="auto"/>
                <w:szCs w:val="21"/>
                <w:highlight w:val="none"/>
              </w:rPr>
              <w:t>标</w:t>
            </w:r>
          </w:p>
          <w:p>
            <w:pPr>
              <w:jc w:val="center"/>
              <w:rPr>
                <w:rFonts w:hint="eastAsia" w:ascii="宋体" w:hAnsi="宋体" w:cs="宋体"/>
                <w:color w:val="auto"/>
                <w:szCs w:val="21"/>
                <w:highlight w:val="none"/>
              </w:rPr>
            </w:pPr>
            <w:r>
              <w:rPr>
                <w:rFonts w:hint="eastAsia" w:ascii="宋体" w:hAnsi="宋体" w:cs="宋体"/>
                <w:color w:val="auto"/>
                <w:szCs w:val="21"/>
                <w:highlight w:val="none"/>
              </w:rPr>
              <w:t>准</w:t>
            </w: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753" w:type="dxa"/>
            <w:tcBorders>
              <w:left w:val="single" w:color="auto" w:sz="4" w:space="0"/>
              <w:right w:val="single" w:color="auto" w:sz="4" w:space="0"/>
            </w:tcBorders>
            <w:noWrap w:val="0"/>
            <w:vAlign w:val="top"/>
          </w:tcPr>
          <w:p>
            <w:pPr>
              <w:jc w:val="center"/>
              <w:rPr>
                <w:rFonts w:hint="eastAsia" w:ascii="宋体" w:hAnsi="宋体" w:cs="宋体"/>
                <w:b/>
                <w:color w:val="auto"/>
                <w:szCs w:val="21"/>
                <w:highlight w:val="none"/>
              </w:rPr>
            </w:pPr>
          </w:p>
        </w:tc>
        <w:tc>
          <w:tcPr>
            <w:tcW w:w="749" w:type="dxa"/>
            <w:tcBorders>
              <w:left w:val="single" w:color="auto" w:sz="4" w:space="0"/>
              <w:right w:val="single" w:color="auto" w:sz="4" w:space="0"/>
            </w:tcBorders>
            <w:noWrap w:val="0"/>
            <w:vAlign w:val="top"/>
          </w:tcPr>
          <w:p>
            <w:pPr>
              <w:jc w:val="center"/>
              <w:rPr>
                <w:rFonts w:hint="eastAsia" w:ascii="宋体" w:hAnsi="宋体" w:cs="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法定代表人身份证明及授权委托书有效，且符合招标文件规定的格式。</w:t>
            </w:r>
          </w:p>
        </w:tc>
        <w:tc>
          <w:tcPr>
            <w:tcW w:w="753" w:type="dxa"/>
            <w:tcBorders>
              <w:left w:val="single" w:color="auto" w:sz="4" w:space="0"/>
            </w:tcBorders>
            <w:noWrap w:val="0"/>
            <w:vAlign w:val="top"/>
          </w:tcPr>
          <w:p>
            <w:pPr>
              <w:rPr>
                <w:rFonts w:hint="eastAsia" w:ascii="宋体" w:hAnsi="宋体" w:cs="宋体"/>
                <w:color w:val="auto"/>
                <w:szCs w:val="21"/>
                <w:highlight w:val="none"/>
              </w:rPr>
            </w:pPr>
          </w:p>
        </w:tc>
        <w:tc>
          <w:tcPr>
            <w:tcW w:w="749" w:type="dxa"/>
            <w:tcBorders>
              <w:right w:val="single" w:color="auto" w:sz="4" w:space="0"/>
            </w:tcBorders>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highlight w:val="none"/>
              </w:rPr>
            </w:pP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753" w:type="dxa"/>
            <w:tcBorders>
              <w:left w:val="single" w:color="auto" w:sz="4" w:space="0"/>
            </w:tcBorders>
            <w:noWrap w:val="0"/>
            <w:vAlign w:val="top"/>
          </w:tcPr>
          <w:p>
            <w:pPr>
              <w:rPr>
                <w:rFonts w:hint="eastAsia" w:ascii="宋体" w:hAnsi="宋体" w:cs="宋体"/>
                <w:color w:val="auto"/>
                <w:szCs w:val="21"/>
                <w:highlight w:val="none"/>
              </w:rPr>
            </w:pPr>
          </w:p>
        </w:tc>
        <w:tc>
          <w:tcPr>
            <w:tcW w:w="749" w:type="dxa"/>
            <w:tcBorders>
              <w:right w:val="single" w:color="auto" w:sz="4" w:space="0"/>
            </w:tcBorders>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highlight w:val="none"/>
              </w:rPr>
            </w:pPr>
          </w:p>
        </w:tc>
        <w:tc>
          <w:tcPr>
            <w:tcW w:w="495" w:type="dxa"/>
            <w:tcBorders>
              <w:lef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4</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753" w:type="dxa"/>
            <w:tcBorders>
              <w:left w:val="single" w:color="auto" w:sz="4" w:space="0"/>
            </w:tcBorders>
            <w:noWrap w:val="0"/>
            <w:vAlign w:val="top"/>
          </w:tcPr>
          <w:p>
            <w:pPr>
              <w:rPr>
                <w:rFonts w:hint="eastAsia" w:ascii="宋体" w:hAnsi="宋体" w:cs="宋体"/>
                <w:color w:val="auto"/>
                <w:szCs w:val="21"/>
                <w:highlight w:val="none"/>
              </w:rPr>
            </w:pPr>
          </w:p>
        </w:tc>
        <w:tc>
          <w:tcPr>
            <w:tcW w:w="749" w:type="dxa"/>
            <w:tcBorders>
              <w:right w:val="single" w:color="auto" w:sz="4" w:space="0"/>
            </w:tcBorders>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highlight w:val="none"/>
              </w:rPr>
            </w:pPr>
          </w:p>
        </w:tc>
        <w:tc>
          <w:tcPr>
            <w:tcW w:w="495" w:type="dxa"/>
            <w:tcBorders>
              <w:left w:val="single" w:color="auto" w:sz="4" w:space="0"/>
              <w:bottom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5</w:t>
            </w:r>
          </w:p>
        </w:tc>
        <w:tc>
          <w:tcPr>
            <w:tcW w:w="6579" w:type="dxa"/>
            <w:tcBorders>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753" w:type="dxa"/>
            <w:tcBorders>
              <w:left w:val="single" w:color="auto" w:sz="4" w:space="0"/>
              <w:bottom w:val="single" w:color="auto" w:sz="4" w:space="0"/>
            </w:tcBorders>
            <w:noWrap w:val="0"/>
            <w:vAlign w:val="top"/>
          </w:tcPr>
          <w:p>
            <w:pPr>
              <w:rPr>
                <w:rFonts w:hint="eastAsia" w:ascii="宋体" w:hAnsi="宋体" w:cs="宋体"/>
                <w:color w:val="auto"/>
                <w:szCs w:val="21"/>
                <w:highlight w:val="none"/>
              </w:rPr>
            </w:pPr>
          </w:p>
        </w:tc>
        <w:tc>
          <w:tcPr>
            <w:tcW w:w="749" w:type="dxa"/>
            <w:tcBorders>
              <w:bottom w:val="single" w:color="auto" w:sz="4" w:space="0"/>
              <w:right w:val="single" w:color="auto" w:sz="4" w:space="0"/>
            </w:tcBorders>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highlight w:val="none"/>
              </w:rPr>
            </w:pPr>
          </w:p>
        </w:tc>
        <w:tc>
          <w:tcPr>
            <w:tcW w:w="495" w:type="dxa"/>
            <w:tcBorders>
              <w:top w:val="single" w:color="auto" w:sz="4" w:space="0"/>
              <w:left w:val="single" w:color="auto" w:sz="4" w:space="0"/>
            </w:tcBorders>
            <w:noWrap w:val="0"/>
            <w:vAlign w:val="center"/>
          </w:tcPr>
          <w:p>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579" w:type="dxa"/>
            <w:tcBorders>
              <w:top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753" w:type="dxa"/>
            <w:tcBorders>
              <w:top w:val="single" w:color="auto" w:sz="4" w:space="0"/>
              <w:left w:val="single" w:color="auto" w:sz="4" w:space="0"/>
            </w:tcBorders>
            <w:noWrap w:val="0"/>
            <w:vAlign w:val="top"/>
          </w:tcPr>
          <w:p>
            <w:pPr>
              <w:rPr>
                <w:rFonts w:hint="eastAsia" w:ascii="宋体" w:hAnsi="宋体" w:cs="宋体"/>
                <w:color w:val="auto"/>
                <w:szCs w:val="21"/>
                <w:highlight w:val="none"/>
              </w:rPr>
            </w:pPr>
          </w:p>
        </w:tc>
        <w:tc>
          <w:tcPr>
            <w:tcW w:w="749" w:type="dxa"/>
            <w:tcBorders>
              <w:top w:val="single" w:color="auto" w:sz="4" w:space="0"/>
              <w:right w:val="single" w:color="auto" w:sz="4" w:space="0"/>
            </w:tcBorders>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highlight w:val="none"/>
              </w:rPr>
            </w:pPr>
          </w:p>
        </w:tc>
        <w:tc>
          <w:tcPr>
            <w:tcW w:w="495" w:type="dxa"/>
            <w:tcBorders>
              <w:lef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8</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753" w:type="dxa"/>
            <w:tcBorders>
              <w:left w:val="single" w:color="auto" w:sz="4" w:space="0"/>
            </w:tcBorders>
            <w:noWrap w:val="0"/>
            <w:vAlign w:val="top"/>
          </w:tcPr>
          <w:p>
            <w:pPr>
              <w:rPr>
                <w:rFonts w:hint="eastAsia" w:ascii="宋体" w:hAnsi="宋体" w:cs="宋体"/>
                <w:color w:val="auto"/>
                <w:szCs w:val="21"/>
                <w:highlight w:val="none"/>
              </w:rPr>
            </w:pPr>
          </w:p>
        </w:tc>
        <w:tc>
          <w:tcPr>
            <w:tcW w:w="749" w:type="dxa"/>
            <w:tcBorders>
              <w:right w:val="single" w:color="auto" w:sz="4" w:space="0"/>
            </w:tcBorders>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highlight w:val="none"/>
              </w:rPr>
            </w:pPr>
          </w:p>
        </w:tc>
        <w:tc>
          <w:tcPr>
            <w:tcW w:w="495" w:type="dxa"/>
            <w:tcBorders>
              <w:lef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9</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753" w:type="dxa"/>
            <w:tcBorders>
              <w:left w:val="single" w:color="auto" w:sz="4" w:space="0"/>
            </w:tcBorders>
            <w:noWrap w:val="0"/>
            <w:vAlign w:val="top"/>
          </w:tcPr>
          <w:p>
            <w:pPr>
              <w:rPr>
                <w:rFonts w:hint="eastAsia" w:ascii="宋体" w:hAnsi="宋体" w:cs="宋体"/>
                <w:color w:val="auto"/>
                <w:szCs w:val="21"/>
                <w:highlight w:val="none"/>
              </w:rPr>
            </w:pPr>
          </w:p>
        </w:tc>
        <w:tc>
          <w:tcPr>
            <w:tcW w:w="749" w:type="dxa"/>
            <w:tcBorders>
              <w:right w:val="single" w:color="auto" w:sz="4" w:space="0"/>
            </w:tcBorders>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highlight w:val="none"/>
              </w:rPr>
            </w:pPr>
          </w:p>
        </w:tc>
        <w:tc>
          <w:tcPr>
            <w:tcW w:w="495" w:type="dxa"/>
            <w:tcBorders>
              <w:lef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10</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left w:val="single" w:color="auto" w:sz="4" w:space="0"/>
            </w:tcBorders>
            <w:noWrap w:val="0"/>
            <w:vAlign w:val="top"/>
          </w:tcPr>
          <w:p>
            <w:pPr>
              <w:rPr>
                <w:rFonts w:hint="eastAsia" w:ascii="宋体" w:hAnsi="宋体" w:cs="宋体"/>
                <w:color w:val="auto"/>
                <w:szCs w:val="21"/>
                <w:highlight w:val="none"/>
              </w:rPr>
            </w:pPr>
          </w:p>
        </w:tc>
        <w:tc>
          <w:tcPr>
            <w:tcW w:w="749" w:type="dxa"/>
            <w:tcBorders>
              <w:right w:val="single" w:color="auto" w:sz="4" w:space="0"/>
            </w:tcBorders>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left w:val="single" w:color="auto" w:sz="4" w:space="0"/>
              <w:righ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pacing w:val="-2"/>
                <w:szCs w:val="21"/>
                <w:highlight w:val="none"/>
                <w:lang w:eastAsia="zh-CN"/>
              </w:rPr>
              <w:t>评审结果：须写通过或者不通过</w:t>
            </w:r>
          </w:p>
        </w:tc>
        <w:tc>
          <w:tcPr>
            <w:tcW w:w="1502" w:type="dxa"/>
            <w:gridSpan w:val="2"/>
            <w:tcBorders>
              <w:left w:val="single" w:color="auto" w:sz="4" w:space="0"/>
              <w:right w:val="single" w:color="auto" w:sz="4" w:space="0"/>
            </w:tcBorders>
            <w:noWrap w:val="0"/>
            <w:vAlign w:val="center"/>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pPr>
              <w:ind w:firstLine="370" w:firstLineChars="180"/>
              <w:rPr>
                <w:rFonts w:hint="eastAsia" w:ascii="宋体" w:hAnsi="宋体" w:cs="宋体"/>
                <w:color w:val="auto"/>
                <w:szCs w:val="21"/>
                <w:highlight w:val="none"/>
              </w:rPr>
            </w:pPr>
            <w:r>
              <w:rPr>
                <w:rFonts w:hint="eastAsia" w:ascii="宋体" w:hAnsi="宋体" w:cs="宋体"/>
                <w:color w:val="auto"/>
                <w:spacing w:val="-2"/>
                <w:szCs w:val="21"/>
                <w:highlight w:val="none"/>
              </w:rPr>
              <w:t xml:space="preserve">结论：通过评审打“√”，未通过评审打“×”   </w:t>
            </w:r>
            <w:r>
              <w:rPr>
                <w:rFonts w:hint="eastAsia" w:ascii="宋体" w:hAnsi="宋体" w:cs="宋体"/>
                <w:color w:val="auto"/>
                <w:szCs w:val="21"/>
                <w:highlight w:val="none"/>
              </w:rPr>
              <w:t>注：如有一项不合格，作废标处理。</w:t>
            </w:r>
          </w:p>
        </w:tc>
      </w:tr>
    </w:tbl>
    <w:p>
      <w:pPr>
        <w:shd w:val="clear" w:color="auto" w:fill="auto"/>
        <w:spacing w:line="400" w:lineRule="exact"/>
        <w:rPr>
          <w:rFonts w:hint="eastAsia" w:ascii="宋体"/>
          <w:color w:val="auto"/>
          <w:szCs w:val="21"/>
          <w:highlight w:val="none"/>
          <w:lang w:val="en-US" w:eastAsia="zh-CN"/>
        </w:rPr>
      </w:pPr>
    </w:p>
    <w:p>
      <w:pPr>
        <w:shd w:val="clear" w:color="auto" w:fill="auto"/>
        <w:spacing w:line="400" w:lineRule="exact"/>
        <w:ind w:firstLine="506"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06"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25" w:firstLineChars="250"/>
        <w:outlineLvl w:val="3"/>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129" w:name="_Toc362983803"/>
    </w:p>
    <w:p>
      <w:pPr>
        <w:shd w:val="clear" w:color="auto" w:fill="auto"/>
        <w:spacing w:line="400" w:lineRule="exact"/>
        <w:ind w:firstLine="3092" w:firstLineChars="1100"/>
        <w:rPr>
          <w:rFonts w:hint="eastAsia" w:ascii="宋体"/>
          <w:b/>
          <w:color w:val="auto"/>
          <w:sz w:val="28"/>
          <w:szCs w:val="28"/>
          <w:highlight w:val="none"/>
        </w:rPr>
      </w:pPr>
    </w:p>
    <w:p>
      <w:pPr>
        <w:shd w:val="clear" w:color="auto" w:fill="auto"/>
        <w:spacing w:line="400" w:lineRule="exact"/>
        <w:ind w:firstLine="3092" w:firstLineChars="1100"/>
        <w:outlineLvl w:val="9"/>
        <w:rPr>
          <w:rFonts w:hint="eastAsia" w:ascii="宋体"/>
          <w:b/>
          <w:color w:val="auto"/>
          <w:sz w:val="28"/>
          <w:szCs w:val="28"/>
          <w:highlight w:val="none"/>
        </w:rPr>
      </w:pPr>
    </w:p>
    <w:p>
      <w:pPr>
        <w:shd w:val="clear" w:color="auto" w:fill="auto"/>
        <w:spacing w:line="400" w:lineRule="exact"/>
        <w:ind w:firstLine="3092" w:firstLineChars="1100"/>
        <w:outlineLvl w:val="2"/>
        <w:rPr>
          <w:rFonts w:hint="eastAsia" w:ascii="宋体"/>
          <w:b/>
          <w:color w:val="auto"/>
          <w:sz w:val="24"/>
          <w:highlight w:val="none"/>
        </w:rPr>
      </w:pPr>
      <w:bookmarkStart w:id="130" w:name="_Toc17067"/>
      <w:r>
        <w:rPr>
          <w:rFonts w:hint="eastAsia" w:ascii="宋体"/>
          <w:b/>
          <w:color w:val="auto"/>
          <w:sz w:val="28"/>
          <w:szCs w:val="28"/>
          <w:highlight w:val="none"/>
        </w:rPr>
        <w:t>三  投标文件的澄清和补正</w:t>
      </w:r>
      <w:bookmarkEnd w:id="129"/>
      <w:bookmarkEnd w:id="130"/>
    </w:p>
    <w:p>
      <w:pPr>
        <w:shd w:val="clear" w:color="auto" w:fill="auto"/>
        <w:spacing w:line="440" w:lineRule="exact"/>
        <w:ind w:firstLine="210" w:firstLineChars="100"/>
        <w:jc w:val="left"/>
        <w:outlineLvl w:val="2"/>
        <w:rPr>
          <w:rFonts w:hint="eastAsia" w:ascii="宋体"/>
          <w:b w:val="0"/>
          <w:bCs w:val="0"/>
          <w:color w:val="auto"/>
          <w:szCs w:val="21"/>
          <w:highlight w:val="none"/>
          <w:lang w:val="en-US" w:eastAsia="zh-CN"/>
        </w:rPr>
      </w:pPr>
      <w:bookmarkStart w:id="131" w:name="_Toc21133"/>
      <w:r>
        <w:rPr>
          <w:rFonts w:hint="eastAsia" w:ascii="宋体"/>
          <w:b w:val="0"/>
          <w:bCs w:val="0"/>
          <w:color w:val="auto"/>
          <w:szCs w:val="21"/>
          <w:highlight w:val="none"/>
          <w:lang w:val="en-US" w:eastAsia="zh-CN"/>
        </w:rPr>
        <w:t>8．澄清、说明或补正的形式</w:t>
      </w:r>
      <w:bookmarkEnd w:id="131"/>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0" w:firstLineChars="100"/>
        <w:jc w:val="left"/>
        <w:outlineLvl w:val="2"/>
        <w:rPr>
          <w:rFonts w:hint="eastAsia" w:ascii="宋体"/>
          <w:b w:val="0"/>
          <w:bCs w:val="0"/>
          <w:color w:val="auto"/>
          <w:szCs w:val="21"/>
          <w:highlight w:val="none"/>
          <w:lang w:val="en-US" w:eastAsia="zh-CN"/>
        </w:rPr>
      </w:pPr>
      <w:bookmarkStart w:id="132" w:name="_Toc13958"/>
      <w:r>
        <w:rPr>
          <w:rFonts w:hint="eastAsia" w:ascii="宋体"/>
          <w:b w:val="0"/>
          <w:bCs w:val="0"/>
          <w:color w:val="auto"/>
          <w:szCs w:val="21"/>
          <w:highlight w:val="none"/>
          <w:lang w:val="en-US" w:eastAsia="zh-CN"/>
        </w:rPr>
        <w:t>9．错误修正的原则</w:t>
      </w:r>
      <w:bookmarkEnd w:id="132"/>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0"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jc w:val="center"/>
        <w:outlineLvl w:val="9"/>
        <w:rPr>
          <w:rFonts w:hint="eastAsia" w:ascii="宋体"/>
          <w:b/>
          <w:color w:val="auto"/>
          <w:sz w:val="24"/>
          <w:highlight w:val="none"/>
        </w:rPr>
      </w:pPr>
    </w:p>
    <w:p>
      <w:pPr>
        <w:shd w:val="clear" w:color="auto" w:fill="auto"/>
        <w:spacing w:line="400" w:lineRule="exact"/>
        <w:jc w:val="center"/>
        <w:outlineLvl w:val="3"/>
        <w:rPr>
          <w:rFonts w:hint="eastAsia" w:ascii="宋体"/>
          <w:b/>
          <w:color w:val="auto"/>
          <w:sz w:val="24"/>
          <w:highlight w:val="none"/>
        </w:rPr>
      </w:pPr>
    </w:p>
    <w:p>
      <w:pPr>
        <w:shd w:val="clear" w:color="auto" w:fill="auto"/>
        <w:spacing w:line="400" w:lineRule="exact"/>
        <w:jc w:val="center"/>
        <w:outlineLvl w:val="3"/>
        <w:rPr>
          <w:rFonts w:hint="eastAsia" w:ascii="宋体"/>
          <w:b/>
          <w:color w:val="auto"/>
          <w:sz w:val="24"/>
          <w:highlight w:val="none"/>
        </w:rPr>
      </w:pPr>
      <w:r>
        <w:rPr>
          <w:rFonts w:hint="eastAsia" w:ascii="宋体"/>
          <w:b/>
          <w:color w:val="auto"/>
          <w:sz w:val="24"/>
          <w:highlight w:val="none"/>
        </w:rPr>
        <w:t>四 比较与评价</w:t>
      </w:r>
    </w:p>
    <w:p>
      <w:pPr>
        <w:shd w:val="clear" w:color="auto" w:fill="auto"/>
        <w:tabs>
          <w:tab w:val="left" w:pos="720"/>
        </w:tabs>
        <w:spacing w:line="440" w:lineRule="exact"/>
        <w:ind w:firstLine="535" w:firstLineChars="255"/>
        <w:rPr>
          <w:rFonts w:hint="eastAsia" w:ascii="宋体" w:hAnsi="宋体" w:eastAsia="宋体" w:cs="宋体"/>
          <w:color w:val="auto"/>
          <w:szCs w:val="21"/>
          <w:highlight w:val="none"/>
          <w:lang w:bidi="ar-SA"/>
        </w:rPr>
      </w:pPr>
      <w:bookmarkStart w:id="133" w:name="_Toc362983805"/>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39"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39" w:firstLineChars="257"/>
        <w:outlineLvl w:val="3"/>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jc w:val="left"/>
        <w:rPr>
          <w:rFonts w:hint="eastAsia" w:ascii="宋体" w:hAnsi="宋体" w:eastAsia="宋体" w:cs="宋体"/>
          <w:color w:val="auto"/>
          <w:szCs w:val="21"/>
          <w:highlight w:val="none"/>
          <w:lang w:bidi="ar-SA"/>
        </w:rPr>
      </w:pPr>
    </w:p>
    <w:p>
      <w:pPr>
        <w:numPr>
          <w:ilvl w:val="0"/>
          <w:numId w:val="8"/>
        </w:numPr>
        <w:shd w:val="clear" w:color="auto" w:fill="auto"/>
        <w:spacing w:line="500" w:lineRule="exact"/>
        <w:ind w:firstLine="420" w:firstLineChars="200"/>
        <w:jc w:val="left"/>
        <w:outlineLvl w:val="3"/>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评分标准和细则（综合评分法评分标准）</w:t>
      </w:r>
    </w:p>
    <w:tbl>
      <w:tblPr>
        <w:tblStyle w:val="27"/>
        <w:tblpPr w:leftFromText="180" w:rightFromText="180" w:vertAnchor="text" w:horzAnchor="page" w:tblpXSpec="center" w:tblpY="93"/>
        <w:tblOverlap w:val="never"/>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7487"/>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1348" w:type="dxa"/>
            <w:noWrap w:val="0"/>
            <w:vAlign w:val="center"/>
          </w:tcPr>
          <w:p>
            <w:pPr>
              <w:spacing w:line="288" w:lineRule="auto"/>
              <w:jc w:val="center"/>
              <w:rPr>
                <w:rFonts w:hint="eastAsia"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eastAsia="zh-CN"/>
              </w:rPr>
              <w:t>评分因素</w:t>
            </w:r>
          </w:p>
          <w:p>
            <w:pPr>
              <w:spacing w:line="288" w:lineRule="auto"/>
              <w:jc w:val="center"/>
              <w:rPr>
                <w:rFonts w:hint="eastAsia"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eastAsia="zh-CN"/>
              </w:rPr>
              <w:t>及权重</w:t>
            </w:r>
          </w:p>
        </w:tc>
        <w:tc>
          <w:tcPr>
            <w:tcW w:w="7487" w:type="dxa"/>
            <w:noWrap w:val="0"/>
            <w:vAlign w:val="center"/>
          </w:tcPr>
          <w:p>
            <w:pPr>
              <w:spacing w:line="288" w:lineRule="auto"/>
              <w:jc w:val="center"/>
              <w:rPr>
                <w:rFonts w:hint="eastAsia"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eastAsia="zh-CN"/>
              </w:rPr>
              <w:t>评分标准</w:t>
            </w:r>
          </w:p>
        </w:tc>
        <w:tc>
          <w:tcPr>
            <w:tcW w:w="736" w:type="dxa"/>
            <w:noWrap w:val="0"/>
            <w:vAlign w:val="center"/>
          </w:tcPr>
          <w:p>
            <w:pPr>
              <w:spacing w:line="288" w:lineRule="auto"/>
              <w:jc w:val="center"/>
              <w:rPr>
                <w:rFonts w:hint="eastAsia"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noWrap w:val="0"/>
            <w:vAlign w:val="center"/>
          </w:tcPr>
          <w:p>
            <w:pPr>
              <w:spacing w:line="288" w:lineRule="auto"/>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投标报价</w:t>
            </w:r>
          </w:p>
          <w:p>
            <w:pPr>
              <w:spacing w:line="288" w:lineRule="auto"/>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35</w:t>
            </w:r>
            <w:r>
              <w:rPr>
                <w:rFonts w:hint="eastAsia" w:ascii="Times New Roman" w:hAnsi="Times New Roman" w:eastAsia="宋体" w:cs="Times New Roman"/>
                <w:sz w:val="24"/>
                <w:lang w:eastAsia="zh-CN"/>
              </w:rPr>
              <w:t>分）</w:t>
            </w:r>
          </w:p>
        </w:tc>
        <w:tc>
          <w:tcPr>
            <w:tcW w:w="7487" w:type="dxa"/>
            <w:noWrap w:val="0"/>
            <w:vAlign w:val="center"/>
          </w:tcPr>
          <w:p>
            <w:pPr>
              <w:spacing w:line="288" w:lineRule="auto"/>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完全满足招标文件技术要求且投标价格最低的投标报价为评标基准价，其价格分为满分。其他投标人的价格分别按照下列公式计算：</w:t>
            </w:r>
          </w:p>
          <w:p>
            <w:pPr>
              <w:spacing w:line="288" w:lineRule="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eastAsia="zh-CN"/>
              </w:rPr>
              <w:t xml:space="preserve"> 投标报价得分=(评标基准价／投标报价)</w:t>
            </w:r>
            <w:r>
              <w:rPr>
                <w:rFonts w:hint="eastAsia" w:ascii="Times New Roman" w:hAnsi="Times New Roman" w:eastAsia="宋体" w:cs="Times New Roman"/>
                <w:sz w:val="24"/>
                <w:lang w:val="en-US" w:eastAsia="zh-CN"/>
              </w:rPr>
              <w:t>×35%×100</w:t>
            </w:r>
          </w:p>
          <w:p>
            <w:pPr>
              <w:spacing w:line="288" w:lineRule="auto"/>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(投标报价超过采购预算价的按废标处理)</w:t>
            </w:r>
          </w:p>
        </w:tc>
        <w:tc>
          <w:tcPr>
            <w:tcW w:w="736" w:type="dxa"/>
            <w:noWrap w:val="0"/>
            <w:vAlign w:val="center"/>
          </w:tcPr>
          <w:p>
            <w:pPr>
              <w:spacing w:line="288" w:lineRule="auto"/>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9" w:hRule="atLeast"/>
          <w:jc w:val="center"/>
        </w:trPr>
        <w:tc>
          <w:tcPr>
            <w:tcW w:w="1348" w:type="dxa"/>
            <w:noWrap w:val="0"/>
            <w:vAlign w:val="center"/>
          </w:tcPr>
          <w:p>
            <w:pPr>
              <w:spacing w:line="288" w:lineRule="auto"/>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 xml:space="preserve">技术因素 </w:t>
            </w:r>
          </w:p>
          <w:p>
            <w:pPr>
              <w:spacing w:line="288" w:lineRule="auto"/>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25</w:t>
            </w:r>
            <w:r>
              <w:rPr>
                <w:rFonts w:hint="eastAsia" w:ascii="Times New Roman" w:hAnsi="Times New Roman" w:eastAsia="宋体" w:cs="Times New Roman"/>
                <w:sz w:val="24"/>
                <w:lang w:eastAsia="zh-CN"/>
              </w:rPr>
              <w:t>分）</w:t>
            </w:r>
          </w:p>
        </w:tc>
        <w:tc>
          <w:tcPr>
            <w:tcW w:w="7487" w:type="dxa"/>
            <w:noWrap w:val="0"/>
            <w:vAlign w:val="center"/>
          </w:tcPr>
          <w:p>
            <w:pPr>
              <w:spacing w:line="288" w:lineRule="auto"/>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以招标文件的技术参数要求为基准，提供详细技术偏离表。根据所投产品的配置与性能指标的响应程度打分：1、所投产品技术参数全部满足的得</w:t>
            </w:r>
            <w:r>
              <w:rPr>
                <w:rFonts w:hint="eastAsia" w:ascii="Times New Roman" w:hAnsi="Times New Roman" w:eastAsia="宋体" w:cs="Times New Roman"/>
                <w:sz w:val="24"/>
                <w:lang w:val="en-US" w:eastAsia="zh-CN"/>
              </w:rPr>
              <w:t>20</w:t>
            </w:r>
            <w:r>
              <w:rPr>
                <w:rFonts w:hint="eastAsia" w:ascii="Times New Roman" w:hAnsi="Times New Roman" w:eastAsia="宋体" w:cs="Times New Roman"/>
                <w:sz w:val="24"/>
                <w:lang w:eastAsia="zh-CN"/>
              </w:rPr>
              <w:t>分；2、每有一项技术参数指标正偏离招标文件要求的加</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eastAsia="zh-CN"/>
              </w:rPr>
              <w:t>分，正偏离加分最高得分为</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lang w:eastAsia="zh-CN"/>
              </w:rPr>
              <w:t>分（需提供证明材料）；</w:t>
            </w:r>
            <w:r>
              <w:rPr>
                <w:rFonts w:hint="eastAsia" w:ascii="Times New Roman" w:hAnsi="Times New Roman" w:eastAsia="宋体" w:cs="Times New Roman"/>
                <w:sz w:val="24"/>
                <w:lang w:val="en-US" w:eastAsia="zh-CN"/>
              </w:rPr>
              <w:t>3、指标出现负偏离则视为无效投标</w:t>
            </w:r>
            <w:r>
              <w:rPr>
                <w:rFonts w:hint="eastAsia" w:ascii="Times New Roman" w:hAnsi="Times New Roman" w:eastAsia="宋体" w:cs="Times New Roman"/>
                <w:sz w:val="24"/>
                <w:lang w:eastAsia="zh-CN"/>
              </w:rPr>
              <w:t>；</w:t>
            </w:r>
          </w:p>
        </w:tc>
        <w:tc>
          <w:tcPr>
            <w:tcW w:w="736" w:type="dxa"/>
            <w:noWrap w:val="0"/>
            <w:vAlign w:val="center"/>
          </w:tcPr>
          <w:p>
            <w:pPr>
              <w:spacing w:line="288" w:lineRule="auto"/>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5" w:hRule="atLeast"/>
          <w:jc w:val="center"/>
        </w:trPr>
        <w:tc>
          <w:tcPr>
            <w:tcW w:w="1348" w:type="dxa"/>
            <w:vMerge w:val="restart"/>
            <w:noWrap w:val="0"/>
            <w:vAlign w:val="center"/>
          </w:tcPr>
          <w:p>
            <w:pPr>
              <w:spacing w:line="288" w:lineRule="auto"/>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商务因素（</w:t>
            </w:r>
            <w:r>
              <w:rPr>
                <w:rFonts w:hint="eastAsia" w:ascii="Times New Roman" w:hAnsi="Times New Roman" w:eastAsia="宋体" w:cs="Times New Roman"/>
                <w:sz w:val="24"/>
                <w:lang w:val="en-US" w:eastAsia="zh-CN"/>
              </w:rPr>
              <w:t>24分</w:t>
            </w:r>
            <w:r>
              <w:rPr>
                <w:rFonts w:hint="eastAsia" w:ascii="Times New Roman" w:hAnsi="Times New Roman" w:eastAsia="宋体" w:cs="Times New Roman"/>
                <w:sz w:val="24"/>
                <w:lang w:eastAsia="zh-CN"/>
              </w:rPr>
              <w:t>）</w:t>
            </w:r>
          </w:p>
        </w:tc>
        <w:tc>
          <w:tcPr>
            <w:tcW w:w="7487" w:type="dxa"/>
            <w:noWrap w:val="0"/>
            <w:vAlign w:val="center"/>
          </w:tcPr>
          <w:p>
            <w:pPr>
              <w:spacing w:line="288" w:lineRule="auto"/>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根据本项目供应商提供的培训计划及实施方案（含：对甲方维修技术人员进行培训、培训计划、培训时间安排、现场培训、使用方法培训、简单维护保养、常见故障的维修、对项目实施过程安全保障措施、对项目实施过程应急预案、配送方式方案等）的合理性、针对性、全面性进行综合比较评分，每一项得</w:t>
            </w:r>
            <w:r>
              <w:rPr>
                <w:rFonts w:hint="eastAsia" w:ascii="Times New Roman" w:hAnsi="Times New Roman" w:eastAsia="宋体" w:cs="Times New Roman"/>
                <w:sz w:val="24"/>
                <w:lang w:val="en-US" w:eastAsia="zh-CN"/>
              </w:rPr>
              <w:t>2分，满分20分</w:t>
            </w:r>
            <w:r>
              <w:rPr>
                <w:rFonts w:hint="eastAsia" w:ascii="Times New Roman" w:hAnsi="Times New Roman" w:eastAsia="宋体" w:cs="Times New Roman"/>
                <w:sz w:val="24"/>
                <w:lang w:eastAsia="zh-CN"/>
              </w:rPr>
              <w:t>，要求中每有一项内容缺失或描述不合理或不具有可操作性的不得分。</w:t>
            </w:r>
          </w:p>
        </w:tc>
        <w:tc>
          <w:tcPr>
            <w:tcW w:w="736" w:type="dxa"/>
            <w:noWrap w:val="0"/>
            <w:vAlign w:val="center"/>
          </w:tcPr>
          <w:p>
            <w:pPr>
              <w:spacing w:line="288" w:lineRule="auto"/>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1348" w:type="dxa"/>
            <w:vMerge w:val="continue"/>
            <w:noWrap w:val="0"/>
            <w:vAlign w:val="center"/>
          </w:tcPr>
          <w:p>
            <w:pPr>
              <w:spacing w:line="288" w:lineRule="auto"/>
              <w:rPr>
                <w:rFonts w:hint="eastAsia" w:ascii="Times New Roman" w:hAnsi="Times New Roman" w:eastAsia="宋体" w:cs="Times New Roman"/>
                <w:sz w:val="24"/>
                <w:lang w:eastAsia="zh-CN"/>
              </w:rPr>
            </w:pPr>
          </w:p>
        </w:tc>
        <w:tc>
          <w:tcPr>
            <w:tcW w:w="7487" w:type="dxa"/>
            <w:noWrap w:val="0"/>
            <w:vAlign w:val="center"/>
          </w:tcPr>
          <w:p>
            <w:pPr>
              <w:spacing w:line="288" w:lineRule="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提供近三年类似项目的业绩合同及中标通知书每提供一个得1分，满分4分。（注：中标通知书、合同同时具备，提供原件扫描件缺一项不得分。）</w:t>
            </w:r>
          </w:p>
        </w:tc>
        <w:tc>
          <w:tcPr>
            <w:tcW w:w="736" w:type="dxa"/>
            <w:noWrap w:val="0"/>
            <w:vAlign w:val="center"/>
          </w:tcPr>
          <w:p>
            <w:pPr>
              <w:spacing w:line="288" w:lineRule="auto"/>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1348" w:type="dxa"/>
            <w:vMerge w:val="restart"/>
            <w:noWrap w:val="0"/>
            <w:vAlign w:val="center"/>
          </w:tcPr>
          <w:p>
            <w:pPr>
              <w:spacing w:line="288" w:lineRule="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售后服务</w:t>
            </w:r>
          </w:p>
          <w:p>
            <w:pPr>
              <w:pStyle w:val="2"/>
              <w:rPr>
                <w:rFonts w:hint="eastAsia"/>
                <w:lang w:val="en-US" w:eastAsia="zh-CN"/>
              </w:rPr>
            </w:pPr>
            <w:r>
              <w:rPr>
                <w:rFonts w:hint="eastAsia" w:ascii="Times New Roman" w:hAnsi="Times New Roman" w:eastAsia="宋体" w:cs="Times New Roman"/>
                <w:sz w:val="24"/>
                <w:lang w:val="en-US" w:eastAsia="zh-CN"/>
              </w:rPr>
              <w:t>（16分）</w:t>
            </w:r>
          </w:p>
        </w:tc>
        <w:tc>
          <w:tcPr>
            <w:tcW w:w="7487" w:type="dxa"/>
            <w:noWrap w:val="0"/>
            <w:vAlign w:val="center"/>
          </w:tcPr>
          <w:p>
            <w:pPr>
              <w:spacing w:line="288" w:lineRule="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lang w:eastAsia="zh-CN"/>
              </w:rPr>
              <w:t>供应商</w:t>
            </w:r>
            <w:r>
              <w:rPr>
                <w:rFonts w:hint="eastAsia" w:ascii="Times New Roman" w:hAnsi="Times New Roman" w:eastAsia="宋体" w:cs="Times New Roman"/>
                <w:sz w:val="24"/>
                <w:lang w:val="en-US" w:eastAsia="zh-CN"/>
              </w:rPr>
              <w:t>为本项目提供专职</w:t>
            </w:r>
            <w:r>
              <w:rPr>
                <w:rFonts w:hint="default" w:ascii="Times New Roman" w:hAnsi="Times New Roman" w:eastAsia="宋体" w:cs="Times New Roman"/>
                <w:sz w:val="24"/>
                <w:lang w:val="en-US" w:eastAsia="zh-CN"/>
              </w:rPr>
              <w:t>售后服务工程师</w:t>
            </w:r>
            <w:r>
              <w:rPr>
                <w:rFonts w:hint="eastAsia" w:ascii="Times New Roman" w:hAnsi="Times New Roman" w:eastAsia="宋体" w:cs="Times New Roman"/>
                <w:sz w:val="24"/>
                <w:lang w:val="en-US" w:eastAsia="zh-CN"/>
              </w:rPr>
              <w:t>，并</w:t>
            </w:r>
            <w:r>
              <w:rPr>
                <w:rFonts w:hint="default" w:ascii="Times New Roman" w:hAnsi="Times New Roman" w:eastAsia="宋体" w:cs="Times New Roman"/>
                <w:sz w:val="24"/>
                <w:lang w:val="en-US" w:eastAsia="zh-CN"/>
              </w:rPr>
              <w:t>提供相应证明资料及售后服务工程师联系方式的，每提供一人得</w:t>
            </w:r>
            <w:r>
              <w:rPr>
                <w:rFonts w:hint="eastAsia" w:ascii="Times New Roman" w:hAnsi="Times New Roman" w:eastAsia="宋体" w:cs="Times New Roman"/>
                <w:sz w:val="24"/>
                <w:lang w:val="en-US" w:eastAsia="zh-CN"/>
              </w:rPr>
              <w:t>2</w:t>
            </w:r>
            <w:r>
              <w:rPr>
                <w:rFonts w:hint="default" w:ascii="Times New Roman" w:hAnsi="Times New Roman" w:eastAsia="宋体" w:cs="Times New Roman"/>
                <w:sz w:val="24"/>
                <w:lang w:val="en-US" w:eastAsia="zh-CN"/>
              </w:rPr>
              <w:t>分，最高</w:t>
            </w:r>
            <w:r>
              <w:rPr>
                <w:rFonts w:hint="eastAsia" w:ascii="Times New Roman" w:hAnsi="Times New Roman" w:eastAsia="宋体" w:cs="Times New Roman"/>
                <w:sz w:val="24"/>
                <w:lang w:val="en-US" w:eastAsia="zh-CN"/>
              </w:rPr>
              <w:t>4</w:t>
            </w:r>
            <w:r>
              <w:rPr>
                <w:rFonts w:hint="default" w:ascii="Times New Roman" w:hAnsi="Times New Roman" w:eastAsia="宋体" w:cs="Times New Roman"/>
                <w:sz w:val="24"/>
                <w:lang w:val="en-US" w:eastAsia="zh-CN"/>
              </w:rPr>
              <w:t>分；未提供相应证明资料的，不得分。</w:t>
            </w:r>
          </w:p>
        </w:tc>
        <w:tc>
          <w:tcPr>
            <w:tcW w:w="736" w:type="dxa"/>
            <w:noWrap w:val="0"/>
            <w:vAlign w:val="center"/>
          </w:tcPr>
          <w:p>
            <w:pPr>
              <w:spacing w:line="288"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1348" w:type="dxa"/>
            <w:vMerge w:val="continue"/>
            <w:noWrap w:val="0"/>
            <w:vAlign w:val="center"/>
          </w:tcPr>
          <w:p>
            <w:pPr>
              <w:spacing w:line="288" w:lineRule="auto"/>
              <w:rPr>
                <w:rFonts w:hint="eastAsia" w:ascii="Times New Roman" w:hAnsi="Times New Roman" w:eastAsia="宋体" w:cs="Times New Roman"/>
                <w:sz w:val="24"/>
                <w:lang w:val="en-US" w:eastAsia="zh-CN"/>
              </w:rPr>
            </w:pPr>
          </w:p>
        </w:tc>
        <w:tc>
          <w:tcPr>
            <w:tcW w:w="7487" w:type="dxa"/>
            <w:noWrap w:val="0"/>
            <w:vAlign w:val="center"/>
          </w:tcPr>
          <w:p>
            <w:pPr>
              <w:spacing w:line="288" w:lineRule="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sz w:val="24"/>
                <w:lang w:val="en-US" w:eastAsia="zh-CN"/>
              </w:rPr>
              <w:t>具有专业的售后服务团队定期</w:t>
            </w:r>
            <w:r>
              <w:rPr>
                <w:rFonts w:hint="eastAsia" w:ascii="Times New Roman" w:hAnsi="Times New Roman" w:eastAsia="宋体" w:cs="Times New Roman"/>
                <w:color w:val="auto"/>
                <w:sz w:val="24"/>
                <w:lang w:val="en-US" w:eastAsia="zh-CN"/>
              </w:rPr>
              <w:t>免费</w:t>
            </w:r>
            <w:r>
              <w:rPr>
                <w:rFonts w:hint="default" w:ascii="Times New Roman" w:hAnsi="Times New Roman" w:eastAsia="宋体" w:cs="Times New Roman"/>
                <w:color w:val="auto"/>
                <w:sz w:val="24"/>
                <w:lang w:val="en-US" w:eastAsia="zh-CN"/>
              </w:rPr>
              <w:t>检查维护</w:t>
            </w:r>
            <w:r>
              <w:rPr>
                <w:rFonts w:hint="eastAsia" w:ascii="Times New Roman" w:hAnsi="Times New Roman" w:eastAsia="宋体" w:cs="Times New Roman"/>
                <w:color w:val="auto"/>
                <w:sz w:val="24"/>
                <w:lang w:val="en-US" w:eastAsia="zh-CN"/>
              </w:rPr>
              <w:t>一次</w:t>
            </w:r>
            <w:r>
              <w:rPr>
                <w:rFonts w:hint="default" w:ascii="Times New Roman" w:hAnsi="Times New Roman" w:eastAsia="宋体" w:cs="Times New Roman"/>
                <w:color w:val="auto"/>
                <w:sz w:val="24"/>
                <w:lang w:val="en-US" w:eastAsia="zh-CN"/>
              </w:rPr>
              <w:t>得</w:t>
            </w:r>
            <w:r>
              <w:rPr>
                <w:rFonts w:hint="eastAsia"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val="en-US" w:eastAsia="zh-CN"/>
              </w:rPr>
              <w:t>分，满分</w:t>
            </w:r>
            <w:r>
              <w:rPr>
                <w:rFonts w:hint="eastAsia" w:ascii="Times New Roman" w:hAnsi="Times New Roman" w:eastAsia="宋体" w:cs="Times New Roman"/>
                <w:color w:val="auto"/>
                <w:sz w:val="24"/>
                <w:lang w:val="en-US" w:eastAsia="zh-CN"/>
              </w:rPr>
              <w:t>6</w:t>
            </w:r>
            <w:r>
              <w:rPr>
                <w:rFonts w:hint="default" w:ascii="Times New Roman" w:hAnsi="Times New Roman" w:eastAsia="宋体" w:cs="Times New Roman"/>
                <w:color w:val="auto"/>
                <w:sz w:val="24"/>
                <w:lang w:val="en-US" w:eastAsia="zh-CN"/>
              </w:rPr>
              <w:t>分</w:t>
            </w:r>
            <w:r>
              <w:rPr>
                <w:rFonts w:hint="eastAsia" w:ascii="Times New Roman" w:hAnsi="Times New Roman" w:eastAsia="宋体" w:cs="Times New Roman"/>
                <w:color w:val="auto"/>
                <w:sz w:val="24"/>
                <w:lang w:val="en-US" w:eastAsia="zh-CN"/>
              </w:rPr>
              <w:t>。（提供经销商和生产企业的相关证明材料）。</w:t>
            </w:r>
          </w:p>
        </w:tc>
        <w:tc>
          <w:tcPr>
            <w:tcW w:w="736" w:type="dxa"/>
            <w:noWrap w:val="0"/>
            <w:vAlign w:val="center"/>
          </w:tcPr>
          <w:p>
            <w:pPr>
              <w:spacing w:line="288"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1348" w:type="dxa"/>
            <w:vMerge w:val="continue"/>
            <w:noWrap w:val="0"/>
            <w:vAlign w:val="center"/>
          </w:tcPr>
          <w:p>
            <w:pPr>
              <w:spacing w:line="288" w:lineRule="auto"/>
              <w:rPr>
                <w:rFonts w:hint="eastAsia" w:ascii="Times New Roman" w:hAnsi="Times New Roman" w:eastAsia="宋体" w:cs="Times New Roman"/>
                <w:sz w:val="24"/>
                <w:lang w:val="en-US" w:eastAsia="zh-CN"/>
              </w:rPr>
            </w:pPr>
          </w:p>
        </w:tc>
        <w:tc>
          <w:tcPr>
            <w:tcW w:w="7487" w:type="dxa"/>
            <w:noWrap w:val="0"/>
            <w:vAlign w:val="center"/>
          </w:tcPr>
          <w:p>
            <w:pPr>
              <w:spacing w:line="288"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lang w:eastAsia="zh-CN"/>
              </w:rPr>
              <w:t>质保期</w:t>
            </w:r>
            <w:r>
              <w:rPr>
                <w:rFonts w:hint="eastAsia" w:ascii="Times New Roman" w:hAnsi="Times New Roman" w:eastAsia="宋体" w:cs="Times New Roman"/>
                <w:sz w:val="24"/>
                <w:lang w:val="en-US" w:eastAsia="zh-CN"/>
              </w:rPr>
              <w:t>满足招标文件要求得2分，</w:t>
            </w:r>
            <w:r>
              <w:rPr>
                <w:rFonts w:hint="eastAsia" w:ascii="Times New Roman" w:hAnsi="Times New Roman" w:eastAsia="宋体" w:cs="Times New Roman"/>
                <w:sz w:val="24"/>
                <w:lang w:eastAsia="zh-CN"/>
              </w:rPr>
              <w:t>每增加</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eastAsia="zh-CN"/>
              </w:rPr>
              <w:t>年加</w:t>
            </w: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eastAsia="zh-CN"/>
              </w:rPr>
              <w:t>分，</w:t>
            </w:r>
            <w:r>
              <w:rPr>
                <w:rFonts w:hint="eastAsia" w:ascii="Times New Roman" w:hAnsi="Times New Roman" w:eastAsia="宋体" w:cs="Times New Roman"/>
                <w:sz w:val="24"/>
                <w:lang w:val="en-US" w:eastAsia="zh-CN"/>
              </w:rPr>
              <w:t>满分6分</w:t>
            </w:r>
            <w:r>
              <w:rPr>
                <w:rFonts w:hint="eastAsia" w:ascii="Times New Roman" w:hAnsi="Times New Roman" w:eastAsia="宋体" w:cs="Times New Roman"/>
                <w:sz w:val="24"/>
                <w:lang w:eastAsia="zh-CN"/>
              </w:rPr>
              <w:t>。</w:t>
            </w:r>
          </w:p>
        </w:tc>
        <w:tc>
          <w:tcPr>
            <w:tcW w:w="736" w:type="dxa"/>
            <w:noWrap w:val="0"/>
            <w:vAlign w:val="center"/>
          </w:tcPr>
          <w:p>
            <w:pPr>
              <w:spacing w:line="288"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lang w:val="en-US" w:eastAsia="zh-CN"/>
              </w:rPr>
              <w:t>6</w:t>
            </w:r>
          </w:p>
        </w:tc>
      </w:tr>
    </w:tbl>
    <w:p>
      <w:pPr>
        <w:shd w:val="clear" w:color="auto" w:fill="auto"/>
        <w:snapToGrid w:val="0"/>
        <w:spacing w:line="400" w:lineRule="exact"/>
        <w:jc w:val="left"/>
        <w:rPr>
          <w:rFonts w:hint="eastAsia" w:ascii="宋体" w:hAnsi="宋体" w:eastAsia="宋体" w:cs="宋体"/>
          <w:color w:val="auto"/>
          <w:szCs w:val="21"/>
          <w:highlight w:val="none"/>
          <w:lang w:val="en-US" w:eastAsia="zh-CN"/>
        </w:rPr>
      </w:pP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2、供应商在评标过程中，所进行的力图影响评标结果的不符合招标规则的活动，可能导致其被取消中标资格。</w:t>
      </w:r>
    </w:p>
    <w:p>
      <w:pPr>
        <w:shd w:val="clear" w:color="auto" w:fill="auto"/>
        <w:snapToGrid w:val="0"/>
        <w:spacing w:line="400" w:lineRule="exact"/>
        <w:jc w:val="left"/>
        <w:outlineLvl w:val="2"/>
        <w:rPr>
          <w:rFonts w:hint="eastAsia" w:ascii="宋体" w:hAnsi="宋体" w:eastAsia="宋体" w:cs="宋体"/>
          <w:color w:val="auto"/>
          <w:szCs w:val="21"/>
          <w:highlight w:val="none"/>
          <w:lang w:val="en-US" w:eastAsia="zh-CN"/>
        </w:rPr>
      </w:pPr>
      <w:bookmarkStart w:id="134" w:name="_Toc32430"/>
      <w:r>
        <w:rPr>
          <w:rFonts w:hint="eastAsia" w:ascii="宋体" w:hAnsi="宋体" w:eastAsia="宋体" w:cs="宋体"/>
          <w:color w:val="auto"/>
          <w:szCs w:val="21"/>
          <w:highlight w:val="none"/>
          <w:lang w:val="en-US" w:eastAsia="zh-CN"/>
        </w:rPr>
        <w:t>3、与招标文件有重大偏离的投标文件将被拒绝。</w:t>
      </w:r>
      <w:bookmarkEnd w:id="134"/>
    </w:p>
    <w:p>
      <w:pPr>
        <w:shd w:val="clear" w:color="auto" w:fill="auto"/>
        <w:snapToGrid w:val="0"/>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w:t>
      </w:r>
      <w:r>
        <w:rPr>
          <w:rFonts w:hint="eastAsia" w:ascii="宋体" w:hAnsi="宋体" w:eastAsia="宋体" w:cs="宋体"/>
          <w:color w:val="C00000"/>
          <w:szCs w:val="21"/>
          <w:highlight w:val="none"/>
          <w:lang w:val="en-US" w:eastAsia="zh-CN"/>
        </w:rPr>
        <w:t>：报价得分=(评标基准价／评标价格)×价格权</w:t>
      </w:r>
      <w:r>
        <w:rPr>
          <w:rFonts w:hint="eastAsia" w:ascii="宋体" w:hAnsi="宋体" w:cs="宋体"/>
          <w:color w:val="C00000"/>
          <w:szCs w:val="21"/>
          <w:highlight w:val="none"/>
          <w:lang w:val="en-US" w:eastAsia="zh-CN"/>
        </w:rPr>
        <w:t>值</w:t>
      </w:r>
      <w:r>
        <w:rPr>
          <w:rFonts w:hint="eastAsia" w:ascii="宋体" w:hAnsi="宋体" w:eastAsia="宋体" w:cs="宋体"/>
          <w:color w:val="C00000"/>
          <w:szCs w:val="21"/>
          <w:highlight w:val="none"/>
          <w:lang w:val="en-US" w:eastAsia="zh-CN"/>
        </w:rPr>
        <w:t>×100</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候选人。</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5、最低报价不作为评标的唯一依据。采购人不承诺将合同授予报价最低的投标人。</w:t>
      </w:r>
    </w:p>
    <w:p>
      <w:pPr>
        <w:shd w:val="clear" w:color="auto" w:fill="auto"/>
        <w:spacing w:before="156" w:beforeLines="50" w:line="400" w:lineRule="exact"/>
        <w:jc w:val="left"/>
        <w:outlineLvl w:val="1"/>
        <w:rPr>
          <w:rFonts w:hint="eastAsia" w:ascii="宋体" w:hAnsi="宋体" w:eastAsia="宋体" w:cs="宋体"/>
          <w:color w:val="auto"/>
          <w:szCs w:val="21"/>
          <w:highlight w:val="none"/>
          <w:lang w:val="en-US" w:eastAsia="zh-CN"/>
        </w:rPr>
      </w:pPr>
      <w:bookmarkStart w:id="135" w:name="_Toc32044"/>
      <w:r>
        <w:rPr>
          <w:rFonts w:hint="eastAsia" w:ascii="宋体" w:hAnsi="宋体" w:eastAsia="宋体" w:cs="宋体"/>
          <w:color w:val="auto"/>
          <w:szCs w:val="21"/>
          <w:highlight w:val="none"/>
          <w:lang w:val="en-US" w:eastAsia="zh-CN"/>
        </w:rPr>
        <w:t>6、经评标委员会评议，认为投标报价过高、超出采购人预算的项目，可以不确立中标人，做为废标处理。</w:t>
      </w:r>
      <w:bookmarkEnd w:id="135"/>
    </w:p>
    <w:p>
      <w:pPr>
        <w:shd w:val="clear" w:color="auto" w:fill="auto"/>
        <w:spacing w:before="156" w:beforeLines="50" w:line="400" w:lineRule="exact"/>
        <w:jc w:val="center"/>
        <w:outlineLvl w:val="1"/>
        <w:rPr>
          <w:rFonts w:hint="eastAsia" w:ascii="宋体"/>
          <w:b w:val="0"/>
          <w:bCs/>
          <w:color w:val="auto"/>
          <w:sz w:val="24"/>
          <w:highlight w:val="none"/>
        </w:rPr>
      </w:pPr>
      <w:bookmarkStart w:id="136" w:name="_Toc9021"/>
      <w:r>
        <w:rPr>
          <w:rFonts w:hint="eastAsia" w:ascii="宋体"/>
          <w:b w:val="0"/>
          <w:bCs/>
          <w:color w:val="auto"/>
          <w:sz w:val="24"/>
          <w:highlight w:val="none"/>
        </w:rPr>
        <w:t>五</w:t>
      </w:r>
      <w:r>
        <w:rPr>
          <w:rFonts w:hint="eastAsia" w:ascii="宋体"/>
          <w:b w:val="0"/>
          <w:bCs/>
          <w:color w:val="auto"/>
          <w:sz w:val="24"/>
          <w:highlight w:val="none"/>
          <w:lang w:eastAsia="zh-CN"/>
        </w:rPr>
        <w:t>、</w:t>
      </w:r>
      <w:r>
        <w:rPr>
          <w:rFonts w:hint="eastAsia" w:ascii="宋体"/>
          <w:b w:val="0"/>
          <w:bCs/>
          <w:color w:val="auto"/>
          <w:sz w:val="24"/>
          <w:highlight w:val="none"/>
        </w:rPr>
        <w:t>推荐中标候选人</w:t>
      </w:r>
      <w:bookmarkEnd w:id="136"/>
    </w:p>
    <w:p>
      <w:pPr>
        <w:shd w:val="clear" w:color="auto" w:fill="auto"/>
        <w:snapToGrid w:val="0"/>
        <w:spacing w:line="400" w:lineRule="exact"/>
        <w:ind w:firstLine="420" w:firstLineChars="200"/>
        <w:outlineLvl w:val="2"/>
        <w:rPr>
          <w:rFonts w:hint="eastAsia" w:ascii="宋体"/>
          <w:b w:val="0"/>
          <w:bCs/>
          <w:color w:val="auto"/>
          <w:szCs w:val="21"/>
          <w:highlight w:val="none"/>
        </w:rPr>
      </w:pPr>
      <w:bookmarkStart w:id="137" w:name="_Toc6425"/>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bookmarkEnd w:id="137"/>
    </w:p>
    <w:p>
      <w:pPr>
        <w:shd w:val="clear" w:color="auto" w:fill="auto"/>
        <w:spacing w:line="400" w:lineRule="exact"/>
        <w:ind w:firstLine="411"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pPr>
        <w:shd w:val="clear" w:color="auto" w:fill="auto"/>
        <w:snapToGrid w:val="0"/>
        <w:spacing w:line="400" w:lineRule="exact"/>
        <w:ind w:firstLine="420" w:firstLineChars="200"/>
        <w:outlineLvl w:val="3"/>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pPr>
        <w:shd w:val="clear" w:color="auto" w:fill="auto"/>
        <w:snapToGrid w:val="0"/>
        <w:spacing w:line="400" w:lineRule="exact"/>
        <w:ind w:firstLine="420" w:firstLineChars="200"/>
        <w:outlineLvl w:val="2"/>
        <w:rPr>
          <w:rFonts w:hint="eastAsia" w:ascii="宋体" w:hAnsi="宋体" w:cs="宋体"/>
          <w:b w:val="0"/>
          <w:bCs/>
          <w:color w:val="auto"/>
          <w:szCs w:val="21"/>
          <w:highlight w:val="none"/>
        </w:rPr>
      </w:pPr>
      <w:bookmarkStart w:id="138" w:name="_Toc22861"/>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bookmarkEnd w:id="138"/>
    </w:p>
    <w:p>
      <w:pPr>
        <w:shd w:val="clear" w:color="auto" w:fill="auto"/>
        <w:snapToGrid w:val="0"/>
        <w:spacing w:line="400" w:lineRule="exact"/>
        <w:ind w:firstLine="420"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pPr>
        <w:shd w:val="clear" w:color="auto" w:fill="auto"/>
        <w:snapToGrid w:val="0"/>
        <w:spacing w:line="400" w:lineRule="exact"/>
        <w:ind w:firstLine="420" w:firstLineChars="200"/>
        <w:jc w:val="left"/>
        <w:rPr>
          <w:rFonts w:hint="eastAsia" w:ascii="宋体" w:hAnsi="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w:t>
      </w:r>
    </w:p>
    <w:p>
      <w:pPr>
        <w:shd w:val="clear" w:color="auto" w:fill="auto"/>
        <w:snapToGrid w:val="0"/>
        <w:spacing w:line="400" w:lineRule="exact"/>
        <w:jc w:val="left"/>
        <w:rPr>
          <w:rFonts w:hint="eastAsia" w:ascii="宋体" w:hAnsi="宋体" w:cs="宋体"/>
          <w:b w:val="0"/>
          <w:bCs/>
          <w:color w:val="auto"/>
          <w:szCs w:val="21"/>
          <w:highlight w:val="none"/>
        </w:rPr>
      </w:pPr>
      <w:r>
        <w:rPr>
          <w:rFonts w:hint="eastAsia" w:ascii="宋体" w:hAnsi="宋体"/>
          <w:b w:val="0"/>
          <w:bCs/>
          <w:color w:val="auto"/>
          <w:szCs w:val="21"/>
          <w:highlight w:val="none"/>
        </w:rPr>
        <w:t>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(2)投标人为本项目提供招标代理服务的；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(3)投标人与在本项目代理机构存在相互任职或工作的；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(4)投标保证金未按规定要求缴纳的；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(5)</w:t>
      </w:r>
      <w:r>
        <w:rPr>
          <w:rFonts w:hint="eastAsia" w:ascii="宋体" w:hAnsi="宋体"/>
          <w:b w:val="0"/>
          <w:bCs/>
          <w:color w:val="auto"/>
          <w:szCs w:val="21"/>
          <w:highlight w:val="none"/>
        </w:rPr>
        <w:t>评标专家无法查看并检验电子标书中相关资料的；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(6)投标人超出营业范围投标的；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(7)联合体投标未提交联合体协议的；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(8)被暂停营业的；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(9)被暂停或取消投标资格的；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(10)财产被接管或冻结的；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(11)投标人单位负责人为同一人或者存在控股、管理关系的不同单位的；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315" w:firstLineChars="150"/>
        <w:jc w:val="left"/>
        <w:textAlignment w:val="auto"/>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12</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outlineLvl w:val="3"/>
        <w:rPr>
          <w:rFonts w:hint="eastAsia" w:ascii="宋体" w:hAnsi="宋体" w:cs="宋体"/>
          <w:b w:val="0"/>
          <w:bCs/>
          <w:color w:val="auto"/>
          <w:szCs w:val="21"/>
          <w:highlight w:val="none"/>
        </w:rPr>
      </w:pPr>
      <w:r>
        <w:rPr>
          <w:rFonts w:hint="eastAsia" w:ascii="宋体" w:hAnsi="宋体" w:cs="宋体"/>
          <w:b w:val="0"/>
          <w:bCs/>
          <w:color w:val="auto"/>
          <w:szCs w:val="21"/>
          <w:highlight w:val="none"/>
        </w:rPr>
        <w:t>（13）投标人使用相同的MAC地址进行报名的；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（14）其它情形，经评标委员会委提出按无效投标处理，并经公共资源交易监督部门核准的；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（15）投标人使用相同IP地址报名的，一经发现，监管部门将进一步核实，查实后按串通投标处理；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outlineLvl w:val="3"/>
        <w:rPr>
          <w:rFonts w:hint="eastAsia" w:ascii="宋体" w:hAnsi="宋体" w:cs="宋体"/>
          <w:b w:val="0"/>
          <w:bCs/>
          <w:color w:val="auto"/>
          <w:szCs w:val="21"/>
          <w:highlight w:val="none"/>
        </w:rPr>
      </w:pPr>
      <w:r>
        <w:rPr>
          <w:rFonts w:hint="eastAsia" w:ascii="宋体" w:hAnsi="宋体" w:cs="宋体"/>
          <w:b w:val="0"/>
          <w:bCs/>
          <w:color w:val="auto"/>
          <w:szCs w:val="21"/>
          <w:highlight w:val="none"/>
        </w:rPr>
        <w:t>（16）</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outlineLvl w:val="3"/>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both"/>
        <w:textAlignment w:val="auto"/>
        <w:outlineLvl w:val="3"/>
        <w:rPr>
          <w:rFonts w:hint="eastAsia" w:ascii="Times New Roman" w:hAnsi="Times New Roman" w:eastAsia="宋体" w:cs="Times New Roman"/>
          <w:b/>
          <w:bCs/>
          <w:color w:val="auto"/>
          <w:sz w:val="32"/>
          <w:szCs w:val="40"/>
          <w:highlight w:val="none"/>
          <w:lang w:val="en-US" w:eastAsia="zh-CN"/>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bookmarkEnd w:id="119"/>
      <w:bookmarkEnd w:id="120"/>
      <w:bookmarkEnd w:id="133"/>
      <w:bookmarkStart w:id="139" w:name="OLE_LINK4"/>
    </w:p>
    <w:p>
      <w:pPr>
        <w:jc w:val="center"/>
        <w:outlineLvl w:val="9"/>
        <w:rPr>
          <w:rFonts w:hint="eastAsia" w:ascii="Times New Roman" w:hAnsi="Times New Roman" w:eastAsia="宋体" w:cs="Times New Roman"/>
          <w:b/>
          <w:bCs/>
          <w:color w:val="auto"/>
          <w:sz w:val="32"/>
          <w:szCs w:val="40"/>
          <w:highlight w:val="none"/>
          <w:lang w:val="en-US" w:eastAsia="zh-CN"/>
        </w:rPr>
      </w:pPr>
    </w:p>
    <w:p>
      <w:pPr>
        <w:pStyle w:val="25"/>
        <w:rPr>
          <w:rFonts w:hint="eastAsia" w:ascii="Times New Roman" w:hAnsi="Times New Roman" w:eastAsia="宋体" w:cs="Times New Roman"/>
          <w:b/>
          <w:bCs/>
          <w:color w:val="auto"/>
          <w:sz w:val="32"/>
          <w:szCs w:val="40"/>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bookmarkStart w:id="140" w:name="_Toc25994"/>
      <w:r>
        <w:rPr>
          <w:rFonts w:hint="eastAsia" w:ascii="宋体" w:hAnsi="宋体" w:eastAsia="宋体" w:cs="宋体"/>
          <w:b/>
          <w:bCs/>
          <w:color w:val="auto"/>
          <w:kern w:val="36"/>
          <w:sz w:val="36"/>
          <w:szCs w:val="36"/>
          <w:highlight w:val="none"/>
          <w:lang w:val="en-US" w:eastAsia="zh-CN"/>
        </w:rPr>
        <w:t>第四章 采购内容及技术要求</w:t>
      </w:r>
      <w:bookmarkEnd w:id="140"/>
    </w:p>
    <w:p>
      <w:pPr>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一、技术参数</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数量：1台 </w:t>
      </w:r>
    </w:p>
    <w:p>
      <w:pPr>
        <w:spacing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检测要求：</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检测阴离子：BrO3¯、F¯、Cl¯、Br¯、SO42-、NO3¯,PO43-等</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检测消毒副产物：二氯乙酸、三氯乙酸、亚氯酸盐、氯酸盐、溴酸盐等</w:t>
      </w:r>
      <w:r>
        <w:rPr>
          <w:rFonts w:ascii="Times New Roman" w:hAnsi="Times New Roman" w:eastAsia="宋体" w:cs="Times New Roman"/>
          <w:sz w:val="24"/>
          <w:szCs w:val="24"/>
        </w:rPr>
        <w:t xml:space="preserve">              </w:t>
      </w:r>
    </w:p>
    <w:p>
      <w:pPr>
        <w:pStyle w:val="2"/>
        <w:spacing w:line="360" w:lineRule="auto"/>
        <w:rPr>
          <w:rFonts w:ascii="Times New Roman" w:hAnsi="Times New Roman"/>
          <w:b/>
          <w:sz w:val="24"/>
          <w:szCs w:val="24"/>
          <w:u w:val="single"/>
        </w:rPr>
      </w:pPr>
      <w:r>
        <w:rPr>
          <w:rFonts w:ascii="Times New Roman" w:hAnsi="Times New Roman"/>
          <w:b/>
          <w:sz w:val="24"/>
          <w:szCs w:val="24"/>
          <w:u w:val="single"/>
        </w:rPr>
        <w:t>1.1系统要求</w:t>
      </w:r>
    </w:p>
    <w:p>
      <w:pPr>
        <w:spacing w:line="360" w:lineRule="auto"/>
        <w:rPr>
          <w:rFonts w:ascii="Times New Roman" w:hAnsi="Times New Roman" w:cs="Times New Roman"/>
          <w:sz w:val="24"/>
          <w:szCs w:val="24"/>
        </w:rPr>
      </w:pPr>
      <w:r>
        <w:rPr>
          <w:rFonts w:ascii="Times New Roman" w:hAnsi="Times New Roman" w:cs="Times New Roman"/>
          <w:sz w:val="24"/>
          <w:szCs w:val="24"/>
        </w:rPr>
        <w:t>1.1.1仪器组成：电子六通道进样阀、电导检测器2套、高压泵2套、在线脱气机、</w:t>
      </w:r>
      <w:r>
        <w:rPr>
          <w:rFonts w:hint="eastAsia" w:ascii="Times New Roman" w:hAnsi="Times New Roman" w:cs="Times New Roman"/>
          <w:sz w:val="24"/>
          <w:szCs w:val="24"/>
        </w:rPr>
        <w:t>阴离子</w:t>
      </w:r>
      <w:r>
        <w:rPr>
          <w:rFonts w:ascii="Times New Roman" w:hAnsi="Times New Roman" w:cs="Times New Roman"/>
          <w:sz w:val="24"/>
          <w:szCs w:val="24"/>
        </w:rPr>
        <w:t>抑制器1</w:t>
      </w:r>
      <w:r>
        <w:rPr>
          <w:rFonts w:hint="eastAsia" w:ascii="Times New Roman" w:hAnsi="Times New Roman" w:cs="Times New Roman"/>
          <w:sz w:val="24"/>
          <w:szCs w:val="24"/>
        </w:rPr>
        <w:t>套</w:t>
      </w:r>
      <w:r>
        <w:rPr>
          <w:rFonts w:ascii="Times New Roman" w:hAnsi="Times New Roman" w:cs="Times New Roman"/>
          <w:sz w:val="24"/>
          <w:szCs w:val="24"/>
        </w:rPr>
        <w:t>、</w:t>
      </w:r>
      <w:r>
        <w:rPr>
          <w:rFonts w:hint="eastAsia" w:ascii="Times New Roman" w:hAnsi="Times New Roman" w:cs="Times New Roman"/>
          <w:sz w:val="24"/>
          <w:szCs w:val="24"/>
          <w:lang w:eastAsia="zh-CN"/>
        </w:rPr>
        <w:t>阴</w:t>
      </w:r>
      <w:r>
        <w:rPr>
          <w:rFonts w:ascii="Times New Roman" w:hAnsi="Times New Roman" w:cs="Times New Roman"/>
          <w:sz w:val="24"/>
          <w:szCs w:val="24"/>
        </w:rPr>
        <w:t>离子分析柱及保护柱、</w:t>
      </w:r>
      <w:r>
        <w:rPr>
          <w:rFonts w:hint="eastAsia" w:ascii="Times New Roman" w:hAnsi="Times New Roman" w:cs="Times New Roman"/>
          <w:sz w:val="24"/>
          <w:szCs w:val="24"/>
        </w:rPr>
        <w:t>消毒副产物</w:t>
      </w:r>
      <w:r>
        <w:rPr>
          <w:rFonts w:ascii="Times New Roman" w:hAnsi="Times New Roman" w:cs="Times New Roman"/>
          <w:sz w:val="24"/>
          <w:szCs w:val="24"/>
        </w:rPr>
        <w:t>色谱柱及保护柱、蠕动泵、柱温箱、工作站</w:t>
      </w:r>
      <w:r>
        <w:rPr>
          <w:rFonts w:hint="eastAsia" w:ascii="Times New Roman" w:hAnsi="Times New Roman" w:cs="Times New Roman"/>
          <w:sz w:val="24"/>
          <w:szCs w:val="24"/>
        </w:rPr>
        <w:t>，</w:t>
      </w:r>
      <w:r>
        <w:rPr>
          <w:rFonts w:ascii="Times New Roman" w:hAnsi="Times New Roman" w:cs="Times New Roman"/>
          <w:sz w:val="24"/>
          <w:szCs w:val="24"/>
        </w:rPr>
        <w:t>自动进样器、</w:t>
      </w:r>
      <w:r>
        <w:rPr>
          <w:rFonts w:hint="eastAsia" w:ascii="Times New Roman" w:hAnsi="Times New Roman" w:cs="Times New Roman"/>
          <w:sz w:val="24"/>
          <w:szCs w:val="24"/>
        </w:rPr>
        <w:t>在线超滤模块、</w:t>
      </w:r>
      <w:r>
        <w:rPr>
          <w:rFonts w:ascii="Times New Roman" w:hAnsi="Times New Roman" w:cs="Times New Roman"/>
          <w:sz w:val="24"/>
          <w:szCs w:val="24"/>
        </w:rPr>
        <w:t>电脑及打印机1套</w:t>
      </w:r>
      <w:r>
        <w:rPr>
          <w:rFonts w:hint="eastAsia" w:ascii="Times New Roman" w:hAnsi="Times New Roman" w:cs="Times New Roman"/>
          <w:sz w:val="24"/>
          <w:szCs w:val="24"/>
        </w:rPr>
        <w:t>。</w:t>
      </w:r>
    </w:p>
    <w:p>
      <w:pPr>
        <w:spacing w:line="360" w:lineRule="auto"/>
        <w:rPr>
          <w:rFonts w:hint="eastAsia" w:ascii="Times New Roman" w:hAnsi="Times New Roman" w:cs="Times New Roman"/>
          <w:kern w:val="0"/>
          <w:sz w:val="24"/>
          <w:szCs w:val="24"/>
          <w:lang w:bidi="ar"/>
        </w:rPr>
      </w:pPr>
      <w:r>
        <w:rPr>
          <w:rFonts w:ascii="Times New Roman" w:hAnsi="Times New Roman" w:cs="Times New Roman"/>
          <w:sz w:val="24"/>
          <w:szCs w:val="24"/>
        </w:rPr>
        <w:t>1.1.2</w:t>
      </w:r>
      <w:r>
        <w:rPr>
          <w:rFonts w:ascii="Times New Roman" w:hAnsi="Times New Roman" w:cs="Times New Roman"/>
          <w:kern w:val="0"/>
          <w:sz w:val="24"/>
          <w:szCs w:val="24"/>
          <w:lang w:bidi="ar"/>
        </w:rPr>
        <w:t xml:space="preserve"> 一针进样，</w:t>
      </w:r>
      <w:r>
        <w:rPr>
          <w:rFonts w:hint="eastAsia" w:ascii="Times New Roman" w:hAnsi="Times New Roman" w:cs="Times New Roman"/>
          <w:kern w:val="0"/>
          <w:sz w:val="24"/>
          <w:szCs w:val="24"/>
          <w:lang w:eastAsia="zh-CN" w:bidi="ar"/>
        </w:rPr>
        <w:t>阴</w:t>
      </w:r>
      <w:r>
        <w:rPr>
          <w:rFonts w:hint="eastAsia" w:ascii="Times New Roman" w:hAnsi="Times New Roman" w:cs="Times New Roman"/>
          <w:kern w:val="0"/>
          <w:sz w:val="24"/>
          <w:szCs w:val="24"/>
          <w:lang w:bidi="ar"/>
        </w:rPr>
        <w:t>离子</w:t>
      </w:r>
      <w:r>
        <w:rPr>
          <w:rFonts w:ascii="Times New Roman" w:hAnsi="Times New Roman" w:cs="Times New Roman"/>
          <w:kern w:val="0"/>
          <w:sz w:val="24"/>
          <w:szCs w:val="24"/>
          <w:lang w:bidi="ar"/>
        </w:rPr>
        <w:t>和</w:t>
      </w:r>
      <w:r>
        <w:rPr>
          <w:rFonts w:hint="eastAsia" w:ascii="Times New Roman" w:hAnsi="Times New Roman" w:cs="Times New Roman"/>
          <w:kern w:val="0"/>
          <w:sz w:val="24"/>
          <w:szCs w:val="24"/>
          <w:lang w:bidi="ar"/>
        </w:rPr>
        <w:t>低浓度阴离子消毒副产物</w:t>
      </w:r>
      <w:r>
        <w:rPr>
          <w:rFonts w:ascii="Times New Roman" w:hAnsi="Times New Roman" w:cs="Times New Roman"/>
          <w:kern w:val="0"/>
          <w:sz w:val="24"/>
          <w:szCs w:val="24"/>
          <w:lang w:bidi="ar"/>
        </w:rPr>
        <w:t>同时分析的双通道系统。</w:t>
      </w:r>
    </w:p>
    <w:p>
      <w:pPr>
        <w:spacing w:line="360" w:lineRule="auto"/>
        <w:rPr>
          <w:rFonts w:ascii="Times New Roman" w:hAnsi="Times New Roman" w:cs="Times New Roman"/>
          <w:kern w:val="0"/>
          <w:sz w:val="24"/>
          <w:szCs w:val="24"/>
          <w:lang w:bidi="ar"/>
        </w:rPr>
      </w:pPr>
      <w:r>
        <w:rPr>
          <w:rFonts w:ascii="Times New Roman" w:hAnsi="Times New Roman" w:cs="Times New Roman"/>
          <w:kern w:val="0"/>
          <w:sz w:val="24"/>
          <w:szCs w:val="24"/>
          <w:lang w:bidi="ar"/>
        </w:rPr>
        <w:t>1.1.3 高压泵、色谱柱、检测器具有智能芯片技术，须有实物，不可采用软件虚拟功能替代。</w:t>
      </w:r>
    </w:p>
    <w:p>
      <w:pPr>
        <w:spacing w:line="360" w:lineRule="auto"/>
        <w:rPr>
          <w:rFonts w:ascii="Times New Roman" w:hAnsi="Times New Roman" w:cs="Times New Roman"/>
          <w:kern w:val="0"/>
          <w:sz w:val="24"/>
          <w:szCs w:val="24"/>
          <w:lang w:bidi="ar"/>
        </w:rPr>
      </w:pPr>
      <w:r>
        <w:rPr>
          <w:rFonts w:ascii="Times New Roman" w:hAnsi="Times New Roman" w:cs="Times New Roman"/>
          <w:kern w:val="0"/>
          <w:sz w:val="24"/>
          <w:szCs w:val="24"/>
          <w:lang w:bidi="ar"/>
        </w:rPr>
        <w:t>1.1.4可扩展兼容电化学检测器（脉冲安培检测器）和紫外检测器。</w:t>
      </w:r>
    </w:p>
    <w:p>
      <w:pPr>
        <w:spacing w:line="360" w:lineRule="auto"/>
        <w:rPr>
          <w:rFonts w:ascii="Times New Roman" w:hAnsi="Times New Roman" w:cs="Times New Roman"/>
          <w:kern w:val="0"/>
          <w:sz w:val="24"/>
          <w:szCs w:val="24"/>
          <w:lang w:bidi="ar"/>
        </w:rPr>
      </w:pPr>
      <w:r>
        <w:rPr>
          <w:rFonts w:ascii="Times New Roman" w:hAnsi="Times New Roman" w:cs="Times New Roman"/>
          <w:kern w:val="0"/>
          <w:sz w:val="24"/>
          <w:szCs w:val="24"/>
          <w:lang w:bidi="ar"/>
        </w:rPr>
        <w:t>1.1.5离子色谱流路均采用原厂PEEK/PTFE材质，须包括分析泵本身及分析泵后至六通阀、色谱柱、抑制器、检测器之间的所有管路。</w:t>
      </w:r>
    </w:p>
    <w:p>
      <w:pPr>
        <w:spacing w:line="360" w:lineRule="auto"/>
        <w:rPr>
          <w:rFonts w:ascii="Times New Roman" w:hAnsi="Times New Roman" w:cs="Times New Roman"/>
          <w:kern w:val="0"/>
          <w:sz w:val="24"/>
          <w:szCs w:val="24"/>
          <w:lang w:bidi="ar"/>
        </w:rPr>
      </w:pPr>
      <w:r>
        <w:rPr>
          <w:rFonts w:ascii="Times New Roman" w:hAnsi="Times New Roman" w:cs="Times New Roman"/>
          <w:kern w:val="0"/>
          <w:sz w:val="24"/>
          <w:szCs w:val="24"/>
          <w:lang w:bidi="ar"/>
        </w:rPr>
        <w:t>1.1.6整套系统无需使用任何辅助气体。</w:t>
      </w:r>
    </w:p>
    <w:p>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1.2工作环境</w:t>
      </w:r>
    </w:p>
    <w:p>
      <w:pPr>
        <w:spacing w:line="360" w:lineRule="auto"/>
        <w:rPr>
          <w:rFonts w:ascii="Times New Roman" w:hAnsi="Times New Roman" w:cs="Times New Roman"/>
          <w:sz w:val="24"/>
          <w:szCs w:val="24"/>
        </w:rPr>
      </w:pPr>
      <w:r>
        <w:rPr>
          <w:rFonts w:ascii="Times New Roman" w:hAnsi="Times New Roman" w:cs="Times New Roman"/>
          <w:sz w:val="24"/>
          <w:szCs w:val="24"/>
        </w:rPr>
        <w:t>1.2.1工作电压：AC 220V±10％， 50Hz</w:t>
      </w:r>
    </w:p>
    <w:p>
      <w:pPr>
        <w:spacing w:line="360" w:lineRule="auto"/>
        <w:rPr>
          <w:rFonts w:ascii="Times New Roman" w:hAnsi="Times New Roman" w:cs="Times New Roman"/>
          <w:sz w:val="24"/>
          <w:szCs w:val="24"/>
        </w:rPr>
      </w:pPr>
      <w:r>
        <w:rPr>
          <w:rFonts w:ascii="Times New Roman" w:hAnsi="Times New Roman" w:cs="Times New Roman"/>
          <w:sz w:val="24"/>
          <w:szCs w:val="24"/>
        </w:rPr>
        <w:t>1.2.2环境温度： +5 ~ +45℃</w:t>
      </w:r>
    </w:p>
    <w:p>
      <w:pPr>
        <w:spacing w:line="360" w:lineRule="auto"/>
        <w:rPr>
          <w:rFonts w:ascii="Times New Roman" w:hAnsi="Times New Roman" w:cs="Times New Roman"/>
          <w:sz w:val="24"/>
          <w:szCs w:val="24"/>
        </w:rPr>
      </w:pPr>
      <w:r>
        <w:rPr>
          <w:rFonts w:ascii="Times New Roman" w:hAnsi="Times New Roman" w:cs="Times New Roman"/>
          <w:sz w:val="24"/>
          <w:szCs w:val="24"/>
        </w:rPr>
        <w:t>1.2.3环境湿度：20%~80%</w:t>
      </w:r>
    </w:p>
    <w:p>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1.3高压泵2套</w:t>
      </w:r>
    </w:p>
    <w:p>
      <w:pPr>
        <w:spacing w:line="360" w:lineRule="auto"/>
        <w:rPr>
          <w:rFonts w:ascii="Times New Roman" w:hAnsi="Times New Roman" w:cs="Times New Roman"/>
          <w:sz w:val="24"/>
          <w:szCs w:val="24"/>
        </w:rPr>
      </w:pPr>
      <w:r>
        <w:rPr>
          <w:rFonts w:ascii="Times New Roman" w:hAnsi="Times New Roman" w:cs="Times New Roman"/>
          <w:sz w:val="24"/>
          <w:szCs w:val="24"/>
        </w:rPr>
        <w:t>1.3.1 采用化学惰性的非金属无阻尼泵头，PEEK管路</w:t>
      </w:r>
    </w:p>
    <w:p>
      <w:pPr>
        <w:spacing w:line="360" w:lineRule="auto"/>
        <w:rPr>
          <w:rFonts w:ascii="Times New Roman" w:hAnsi="Times New Roman" w:cs="Times New Roman"/>
          <w:sz w:val="24"/>
          <w:szCs w:val="24"/>
        </w:rPr>
      </w:pPr>
      <w:r>
        <w:rPr>
          <w:rFonts w:ascii="Times New Roman" w:hAnsi="Times New Roman" w:cs="Times New Roman"/>
          <w:sz w:val="24"/>
          <w:szCs w:val="24"/>
        </w:rPr>
        <w:t>1.3.2 耐压范围：</w:t>
      </w:r>
      <w:r>
        <w:rPr>
          <w:rFonts w:hint="eastAsia" w:ascii="Times New Roman" w:hAnsi="Times New Roman" w:cs="Times New Roman"/>
          <w:sz w:val="24"/>
          <w:szCs w:val="24"/>
        </w:rPr>
        <w:t>≥</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35</w:t>
      </w:r>
      <w:r>
        <w:rPr>
          <w:rFonts w:ascii="Times New Roman" w:hAnsi="Times New Roman" w:cs="Times New Roman"/>
          <w:sz w:val="24"/>
          <w:szCs w:val="24"/>
        </w:rPr>
        <w:t>Mpa</w:t>
      </w:r>
    </w:p>
    <w:p>
      <w:pPr>
        <w:spacing w:line="360" w:lineRule="auto"/>
        <w:rPr>
          <w:rFonts w:hint="eastAsia" w:ascii="Times New Roman" w:hAnsi="Times New Roman" w:cs="Times New Roman"/>
          <w:sz w:val="24"/>
          <w:szCs w:val="24"/>
        </w:rPr>
      </w:pPr>
      <w:r>
        <w:rPr>
          <w:rFonts w:ascii="Times New Roman" w:hAnsi="Times New Roman" w:cs="Times New Roman"/>
          <w:sz w:val="24"/>
          <w:szCs w:val="24"/>
        </w:rPr>
        <w:t>1.3.3流速范围：不更换泵头情况下，流速可达到0.001-19.000mL/min</w:t>
      </w:r>
      <w:r>
        <w:rPr>
          <w:rFonts w:hint="eastAsia" w:ascii="Times New Roman" w:hAnsi="Times New Roman" w:cs="Times New Roman"/>
          <w:sz w:val="24"/>
          <w:szCs w:val="24"/>
        </w:rPr>
        <w:t>，为确保系统稳定性，要求为标准配置，无需要更换泵头，必须提供制原厂彩页资料证明</w:t>
      </w:r>
    </w:p>
    <w:p>
      <w:pPr>
        <w:spacing w:line="360" w:lineRule="auto"/>
        <w:rPr>
          <w:rFonts w:ascii="Times New Roman" w:hAnsi="Times New Roman" w:cs="Times New Roman"/>
          <w:sz w:val="24"/>
          <w:szCs w:val="24"/>
        </w:rPr>
      </w:pPr>
      <w:r>
        <w:rPr>
          <w:rFonts w:ascii="Times New Roman" w:hAnsi="Times New Roman" w:cs="Times New Roman"/>
          <w:sz w:val="24"/>
          <w:szCs w:val="24"/>
        </w:rPr>
        <w:t>1.3.4 不更换泵头情况下，流速最小分度值0.001mL/min</w:t>
      </w:r>
    </w:p>
    <w:p>
      <w:pPr>
        <w:spacing w:line="360" w:lineRule="auto"/>
        <w:rPr>
          <w:rFonts w:ascii="Times New Roman" w:hAnsi="Times New Roman" w:cs="Times New Roman"/>
          <w:sz w:val="24"/>
          <w:szCs w:val="24"/>
        </w:rPr>
      </w:pPr>
      <w:r>
        <w:rPr>
          <w:rFonts w:ascii="Times New Roman" w:hAnsi="Times New Roman" w:cs="Times New Roman"/>
          <w:sz w:val="24"/>
          <w:szCs w:val="24"/>
        </w:rPr>
        <w:t>1.3.5 重现性：﹤0.1%与设定值偏差</w:t>
      </w:r>
    </w:p>
    <w:p>
      <w:pPr>
        <w:spacing w:line="360" w:lineRule="auto"/>
        <w:rPr>
          <w:rFonts w:ascii="Times New Roman" w:hAnsi="Times New Roman" w:cs="Times New Roman"/>
          <w:kern w:val="0"/>
          <w:sz w:val="24"/>
          <w:szCs w:val="24"/>
          <w:lang w:bidi="ar"/>
        </w:rPr>
      </w:pPr>
      <w:r>
        <w:rPr>
          <w:rFonts w:ascii="Times New Roman" w:hAnsi="Times New Roman" w:cs="Times New Roman"/>
          <w:sz w:val="24"/>
          <w:szCs w:val="24"/>
        </w:rPr>
        <w:t>1.3.6 需配备智能芯片，能进行流量智能优化</w:t>
      </w:r>
      <w:r>
        <w:rPr>
          <w:rFonts w:ascii="Times New Roman" w:hAnsi="Times New Roman" w:cs="Times New Roman"/>
          <w:kern w:val="0"/>
          <w:sz w:val="24"/>
          <w:szCs w:val="24"/>
          <w:lang w:bidi="ar"/>
        </w:rPr>
        <w:t>。</w:t>
      </w:r>
    </w:p>
    <w:p>
      <w:pPr>
        <w:spacing w:line="360" w:lineRule="auto"/>
        <w:rPr>
          <w:rFonts w:ascii="Times New Roman" w:hAnsi="Times New Roman" w:cs="Times New Roman"/>
          <w:sz w:val="24"/>
          <w:szCs w:val="24"/>
        </w:rPr>
      </w:pPr>
      <w:r>
        <w:rPr>
          <w:rFonts w:ascii="Times New Roman" w:hAnsi="Times New Roman" w:cs="Times New Roman"/>
          <w:sz w:val="24"/>
          <w:szCs w:val="24"/>
        </w:rPr>
        <w:t>1.3.7 需具备高压泵维护记录追踪功能</w:t>
      </w:r>
    </w:p>
    <w:p>
      <w:pPr>
        <w:spacing w:line="360" w:lineRule="auto"/>
        <w:rPr>
          <w:rFonts w:ascii="Times New Roman" w:hAnsi="Times New Roman" w:cs="Times New Roman"/>
          <w:sz w:val="24"/>
          <w:szCs w:val="24"/>
        </w:rPr>
      </w:pPr>
      <w:r>
        <w:rPr>
          <w:rFonts w:ascii="Times New Roman" w:hAnsi="Times New Roman" w:cs="Times New Roman"/>
          <w:sz w:val="24"/>
          <w:szCs w:val="24"/>
        </w:rPr>
        <w:t>1.3.8 需具备高压泵维护定时提醒功能</w:t>
      </w:r>
    </w:p>
    <w:p>
      <w:pPr>
        <w:spacing w:line="360" w:lineRule="auto"/>
        <w:rPr>
          <w:rFonts w:ascii="Times New Roman" w:hAnsi="Times New Roman" w:cs="Times New Roman"/>
          <w:sz w:val="24"/>
          <w:szCs w:val="24"/>
        </w:rPr>
      </w:pPr>
      <w:r>
        <w:rPr>
          <w:rFonts w:ascii="Times New Roman" w:hAnsi="Times New Roman" w:cs="Times New Roman"/>
          <w:sz w:val="24"/>
          <w:szCs w:val="24"/>
        </w:rPr>
        <w:t>1.3.9 支持二元高压梯度淋洗功能</w:t>
      </w:r>
    </w:p>
    <w:p>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1.4电导检测器2套</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1.4.1类型：数字信号控制处理器，全量程检测；</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1.4.2检测范围：0—14800μS/cm；</w:t>
      </w:r>
    </w:p>
    <w:p>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1.4.3线性偏差：﹤0.1%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1.4.4温度补偿： 0-5%/K，可任意调节</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1.4.5 电子噪音：＜0.2ns/cm(0—15000μS/cm)</w:t>
      </w:r>
    </w:p>
    <w:p>
      <w:pPr>
        <w:spacing w:line="360" w:lineRule="auto"/>
        <w:rPr>
          <w:rFonts w:hint="eastAsia" w:ascii="Times New Roman" w:hAnsi="Times New Roman" w:cs="Times New Roman"/>
          <w:sz w:val="24"/>
          <w:szCs w:val="24"/>
        </w:rPr>
      </w:pPr>
      <w:r>
        <w:rPr>
          <w:rFonts w:ascii="Times New Roman" w:hAnsi="Times New Roman" w:cs="Times New Roman"/>
          <w:bCs/>
          <w:sz w:val="24"/>
          <w:szCs w:val="24"/>
        </w:rPr>
        <w:t>1.4.6基线噪音：﹤0.2ns/cm</w:t>
      </w:r>
      <w:r>
        <w:rPr>
          <w:rFonts w:hint="eastAsia" w:ascii="Times New Roman" w:hAnsi="Times New Roman" w:cs="Times New Roman"/>
          <w:sz w:val="24"/>
          <w:szCs w:val="24"/>
        </w:rPr>
        <w:t>（投标时需提供该项技术参数的证明文件）</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1.4.7电导池体积：＜1µL</w:t>
      </w:r>
    </w:p>
    <w:p>
      <w:pPr>
        <w:spacing w:line="360" w:lineRule="auto"/>
        <w:rPr>
          <w:rFonts w:hint="eastAsia" w:ascii="Times New Roman" w:hAnsi="Times New Roman" w:cs="Times New Roman"/>
          <w:sz w:val="24"/>
          <w:szCs w:val="24"/>
        </w:rPr>
      </w:pPr>
      <w:r>
        <w:rPr>
          <w:rFonts w:ascii="Times New Roman" w:hAnsi="Times New Roman" w:cs="Times New Roman"/>
          <w:bCs/>
          <w:sz w:val="24"/>
          <w:szCs w:val="24"/>
        </w:rPr>
        <w:t>1.4.8温度稳定性：≤0.001℃</w:t>
      </w:r>
      <w:r>
        <w:rPr>
          <w:rFonts w:hint="eastAsia" w:ascii="Times New Roman" w:hAnsi="Times New Roman" w:cs="Times New Roman"/>
          <w:sz w:val="24"/>
          <w:szCs w:val="24"/>
        </w:rPr>
        <w:t>（投标时需提供该项技术参数的证明文件）</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1.4.9</w:t>
      </w:r>
      <w:r>
        <w:rPr>
          <w:rFonts w:ascii="Times New Roman" w:hAnsi="Times New Roman" w:cs="Times New Roman"/>
          <w:color w:val="000000"/>
          <w:sz w:val="24"/>
          <w:szCs w:val="24"/>
        </w:rPr>
        <w:t>需配备智能芯片，可以储存样本色谱图，用于软件验证或培训</w:t>
      </w:r>
    </w:p>
    <w:p>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1.5</w:t>
      </w:r>
      <w:r>
        <w:rPr>
          <w:rFonts w:hint="eastAsia" w:ascii="Times New Roman" w:hAnsi="Times New Roman" w:cs="Times New Roman"/>
          <w:b/>
          <w:bCs/>
          <w:sz w:val="24"/>
          <w:szCs w:val="24"/>
          <w:u w:val="single"/>
        </w:rPr>
        <w:t>阴离子</w:t>
      </w:r>
      <w:r>
        <w:rPr>
          <w:rFonts w:ascii="Times New Roman" w:hAnsi="Times New Roman" w:cs="Times New Roman"/>
          <w:b/>
          <w:bCs/>
          <w:sz w:val="24"/>
          <w:szCs w:val="24"/>
          <w:u w:val="single"/>
        </w:rPr>
        <w:t>抑制器1</w:t>
      </w:r>
      <w:r>
        <w:rPr>
          <w:rFonts w:hint="eastAsia" w:ascii="Times New Roman" w:hAnsi="Times New Roman" w:cs="Times New Roman"/>
          <w:b/>
          <w:bCs/>
          <w:sz w:val="24"/>
          <w:szCs w:val="24"/>
          <w:u w:val="single"/>
        </w:rPr>
        <w:t>套</w:t>
      </w:r>
    </w:p>
    <w:p>
      <w:pPr>
        <w:spacing w:line="360" w:lineRule="auto"/>
        <w:rPr>
          <w:rFonts w:ascii="Times New Roman" w:hAnsi="Times New Roman" w:cs="Times New Roman"/>
          <w:sz w:val="24"/>
          <w:szCs w:val="24"/>
        </w:rPr>
      </w:pPr>
      <w:r>
        <w:rPr>
          <w:rFonts w:ascii="Times New Roman" w:hAnsi="Times New Roman" w:cs="Times New Roman"/>
          <w:sz w:val="24"/>
          <w:szCs w:val="24"/>
        </w:rPr>
        <w:t>1.5.1自动连续化学抑制器：自动连续再生，能够降低淋洗液背景电导，具有高容量，自动清洗，低背景电导，低噪声和稳定的基线。</w:t>
      </w:r>
    </w:p>
    <w:p>
      <w:pPr>
        <w:spacing w:line="360" w:lineRule="auto"/>
        <w:rPr>
          <w:rFonts w:ascii="Times New Roman" w:hAnsi="Times New Roman" w:cs="Times New Roman"/>
          <w:sz w:val="24"/>
          <w:szCs w:val="24"/>
        </w:rPr>
      </w:pPr>
      <w:r>
        <w:rPr>
          <w:rFonts w:ascii="Times New Roman" w:hAnsi="Times New Roman" w:cs="Times New Roman"/>
          <w:sz w:val="24"/>
          <w:szCs w:val="24"/>
        </w:rPr>
        <w:t>1.5.2长寿命，10年以上保用保换（提供厂商用户承诺书加盖公章）；</w:t>
      </w:r>
      <w:r>
        <w:rPr>
          <w:rFonts w:hint="eastAsia" w:ascii="Times New Roman" w:hAnsi="Times New Roman" w:cs="Times New Roman"/>
          <w:sz w:val="24"/>
          <w:szCs w:val="24"/>
        </w:rPr>
        <w:t>膜型抑制器</w:t>
      </w:r>
      <w:r>
        <w:rPr>
          <w:rFonts w:ascii="Times New Roman" w:hAnsi="Times New Roman" w:cs="Times New Roman"/>
          <w:sz w:val="24"/>
          <w:szCs w:val="24"/>
        </w:rPr>
        <w:t>至少提供10套</w:t>
      </w:r>
      <w:r>
        <w:rPr>
          <w:rFonts w:hint="eastAsia" w:ascii="Times New Roman" w:hAnsi="Times New Roman" w:cs="Times New Roman"/>
          <w:sz w:val="24"/>
          <w:szCs w:val="24"/>
        </w:rPr>
        <w:t>以上</w:t>
      </w:r>
      <w:r>
        <w:rPr>
          <w:rFonts w:ascii="Times New Roman" w:hAnsi="Times New Roman" w:cs="Times New Roman"/>
          <w:sz w:val="24"/>
          <w:szCs w:val="24"/>
        </w:rPr>
        <w:t>备用（需在配置清单中体现</w:t>
      </w:r>
      <w:r>
        <w:rPr>
          <w:rFonts w:hint="eastAsia" w:ascii="Times New Roman" w:hAnsi="Times New Roman" w:cs="Times New Roman"/>
          <w:sz w:val="24"/>
          <w:szCs w:val="24"/>
        </w:rPr>
        <w:t>，包括货号，单价等信息</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1.5.3耐有机溶剂，可以在洗脱液中添加25%甲醇、丙酮等有机溶剂增加离子的分离效果；</w:t>
      </w:r>
    </w:p>
    <w:p>
      <w:pPr>
        <w:spacing w:line="360" w:lineRule="auto"/>
        <w:rPr>
          <w:rFonts w:ascii="Times New Roman" w:hAnsi="Times New Roman" w:cs="Times New Roman"/>
          <w:sz w:val="24"/>
          <w:szCs w:val="24"/>
        </w:rPr>
      </w:pPr>
      <w:r>
        <w:rPr>
          <w:rFonts w:ascii="Times New Roman" w:hAnsi="Times New Roman" w:cs="Times New Roman"/>
          <w:sz w:val="24"/>
          <w:szCs w:val="24"/>
        </w:rPr>
        <w:t>1.5.4耐重金属毒害，分析土壤浸取液等样品，无须去除重金属；</w:t>
      </w:r>
    </w:p>
    <w:p>
      <w:pPr>
        <w:spacing w:line="360" w:lineRule="auto"/>
        <w:rPr>
          <w:rFonts w:ascii="Times New Roman" w:hAnsi="Times New Roman" w:cs="Times New Roman"/>
          <w:sz w:val="24"/>
          <w:szCs w:val="24"/>
        </w:rPr>
      </w:pPr>
      <w:r>
        <w:rPr>
          <w:rFonts w:ascii="Times New Roman" w:hAnsi="Times New Roman" w:cs="Times New Roman"/>
          <w:sz w:val="24"/>
          <w:szCs w:val="24"/>
        </w:rPr>
        <w:t>1.5.5 配备二氧化碳抑制器，消除二氧化碳干扰。</w:t>
      </w:r>
    </w:p>
    <w:p>
      <w:pPr>
        <w:spacing w:line="360" w:lineRule="auto"/>
        <w:rPr>
          <w:rFonts w:ascii="Times New Roman" w:hAnsi="Times New Roman" w:cs="Times New Roman"/>
          <w:sz w:val="24"/>
          <w:szCs w:val="24"/>
        </w:rPr>
      </w:pPr>
      <w:r>
        <w:rPr>
          <w:rFonts w:ascii="Times New Roman" w:hAnsi="Times New Roman" w:cs="Times New Roman"/>
          <w:sz w:val="24"/>
          <w:szCs w:val="24"/>
        </w:rPr>
        <w:t>1.5.6非膜结构，抑制过程不使用电解方式,避免电解噪音的产生，无样品分析任务时无须开机润洗维护</w:t>
      </w:r>
    </w:p>
    <w:p>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1.6蠕动泵</w:t>
      </w:r>
    </w:p>
    <w:p>
      <w:pPr>
        <w:spacing w:line="360" w:lineRule="auto"/>
        <w:rPr>
          <w:rFonts w:ascii="Times New Roman" w:hAnsi="Times New Roman" w:cs="Times New Roman"/>
          <w:sz w:val="24"/>
          <w:szCs w:val="24"/>
        </w:rPr>
      </w:pPr>
      <w:r>
        <w:rPr>
          <w:rFonts w:ascii="Times New Roman" w:hAnsi="Times New Roman" w:cs="Times New Roman"/>
          <w:sz w:val="24"/>
          <w:szCs w:val="24"/>
        </w:rPr>
        <w:t>1.6.1数量：1套</w:t>
      </w:r>
    </w:p>
    <w:p>
      <w:pPr>
        <w:spacing w:line="360" w:lineRule="auto"/>
        <w:rPr>
          <w:rFonts w:ascii="Times New Roman" w:hAnsi="Times New Roman" w:cs="Times New Roman"/>
          <w:sz w:val="24"/>
          <w:szCs w:val="24"/>
        </w:rPr>
      </w:pPr>
      <w:r>
        <w:rPr>
          <w:rFonts w:ascii="Times New Roman" w:hAnsi="Times New Roman" w:cs="Times New Roman"/>
          <w:sz w:val="24"/>
          <w:szCs w:val="24"/>
        </w:rPr>
        <w:t>1.6.2类型：双通道</w:t>
      </w:r>
    </w:p>
    <w:p>
      <w:pPr>
        <w:spacing w:line="360" w:lineRule="auto"/>
        <w:rPr>
          <w:rFonts w:ascii="Times New Roman" w:hAnsi="Times New Roman" w:cs="Times New Roman"/>
          <w:b/>
          <w:sz w:val="24"/>
          <w:szCs w:val="24"/>
          <w:u w:val="single"/>
        </w:rPr>
      </w:pPr>
      <w:r>
        <w:rPr>
          <w:rFonts w:ascii="Times New Roman" w:hAnsi="Times New Roman" w:cs="Times New Roman"/>
          <w:sz w:val="24"/>
          <w:szCs w:val="24"/>
        </w:rPr>
        <w:t>1.6.3旋转速度：0-42 转/分钟，共7种调速级，每级6转/分钟</w:t>
      </w:r>
    </w:p>
    <w:p>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1.7色谱分析柱</w:t>
      </w:r>
    </w:p>
    <w:p>
      <w:pPr>
        <w:spacing w:line="360" w:lineRule="auto"/>
        <w:rPr>
          <w:rFonts w:ascii="Times New Roman" w:hAnsi="Times New Roman" w:cs="Times New Roman"/>
          <w:sz w:val="24"/>
          <w:szCs w:val="24"/>
        </w:rPr>
      </w:pPr>
      <w:r>
        <w:rPr>
          <w:rFonts w:ascii="Times New Roman" w:hAnsi="Times New Roman" w:cs="Times New Roman"/>
          <w:sz w:val="24"/>
          <w:szCs w:val="24"/>
        </w:rPr>
        <w:t>1.7.1阴离子分离柱及保护柱1套，一次进样完成BrO</w:t>
      </w:r>
      <w:r>
        <w:rPr>
          <w:rFonts w:ascii="Times New Roman" w:hAnsi="Times New Roman" w:cs="Times New Roman"/>
          <w:sz w:val="24"/>
          <w:szCs w:val="24"/>
          <w:vertAlign w:val="subscript"/>
        </w:rPr>
        <w:t>3</w:t>
      </w:r>
      <w:r>
        <w:rPr>
          <w:rFonts w:ascii="Times New Roman" w:hAnsi="Times New Roman" w:cs="Times New Roman"/>
          <w:sz w:val="24"/>
          <w:szCs w:val="24"/>
        </w:rPr>
        <w:t>¯、F¯、Cl¯、Br¯、SO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2-</w:t>
      </w:r>
      <w:r>
        <w:rPr>
          <w:rFonts w:ascii="Times New Roman" w:hAnsi="Times New Roman" w:cs="Times New Roman"/>
          <w:sz w:val="24"/>
          <w:szCs w:val="24"/>
        </w:rPr>
        <w:t>、NO</w:t>
      </w:r>
      <w:r>
        <w:rPr>
          <w:rFonts w:ascii="Times New Roman" w:hAnsi="Times New Roman" w:cs="Times New Roman"/>
          <w:sz w:val="24"/>
          <w:szCs w:val="24"/>
          <w:vertAlign w:val="subscript"/>
        </w:rPr>
        <w:t>3</w:t>
      </w:r>
      <w:r>
        <w:rPr>
          <w:rFonts w:ascii="Times New Roman" w:hAnsi="Times New Roman" w:cs="Times New Roman"/>
          <w:sz w:val="24"/>
          <w:szCs w:val="24"/>
        </w:rPr>
        <w:t>¯,PO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3-</w:t>
      </w:r>
      <w:r>
        <w:rPr>
          <w:rFonts w:ascii="Times New Roman" w:hAnsi="Times New Roman" w:cs="Times New Roman"/>
          <w:sz w:val="24"/>
          <w:szCs w:val="24"/>
        </w:rPr>
        <w:t>等阴离子分析。</w:t>
      </w:r>
    </w:p>
    <w:p>
      <w:pPr>
        <w:spacing w:line="360" w:lineRule="auto"/>
        <w:rPr>
          <w:rFonts w:ascii="Times New Roman" w:hAnsi="Times New Roman" w:cs="Times New Roman"/>
          <w:sz w:val="24"/>
          <w:szCs w:val="24"/>
        </w:rPr>
      </w:pPr>
      <w:r>
        <w:rPr>
          <w:rFonts w:ascii="Times New Roman" w:hAnsi="Times New Roman" w:cs="Times New Roman"/>
          <w:sz w:val="24"/>
          <w:szCs w:val="24"/>
        </w:rPr>
        <w:t>1.7.2</w:t>
      </w:r>
      <w:r>
        <w:rPr>
          <w:rFonts w:hint="eastAsia" w:ascii="Times New Roman" w:hAnsi="Times New Roman" w:cs="Times New Roman"/>
          <w:sz w:val="24"/>
          <w:szCs w:val="24"/>
        </w:rPr>
        <w:t>消毒副产物</w:t>
      </w:r>
      <w:r>
        <w:rPr>
          <w:rFonts w:ascii="Times New Roman" w:hAnsi="Times New Roman" w:cs="Times New Roman"/>
          <w:color w:val="000000"/>
          <w:sz w:val="24"/>
          <w:szCs w:val="24"/>
        </w:rPr>
        <w:t>离子分离柱1套及保护柱1套，完成</w:t>
      </w:r>
      <w:r>
        <w:rPr>
          <w:rFonts w:hint="eastAsia" w:ascii="Times New Roman" w:hAnsi="Times New Roman" w:cs="Times New Roman"/>
          <w:color w:val="000000"/>
          <w:sz w:val="24"/>
          <w:szCs w:val="24"/>
        </w:rPr>
        <w:t>消毒副产物等</w:t>
      </w:r>
      <w:r>
        <w:rPr>
          <w:rFonts w:ascii="Times New Roman" w:hAnsi="Times New Roman" w:cs="Times New Roman"/>
          <w:color w:val="000000"/>
          <w:sz w:val="24"/>
          <w:szCs w:val="24"/>
        </w:rPr>
        <w:t>离子的分析。</w:t>
      </w:r>
    </w:p>
    <w:p>
      <w:pPr>
        <w:pStyle w:val="2"/>
        <w:rPr>
          <w:rFonts w:hint="default"/>
          <w:color w:val="FF0000"/>
          <w:lang w:val="en-US"/>
        </w:rPr>
      </w:pPr>
      <w:r>
        <w:rPr>
          <w:rFonts w:ascii="Times New Roman" w:hAnsi="Times New Roman" w:eastAsia="宋体" w:cs="Times New Roman"/>
          <w:spacing w:val="0"/>
          <w:kern w:val="2"/>
          <w:sz w:val="24"/>
          <w:szCs w:val="24"/>
        </w:rPr>
        <w:t>1.7.</w:t>
      </w:r>
      <w:r>
        <w:rPr>
          <w:rFonts w:hint="eastAsia" w:ascii="Times New Roman" w:hAnsi="Times New Roman" w:eastAsia="宋体" w:cs="Times New Roman"/>
          <w:spacing w:val="0"/>
          <w:kern w:val="2"/>
          <w:sz w:val="24"/>
          <w:szCs w:val="24"/>
          <w:lang w:val="en-US" w:eastAsia="zh-CN"/>
        </w:rPr>
        <w:t>3</w:t>
      </w:r>
      <w:r>
        <w:rPr>
          <w:rFonts w:ascii="Times New Roman" w:hAnsi="Times New Roman" w:eastAsia="宋体" w:cs="Times New Roman"/>
          <w:spacing w:val="0"/>
          <w:kern w:val="2"/>
          <w:sz w:val="24"/>
          <w:szCs w:val="24"/>
        </w:rPr>
        <w:t>必须</w:t>
      </w:r>
      <w:r>
        <w:rPr>
          <w:rFonts w:ascii="Times New Roman" w:hAnsi="Times New Roman" w:cs="Times New Roman"/>
          <w:spacing w:val="0"/>
          <w:kern w:val="2"/>
          <w:sz w:val="24"/>
          <w:szCs w:val="24"/>
        </w:rPr>
        <w:t>含有智能芯片，即插即显示，显示序列号、建议流速、使用的次数等信息。</w:t>
      </w:r>
    </w:p>
    <w:p>
      <w:pPr>
        <w:pStyle w:val="63"/>
        <w:spacing w:line="360" w:lineRule="auto"/>
        <w:rPr>
          <w:rFonts w:ascii="Times New Roman" w:hAnsi="Times New Roman" w:cs="Times New Roman"/>
          <w:spacing w:val="0"/>
          <w:kern w:val="2"/>
          <w:sz w:val="24"/>
          <w:szCs w:val="24"/>
        </w:rPr>
      </w:pPr>
      <w:r>
        <w:rPr>
          <w:rFonts w:ascii="Times New Roman" w:hAnsi="Times New Roman" w:cs="Times New Roman"/>
          <w:sz w:val="24"/>
          <w:szCs w:val="24"/>
        </w:rPr>
        <w:t>1.7.</w:t>
      </w:r>
      <w:r>
        <w:rPr>
          <w:rFonts w:hint="eastAsia" w:ascii="Times New Roman" w:hAnsi="Times New Roman" w:cs="Times New Roman"/>
          <w:sz w:val="24"/>
          <w:szCs w:val="24"/>
          <w:lang w:val="en-US" w:eastAsia="zh-CN"/>
        </w:rPr>
        <w:t>4</w:t>
      </w:r>
      <w:r>
        <w:rPr>
          <w:rFonts w:ascii="Times New Roman" w:hAnsi="Times New Roman" w:cs="Times New Roman"/>
          <w:spacing w:val="0"/>
          <w:kern w:val="2"/>
          <w:sz w:val="24"/>
          <w:szCs w:val="24"/>
        </w:rPr>
        <w:t>需和非膜抑制器联用，具有低噪声和稳定的基线，无样品分析任务时无须开机润洗维护。</w:t>
      </w:r>
    </w:p>
    <w:p>
      <w:pPr>
        <w:pStyle w:val="63"/>
        <w:spacing w:line="360" w:lineRule="auto"/>
        <w:rPr>
          <w:rFonts w:ascii="Times New Roman" w:hAnsi="Times New Roman" w:cs="Times New Roman"/>
          <w:spacing w:val="0"/>
          <w:kern w:val="2"/>
          <w:sz w:val="24"/>
          <w:szCs w:val="24"/>
        </w:rPr>
      </w:pPr>
    </w:p>
    <w:p>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1.8柱温箱</w:t>
      </w:r>
    </w:p>
    <w:p>
      <w:pPr>
        <w:spacing w:line="360" w:lineRule="auto"/>
        <w:rPr>
          <w:rFonts w:ascii="Times New Roman" w:hAnsi="Times New Roman" w:cs="Times New Roman"/>
          <w:sz w:val="24"/>
          <w:szCs w:val="24"/>
        </w:rPr>
      </w:pPr>
      <w:r>
        <w:rPr>
          <w:rFonts w:ascii="Times New Roman" w:hAnsi="Times New Roman" w:cs="Times New Roman"/>
          <w:sz w:val="24"/>
          <w:szCs w:val="24"/>
        </w:rPr>
        <w:t>1.8.1温度控制范围：温度控制范围：室温-20℃～室温+50 ℃</w:t>
      </w:r>
    </w:p>
    <w:p>
      <w:pPr>
        <w:spacing w:line="360" w:lineRule="auto"/>
        <w:rPr>
          <w:rFonts w:ascii="Times New Roman" w:hAnsi="Times New Roman" w:cs="Times New Roman"/>
          <w:sz w:val="24"/>
          <w:szCs w:val="24"/>
        </w:rPr>
      </w:pPr>
      <w:r>
        <w:rPr>
          <w:rFonts w:ascii="Times New Roman" w:hAnsi="Times New Roman" w:cs="Times New Roman"/>
          <w:sz w:val="24"/>
          <w:szCs w:val="24"/>
        </w:rPr>
        <w:t>1.8.2稳定性：&lt;0.05℃</w:t>
      </w:r>
    </w:p>
    <w:p>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1.9在线脱气机</w:t>
      </w:r>
    </w:p>
    <w:p>
      <w:pPr>
        <w:spacing w:line="360" w:lineRule="auto"/>
        <w:rPr>
          <w:rFonts w:ascii="Times New Roman" w:hAnsi="Times New Roman" w:cs="Times New Roman"/>
          <w:sz w:val="24"/>
          <w:szCs w:val="24"/>
        </w:rPr>
      </w:pPr>
      <w:r>
        <w:rPr>
          <w:rFonts w:ascii="Times New Roman" w:hAnsi="Times New Roman" w:cs="Times New Roman"/>
          <w:sz w:val="24"/>
          <w:szCs w:val="24"/>
        </w:rPr>
        <w:t>1.9.1功能：淋洗液和样品双脱气</w:t>
      </w:r>
    </w:p>
    <w:p>
      <w:pPr>
        <w:spacing w:line="360" w:lineRule="auto"/>
        <w:rPr>
          <w:rFonts w:ascii="Times New Roman" w:hAnsi="Times New Roman" w:cs="Times New Roman"/>
          <w:sz w:val="24"/>
          <w:szCs w:val="24"/>
        </w:rPr>
      </w:pPr>
      <w:r>
        <w:rPr>
          <w:rFonts w:ascii="Times New Roman" w:hAnsi="Times New Roman" w:cs="Times New Roman"/>
          <w:sz w:val="24"/>
          <w:szCs w:val="24"/>
        </w:rPr>
        <w:t>1.9.2有机溶剂兼容性：0-100%</w:t>
      </w:r>
    </w:p>
    <w:p>
      <w:pPr>
        <w:widowControl/>
        <w:spacing w:line="360" w:lineRule="auto"/>
        <w:rPr>
          <w:rFonts w:ascii="Times New Roman" w:hAnsi="Times New Roman" w:cs="Times New Roman"/>
          <w:b/>
          <w:bCs/>
          <w:kern w:val="0"/>
          <w:sz w:val="24"/>
          <w:szCs w:val="24"/>
          <w:u w:val="single"/>
        </w:rPr>
      </w:pPr>
      <w:r>
        <w:rPr>
          <w:rFonts w:ascii="Times New Roman" w:hAnsi="Times New Roman" w:cs="Times New Roman"/>
          <w:b/>
          <w:bCs/>
          <w:kern w:val="0"/>
          <w:sz w:val="24"/>
          <w:szCs w:val="24"/>
          <w:u w:val="single"/>
        </w:rPr>
        <w:t>1.10自动进样器</w:t>
      </w:r>
    </w:p>
    <w:p>
      <w:pPr>
        <w:widowControl/>
        <w:spacing w:line="360" w:lineRule="auto"/>
        <w:rPr>
          <w:rFonts w:ascii="Times New Roman" w:hAnsi="Times New Roman" w:cs="Times New Roman"/>
          <w:kern w:val="0"/>
          <w:sz w:val="24"/>
          <w:szCs w:val="24"/>
        </w:rPr>
      </w:pPr>
      <w:r>
        <w:rPr>
          <w:rFonts w:ascii="Times New Roman" w:hAnsi="Times New Roman" w:cs="Times New Roman"/>
          <w:kern w:val="0"/>
          <w:sz w:val="24"/>
          <w:szCs w:val="24"/>
        </w:rPr>
        <w:t xml:space="preserve">1.10.1样品位：不小于140位 </w:t>
      </w:r>
    </w:p>
    <w:p>
      <w:pPr>
        <w:widowControl/>
        <w:spacing w:line="360" w:lineRule="auto"/>
        <w:rPr>
          <w:rFonts w:ascii="Times New Roman" w:hAnsi="Times New Roman" w:cs="Times New Roman"/>
          <w:kern w:val="0"/>
          <w:sz w:val="24"/>
          <w:szCs w:val="24"/>
        </w:rPr>
      </w:pPr>
      <w:r>
        <w:rPr>
          <w:rFonts w:ascii="Times New Roman" w:hAnsi="Times New Roman" w:cs="Times New Roman"/>
          <w:kern w:val="0"/>
          <w:sz w:val="24"/>
          <w:szCs w:val="24"/>
        </w:rPr>
        <w:t>1.10.2最大提升负载：30N</w:t>
      </w:r>
    </w:p>
    <w:p>
      <w:pPr>
        <w:widowControl/>
        <w:spacing w:line="360" w:lineRule="auto"/>
        <w:rPr>
          <w:rFonts w:ascii="Times New Roman" w:hAnsi="Times New Roman" w:cs="Times New Roman"/>
          <w:kern w:val="0"/>
          <w:sz w:val="24"/>
          <w:szCs w:val="24"/>
        </w:rPr>
      </w:pPr>
      <w:r>
        <w:rPr>
          <w:rFonts w:ascii="Times New Roman" w:hAnsi="Times New Roman" w:cs="Times New Roman"/>
          <w:kern w:val="0"/>
          <w:sz w:val="24"/>
          <w:szCs w:val="24"/>
        </w:rPr>
        <w:t>1.10.3提升速率：5-25mm/秒，可调节</w:t>
      </w:r>
    </w:p>
    <w:p>
      <w:pPr>
        <w:widowControl/>
        <w:spacing w:line="360" w:lineRule="auto"/>
        <w:rPr>
          <w:rFonts w:ascii="Times New Roman" w:hAnsi="Times New Roman" w:cs="Times New Roman"/>
          <w:kern w:val="0"/>
          <w:sz w:val="24"/>
          <w:szCs w:val="24"/>
        </w:rPr>
      </w:pPr>
      <w:r>
        <w:rPr>
          <w:rFonts w:ascii="Times New Roman" w:hAnsi="Times New Roman" w:cs="Times New Roman"/>
          <w:kern w:val="0"/>
          <w:sz w:val="24"/>
          <w:szCs w:val="24"/>
        </w:rPr>
        <w:t>1.10.4每次最大进样量：≥11ml，可满足在线样品预处理要求</w:t>
      </w:r>
    </w:p>
    <w:p>
      <w:pPr>
        <w:widowControl/>
        <w:spacing w:line="360" w:lineRule="auto"/>
        <w:rPr>
          <w:rFonts w:ascii="Times New Roman" w:hAnsi="Times New Roman" w:cs="Times New Roman"/>
          <w:kern w:val="0"/>
          <w:sz w:val="24"/>
          <w:szCs w:val="24"/>
        </w:rPr>
      </w:pPr>
      <w:r>
        <w:rPr>
          <w:rFonts w:ascii="Times New Roman" w:hAnsi="Times New Roman" w:cs="Times New Roman"/>
          <w:kern w:val="0"/>
          <w:sz w:val="24"/>
          <w:szCs w:val="24"/>
        </w:rPr>
        <w:t>1.10.5进样方式：蠕动泵进样</w:t>
      </w:r>
    </w:p>
    <w:p>
      <w:pPr>
        <w:widowControl/>
        <w:spacing w:line="360" w:lineRule="auto"/>
        <w:rPr>
          <w:rFonts w:ascii="Times New Roman" w:hAnsi="Times New Roman" w:cs="Times New Roman"/>
          <w:kern w:val="0"/>
          <w:sz w:val="24"/>
          <w:szCs w:val="24"/>
        </w:rPr>
      </w:pPr>
      <w:r>
        <w:rPr>
          <w:rFonts w:ascii="Times New Roman" w:hAnsi="Times New Roman" w:cs="Times New Roman"/>
          <w:kern w:val="0"/>
          <w:sz w:val="24"/>
          <w:szCs w:val="24"/>
        </w:rPr>
        <w:t>1.10.6蠕动泵转速：6-90转/分</w:t>
      </w:r>
    </w:p>
    <w:p>
      <w:pPr>
        <w:widowControl/>
        <w:spacing w:line="360" w:lineRule="auto"/>
        <w:rPr>
          <w:rFonts w:ascii="Times New Roman" w:hAnsi="Times New Roman" w:cs="Times New Roman"/>
          <w:kern w:val="0"/>
          <w:sz w:val="24"/>
          <w:szCs w:val="24"/>
        </w:rPr>
      </w:pPr>
      <w:r>
        <w:rPr>
          <w:rFonts w:ascii="Times New Roman" w:hAnsi="Times New Roman" w:cs="Times New Roman"/>
          <w:kern w:val="0"/>
          <w:sz w:val="24"/>
          <w:szCs w:val="24"/>
        </w:rPr>
        <w:t>1.10.7自动进样器针头材质必须为PEEK材料，避免引入其他离子污染。</w:t>
      </w:r>
    </w:p>
    <w:p>
      <w:pPr>
        <w:widowControl/>
        <w:spacing w:line="360" w:lineRule="auto"/>
        <w:rPr>
          <w:rFonts w:hint="eastAsia" w:ascii="Times New Roman" w:hAnsi="Times New Roman" w:cs="Times New Roman"/>
          <w:kern w:val="0"/>
          <w:sz w:val="24"/>
          <w:szCs w:val="24"/>
        </w:rPr>
      </w:pPr>
      <w:r>
        <w:rPr>
          <w:rFonts w:hint="eastAsia" w:ascii="Times New Roman" w:hAnsi="Times New Roman" w:cs="Times New Roman"/>
          <w:kern w:val="0"/>
          <w:sz w:val="24"/>
          <w:szCs w:val="24"/>
        </w:rPr>
        <w:t>1.10.8</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自动进样器具有独立清洗位，不得以样品位作为清洗位，清洗为可盛放不少于50ml的超纯水，满足高通量使用时的清洗要求，其他技术方案需要单独说明，并配详细说明，以证明其可以对进样管路和进样针进行清洗。</w:t>
      </w:r>
    </w:p>
    <w:p>
      <w:pPr>
        <w:widowControl/>
        <w:spacing w:line="360" w:lineRule="auto"/>
        <w:rPr>
          <w:rFonts w:ascii="Times New Roman" w:hAnsi="Times New Roman" w:cs="Times New Roman"/>
          <w:kern w:val="0"/>
          <w:sz w:val="24"/>
          <w:szCs w:val="24"/>
        </w:rPr>
      </w:pPr>
      <w:r>
        <w:rPr>
          <w:rFonts w:hint="eastAsia" w:ascii="Times New Roman" w:hAnsi="Times New Roman" w:cs="Times New Roman"/>
          <w:sz w:val="24"/>
          <w:szCs w:val="24"/>
        </w:rPr>
        <w:t>1.1</w:t>
      </w:r>
      <w:r>
        <w:rPr>
          <w:rFonts w:ascii="Times New Roman" w:hAnsi="Times New Roman" w:cs="Times New Roman"/>
          <w:sz w:val="24"/>
          <w:szCs w:val="24"/>
        </w:rPr>
        <w:t>0</w:t>
      </w:r>
      <w:r>
        <w:rPr>
          <w:rFonts w:hint="eastAsia" w:ascii="Times New Roman" w:hAnsi="Times New Roman" w:cs="Times New Roman"/>
          <w:sz w:val="24"/>
          <w:szCs w:val="24"/>
        </w:rPr>
        <w:t>.</w:t>
      </w:r>
      <w:r>
        <w:rPr>
          <w:rFonts w:ascii="Times New Roman" w:hAnsi="Times New Roman" w:cs="Times New Roman"/>
          <w:sz w:val="24"/>
          <w:szCs w:val="24"/>
        </w:rPr>
        <w:t>9</w:t>
      </w:r>
      <w:r>
        <w:rPr>
          <w:rFonts w:hint="eastAsia" w:ascii="Times New Roman" w:hAnsi="Times New Roman" w:cs="Times New Roman"/>
          <w:sz w:val="24"/>
          <w:szCs w:val="24"/>
        </w:rPr>
        <w:t>具备单标多点自动校正功能，可以实现一个浓度标准品绘制5个浓度水平的标准工作曲线</w:t>
      </w:r>
      <w:r>
        <w:rPr>
          <w:rFonts w:hint="eastAsia" w:ascii="Times New Roman" w:hAnsi="Times New Roman" w:cs="Times New Roman"/>
          <w:kern w:val="0"/>
          <w:sz w:val="24"/>
          <w:szCs w:val="24"/>
        </w:rPr>
        <w:t>（投标时提供完整的技术方案，包括流路图，工作流程介绍，实物照片，配置清单及其他可以证明技术成熟型的技术资料）</w:t>
      </w:r>
    </w:p>
    <w:p>
      <w:pPr>
        <w:widowControl/>
        <w:spacing w:line="360" w:lineRule="auto"/>
        <w:rPr>
          <w:rFonts w:hint="eastAsia" w:ascii="Times New Roman" w:hAnsi="Times New Roman" w:cs="Times New Roman"/>
          <w:b/>
          <w:bCs/>
          <w:kern w:val="0"/>
          <w:sz w:val="24"/>
          <w:szCs w:val="24"/>
          <w:u w:val="single"/>
        </w:rPr>
      </w:pPr>
      <w:r>
        <w:rPr>
          <w:rFonts w:ascii="Times New Roman" w:hAnsi="Times New Roman" w:cs="Times New Roman"/>
          <w:b/>
          <w:bCs/>
          <w:kern w:val="0"/>
          <w:sz w:val="24"/>
          <w:szCs w:val="24"/>
          <w:u w:val="single"/>
        </w:rPr>
        <w:t>1.1</w:t>
      </w:r>
      <w:r>
        <w:rPr>
          <w:rFonts w:hint="eastAsia" w:ascii="Times New Roman" w:hAnsi="Times New Roman" w:cs="Times New Roman"/>
          <w:b/>
          <w:bCs/>
          <w:kern w:val="0"/>
          <w:sz w:val="24"/>
          <w:szCs w:val="24"/>
          <w:u w:val="single"/>
        </w:rPr>
        <w:t>1</w:t>
      </w:r>
      <w:r>
        <w:rPr>
          <w:rFonts w:ascii="Times New Roman" w:hAnsi="Times New Roman" w:cs="Times New Roman"/>
          <w:b/>
          <w:bCs/>
          <w:kern w:val="0"/>
          <w:sz w:val="24"/>
          <w:szCs w:val="24"/>
          <w:u w:val="single"/>
        </w:rPr>
        <w:t>在线样品前处理</w:t>
      </w:r>
      <w:r>
        <w:rPr>
          <w:rFonts w:hint="eastAsia" w:ascii="Times New Roman" w:hAnsi="Times New Roman" w:cs="Times New Roman"/>
          <w:b/>
          <w:bCs/>
          <w:kern w:val="0"/>
          <w:sz w:val="24"/>
          <w:szCs w:val="24"/>
          <w:u w:val="single"/>
        </w:rPr>
        <w:t>超滤</w:t>
      </w:r>
      <w:r>
        <w:rPr>
          <w:rFonts w:ascii="Times New Roman" w:hAnsi="Times New Roman" w:cs="Times New Roman"/>
          <w:b/>
          <w:bCs/>
          <w:kern w:val="0"/>
          <w:sz w:val="24"/>
          <w:szCs w:val="24"/>
          <w:u w:val="single"/>
        </w:rPr>
        <w:t>模块</w:t>
      </w:r>
    </w:p>
    <w:p>
      <w:pPr>
        <w:widowControl/>
        <w:spacing w:line="360" w:lineRule="auto"/>
        <w:rPr>
          <w:rFonts w:ascii="Times New Roman" w:hAnsi="Times New Roman" w:cs="Times New Roman"/>
          <w:kern w:val="0"/>
          <w:sz w:val="24"/>
          <w:szCs w:val="24"/>
        </w:rPr>
      </w:pPr>
      <w:r>
        <w:rPr>
          <w:rFonts w:hint="eastAsia" w:ascii="Times New Roman" w:hAnsi="Times New Roman" w:cs="Times New Roman"/>
          <w:kern w:val="0"/>
          <w:sz w:val="24"/>
          <w:szCs w:val="24"/>
        </w:rPr>
        <w:t>1.11.1</w:t>
      </w:r>
      <w:r>
        <w:rPr>
          <w:rFonts w:ascii="Times New Roman" w:hAnsi="Times New Roman" w:cs="Times New Roman"/>
          <w:kern w:val="0"/>
          <w:sz w:val="24"/>
          <w:szCs w:val="24"/>
        </w:rPr>
        <w:t>可以实现农产品</w:t>
      </w:r>
      <w:r>
        <w:rPr>
          <w:rFonts w:hint="eastAsia" w:ascii="Times New Roman" w:hAnsi="Times New Roman" w:cs="Times New Roman"/>
          <w:kern w:val="0"/>
          <w:sz w:val="24"/>
          <w:szCs w:val="24"/>
        </w:rPr>
        <w:t>、</w:t>
      </w:r>
      <w:r>
        <w:rPr>
          <w:rFonts w:ascii="Times New Roman" w:hAnsi="Times New Roman" w:cs="Times New Roman"/>
          <w:kern w:val="0"/>
          <w:sz w:val="24"/>
          <w:szCs w:val="24"/>
        </w:rPr>
        <w:t>水样</w:t>
      </w:r>
      <w:r>
        <w:rPr>
          <w:rFonts w:hint="eastAsia" w:ascii="Times New Roman" w:hAnsi="Times New Roman" w:cs="Times New Roman"/>
          <w:kern w:val="0"/>
          <w:sz w:val="24"/>
          <w:szCs w:val="24"/>
        </w:rPr>
        <w:t>、</w:t>
      </w:r>
      <w:r>
        <w:rPr>
          <w:rFonts w:ascii="Times New Roman" w:hAnsi="Times New Roman" w:cs="Times New Roman"/>
          <w:kern w:val="0"/>
          <w:sz w:val="24"/>
          <w:szCs w:val="24"/>
        </w:rPr>
        <w:t>河水、地表水、饮用水、污水</w:t>
      </w:r>
      <w:r>
        <w:rPr>
          <w:rFonts w:hint="eastAsia" w:ascii="Times New Roman" w:hAnsi="Times New Roman" w:cs="Times New Roman"/>
          <w:kern w:val="0"/>
          <w:sz w:val="24"/>
          <w:szCs w:val="24"/>
        </w:rPr>
        <w:t>等样品的</w:t>
      </w:r>
      <w:r>
        <w:rPr>
          <w:rFonts w:ascii="Times New Roman" w:hAnsi="Times New Roman" w:cs="Times New Roman"/>
          <w:kern w:val="0"/>
          <w:sz w:val="24"/>
          <w:szCs w:val="24"/>
        </w:rPr>
        <w:t>直接进样分析</w:t>
      </w:r>
      <w:r>
        <w:rPr>
          <w:rFonts w:hint="eastAsia" w:ascii="Times New Roman" w:hAnsi="Times New Roman" w:cs="Times New Roman"/>
          <w:kern w:val="0"/>
          <w:sz w:val="24"/>
          <w:szCs w:val="24"/>
        </w:rPr>
        <w:t>（投标时提供完整的技术方案，包括流路图，工作流程介绍，实物照片，配置清单及其他可以证明技术成熟型的技术资料，并加盖印章）</w:t>
      </w:r>
    </w:p>
    <w:p>
      <w:pPr>
        <w:widowControl/>
        <w:spacing w:line="360" w:lineRule="auto"/>
        <w:rPr>
          <w:rFonts w:ascii="Times New Roman" w:hAnsi="Times New Roman" w:cs="Times New Roman"/>
          <w:kern w:val="0"/>
          <w:sz w:val="24"/>
          <w:szCs w:val="24"/>
        </w:rPr>
      </w:pPr>
      <w:r>
        <w:rPr>
          <w:rFonts w:ascii="Times New Roman" w:hAnsi="Times New Roman" w:cs="Times New Roman"/>
          <w:kern w:val="0"/>
          <w:sz w:val="24"/>
          <w:szCs w:val="24"/>
        </w:rPr>
        <w:t>1.</w:t>
      </w:r>
      <w:r>
        <w:rPr>
          <w:rFonts w:hint="eastAsia" w:ascii="Times New Roman" w:hAnsi="Times New Roman" w:cs="Times New Roman"/>
          <w:kern w:val="0"/>
          <w:sz w:val="24"/>
          <w:szCs w:val="24"/>
        </w:rPr>
        <w:t>11</w:t>
      </w:r>
      <w:r>
        <w:rPr>
          <w:rFonts w:ascii="Times New Roman" w:hAnsi="Times New Roman" w:cs="Times New Roman"/>
          <w:kern w:val="0"/>
          <w:sz w:val="24"/>
          <w:szCs w:val="24"/>
        </w:rPr>
        <w:t>.2超滤池池体积:240μL</w:t>
      </w:r>
    </w:p>
    <w:p>
      <w:pPr>
        <w:widowControl/>
        <w:spacing w:line="360" w:lineRule="auto"/>
        <w:rPr>
          <w:rFonts w:ascii="Times New Roman" w:hAnsi="Times New Roman" w:cs="Times New Roman"/>
          <w:kern w:val="0"/>
          <w:sz w:val="24"/>
          <w:szCs w:val="24"/>
        </w:rPr>
      </w:pPr>
      <w:r>
        <w:rPr>
          <w:rFonts w:ascii="Times New Roman" w:hAnsi="Times New Roman" w:cs="Times New Roman"/>
          <w:kern w:val="0"/>
          <w:sz w:val="24"/>
          <w:szCs w:val="24"/>
        </w:rPr>
        <w:t>1.</w:t>
      </w:r>
      <w:r>
        <w:rPr>
          <w:rFonts w:hint="eastAsia" w:ascii="Times New Roman" w:hAnsi="Times New Roman" w:cs="Times New Roman"/>
          <w:kern w:val="0"/>
          <w:sz w:val="24"/>
          <w:szCs w:val="24"/>
        </w:rPr>
        <w:t>11</w:t>
      </w:r>
      <w:r>
        <w:rPr>
          <w:rFonts w:ascii="Times New Roman" w:hAnsi="Times New Roman" w:cs="Times New Roman"/>
          <w:kern w:val="0"/>
          <w:sz w:val="24"/>
          <w:szCs w:val="24"/>
        </w:rPr>
        <w:t>.3处理膜孔径：≤0.2μm</w:t>
      </w:r>
    </w:p>
    <w:p>
      <w:pPr>
        <w:widowControl/>
        <w:spacing w:line="360" w:lineRule="auto"/>
        <w:rPr>
          <w:rFonts w:ascii="Times New Roman" w:hAnsi="Times New Roman" w:cs="Times New Roman"/>
          <w:kern w:val="0"/>
          <w:sz w:val="24"/>
          <w:szCs w:val="24"/>
        </w:rPr>
      </w:pPr>
      <w:r>
        <w:rPr>
          <w:rFonts w:ascii="Times New Roman" w:hAnsi="Times New Roman" w:cs="Times New Roman"/>
          <w:kern w:val="0"/>
          <w:sz w:val="24"/>
          <w:szCs w:val="24"/>
        </w:rPr>
        <w:t>1.</w:t>
      </w:r>
      <w:r>
        <w:rPr>
          <w:rFonts w:hint="eastAsia" w:ascii="Times New Roman" w:hAnsi="Times New Roman" w:cs="Times New Roman"/>
          <w:kern w:val="0"/>
          <w:sz w:val="24"/>
          <w:szCs w:val="24"/>
        </w:rPr>
        <w:t>11.</w:t>
      </w:r>
      <w:r>
        <w:rPr>
          <w:rFonts w:ascii="Times New Roman" w:hAnsi="Times New Roman" w:cs="Times New Roman"/>
          <w:kern w:val="0"/>
          <w:sz w:val="24"/>
          <w:szCs w:val="24"/>
        </w:rPr>
        <w:t>4 必须采用螺旋式样品通道，避免堵塞过滤膜</w:t>
      </w:r>
    </w:p>
    <w:p>
      <w:pPr>
        <w:widowControl/>
        <w:spacing w:line="360" w:lineRule="auto"/>
        <w:rPr>
          <w:rFonts w:hint="eastAsia" w:ascii="Times New Roman" w:hAnsi="Times New Roman" w:cs="Times New Roman"/>
          <w:kern w:val="0"/>
          <w:sz w:val="24"/>
          <w:szCs w:val="24"/>
        </w:rPr>
      </w:pPr>
      <w:r>
        <w:rPr>
          <w:rFonts w:ascii="Times New Roman" w:hAnsi="Times New Roman" w:cs="Times New Roman"/>
          <w:kern w:val="0"/>
          <w:sz w:val="24"/>
          <w:szCs w:val="24"/>
        </w:rPr>
        <w:t>1.</w:t>
      </w:r>
      <w:r>
        <w:rPr>
          <w:rFonts w:hint="eastAsia" w:ascii="Times New Roman" w:hAnsi="Times New Roman" w:cs="Times New Roman"/>
          <w:kern w:val="0"/>
          <w:sz w:val="24"/>
          <w:szCs w:val="24"/>
        </w:rPr>
        <w:t>1</w:t>
      </w:r>
      <w:r>
        <w:rPr>
          <w:rFonts w:ascii="Times New Roman" w:hAnsi="Times New Roman" w:cs="Times New Roman"/>
          <w:kern w:val="0"/>
          <w:sz w:val="24"/>
          <w:szCs w:val="24"/>
        </w:rPr>
        <w:t>1.5配备处理30,000个样品所需消耗品；如采用滤头等一次性过滤方式，需要提供对应的30,000个滤头</w:t>
      </w:r>
    </w:p>
    <w:p>
      <w:pPr>
        <w:widowControl/>
        <w:spacing w:line="360" w:lineRule="auto"/>
        <w:rPr>
          <w:rFonts w:ascii="Times New Roman" w:hAnsi="Times New Roman" w:cs="Times New Roman"/>
          <w:b/>
          <w:bCs/>
          <w:kern w:val="0"/>
          <w:sz w:val="24"/>
          <w:szCs w:val="24"/>
          <w:u w:val="single"/>
        </w:rPr>
      </w:pPr>
      <w:r>
        <w:rPr>
          <w:rFonts w:ascii="Times New Roman" w:hAnsi="Times New Roman" w:cs="Times New Roman"/>
          <w:b/>
          <w:bCs/>
          <w:kern w:val="0"/>
          <w:sz w:val="24"/>
          <w:szCs w:val="24"/>
          <w:u w:val="single"/>
        </w:rPr>
        <w:t>1.12智能化色谱工作站</w:t>
      </w:r>
    </w:p>
    <w:p>
      <w:pPr>
        <w:spacing w:line="360" w:lineRule="auto"/>
        <w:rPr>
          <w:rFonts w:ascii="Times New Roman" w:hAnsi="Times New Roman" w:cs="Times New Roman"/>
          <w:sz w:val="24"/>
          <w:szCs w:val="24"/>
        </w:rPr>
      </w:pPr>
      <w:r>
        <w:rPr>
          <w:rFonts w:ascii="Times New Roman" w:hAnsi="Times New Roman" w:cs="Times New Roman"/>
          <w:sz w:val="24"/>
          <w:szCs w:val="24"/>
        </w:rPr>
        <w:t>1.12.1功能：可自动识别所有智能组件，并读取其最佳参数信息；仪器控制和数据处理完全由软件进行；可编制分析方式和顺序、色谱图积分和分析报告。</w:t>
      </w:r>
    </w:p>
    <w:p>
      <w:pPr>
        <w:spacing w:line="360" w:lineRule="auto"/>
        <w:rPr>
          <w:rFonts w:ascii="Times New Roman" w:hAnsi="Times New Roman" w:cs="Times New Roman"/>
          <w:sz w:val="24"/>
          <w:szCs w:val="24"/>
        </w:rPr>
      </w:pPr>
      <w:r>
        <w:rPr>
          <w:rFonts w:ascii="Times New Roman" w:hAnsi="Times New Roman" w:cs="Times New Roman"/>
          <w:sz w:val="24"/>
          <w:szCs w:val="24"/>
        </w:rPr>
        <w:t>1.12.2必须具有原版中文</w:t>
      </w:r>
    </w:p>
    <w:p>
      <w:pPr>
        <w:spacing w:line="360" w:lineRule="auto"/>
        <w:rPr>
          <w:rFonts w:ascii="Times New Roman" w:hAnsi="Times New Roman" w:cs="Times New Roman"/>
          <w:sz w:val="24"/>
          <w:szCs w:val="24"/>
        </w:rPr>
      </w:pPr>
      <w:r>
        <w:rPr>
          <w:rFonts w:ascii="Times New Roman" w:hAnsi="Times New Roman" w:cs="Times New Roman"/>
          <w:sz w:val="24"/>
          <w:szCs w:val="24"/>
        </w:rPr>
        <w:t>1.12.3 软件提供免费升级服务</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2.技术服务</w:t>
      </w:r>
    </w:p>
    <w:p>
      <w:pPr>
        <w:spacing w:line="360" w:lineRule="auto"/>
        <w:rPr>
          <w:rFonts w:ascii="Times New Roman" w:hAnsi="Times New Roman" w:cs="Times New Roman"/>
          <w:sz w:val="24"/>
          <w:szCs w:val="24"/>
        </w:rPr>
      </w:pPr>
      <w:r>
        <w:rPr>
          <w:rFonts w:ascii="Times New Roman" w:hAnsi="Times New Roman" w:cs="Times New Roman"/>
          <w:sz w:val="24"/>
          <w:szCs w:val="24"/>
        </w:rPr>
        <w:t>2.1供应商必需在使用者的实验室内安装调试仪器直至用户认可仪器符合技术性能为止。</w:t>
      </w:r>
    </w:p>
    <w:p>
      <w:pPr>
        <w:spacing w:line="360" w:lineRule="auto"/>
        <w:rPr>
          <w:rFonts w:ascii="Times New Roman" w:hAnsi="Times New Roman" w:cs="Times New Roman"/>
          <w:sz w:val="24"/>
          <w:szCs w:val="24"/>
        </w:rPr>
      </w:pPr>
      <w:r>
        <w:rPr>
          <w:rFonts w:ascii="Times New Roman" w:hAnsi="Times New Roman" w:cs="Times New Roman"/>
          <w:sz w:val="24"/>
          <w:szCs w:val="24"/>
        </w:rPr>
        <w:t>2.2仪器在调试通过后必须有</w:t>
      </w:r>
      <w:r>
        <w:rPr>
          <w:rFonts w:ascii="Times New Roman" w:hAnsi="Times New Roman" w:cs="Times New Roman"/>
          <w:sz w:val="24"/>
          <w:szCs w:val="24"/>
          <w:u w:val="single"/>
        </w:rPr>
        <w:t>至少</w:t>
      </w:r>
      <w:r>
        <w:rPr>
          <w:rFonts w:hint="eastAsia" w:ascii="Times New Roman" w:hAnsi="Times New Roman" w:cs="Times New Roman"/>
          <w:sz w:val="24"/>
          <w:szCs w:val="24"/>
          <w:u w:val="single"/>
        </w:rPr>
        <w:t>24</w:t>
      </w:r>
      <w:r>
        <w:rPr>
          <w:rFonts w:ascii="Times New Roman" w:hAnsi="Times New Roman" w:cs="Times New Roman"/>
          <w:sz w:val="24"/>
          <w:szCs w:val="24"/>
          <w:u w:val="single"/>
        </w:rPr>
        <w:t>个月的保修期</w:t>
      </w:r>
      <w:r>
        <w:rPr>
          <w:rFonts w:ascii="Times New Roman" w:hAnsi="Times New Roman" w:cs="Times New Roman"/>
          <w:sz w:val="24"/>
          <w:szCs w:val="24"/>
        </w:rPr>
        <w:t>，化学抑制器10年以上质保。</w:t>
      </w:r>
    </w:p>
    <w:p>
      <w:pPr>
        <w:spacing w:line="360" w:lineRule="auto"/>
        <w:rPr>
          <w:rFonts w:ascii="Times New Roman" w:hAnsi="Times New Roman"/>
          <w:sz w:val="24"/>
          <w:szCs w:val="24"/>
        </w:rPr>
      </w:pPr>
      <w:r>
        <w:rPr>
          <w:rFonts w:ascii="Times New Roman" w:hAnsi="Times New Roman" w:cs="Times New Roman"/>
          <w:sz w:val="24"/>
          <w:szCs w:val="24"/>
        </w:rPr>
        <w:t>2.3供应商必须为买方培训两位以上技术人员，培训内容包括仪器的基本原理、操作及一般仪器维护保养知识</w:t>
      </w:r>
      <w:r>
        <w:rPr>
          <w:rFonts w:hint="eastAsia" w:ascii="Times New Roman" w:hAnsi="Times New Roman" w:cs="Times New Roman"/>
          <w:sz w:val="24"/>
          <w:szCs w:val="24"/>
        </w:rPr>
        <w:t>，</w:t>
      </w:r>
      <w:r>
        <w:rPr>
          <w:rFonts w:ascii="Times New Roman" w:hAnsi="Times New Roman"/>
          <w:sz w:val="24"/>
          <w:szCs w:val="24"/>
        </w:rPr>
        <w:t>供应商必须为买方</w:t>
      </w:r>
      <w:r>
        <w:rPr>
          <w:rFonts w:hint="eastAsia" w:ascii="Times New Roman" w:hAnsi="Times New Roman"/>
          <w:sz w:val="24"/>
          <w:szCs w:val="24"/>
        </w:rPr>
        <w:t>提供到制造商应用实验室两位免费培训名额，培训时间：2</w:t>
      </w:r>
      <w:r>
        <w:rPr>
          <w:rFonts w:ascii="Times New Roman" w:hAnsi="Times New Roman"/>
          <w:sz w:val="24"/>
          <w:szCs w:val="24"/>
        </w:rPr>
        <w:t>-3</w:t>
      </w:r>
      <w:r>
        <w:rPr>
          <w:rFonts w:hint="eastAsia" w:ascii="Times New Roman" w:hAnsi="Times New Roman"/>
          <w:sz w:val="24"/>
          <w:szCs w:val="24"/>
          <w:lang w:val="en-US" w:eastAsia="zh-CN"/>
        </w:rPr>
        <w:t>月</w:t>
      </w:r>
      <w:r>
        <w:rPr>
          <w:rFonts w:hint="eastAsia" w:ascii="Times New Roman" w:hAnsi="Times New Roman"/>
          <w:sz w:val="24"/>
          <w:szCs w:val="24"/>
        </w:rPr>
        <w:t>（免培训费，不含差旅费）</w:t>
      </w:r>
    </w:p>
    <w:p>
      <w:pPr>
        <w:spacing w:line="360" w:lineRule="auto"/>
        <w:rPr>
          <w:rFonts w:ascii="Times New Roman" w:hAnsi="Times New Roman" w:cs="Times New Roman"/>
          <w:sz w:val="24"/>
          <w:szCs w:val="24"/>
        </w:rPr>
      </w:pPr>
      <w:r>
        <w:rPr>
          <w:rFonts w:ascii="Times New Roman" w:hAnsi="Times New Roman" w:cs="Times New Roman"/>
          <w:sz w:val="24"/>
          <w:szCs w:val="24"/>
        </w:rPr>
        <w:t>2.4制造商在</w:t>
      </w:r>
      <w:r>
        <w:rPr>
          <w:rFonts w:hint="eastAsia" w:ascii="Times New Roman" w:hAnsi="Times New Roman" w:cs="Times New Roman"/>
          <w:sz w:val="24"/>
          <w:szCs w:val="24"/>
        </w:rPr>
        <w:t>疆内有常驻售后工程师（提供证明材料）</w:t>
      </w:r>
    </w:p>
    <w:p>
      <w:pPr>
        <w:spacing w:line="360" w:lineRule="auto"/>
        <w:rPr>
          <w:rFonts w:ascii="Times New Roman" w:hAnsi="Times New Roman" w:cs="Times New Roman"/>
          <w:sz w:val="24"/>
          <w:szCs w:val="24"/>
        </w:rPr>
      </w:pPr>
      <w:r>
        <w:rPr>
          <w:rFonts w:ascii="Times New Roman" w:hAnsi="Times New Roman" w:cs="Times New Roman"/>
          <w:sz w:val="24"/>
          <w:szCs w:val="24"/>
        </w:rPr>
        <w:t>2.5仪器出现故障需要维修时，供应方维修人员72小时之内赶到</w:t>
      </w:r>
    </w:p>
    <w:p>
      <w:pPr>
        <w:pStyle w:val="2"/>
        <w:spacing w:line="360" w:lineRule="auto"/>
        <w:rPr>
          <w:rFonts w:hint="eastAsia" w:ascii="Times New Roman" w:hAnsi="Times New Roman"/>
          <w:sz w:val="18"/>
          <w:szCs w:val="18"/>
        </w:rPr>
      </w:pPr>
      <w:r>
        <w:rPr>
          <w:rFonts w:ascii="Times New Roman" w:hAnsi="Times New Roman"/>
          <w:kern w:val="2"/>
          <w:sz w:val="24"/>
          <w:szCs w:val="24"/>
        </w:rPr>
        <w:t>2.6厂商提供仪器的现场安装调试并达到投标书指标要求的技术性能，并同时在现场对用户进行操作培训。如果现场安装测试指标未通过，用户有权要求退货并要求赔偿损失</w:t>
      </w:r>
      <w:r>
        <w:rPr>
          <w:rFonts w:hint="eastAsia" w:ascii="Times New Roman" w:hAnsi="Times New Roman"/>
          <w:kern w:val="2"/>
          <w:sz w:val="24"/>
          <w:szCs w:val="24"/>
        </w:rPr>
        <w:t>。</w:t>
      </w:r>
    </w:p>
    <w:p>
      <w:pPr>
        <w:pStyle w:val="2"/>
        <w:spacing w:line="360" w:lineRule="auto"/>
        <w:rPr>
          <w:rFonts w:hint="eastAsia" w:ascii="Times New Roman" w:hAnsi="Times New Roman"/>
          <w:sz w:val="18"/>
          <w:szCs w:val="18"/>
        </w:rPr>
      </w:pPr>
    </w:p>
    <w:p>
      <w:pPr>
        <w:spacing w:line="360" w:lineRule="auto"/>
        <w:rPr>
          <w:rFonts w:ascii="Times New Roman" w:hAnsi="Times New Roman" w:cs="Times New Roman"/>
          <w:sz w:val="24"/>
          <w:szCs w:val="24"/>
        </w:rPr>
      </w:pPr>
    </w:p>
    <w:p>
      <w:pPr>
        <w:spacing w:line="360" w:lineRule="auto"/>
        <w:rPr>
          <w:rFonts w:hint="eastAsia" w:ascii="Times New Roman" w:hAnsi="Times New Roman" w:cs="Times New Roman"/>
          <w:b/>
          <w:bCs/>
          <w:sz w:val="24"/>
          <w:szCs w:val="24"/>
        </w:rPr>
      </w:pPr>
    </w:p>
    <w:p>
      <w:pPr>
        <w:spacing w:line="360" w:lineRule="auto"/>
        <w:rPr>
          <w:rFonts w:hint="eastAsia" w:ascii="Times New Roman" w:hAnsi="Times New Roman" w:cs="Times New Roman"/>
          <w:b/>
          <w:bCs/>
          <w:sz w:val="24"/>
          <w:szCs w:val="24"/>
        </w:rPr>
      </w:pPr>
    </w:p>
    <w:p>
      <w:pPr>
        <w:spacing w:line="360" w:lineRule="auto"/>
        <w:rPr>
          <w:rFonts w:hint="eastAsia" w:ascii="Times New Roman" w:hAnsi="Times New Roman" w:cs="Times New Roman"/>
          <w:b/>
          <w:bCs/>
          <w:sz w:val="24"/>
          <w:szCs w:val="24"/>
        </w:rPr>
      </w:pPr>
    </w:p>
    <w:p>
      <w:pPr>
        <w:spacing w:line="240" w:lineRule="auto"/>
        <w:rPr>
          <w:rFonts w:hint="eastAsia" w:ascii="Times New Roman" w:hAnsi="Times New Roman" w:cs="Times New Roman"/>
          <w:b/>
          <w:bCs/>
          <w:sz w:val="24"/>
          <w:szCs w:val="24"/>
        </w:rPr>
      </w:pPr>
    </w:p>
    <w:p>
      <w:pPr>
        <w:spacing w:line="240" w:lineRule="auto"/>
        <w:rPr>
          <w:rFonts w:hint="eastAsia" w:ascii="Times New Roman" w:hAnsi="Times New Roman" w:cs="Times New Roman"/>
          <w:b/>
          <w:bCs/>
          <w:sz w:val="24"/>
          <w:szCs w:val="24"/>
        </w:rPr>
      </w:pPr>
    </w:p>
    <w:p>
      <w:pPr>
        <w:spacing w:line="240" w:lineRule="auto"/>
        <w:rPr>
          <w:rFonts w:hint="eastAsia" w:ascii="Times New Roman" w:hAnsi="Times New Roman" w:cs="Times New Roman"/>
          <w:b/>
          <w:bCs/>
          <w:sz w:val="24"/>
          <w:szCs w:val="24"/>
        </w:rPr>
      </w:pPr>
    </w:p>
    <w:p>
      <w:pPr>
        <w:spacing w:line="240" w:lineRule="auto"/>
        <w:rPr>
          <w:rFonts w:hint="eastAsia" w:ascii="Times New Roman" w:hAnsi="Times New Roman" w:cs="Times New Roman"/>
          <w:b/>
          <w:bCs/>
          <w:sz w:val="24"/>
          <w:szCs w:val="24"/>
        </w:rPr>
      </w:pPr>
    </w:p>
    <w:p>
      <w:pPr>
        <w:spacing w:line="240" w:lineRule="auto"/>
        <w:rPr>
          <w:rFonts w:hint="eastAsia" w:ascii="Times New Roman" w:hAnsi="Times New Roman" w:cs="Times New Roman"/>
          <w:b/>
          <w:bCs/>
          <w:sz w:val="24"/>
          <w:szCs w:val="24"/>
        </w:rPr>
      </w:pPr>
    </w:p>
    <w:p>
      <w:pPr>
        <w:spacing w:line="240" w:lineRule="auto"/>
        <w:rPr>
          <w:rFonts w:hint="eastAsia" w:ascii="Times New Roman" w:hAnsi="Times New Roman" w:cs="Times New Roman"/>
          <w:b/>
          <w:bCs/>
          <w:sz w:val="24"/>
          <w:szCs w:val="24"/>
        </w:rPr>
      </w:pPr>
    </w:p>
    <w:p>
      <w:pPr>
        <w:spacing w:line="240" w:lineRule="auto"/>
        <w:rPr>
          <w:rFonts w:hint="eastAsia" w:ascii="Times New Roman" w:hAnsi="Times New Roman" w:cs="Times New Roman"/>
          <w:b/>
          <w:bCs/>
          <w:sz w:val="24"/>
          <w:szCs w:val="24"/>
        </w:rPr>
      </w:pPr>
      <w:r>
        <w:rPr>
          <w:rFonts w:hint="eastAsia" w:ascii="Times New Roman" w:hAnsi="Times New Roman" w:cs="Times New Roman"/>
          <w:b/>
          <w:bCs/>
          <w:sz w:val="24"/>
          <w:szCs w:val="24"/>
        </w:rPr>
        <w:t>3.配置要求：</w:t>
      </w:r>
    </w:p>
    <w:tbl>
      <w:tblPr>
        <w:tblStyle w:val="27"/>
        <w:tblpPr w:leftFromText="180" w:rightFromText="180" w:vertAnchor="text" w:horzAnchor="page" w:tblpXSpec="center" w:tblpY="433"/>
        <w:tblOverlap w:val="never"/>
        <w:tblW w:w="889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97"/>
        <w:gridCol w:w="6459"/>
        <w:gridCol w:w="650"/>
        <w:gridCol w:w="437"/>
        <w:gridCol w:w="6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1" w:hRule="atLeast"/>
        </w:trPr>
        <w:tc>
          <w:tcPr>
            <w:tcW w:w="697" w:type="dxa"/>
            <w:tcBorders>
              <w:top w:val="single" w:color="000000" w:sz="8" w:space="0"/>
              <w:left w:val="single" w:color="000000" w:sz="8" w:space="0"/>
              <w:bottom w:val="single" w:color="000000" w:sz="8" w:space="0"/>
              <w:right w:val="single" w:color="000000" w:sz="8" w:space="0"/>
            </w:tcBorders>
            <w:noWrap/>
            <w:vAlign w:val="center"/>
          </w:tcPr>
          <w:p>
            <w:pPr>
              <w:spacing w:line="240" w:lineRule="auto"/>
              <w:jc w:val="center"/>
              <w:rPr>
                <w:rFonts w:hint="eastAsia" w:ascii="Times New Roman" w:hAnsi="Times New Roman" w:cs="Times New Roman"/>
                <w:sz w:val="24"/>
                <w:szCs w:val="24"/>
              </w:rPr>
            </w:pPr>
            <w:r>
              <w:rPr>
                <w:rFonts w:hint="eastAsia" w:ascii="Times New Roman" w:hAnsi="Times New Roman" w:cs="Times New Roman"/>
                <w:sz w:val="24"/>
                <w:szCs w:val="24"/>
              </w:rPr>
              <w:t>序号</w:t>
            </w:r>
          </w:p>
        </w:tc>
        <w:tc>
          <w:tcPr>
            <w:tcW w:w="6459" w:type="dxa"/>
            <w:tcBorders>
              <w:top w:val="single" w:color="000000" w:sz="8" w:space="0"/>
              <w:left w:val="single" w:color="000000" w:sz="8" w:space="0"/>
              <w:bottom w:val="single" w:color="000000" w:sz="8" w:space="0"/>
              <w:right w:val="single" w:color="000000" w:sz="8" w:space="0"/>
            </w:tcBorders>
            <w:noWrap/>
            <w:vAlign w:val="center"/>
          </w:tcPr>
          <w:p>
            <w:pPr>
              <w:spacing w:line="240" w:lineRule="auto"/>
              <w:jc w:val="center"/>
              <w:rPr>
                <w:rFonts w:hint="eastAsia" w:ascii="Times New Roman" w:hAnsi="Times New Roman" w:cs="Times New Roman"/>
                <w:sz w:val="24"/>
                <w:szCs w:val="24"/>
              </w:rPr>
            </w:pPr>
            <w:r>
              <w:rPr>
                <w:rFonts w:hint="eastAsia" w:ascii="Times New Roman" w:hAnsi="Times New Roman" w:cs="Times New Roman"/>
                <w:sz w:val="24"/>
                <w:szCs w:val="24"/>
              </w:rPr>
              <w:t>品名</w:t>
            </w:r>
          </w:p>
        </w:tc>
        <w:tc>
          <w:tcPr>
            <w:tcW w:w="650" w:type="dxa"/>
            <w:tcBorders>
              <w:top w:val="single" w:color="000000" w:sz="8" w:space="0"/>
              <w:left w:val="single" w:color="000000" w:sz="8" w:space="0"/>
              <w:bottom w:val="single" w:color="000000" w:sz="8" w:space="0"/>
              <w:right w:val="single" w:color="000000" w:sz="8" w:space="0"/>
            </w:tcBorders>
            <w:noWrap/>
            <w:vAlign w:val="center"/>
          </w:tcPr>
          <w:p>
            <w:pPr>
              <w:spacing w:line="240" w:lineRule="auto"/>
              <w:rPr>
                <w:rFonts w:hint="eastAsia" w:ascii="Times New Roman" w:hAnsi="Times New Roman" w:cs="Times New Roman"/>
                <w:sz w:val="24"/>
                <w:szCs w:val="24"/>
              </w:rPr>
            </w:pPr>
            <w:r>
              <w:rPr>
                <w:rFonts w:hint="eastAsia" w:ascii="Times New Roman" w:hAnsi="Times New Roman" w:cs="Times New Roman"/>
                <w:sz w:val="24"/>
                <w:szCs w:val="24"/>
              </w:rPr>
              <w:t>数量</w:t>
            </w:r>
          </w:p>
        </w:tc>
        <w:tc>
          <w:tcPr>
            <w:tcW w:w="437" w:type="dxa"/>
            <w:tcBorders>
              <w:top w:val="single" w:color="000000" w:sz="8" w:space="0"/>
              <w:left w:val="single" w:color="000000" w:sz="8" w:space="0"/>
              <w:bottom w:val="single" w:color="000000" w:sz="8" w:space="0"/>
              <w:right w:val="single" w:color="000000" w:sz="8" w:space="0"/>
            </w:tcBorders>
            <w:noWrap/>
            <w:vAlign w:val="center"/>
          </w:tcPr>
          <w:p>
            <w:pPr>
              <w:spacing w:line="240" w:lineRule="auto"/>
              <w:rPr>
                <w:rFonts w:hint="eastAsia" w:ascii="Times New Roman" w:hAnsi="Times New Roman" w:cs="Times New Roman"/>
                <w:sz w:val="24"/>
                <w:szCs w:val="24"/>
              </w:rPr>
            </w:pPr>
            <w:r>
              <w:rPr>
                <w:rFonts w:hint="eastAsia" w:ascii="Times New Roman" w:hAnsi="Times New Roman" w:cs="Times New Roman"/>
                <w:sz w:val="24"/>
                <w:szCs w:val="24"/>
              </w:rPr>
              <w:t>单位</w:t>
            </w:r>
          </w:p>
        </w:tc>
        <w:tc>
          <w:tcPr>
            <w:tcW w:w="655" w:type="dxa"/>
            <w:tcBorders>
              <w:top w:val="single" w:color="000000" w:sz="8" w:space="0"/>
              <w:left w:val="single" w:color="000000" w:sz="8" w:space="0"/>
              <w:bottom w:val="single" w:color="000000" w:sz="8" w:space="0"/>
              <w:right w:val="single" w:color="000000" w:sz="8" w:space="0"/>
            </w:tcBorders>
            <w:noWrap/>
            <w:vAlign w:val="center"/>
          </w:tcPr>
          <w:p>
            <w:pPr>
              <w:spacing w:line="240" w:lineRule="auto"/>
              <w:rPr>
                <w:rFonts w:hint="eastAsia" w:ascii="Times New Roman" w:hAnsi="Times New Roman" w:cs="Times New Roman"/>
                <w:sz w:val="24"/>
                <w:szCs w:val="24"/>
              </w:rPr>
            </w:pPr>
            <w:r>
              <w:rPr>
                <w:rFonts w:hint="eastAsia" w:ascii="Times New Roman" w:hAnsi="Times New Roman" w:cs="Times New Roman"/>
                <w:sz w:val="24"/>
                <w:szCs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1" w:hRule="atLeast"/>
        </w:trPr>
        <w:tc>
          <w:tcPr>
            <w:tcW w:w="69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r>
              <w:rPr>
                <w:rFonts w:hint="eastAsia" w:ascii="Times New Roman" w:hAnsi="Times New Roman" w:cs="Times New Roman"/>
                <w:sz w:val="24"/>
                <w:szCs w:val="24"/>
              </w:rPr>
              <w:t>1</w:t>
            </w:r>
          </w:p>
        </w:tc>
        <w:tc>
          <w:tcPr>
            <w:tcW w:w="6459"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rPr>
                <w:rFonts w:hint="eastAsia"/>
              </w:rPr>
            </w:pPr>
            <w:r>
              <w:rPr>
                <w:rFonts w:hint="eastAsia" w:ascii="Times New Roman" w:hAnsi="Times New Roman" w:cs="Times New Roman"/>
                <w:sz w:val="24"/>
                <w:szCs w:val="24"/>
              </w:rPr>
              <w:t>离子色谱仪主机（双通道双检测器）</w:t>
            </w:r>
          </w:p>
        </w:tc>
        <w:tc>
          <w:tcPr>
            <w:tcW w:w="650"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r>
              <w:rPr>
                <w:rFonts w:hint="eastAsia" w:ascii="Times New Roman" w:hAnsi="Times New Roman" w:cs="Times New Roman"/>
                <w:sz w:val="24"/>
                <w:szCs w:val="24"/>
              </w:rPr>
              <w:t>1</w:t>
            </w:r>
          </w:p>
        </w:tc>
        <w:tc>
          <w:tcPr>
            <w:tcW w:w="43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r>
              <w:rPr>
                <w:rFonts w:hint="eastAsia" w:ascii="Times New Roman" w:hAnsi="Times New Roman" w:cs="Times New Roman"/>
                <w:sz w:val="24"/>
                <w:szCs w:val="24"/>
              </w:rPr>
              <w:t>台</w:t>
            </w:r>
          </w:p>
        </w:tc>
        <w:tc>
          <w:tcPr>
            <w:tcW w:w="655"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1" w:hRule="atLeast"/>
        </w:trPr>
        <w:tc>
          <w:tcPr>
            <w:tcW w:w="69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r>
              <w:rPr>
                <w:rFonts w:hint="eastAsia" w:ascii="Times New Roman" w:hAnsi="Times New Roman" w:cs="Times New Roman"/>
                <w:sz w:val="24"/>
                <w:szCs w:val="24"/>
              </w:rPr>
              <w:t>2</w:t>
            </w:r>
          </w:p>
        </w:tc>
        <w:tc>
          <w:tcPr>
            <w:tcW w:w="6459"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lang w:eastAsia="zh-CN"/>
              </w:rPr>
              <w:t>阴</w:t>
            </w:r>
            <w:r>
              <w:rPr>
                <w:rFonts w:hint="eastAsia" w:ascii="Times New Roman" w:hAnsi="Times New Roman" w:cs="Times New Roman"/>
                <w:sz w:val="24"/>
                <w:szCs w:val="24"/>
              </w:rPr>
              <w:t>离子柱及</w:t>
            </w:r>
            <w:r>
              <w:rPr>
                <w:rFonts w:hint="eastAsia" w:ascii="Times New Roman" w:hAnsi="Times New Roman" w:cs="Times New Roman"/>
                <w:sz w:val="24"/>
                <w:szCs w:val="24"/>
                <w:lang w:eastAsia="zh-CN"/>
              </w:rPr>
              <w:t>阴</w:t>
            </w:r>
            <w:r>
              <w:rPr>
                <w:rFonts w:hint="eastAsia" w:ascii="Times New Roman" w:hAnsi="Times New Roman" w:cs="Times New Roman"/>
                <w:sz w:val="24"/>
                <w:szCs w:val="24"/>
              </w:rPr>
              <w:t>离子保护柱</w:t>
            </w:r>
          </w:p>
        </w:tc>
        <w:tc>
          <w:tcPr>
            <w:tcW w:w="650"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r>
              <w:rPr>
                <w:rFonts w:hint="eastAsia" w:ascii="Times New Roman" w:hAnsi="Times New Roman" w:cs="Times New Roman"/>
                <w:sz w:val="24"/>
                <w:szCs w:val="24"/>
              </w:rPr>
              <w:t>1</w:t>
            </w:r>
          </w:p>
        </w:tc>
        <w:tc>
          <w:tcPr>
            <w:tcW w:w="43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r>
              <w:rPr>
                <w:rFonts w:hint="eastAsia" w:ascii="Times New Roman" w:hAnsi="Times New Roman" w:cs="Times New Roman"/>
                <w:sz w:val="24"/>
                <w:szCs w:val="24"/>
              </w:rPr>
              <w:t>根</w:t>
            </w:r>
          </w:p>
        </w:tc>
        <w:tc>
          <w:tcPr>
            <w:tcW w:w="655"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1" w:hRule="atLeast"/>
        </w:trPr>
        <w:tc>
          <w:tcPr>
            <w:tcW w:w="69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r>
              <w:rPr>
                <w:rFonts w:hint="eastAsia" w:ascii="Times New Roman" w:hAnsi="Times New Roman" w:cs="Times New Roman"/>
                <w:sz w:val="24"/>
                <w:szCs w:val="24"/>
              </w:rPr>
              <w:t>3</w:t>
            </w:r>
          </w:p>
        </w:tc>
        <w:tc>
          <w:tcPr>
            <w:tcW w:w="6459"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消毒副产物分离柱及保护柱（可检测常规阴离子）</w:t>
            </w:r>
          </w:p>
        </w:tc>
        <w:tc>
          <w:tcPr>
            <w:tcW w:w="650"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r>
              <w:rPr>
                <w:rFonts w:hint="eastAsia" w:ascii="Times New Roman" w:hAnsi="Times New Roman" w:cs="Times New Roman"/>
                <w:sz w:val="24"/>
                <w:szCs w:val="24"/>
              </w:rPr>
              <w:t>1</w:t>
            </w:r>
          </w:p>
        </w:tc>
        <w:tc>
          <w:tcPr>
            <w:tcW w:w="43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r>
              <w:rPr>
                <w:rFonts w:hint="eastAsia" w:ascii="Times New Roman" w:hAnsi="Times New Roman" w:cs="Times New Roman"/>
                <w:sz w:val="24"/>
                <w:szCs w:val="24"/>
              </w:rPr>
              <w:t>根</w:t>
            </w:r>
          </w:p>
        </w:tc>
        <w:tc>
          <w:tcPr>
            <w:tcW w:w="655"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1" w:hRule="atLeast"/>
        </w:trPr>
        <w:tc>
          <w:tcPr>
            <w:tcW w:w="697" w:type="dxa"/>
            <w:tcBorders>
              <w:top w:val="single" w:color="000000" w:sz="8" w:space="0"/>
              <w:left w:val="single" w:color="000000" w:sz="8" w:space="0"/>
              <w:bottom w:val="single" w:color="000000" w:sz="8" w:space="0"/>
              <w:right w:val="single" w:color="000000" w:sz="8" w:space="0"/>
            </w:tcBorders>
            <w:noWrap/>
            <w:vAlign w:val="top"/>
          </w:tcPr>
          <w:p>
            <w:pPr>
              <w:spacing w:line="360" w:lineRule="auto"/>
              <w:jc w:val="center"/>
              <w:rPr>
                <w:rFonts w:hint="eastAsia" w:ascii="Times New Roman" w:hAnsi="Times New Roman" w:cs="Times New Roman"/>
                <w:sz w:val="24"/>
                <w:szCs w:val="24"/>
              </w:rPr>
            </w:pPr>
            <w:r>
              <w:rPr>
                <w:rFonts w:hint="eastAsia" w:ascii="Times New Roman" w:hAnsi="Times New Roman" w:cs="Times New Roman"/>
                <w:sz w:val="24"/>
                <w:szCs w:val="24"/>
              </w:rPr>
              <w:t>4</w:t>
            </w:r>
          </w:p>
        </w:tc>
        <w:tc>
          <w:tcPr>
            <w:tcW w:w="6459"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rPr>
              <w:t>阴离子化学抑制器与二氧化碳抑制器串联系统</w:t>
            </w:r>
          </w:p>
        </w:tc>
        <w:tc>
          <w:tcPr>
            <w:tcW w:w="650"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1</w:t>
            </w:r>
          </w:p>
        </w:tc>
        <w:tc>
          <w:tcPr>
            <w:tcW w:w="43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rPr>
              <w:t>套</w:t>
            </w:r>
          </w:p>
        </w:tc>
        <w:tc>
          <w:tcPr>
            <w:tcW w:w="655"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1" w:hRule="atLeast"/>
        </w:trPr>
        <w:tc>
          <w:tcPr>
            <w:tcW w:w="697" w:type="dxa"/>
            <w:tcBorders>
              <w:top w:val="single" w:color="000000" w:sz="8" w:space="0"/>
              <w:left w:val="single" w:color="000000" w:sz="8" w:space="0"/>
              <w:bottom w:val="single" w:color="000000" w:sz="8" w:space="0"/>
              <w:right w:val="single" w:color="000000" w:sz="8" w:space="0"/>
            </w:tcBorders>
            <w:noWrap/>
            <w:vAlign w:val="top"/>
          </w:tcPr>
          <w:p>
            <w:pPr>
              <w:spacing w:line="360" w:lineRule="auto"/>
              <w:jc w:val="center"/>
              <w:rPr>
                <w:rFonts w:hint="eastAsia" w:ascii="Times New Roman" w:hAnsi="Times New Roman" w:cs="Times New Roman"/>
                <w:sz w:val="24"/>
                <w:szCs w:val="24"/>
              </w:rPr>
            </w:pPr>
            <w:r>
              <w:rPr>
                <w:rFonts w:ascii="Times New Roman" w:hAnsi="Times New Roman" w:cs="Times New Roman"/>
                <w:sz w:val="24"/>
                <w:szCs w:val="24"/>
              </w:rPr>
              <w:t>5</w:t>
            </w:r>
          </w:p>
        </w:tc>
        <w:tc>
          <w:tcPr>
            <w:tcW w:w="6459"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rPr>
              <w:t>自动进样器</w:t>
            </w:r>
          </w:p>
        </w:tc>
        <w:tc>
          <w:tcPr>
            <w:tcW w:w="650"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rPr>
              <w:t>1</w:t>
            </w:r>
          </w:p>
        </w:tc>
        <w:tc>
          <w:tcPr>
            <w:tcW w:w="43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rPr>
              <w:t>台</w:t>
            </w:r>
          </w:p>
        </w:tc>
        <w:tc>
          <w:tcPr>
            <w:tcW w:w="655"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1" w:hRule="atLeast"/>
        </w:trPr>
        <w:tc>
          <w:tcPr>
            <w:tcW w:w="697" w:type="dxa"/>
            <w:tcBorders>
              <w:top w:val="single" w:color="000000" w:sz="8" w:space="0"/>
              <w:left w:val="single" w:color="000000" w:sz="8" w:space="0"/>
              <w:bottom w:val="single" w:color="000000" w:sz="8" w:space="0"/>
              <w:right w:val="single" w:color="000000" w:sz="8" w:space="0"/>
            </w:tcBorders>
            <w:noWrap/>
            <w:vAlign w:val="top"/>
          </w:tcPr>
          <w:p>
            <w:pPr>
              <w:spacing w:line="360" w:lineRule="auto"/>
              <w:jc w:val="center"/>
              <w:rPr>
                <w:rFonts w:hint="eastAsia" w:ascii="Times New Roman" w:hAnsi="Times New Roman" w:cs="Times New Roman"/>
                <w:sz w:val="24"/>
                <w:szCs w:val="24"/>
              </w:rPr>
            </w:pPr>
            <w:r>
              <w:rPr>
                <w:rFonts w:ascii="Times New Roman" w:hAnsi="Times New Roman" w:cs="Times New Roman"/>
                <w:sz w:val="24"/>
                <w:szCs w:val="24"/>
              </w:rPr>
              <w:t>6</w:t>
            </w:r>
          </w:p>
        </w:tc>
        <w:tc>
          <w:tcPr>
            <w:tcW w:w="6459"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rPr>
              <w:t>在线脱气机</w:t>
            </w:r>
          </w:p>
        </w:tc>
        <w:tc>
          <w:tcPr>
            <w:tcW w:w="650"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rPr>
              <w:t>1</w:t>
            </w:r>
          </w:p>
        </w:tc>
        <w:tc>
          <w:tcPr>
            <w:tcW w:w="43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rPr>
              <w:t>套</w:t>
            </w:r>
          </w:p>
        </w:tc>
        <w:tc>
          <w:tcPr>
            <w:tcW w:w="655"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1" w:hRule="atLeast"/>
        </w:trPr>
        <w:tc>
          <w:tcPr>
            <w:tcW w:w="697" w:type="dxa"/>
            <w:tcBorders>
              <w:top w:val="single" w:color="000000" w:sz="8" w:space="0"/>
              <w:left w:val="single" w:color="000000" w:sz="8" w:space="0"/>
              <w:bottom w:val="single" w:color="000000" w:sz="8" w:space="0"/>
              <w:right w:val="single" w:color="000000" w:sz="8" w:space="0"/>
            </w:tcBorders>
            <w:noWrap/>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459"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rPr>
              <w:t>软件工作站</w:t>
            </w:r>
          </w:p>
        </w:tc>
        <w:tc>
          <w:tcPr>
            <w:tcW w:w="650"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rPr>
              <w:t>1</w:t>
            </w:r>
          </w:p>
        </w:tc>
        <w:tc>
          <w:tcPr>
            <w:tcW w:w="43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rPr>
              <w:t>套</w:t>
            </w:r>
          </w:p>
        </w:tc>
        <w:tc>
          <w:tcPr>
            <w:tcW w:w="655"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1" w:hRule="atLeast"/>
        </w:trPr>
        <w:tc>
          <w:tcPr>
            <w:tcW w:w="697" w:type="dxa"/>
            <w:tcBorders>
              <w:top w:val="single" w:color="000000" w:sz="8" w:space="0"/>
              <w:left w:val="single" w:color="000000" w:sz="8" w:space="0"/>
              <w:bottom w:val="single" w:color="000000" w:sz="8" w:space="0"/>
              <w:right w:val="single" w:color="000000" w:sz="8" w:space="0"/>
            </w:tcBorders>
            <w:noWrap/>
            <w:vAlign w:val="top"/>
          </w:tcPr>
          <w:p>
            <w:pPr>
              <w:spacing w:line="360" w:lineRule="auto"/>
              <w:jc w:val="center"/>
              <w:rPr>
                <w:rFonts w:hint="eastAsia" w:ascii="Times New Roman" w:hAnsi="Times New Roman" w:cs="Times New Roman"/>
                <w:sz w:val="24"/>
                <w:szCs w:val="24"/>
              </w:rPr>
            </w:pPr>
            <w:r>
              <w:rPr>
                <w:rFonts w:ascii="Times New Roman" w:hAnsi="Times New Roman" w:cs="Times New Roman"/>
                <w:sz w:val="24"/>
                <w:szCs w:val="24"/>
              </w:rPr>
              <w:t>8</w:t>
            </w:r>
          </w:p>
        </w:tc>
        <w:tc>
          <w:tcPr>
            <w:tcW w:w="6459"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rPr>
              <w:t>定量环20µl，500µl各1个</w:t>
            </w:r>
          </w:p>
        </w:tc>
        <w:tc>
          <w:tcPr>
            <w:tcW w:w="650"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rPr>
              <w:t>1</w:t>
            </w:r>
          </w:p>
        </w:tc>
        <w:tc>
          <w:tcPr>
            <w:tcW w:w="43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rPr>
              <w:t>套</w:t>
            </w:r>
          </w:p>
        </w:tc>
        <w:tc>
          <w:tcPr>
            <w:tcW w:w="655"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1" w:hRule="atLeast"/>
        </w:trPr>
        <w:tc>
          <w:tcPr>
            <w:tcW w:w="69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r>
              <w:rPr>
                <w:rFonts w:ascii="Times New Roman" w:hAnsi="Times New Roman" w:cs="Times New Roman"/>
                <w:sz w:val="24"/>
                <w:szCs w:val="24"/>
              </w:rPr>
              <w:t>9</w:t>
            </w:r>
          </w:p>
        </w:tc>
        <w:tc>
          <w:tcPr>
            <w:tcW w:w="6459"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rPr>
              <w:t>蠕动泵</w:t>
            </w:r>
          </w:p>
        </w:tc>
        <w:tc>
          <w:tcPr>
            <w:tcW w:w="650"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1</w:t>
            </w:r>
          </w:p>
        </w:tc>
        <w:tc>
          <w:tcPr>
            <w:tcW w:w="43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rPr>
              <w:t>个</w:t>
            </w:r>
          </w:p>
        </w:tc>
        <w:tc>
          <w:tcPr>
            <w:tcW w:w="655"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9" w:hRule="atLeast"/>
        </w:trPr>
        <w:tc>
          <w:tcPr>
            <w:tcW w:w="69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0</w:t>
            </w:r>
          </w:p>
        </w:tc>
        <w:tc>
          <w:tcPr>
            <w:tcW w:w="6459"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rPr>
              <w:t>在线超滤模块</w:t>
            </w:r>
          </w:p>
        </w:tc>
        <w:tc>
          <w:tcPr>
            <w:tcW w:w="650"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rPr>
              <w:t>1</w:t>
            </w:r>
          </w:p>
        </w:tc>
        <w:tc>
          <w:tcPr>
            <w:tcW w:w="43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rPr>
              <w:t>套</w:t>
            </w:r>
          </w:p>
        </w:tc>
        <w:tc>
          <w:tcPr>
            <w:tcW w:w="655"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color w:val="FF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1" w:hRule="atLeast"/>
        </w:trPr>
        <w:tc>
          <w:tcPr>
            <w:tcW w:w="69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r>
              <w:rPr>
                <w:rFonts w:ascii="Times New Roman" w:hAnsi="Times New Roman" w:cs="Times New Roman"/>
                <w:sz w:val="24"/>
                <w:szCs w:val="24"/>
              </w:rPr>
              <w:t>11</w:t>
            </w:r>
          </w:p>
        </w:tc>
        <w:tc>
          <w:tcPr>
            <w:tcW w:w="6459"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cs="Times New Roman"/>
                <w:sz w:val="24"/>
                <w:szCs w:val="24"/>
                <w:highlight w:val="none"/>
              </w:rPr>
              <w:t>工作站（品牌商用机，Windows10中文操作系统，64位，CUP酷睿I7，集成显卡，内存8G，独立网卡，带一个COM口，硬盘1T，27寸液晶显示器（IPS、无边框、2K），品牌激光打印复印一体机(黑白</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正常模式，</w:t>
            </w:r>
            <w:r>
              <w:rPr>
                <w:rFonts w:ascii="Times New Roman" w:hAnsi="Times New Roman" w:cs="Times New Roman"/>
                <w:sz w:val="24"/>
                <w:szCs w:val="24"/>
                <w:highlight w:val="none"/>
              </w:rPr>
              <w:t>A4)</w:t>
            </w:r>
            <w:r>
              <w:rPr>
                <w:rFonts w:hint="eastAsia" w:ascii="Times New Roman" w:hAnsi="Times New Roman" w:cs="Times New Roman"/>
                <w:sz w:val="24"/>
                <w:szCs w:val="24"/>
                <w:highlight w:val="none"/>
              </w:rPr>
              <w:t>：高达</w:t>
            </w:r>
            <w:r>
              <w:rPr>
                <w:rFonts w:ascii="Times New Roman" w:hAnsi="Times New Roman" w:cs="Times New Roman"/>
                <w:sz w:val="24"/>
                <w:szCs w:val="24"/>
                <w:highlight w:val="none"/>
              </w:rPr>
              <w:t>22</w:t>
            </w:r>
            <w:r>
              <w:rPr>
                <w:rFonts w:hint="eastAsia" w:ascii="Times New Roman" w:hAnsi="Times New Roman" w:cs="Times New Roman"/>
                <w:sz w:val="24"/>
                <w:szCs w:val="24"/>
                <w:highlight w:val="none"/>
              </w:rPr>
              <w:t>页</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分钟，黑白</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正常模式，</w:t>
            </w:r>
            <w:r>
              <w:rPr>
                <w:rFonts w:ascii="Times New Roman" w:hAnsi="Times New Roman" w:cs="Times New Roman"/>
                <w:sz w:val="24"/>
                <w:szCs w:val="24"/>
                <w:highlight w:val="none"/>
              </w:rPr>
              <w:t>letter)</w:t>
            </w:r>
            <w:r>
              <w:rPr>
                <w:rFonts w:hint="eastAsia" w:ascii="Times New Roman" w:hAnsi="Times New Roman" w:cs="Times New Roman"/>
                <w:sz w:val="24"/>
                <w:szCs w:val="24"/>
                <w:highlight w:val="none"/>
              </w:rPr>
              <w:t>：高达</w:t>
            </w:r>
            <w:r>
              <w:rPr>
                <w:rFonts w:ascii="Times New Roman" w:hAnsi="Times New Roman" w:cs="Times New Roman"/>
                <w:sz w:val="24"/>
                <w:szCs w:val="24"/>
                <w:highlight w:val="none"/>
              </w:rPr>
              <w:t>22</w:t>
            </w:r>
            <w:r>
              <w:rPr>
                <w:rFonts w:hint="eastAsia" w:ascii="Times New Roman" w:hAnsi="Times New Roman" w:cs="Times New Roman"/>
                <w:sz w:val="24"/>
                <w:szCs w:val="24"/>
                <w:highlight w:val="none"/>
              </w:rPr>
              <w:t>页</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分钟，黑白</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正常模式，</w:t>
            </w:r>
            <w:r>
              <w:rPr>
                <w:rFonts w:ascii="Times New Roman" w:hAnsi="Times New Roman" w:cs="Times New Roman"/>
                <w:sz w:val="24"/>
                <w:szCs w:val="24"/>
                <w:highlight w:val="none"/>
              </w:rPr>
              <w:t>A3)</w:t>
            </w:r>
            <w:r>
              <w:rPr>
                <w:rFonts w:hint="eastAsia" w:ascii="Times New Roman" w:hAnsi="Times New Roman" w:cs="Times New Roman"/>
                <w:sz w:val="24"/>
                <w:szCs w:val="24"/>
                <w:highlight w:val="none"/>
              </w:rPr>
              <w:t>：高达</w:t>
            </w:r>
            <w:r>
              <w:rPr>
                <w:rFonts w:ascii="Times New Roman" w:hAnsi="Times New Roman" w:cs="Times New Roman"/>
                <w:sz w:val="24"/>
                <w:szCs w:val="24"/>
                <w:highlight w:val="none"/>
              </w:rPr>
              <w:t>12</w:t>
            </w:r>
            <w:r>
              <w:rPr>
                <w:rFonts w:hint="eastAsia" w:ascii="Times New Roman" w:hAnsi="Times New Roman" w:cs="Times New Roman"/>
                <w:sz w:val="24"/>
                <w:szCs w:val="24"/>
                <w:highlight w:val="none"/>
              </w:rPr>
              <w:t>页</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分钟</w:t>
            </w:r>
            <w:r>
              <w:rPr>
                <w:rFonts w:hint="eastAsia" w:ascii="宋体" w:hAnsi="宋体" w:cs="宋体"/>
                <w:kern w:val="0"/>
                <w:sz w:val="24"/>
                <w:szCs w:val="24"/>
                <w:highlight w:val="none"/>
              </w:rPr>
              <w:t>）；打印分辨率：</w:t>
            </w:r>
            <w:r>
              <w:rPr>
                <w:rFonts w:ascii="Helvetica" w:hAnsi="Helvetica" w:cs="Helvetica"/>
                <w:color w:val="040F29"/>
                <w:sz w:val="20"/>
                <w:szCs w:val="20"/>
                <w:highlight w:val="none"/>
                <w:shd w:val="clear" w:color="auto" w:fill="FFFFFF"/>
              </w:rPr>
              <w:t xml:space="preserve"> 1200×1200dpi</w:t>
            </w:r>
            <w:r>
              <w:rPr>
                <w:rFonts w:hint="eastAsia" w:ascii="Helvetica" w:hAnsi="Helvetica" w:cs="Helvetica"/>
                <w:color w:val="040F29"/>
                <w:sz w:val="20"/>
                <w:szCs w:val="20"/>
                <w:highlight w:val="none"/>
                <w:shd w:val="clear" w:color="auto" w:fill="FFFFFF"/>
              </w:rPr>
              <w:t>。</w:t>
            </w:r>
            <w:r>
              <w:rPr>
                <w:rFonts w:hint="eastAsia" w:ascii="Times New Roman" w:hAnsi="Times New Roman" w:cs="Times New Roman"/>
                <w:sz w:val="24"/>
                <w:szCs w:val="24"/>
                <w:highlight w:val="none"/>
              </w:rPr>
              <w:t>）</w:t>
            </w:r>
          </w:p>
        </w:tc>
        <w:tc>
          <w:tcPr>
            <w:tcW w:w="650"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cs="Times New Roman"/>
                <w:sz w:val="24"/>
                <w:szCs w:val="24"/>
                <w:highlight w:val="none"/>
              </w:rPr>
              <w:t>1</w:t>
            </w:r>
          </w:p>
        </w:tc>
        <w:tc>
          <w:tcPr>
            <w:tcW w:w="43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rPr>
              <w:t>套</w:t>
            </w:r>
          </w:p>
        </w:tc>
        <w:tc>
          <w:tcPr>
            <w:tcW w:w="655"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1" w:hRule="atLeast"/>
        </w:trPr>
        <w:tc>
          <w:tcPr>
            <w:tcW w:w="69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12</w:t>
            </w:r>
          </w:p>
        </w:tc>
        <w:tc>
          <w:tcPr>
            <w:tcW w:w="6459"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cs="Times New Roman"/>
                <w:sz w:val="24"/>
                <w:szCs w:val="24"/>
                <w:highlight w:val="none"/>
                <w:lang w:val="en-US" w:eastAsia="zh-CN"/>
              </w:rPr>
              <w:t>工作用品牌</w:t>
            </w:r>
            <w:r>
              <w:rPr>
                <w:rFonts w:hint="eastAsia" w:ascii="Times New Roman" w:hAnsi="Times New Roman" w:cs="Times New Roman"/>
                <w:sz w:val="24"/>
                <w:szCs w:val="24"/>
                <w:highlight w:val="none"/>
              </w:rPr>
              <w:t>笔记本电脑</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 xml:space="preserve">Windows 10 专业版；处理器11th Gen Inte(R) </w:t>
            </w:r>
            <w:r>
              <w:rPr>
                <w:rFonts w:hint="eastAsia" w:ascii="Times New Roman" w:hAnsi="Times New Roman" w:cs="Times New Roman"/>
                <w:color w:val="auto"/>
                <w:sz w:val="24"/>
                <w:szCs w:val="24"/>
                <w:highlight w:val="none"/>
                <w:u w:val="none"/>
                <w:lang w:val="en-US" w:eastAsia="zh-CN"/>
              </w:rPr>
              <w:fldChar w:fldCharType="begin"/>
            </w:r>
            <w:r>
              <w:rPr>
                <w:rFonts w:hint="eastAsia" w:ascii="Times New Roman" w:hAnsi="Times New Roman" w:cs="Times New Roman"/>
                <w:color w:val="auto"/>
                <w:sz w:val="24"/>
                <w:szCs w:val="24"/>
                <w:highlight w:val="none"/>
                <w:u w:val="none"/>
                <w:lang w:val="en-US" w:eastAsia="zh-CN"/>
              </w:rPr>
              <w:instrText xml:space="preserve"> HYPERLINK "mailto:Core(TM)i5-1135G7@2.40GHz" </w:instrText>
            </w:r>
            <w:r>
              <w:rPr>
                <w:rFonts w:hint="eastAsia" w:ascii="Times New Roman" w:hAnsi="Times New Roman" w:cs="Times New Roman"/>
                <w:color w:val="auto"/>
                <w:sz w:val="24"/>
                <w:szCs w:val="24"/>
                <w:highlight w:val="none"/>
                <w:u w:val="none"/>
                <w:lang w:val="en-US" w:eastAsia="zh-CN"/>
              </w:rPr>
              <w:fldChar w:fldCharType="separate"/>
            </w:r>
            <w:r>
              <w:rPr>
                <w:rStyle w:val="38"/>
                <w:rFonts w:hint="eastAsia" w:ascii="Times New Roman" w:hAnsi="Times New Roman" w:cs="Times New Roman"/>
                <w:color w:val="auto"/>
                <w:sz w:val="24"/>
                <w:szCs w:val="24"/>
                <w:highlight w:val="none"/>
                <w:u w:val="none"/>
                <w:lang w:val="en-US" w:eastAsia="zh-CN"/>
              </w:rPr>
              <w:t>Core(TM)i5-1135G7@2.40GHz</w:t>
            </w:r>
            <w:r>
              <w:rPr>
                <w:rFonts w:hint="eastAsia" w:ascii="Times New Roman" w:hAnsi="Times New Roman" w:cs="Times New Roman"/>
                <w:color w:val="auto"/>
                <w:sz w:val="24"/>
                <w:szCs w:val="24"/>
                <w:highlight w:val="none"/>
                <w:u w:val="none"/>
                <w:lang w:val="en-US" w:eastAsia="zh-CN"/>
              </w:rPr>
              <w:fldChar w:fldCharType="end"/>
            </w:r>
            <w:r>
              <w:rPr>
                <w:rFonts w:hint="eastAsia" w:ascii="Times New Roman" w:hAnsi="Times New Roman" w:cs="Times New Roman"/>
                <w:sz w:val="24"/>
                <w:szCs w:val="24"/>
                <w:highlight w:val="none"/>
                <w:lang w:val="en-US" w:eastAsia="zh-CN"/>
              </w:rPr>
              <w:t xml:space="preserve"> 2.42Ghz；内存</w:t>
            </w:r>
            <w:r>
              <w:rPr>
                <w:rFonts w:hint="eastAsia" w:ascii="Times New Roman" w:hAnsi="Times New Roman" w:cs="Times New Roman"/>
                <w:sz w:val="24"/>
                <w:szCs w:val="24"/>
                <w:highlight w:val="none"/>
                <w:lang w:eastAsia="zh-CN"/>
              </w:rPr>
              <w:t>16</w:t>
            </w:r>
            <w:r>
              <w:rPr>
                <w:rFonts w:hint="eastAsia" w:ascii="Times New Roman" w:hAnsi="Times New Roman" w:cs="Times New Roman"/>
                <w:sz w:val="24"/>
                <w:szCs w:val="24"/>
                <w:highlight w:val="none"/>
                <w:lang w:val="en-US" w:eastAsia="zh-CN"/>
              </w:rPr>
              <w:t>.0</w:t>
            </w:r>
            <w:r>
              <w:rPr>
                <w:rFonts w:hint="eastAsia" w:ascii="Times New Roman" w:hAnsi="Times New Roman" w:cs="Times New Roman"/>
                <w:sz w:val="24"/>
                <w:szCs w:val="24"/>
                <w:highlight w:val="none"/>
                <w:lang w:eastAsia="zh-CN"/>
              </w:rPr>
              <w:t>G</w:t>
            </w:r>
            <w:r>
              <w:rPr>
                <w:rFonts w:hint="eastAsia" w:ascii="Times New Roman" w:hAnsi="Times New Roman" w:cs="Times New Roman"/>
                <w:sz w:val="24"/>
                <w:szCs w:val="24"/>
                <w:highlight w:val="none"/>
                <w:lang w:val="en-US" w:eastAsia="zh-CN"/>
              </w:rPr>
              <w:t>B；系统类型：64位操作系统，基于x64r 处理器）。</w:t>
            </w:r>
            <w:r>
              <w:rPr>
                <w:rFonts w:hint="eastAsia" w:ascii="Times New Roman" w:hAnsi="Times New Roman" w:cs="Times New Roman"/>
                <w:sz w:val="24"/>
                <w:szCs w:val="24"/>
                <w:highlight w:val="none"/>
              </w:rPr>
              <w:t>品牌激光打印复印一体机</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rPr>
              <w:t>普通激光打印机</w:t>
            </w:r>
            <w:r>
              <w:rPr>
                <w:rFonts w:hint="eastAsia" w:ascii="Times New Roman" w:hAnsi="Times New Roman" w:cs="Times New Roman"/>
                <w:sz w:val="24"/>
                <w:szCs w:val="24"/>
                <w:highlight w:val="none"/>
                <w:lang w:eastAsia="zh-CN"/>
              </w:rPr>
              <w:t>。</w:t>
            </w:r>
          </w:p>
        </w:tc>
        <w:tc>
          <w:tcPr>
            <w:tcW w:w="650"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1</w:t>
            </w:r>
          </w:p>
        </w:tc>
        <w:tc>
          <w:tcPr>
            <w:tcW w:w="43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套</w:t>
            </w:r>
          </w:p>
        </w:tc>
        <w:tc>
          <w:tcPr>
            <w:tcW w:w="655"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1" w:hRule="atLeast"/>
        </w:trPr>
        <w:tc>
          <w:tcPr>
            <w:tcW w:w="69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13</w:t>
            </w:r>
          </w:p>
        </w:tc>
        <w:tc>
          <w:tcPr>
            <w:tcW w:w="6459"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rPr>
              <w:t>预处理柱</w:t>
            </w:r>
            <w:r>
              <w:rPr>
                <w:rFonts w:ascii="Times New Roman" w:hAnsi="Times New Roman" w:cs="Times New Roman"/>
                <w:sz w:val="24"/>
                <w:szCs w:val="24"/>
              </w:rPr>
              <w:t>A</w:t>
            </w:r>
            <w:r>
              <w:rPr>
                <w:rFonts w:hint="eastAsia" w:ascii="Times New Roman" w:hAnsi="Times New Roman" w:cs="Times New Roman"/>
                <w:sz w:val="24"/>
                <w:szCs w:val="24"/>
              </w:rPr>
              <w:t>g</w:t>
            </w:r>
            <w:r>
              <w:rPr>
                <w:rFonts w:hint="eastAsia" w:ascii="Times New Roman" w:hAnsi="Times New Roman" w:cs="Times New Roman"/>
                <w:sz w:val="24"/>
                <w:szCs w:val="24"/>
                <w:lang w:eastAsia="zh-CN"/>
              </w:rPr>
              <w:t>、</w:t>
            </w:r>
            <w:r>
              <w:rPr>
                <w:rFonts w:ascii="Times New Roman" w:hAnsi="Times New Roman" w:cs="Times New Roman"/>
                <w:sz w:val="24"/>
                <w:szCs w:val="24"/>
              </w:rPr>
              <w:t>H</w:t>
            </w:r>
            <w:r>
              <w:rPr>
                <w:rFonts w:hint="eastAsia" w:ascii="Times New Roman" w:hAnsi="Times New Roman" w:cs="Times New Roman"/>
                <w:sz w:val="24"/>
                <w:szCs w:val="24"/>
              </w:rPr>
              <w:t>和</w:t>
            </w:r>
            <w:r>
              <w:rPr>
                <w:rFonts w:ascii="Times New Roman" w:hAnsi="Times New Roman" w:cs="Times New Roman"/>
                <w:sz w:val="24"/>
                <w:szCs w:val="24"/>
              </w:rPr>
              <w:t>Ba</w:t>
            </w:r>
            <w:r>
              <w:rPr>
                <w:rFonts w:hint="eastAsia" w:ascii="Times New Roman" w:hAnsi="Times New Roman" w:cs="Times New Roman"/>
                <w:sz w:val="24"/>
                <w:szCs w:val="24"/>
              </w:rPr>
              <w:t>柱各</w:t>
            </w:r>
            <w:r>
              <w:rPr>
                <w:rFonts w:hint="eastAsia" w:ascii="Times New Roman" w:hAnsi="Times New Roman" w:cs="Times New Roman"/>
                <w:sz w:val="24"/>
                <w:szCs w:val="24"/>
                <w:lang w:val="en-US" w:eastAsia="zh-CN"/>
              </w:rPr>
              <w:t>10</w:t>
            </w:r>
            <w:r>
              <w:rPr>
                <w:rFonts w:ascii="Times New Roman" w:hAnsi="Times New Roman" w:cs="Times New Roman"/>
                <w:sz w:val="24"/>
                <w:szCs w:val="24"/>
              </w:rPr>
              <w:t>0</w:t>
            </w:r>
            <w:r>
              <w:rPr>
                <w:rFonts w:hint="eastAsia" w:ascii="Times New Roman" w:hAnsi="Times New Roman" w:cs="Times New Roman"/>
                <w:sz w:val="24"/>
                <w:szCs w:val="24"/>
              </w:rPr>
              <w:t>个</w:t>
            </w:r>
          </w:p>
        </w:tc>
        <w:tc>
          <w:tcPr>
            <w:tcW w:w="650"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300</w:t>
            </w:r>
          </w:p>
        </w:tc>
        <w:tc>
          <w:tcPr>
            <w:tcW w:w="43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rPr>
              <w:t>个</w:t>
            </w:r>
          </w:p>
        </w:tc>
        <w:tc>
          <w:tcPr>
            <w:tcW w:w="655"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9" w:hRule="atLeast"/>
        </w:trPr>
        <w:tc>
          <w:tcPr>
            <w:tcW w:w="69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14</w:t>
            </w:r>
          </w:p>
        </w:tc>
        <w:tc>
          <w:tcPr>
            <w:tcW w:w="6459"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冰箱：三开门218L，独立三温区，上层冷藏室126L，中层软冷冻室(可调0</w:t>
            </w:r>
            <w:r>
              <w:rPr>
                <w:rFonts w:hint="eastAsia" w:ascii="宋体" w:hAnsi="宋体" w:eastAsia="宋体" w:cs="宋体"/>
                <w:sz w:val="24"/>
                <w:szCs w:val="24"/>
                <w:lang w:val="en-US" w:eastAsia="zh-CN"/>
              </w:rPr>
              <w:t>℃</w:t>
            </w:r>
            <w:r>
              <w:rPr>
                <w:rFonts w:hint="eastAsia" w:ascii="Times New Roman" w:hAnsi="Times New Roman" w:cs="Times New Roman"/>
                <w:sz w:val="24"/>
                <w:szCs w:val="24"/>
                <w:lang w:val="en-US" w:eastAsia="zh-CN"/>
              </w:rPr>
              <w:t>)，下层冷冻室57L；549*528*1735（深*宽*高）</w:t>
            </w:r>
          </w:p>
        </w:tc>
        <w:tc>
          <w:tcPr>
            <w:tcW w:w="650"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1</w:t>
            </w:r>
          </w:p>
        </w:tc>
        <w:tc>
          <w:tcPr>
            <w:tcW w:w="437"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个</w:t>
            </w:r>
          </w:p>
        </w:tc>
        <w:tc>
          <w:tcPr>
            <w:tcW w:w="655" w:type="dxa"/>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Times New Roman" w:hAnsi="Times New Roman" w:cs="Times New Roman"/>
                <w:sz w:val="24"/>
                <w:szCs w:val="24"/>
              </w:rPr>
            </w:pPr>
          </w:p>
        </w:tc>
      </w:tr>
    </w:tbl>
    <w:p>
      <w:pPr>
        <w:spacing w:line="240" w:lineRule="auto"/>
        <w:rPr>
          <w:rFonts w:hint="eastAsia"/>
          <w:b/>
          <w:bCs/>
          <w:color w:val="auto"/>
          <w:sz w:val="24"/>
          <w:szCs w:val="32"/>
          <w:highlight w:val="none"/>
          <w:lang w:val="en-US" w:eastAsia="zh-CN"/>
        </w:rPr>
      </w:pPr>
    </w:p>
    <w:p>
      <w:pPr>
        <w:spacing w:line="240" w:lineRule="auto"/>
        <w:rPr>
          <w:rFonts w:hint="eastAsia"/>
          <w:b/>
          <w:bCs/>
          <w:color w:val="auto"/>
          <w:sz w:val="24"/>
          <w:szCs w:val="32"/>
          <w:highlight w:val="none"/>
          <w:lang w:val="en-US" w:eastAsia="zh-CN"/>
        </w:rPr>
      </w:pPr>
    </w:p>
    <w:p>
      <w:pPr>
        <w:pStyle w:val="2"/>
        <w:rPr>
          <w:rFonts w:hint="eastAsia"/>
          <w:lang w:val="en-US" w:eastAsia="zh-CN"/>
        </w:rPr>
      </w:pPr>
    </w:p>
    <w:p>
      <w:pPr>
        <w:spacing w:line="240" w:lineRule="auto"/>
        <w:rPr>
          <w:rFonts w:hint="eastAsia"/>
          <w:b/>
          <w:bCs/>
          <w:color w:val="auto"/>
          <w:sz w:val="24"/>
          <w:szCs w:val="32"/>
          <w:highlight w:val="none"/>
          <w:lang w:val="en-US" w:eastAsia="zh-CN"/>
        </w:rPr>
      </w:pPr>
      <w:r>
        <w:rPr>
          <w:rFonts w:hint="eastAsia"/>
          <w:b/>
          <w:bCs/>
          <w:color w:val="auto"/>
          <w:sz w:val="24"/>
          <w:szCs w:val="32"/>
          <w:highlight w:val="none"/>
          <w:lang w:val="en-US" w:eastAsia="zh-CN"/>
        </w:rPr>
        <w:t>二、</w:t>
      </w:r>
      <w:bookmarkStart w:id="141" w:name="_Toc340225290"/>
      <w:bookmarkStart w:id="142" w:name="_Toc267320049"/>
      <w:r>
        <w:rPr>
          <w:rFonts w:hint="eastAsia"/>
          <w:b/>
          <w:bCs/>
          <w:color w:val="auto"/>
          <w:sz w:val="22"/>
          <w:szCs w:val="28"/>
          <w:highlight w:val="none"/>
          <w:lang w:val="en-US" w:eastAsia="zh-CN"/>
        </w:rPr>
        <w:t>项目验收、质保、售后服务等要求</w:t>
      </w:r>
    </w:p>
    <w:bookmarkEnd w:id="141"/>
    <w:bookmarkEnd w:id="142"/>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宋体"/>
          <w:b/>
          <w:color w:val="auto"/>
          <w:szCs w:val="21"/>
          <w:highlight w:val="none"/>
          <w:lang w:val="en-US"/>
        </w:rPr>
      </w:pPr>
      <w:r>
        <w:rPr>
          <w:rFonts w:hint="eastAsia" w:ascii="宋体" w:hAnsi="宋体" w:cs="宋体"/>
          <w:b/>
          <w:color w:val="auto"/>
          <w:szCs w:val="21"/>
          <w:highlight w:val="none"/>
        </w:rPr>
        <w:t>（一）实施（交货）时间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cs="Times New Roman"/>
          <w:b w:val="0"/>
          <w:bCs/>
          <w:color w:val="FF0000"/>
          <w:kern w:val="2"/>
          <w:sz w:val="21"/>
          <w:szCs w:val="21"/>
          <w:highlight w:val="none"/>
          <w:lang w:val="en-US" w:eastAsia="zh-CN" w:bidi="ar-SA"/>
        </w:rPr>
        <w:t>中标</w:t>
      </w:r>
      <w:r>
        <w:rPr>
          <w:rFonts w:hint="eastAsia" w:ascii="Times New Roman" w:hAnsi="Times New Roman" w:eastAsia="宋体" w:cs="Times New Roman"/>
          <w:b w:val="0"/>
          <w:bCs/>
          <w:color w:val="FF0000"/>
          <w:kern w:val="2"/>
          <w:sz w:val="21"/>
          <w:szCs w:val="21"/>
          <w:highlight w:val="none"/>
          <w:lang w:val="en-US" w:eastAsia="zh-CN" w:bidi="ar-SA"/>
        </w:rPr>
        <w:t>人在</w:t>
      </w:r>
      <w:r>
        <w:rPr>
          <w:rFonts w:hint="eastAsia" w:ascii="宋体" w:hAnsi="宋体" w:eastAsia="宋体" w:cs="宋体"/>
          <w:color w:val="FF0000"/>
          <w:kern w:val="2"/>
          <w:sz w:val="21"/>
          <w:szCs w:val="21"/>
          <w:highlight w:val="none"/>
          <w:lang w:val="en-US" w:eastAsia="zh-CN" w:bidi="ar-SA"/>
        </w:rPr>
        <w:t>合同签订后于</w:t>
      </w:r>
      <w:r>
        <w:rPr>
          <w:rFonts w:hint="eastAsia" w:ascii="宋体" w:hAnsi="宋体" w:cs="宋体"/>
          <w:color w:val="FF0000"/>
          <w:kern w:val="2"/>
          <w:sz w:val="21"/>
          <w:szCs w:val="21"/>
          <w:highlight w:val="none"/>
          <w:lang w:val="en-US" w:eastAsia="zh-CN" w:bidi="ar-SA"/>
        </w:rPr>
        <w:t>60</w:t>
      </w:r>
      <w:r>
        <w:rPr>
          <w:rFonts w:hint="eastAsia" w:ascii="宋体" w:hAnsi="宋体" w:eastAsia="宋体" w:cs="宋体"/>
          <w:color w:val="FF0000"/>
          <w:kern w:val="2"/>
          <w:sz w:val="21"/>
          <w:szCs w:val="21"/>
          <w:highlight w:val="none"/>
          <w:lang w:val="en-US" w:eastAsia="zh-CN" w:bidi="ar-SA"/>
        </w:rPr>
        <w:t>日内</w:t>
      </w:r>
      <w:r>
        <w:rPr>
          <w:rFonts w:hint="eastAsia" w:ascii="宋体" w:hAnsi="宋体" w:cs="宋体"/>
          <w:color w:val="FF0000"/>
          <w:kern w:val="2"/>
          <w:sz w:val="21"/>
          <w:szCs w:val="21"/>
          <w:highlight w:val="none"/>
          <w:lang w:val="en-US" w:eastAsia="zh-CN" w:bidi="ar-SA"/>
        </w:rPr>
        <w:t>完成供货、安装调试完毕</w:t>
      </w:r>
      <w:r>
        <w:rPr>
          <w:rFonts w:hint="eastAsia" w:ascii="宋体" w:hAnsi="宋体" w:eastAsia="宋体" w:cs="宋体"/>
          <w:color w:val="FF0000"/>
          <w:kern w:val="2"/>
          <w:sz w:val="21"/>
          <w:szCs w:val="21"/>
          <w:highlight w:val="none"/>
          <w:lang w:val="en-US" w:eastAsia="zh-CN" w:bidi="ar-SA"/>
        </w:rPr>
        <w:t>。（具体以甲乙双方签订采购合同为准，严格按照采购单位的时间及要求按时供货）</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实施（交货）地点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b/>
          <w:color w:val="auto"/>
          <w:szCs w:val="21"/>
          <w:highlight w:val="none"/>
          <w:lang w:val="en-US" w:eastAsia="zh-CN"/>
        </w:rPr>
      </w:pPr>
      <w:r>
        <w:rPr>
          <w:rFonts w:hint="eastAsia" w:ascii="宋体" w:hAnsi="宋体" w:cs="宋体"/>
          <w:bCs/>
          <w:color w:val="auto"/>
          <w:szCs w:val="21"/>
          <w:highlight w:val="none"/>
          <w:lang w:val="en-US" w:eastAsia="zh-CN"/>
        </w:rPr>
        <w:t>按照</w:t>
      </w:r>
      <w:r>
        <w:rPr>
          <w:rFonts w:hint="eastAsia" w:ascii="宋体" w:hAnsi="宋体" w:cs="宋体"/>
          <w:bCs/>
          <w:color w:val="auto"/>
          <w:szCs w:val="21"/>
          <w:highlight w:val="none"/>
          <w:lang w:eastAsia="zh-CN"/>
        </w:rPr>
        <w:t>甲方</w:t>
      </w:r>
      <w:r>
        <w:rPr>
          <w:rFonts w:hint="eastAsia" w:ascii="宋体" w:hAnsi="宋体" w:cs="宋体"/>
          <w:bCs/>
          <w:color w:val="auto"/>
          <w:szCs w:val="21"/>
          <w:highlight w:val="none"/>
        </w:rPr>
        <w:t>指定的任何地</w:t>
      </w:r>
      <w:r>
        <w:rPr>
          <w:rFonts w:hint="eastAsia" w:ascii="宋体" w:hAnsi="宋体" w:eastAsia="宋体" w:cs="宋体"/>
          <w:bCs/>
          <w:color w:val="auto"/>
          <w:szCs w:val="21"/>
          <w:highlight w:val="none"/>
        </w:rPr>
        <w:t>点</w:t>
      </w:r>
      <w:r>
        <w:rPr>
          <w:rFonts w:hint="eastAsia" w:ascii="宋体" w:hAnsi="宋体" w:eastAsia="宋体" w:cs="宋体"/>
          <w:bCs/>
          <w:color w:val="auto"/>
          <w:szCs w:val="21"/>
          <w:highlight w:val="none"/>
          <w:lang w:val="en-US" w:eastAsia="zh-CN"/>
        </w:rPr>
        <w:t xml:space="preserve">供货  </w:t>
      </w:r>
    </w:p>
    <w:p>
      <w:pPr>
        <w:spacing w:line="360" w:lineRule="auto"/>
        <w:rPr>
          <w:rFonts w:hint="eastAsia" w:ascii="宋体" w:hAnsi="宋体" w:cs="宋体"/>
          <w:b/>
          <w:color w:val="auto"/>
          <w:szCs w:val="21"/>
          <w:highlight w:val="none"/>
        </w:rPr>
      </w:pPr>
      <w:bookmarkStart w:id="143" w:name="_Toc340225291"/>
      <w:bookmarkStart w:id="144" w:name="_Toc267320050"/>
      <w:r>
        <w:rPr>
          <w:rFonts w:hint="eastAsia" w:ascii="宋体" w:hAnsi="宋体" w:cs="宋体"/>
          <w:b/>
          <w:color w:val="auto"/>
          <w:szCs w:val="21"/>
          <w:highlight w:val="none"/>
        </w:rPr>
        <w:t>（三）报价要求</w:t>
      </w:r>
      <w:bookmarkEnd w:id="143"/>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本次报价为人民币报价，</w:t>
      </w:r>
      <w:bookmarkEnd w:id="144"/>
      <w:r>
        <w:rPr>
          <w:rFonts w:hint="eastAsia" w:ascii="宋体" w:hAnsi="宋体" w:eastAsia="宋体" w:cs="宋体"/>
          <w:bCs/>
          <w:color w:val="auto"/>
          <w:kern w:val="2"/>
          <w:sz w:val="21"/>
          <w:szCs w:val="21"/>
          <w:highlight w:val="none"/>
          <w:lang w:val="en-US" w:eastAsia="zh-CN" w:bidi="ar-SA"/>
        </w:rPr>
        <w:t>投标报价应包括：</w:t>
      </w:r>
      <w:r>
        <w:rPr>
          <w:rFonts w:hint="eastAsia" w:ascii="宋体" w:hAnsi="宋体" w:cs="宋体"/>
          <w:bCs/>
          <w:color w:val="auto"/>
          <w:kern w:val="2"/>
          <w:sz w:val="21"/>
          <w:szCs w:val="21"/>
          <w:highlight w:val="none"/>
          <w:lang w:val="en-US" w:eastAsia="zh-CN" w:bidi="ar-SA"/>
        </w:rPr>
        <w:t>服务</w:t>
      </w:r>
      <w:r>
        <w:rPr>
          <w:rFonts w:hint="eastAsia" w:ascii="宋体" w:hAnsi="宋体" w:eastAsia="宋体" w:cs="宋体"/>
          <w:bCs/>
          <w:color w:val="auto"/>
          <w:kern w:val="2"/>
          <w:sz w:val="21"/>
          <w:szCs w:val="21"/>
          <w:highlight w:val="none"/>
          <w:lang w:val="en-US" w:eastAsia="zh-CN" w:bidi="ar-SA"/>
        </w:rPr>
        <w:t>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及招标文件要求的供应商需要支付的所有费用。因中标供应商自身原因造成漏报、少报皆由其自行承担责任，采购人不再补偿。</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（四）包装要求</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供方应提供货物运至合同规定的最终目的地所需要的包装，以防止货物在转运中 损坏。这类包装应采取防潮、防晒、防锈防腐蚀、防震动及防止其它损坏的必要保护措施，从而保护货物能够经受多次搬运、装卸和内陆的长途运输。供方应承担由于其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包装或其防护措施不妥而引起货物锈蚀、损坏和丢失的任何损失的责任或费用。</w:t>
      </w:r>
    </w:p>
    <w:p>
      <w:pPr>
        <w:keepNext w:val="0"/>
        <w:keepLines w:val="0"/>
        <w:pageBreakBefore w:val="0"/>
        <w:widowControl w:val="0"/>
        <w:shd w:val="clear" w:color="auto" w:fill="auto"/>
        <w:kinsoku/>
        <w:wordWrap/>
        <w:overflowPunct/>
        <w:topLinePunct w:val="0"/>
        <w:autoSpaceDE/>
        <w:autoSpaceDN/>
        <w:bidi w:val="0"/>
        <w:adjustRightInd/>
        <w:snapToGrid/>
        <w:spacing w:line="290" w:lineRule="exact"/>
        <w:jc w:val="left"/>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（五）质保要求</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1、质保期限：本项目的质保期</w:t>
      </w:r>
      <w:r>
        <w:rPr>
          <w:rFonts w:hint="eastAsia" w:ascii="宋体" w:hAnsi="宋体" w:cs="宋体"/>
          <w:bCs/>
          <w:color w:val="auto"/>
          <w:kern w:val="2"/>
          <w:sz w:val="21"/>
          <w:szCs w:val="21"/>
          <w:highlight w:val="none"/>
          <w:lang w:val="en-US" w:eastAsia="zh-CN" w:bidi="ar-SA"/>
        </w:rPr>
        <w:t>不少于2</w:t>
      </w:r>
      <w:r>
        <w:rPr>
          <w:rFonts w:hint="eastAsia" w:ascii="宋体" w:hAnsi="宋体" w:eastAsia="宋体" w:cs="宋体"/>
          <w:bCs/>
          <w:color w:val="auto"/>
          <w:kern w:val="2"/>
          <w:sz w:val="21"/>
          <w:szCs w:val="21"/>
          <w:highlight w:val="none"/>
          <w:lang w:val="en-US" w:eastAsia="zh-CN" w:bidi="ar-SA"/>
        </w:rPr>
        <w:t>年（具体以甲乙双方签订采购合同为准）。质保期自货物最终验收合格之日起算，质保期内中标人对所提供的货物实行包换、包退且不收取任何费用。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2、供应方交付的货物的技术标准不低于国家标准。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3、供应方在交付货物的同时应提供国家规定的检验合格证明等文件。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4、投标人应保证用品是全新、未使用过的合格正品,并完全符合国家规定的质量、规格和性能要求。</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w:t>
      </w:r>
      <w:r>
        <w:rPr>
          <w:rFonts w:hint="eastAsia" w:hAnsi="宋体" w:cs="宋体"/>
          <w:b/>
          <w:bCs/>
          <w:color w:val="auto"/>
          <w:kern w:val="0"/>
          <w:sz w:val="21"/>
          <w:szCs w:val="21"/>
          <w:highlight w:val="none"/>
          <w:u w:val="none"/>
          <w:lang w:val="en-US" w:eastAsia="zh-CN" w:bidi="ar-SA"/>
        </w:rPr>
        <w:t>六</w:t>
      </w:r>
      <w:r>
        <w:rPr>
          <w:rFonts w:hint="eastAsia" w:ascii="宋体" w:hAnsi="宋体" w:eastAsia="宋体" w:cs="宋体"/>
          <w:b/>
          <w:bCs/>
          <w:color w:val="auto"/>
          <w:kern w:val="0"/>
          <w:sz w:val="21"/>
          <w:szCs w:val="21"/>
          <w:highlight w:val="none"/>
          <w:u w:val="none"/>
          <w:lang w:val="en-US" w:eastAsia="zh-CN" w:bidi="ar-SA"/>
        </w:rPr>
        <w:t>）售后服务内容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1、产品质量：在合同期内甲方正常使用乙方所供产品而出现质量问题时，乙方负责。产品使用：甲方在使用乙方所供产品中出现问题需乙方解决时，乙方应无偿解决（退换货）。</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2、验收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①、货物到达现场后，供应商应在使用单位人员在场情况下当面共同清点、检查，作出检查记录，双方签字确认。</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② 、货物验收时，供应商向采购人提供所有构件的生产厂家出具的出厂合格证、厂家资格证件、安装手册、操作手册、维修保养手册等，否则甲方不予以验收。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③ 、货物进场时需提供权威机构出具的甲醛等检测报告，安装完毕后需向甲方提 供权威机构出具的室内甲醛等检测报告作为验收的依据，如检测不达到，乙方立即更 换货物，直至检测达到相关国家要求，期间所产生的工期和费用由乙方承担，否则甲方将不予以验收。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3、售后服务</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1）凡乙方所售产品，在质保期之内设备出现非人为损坏，上门服务不收任何费用。质保期过后只收取配件的成本费，免费维修。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2）在质保期外，提供零配件和保养服务（只计取成本费）。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3）质保期满后，若有零部件出现故障，经权威部门签定属于寿命异常问题（明显短于该零部件正常寿命）时，则由乙方负责免费更换及维修。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4）质保期满后不能维修的，配件更换，只收成本费。在配件停止生产的情况下，乙方事先将要停止生产的计划通知用户，使用户有足够的时间采购所需备件。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5）质保期内， 自设备投入使用之日起开始计算，提供每年不少于 2 次回访。</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6）供应商须配备必备的原厂零配件，零配件必须满足正常使用 1 年的零配件损耗，保证设备正常运行。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7）甲方正常使用乙方所供产品出现损坏需要维修时，乙方须在 2 小时内响应，12小时内到达现场进行处理，一般 24 小时内解决故障问题，重大故障 48 小时内解决故障问题。</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8）供应商提供的货物未达到招标文件规定要求，且对采购人造成损失的，由供应商承担一切责任，并赔偿所造成的损失。</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八</w:t>
      </w:r>
      <w:r>
        <w:rPr>
          <w:rFonts w:hint="eastAsia" w:ascii="宋体" w:hAnsi="宋体" w:cs="宋体"/>
          <w:b/>
          <w:color w:val="auto"/>
          <w:szCs w:val="21"/>
          <w:highlight w:val="none"/>
        </w:rPr>
        <w:t>）付款方式</w:t>
      </w:r>
    </w:p>
    <w:p>
      <w:pPr>
        <w:keepNext w:val="0"/>
        <w:keepLines w:val="0"/>
        <w:pageBreakBefore w:val="0"/>
        <w:kinsoku/>
        <w:wordWrap/>
        <w:overflowPunct/>
        <w:topLinePunct w:val="0"/>
        <w:autoSpaceDE/>
        <w:autoSpaceDN/>
        <w:bidi w:val="0"/>
        <w:adjustRightInd/>
        <w:snapToGrid/>
        <w:spacing w:line="460" w:lineRule="exact"/>
        <w:ind w:firstLine="210" w:firstLineChars="100"/>
        <w:jc w:val="left"/>
        <w:textAlignment w:val="auto"/>
        <w:outlineLvl w:val="5"/>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具体按双方合同约定执行</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）知识产权</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十</w:t>
      </w:r>
      <w:r>
        <w:rPr>
          <w:rFonts w:hint="eastAsia" w:ascii="宋体" w:hAnsi="宋体" w:cs="宋体"/>
          <w:b/>
          <w:color w:val="auto"/>
          <w:szCs w:val="21"/>
          <w:highlight w:val="none"/>
        </w:rPr>
        <w:t>）其他</w:t>
      </w:r>
    </w:p>
    <w:bookmarkEnd w:id="139"/>
    <w:p>
      <w:pPr>
        <w:spacing w:line="440" w:lineRule="exact"/>
        <w:ind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1、投标人必须在投标文件中对以上条款和服务承诺明确列出，承诺内容必须达到本篇及招标文件其他条款的要求。</w:t>
      </w:r>
    </w:p>
    <w:p>
      <w:pPr>
        <w:spacing w:line="440" w:lineRule="exact"/>
        <w:ind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2、中标人与采购人签订《协议》后，须与用户方签订《货物采购供应合同》（包括供货范围、需求数量、单价等），明确具体供货数量、供货时间、送达地点等内容。</w:t>
      </w:r>
    </w:p>
    <w:p>
      <w:pPr>
        <w:spacing w:line="440" w:lineRule="exact"/>
        <w:ind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3、其他未尽事宜由供需双方在采购合同中详细约定。</w:t>
      </w:r>
    </w:p>
    <w:p>
      <w:pPr>
        <w:spacing w:line="440" w:lineRule="exact"/>
        <w:ind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4、若供应商不能按招标文件规定的交货期正常交货，采购方有权终止采购合同，并将相关情况上报给采购计划主管部门，取消其中标资格。</w:t>
      </w:r>
    </w:p>
    <w:p>
      <w:pPr>
        <w:spacing w:line="440" w:lineRule="exact"/>
        <w:ind w:firstLine="420" w:firstLineChars="200"/>
        <w:rPr>
          <w:rFonts w:hint="eastAsia" w:ascii="宋体" w:hAnsi="宋体" w:cs="宋体"/>
          <w:b/>
          <w:bCs w:val="0"/>
          <w:szCs w:val="21"/>
          <w:lang w:val="en-US" w:eastAsia="zh-CN"/>
        </w:rPr>
      </w:pPr>
      <w:r>
        <w:rPr>
          <w:rFonts w:hint="eastAsia" w:ascii="宋体" w:hAnsi="宋体" w:eastAsia="宋体" w:cs="宋体"/>
          <w:bCs/>
          <w:szCs w:val="21"/>
          <w:lang w:eastAsia="zh-CN"/>
        </w:rPr>
        <w:t>5、其他未尽事宜由供需双方在采购合同中详细约定。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pStyle w:val="2"/>
        <w:rPr>
          <w:rFonts w:hint="eastAsia" w:ascii="宋体"/>
          <w:b/>
          <w:color w:val="auto"/>
          <w:sz w:val="30"/>
          <w:szCs w:val="30"/>
          <w:highlight w:val="none"/>
          <w:lang w:val="en-US" w:eastAsia="zh-CN"/>
        </w:rPr>
      </w:pPr>
    </w:p>
    <w:p>
      <w:pPr>
        <w:pStyle w:val="50"/>
        <w:rPr>
          <w:rFonts w:hint="eastAsia" w:ascii="宋体"/>
          <w:b/>
          <w:color w:val="auto"/>
          <w:sz w:val="30"/>
          <w:szCs w:val="30"/>
          <w:highlight w:val="none"/>
          <w:lang w:val="en-US" w:eastAsia="zh-CN"/>
        </w:rPr>
      </w:pPr>
    </w:p>
    <w:p>
      <w:pPr>
        <w:rPr>
          <w:rFonts w:hint="eastAsia" w:ascii="宋体"/>
          <w:b/>
          <w:color w:val="auto"/>
          <w:sz w:val="30"/>
          <w:szCs w:val="30"/>
          <w:highlight w:val="none"/>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outlineLvl w:val="9"/>
        <w:rPr>
          <w:rFonts w:hint="eastAsia" w:ascii="宋体"/>
          <w:b/>
          <w:color w:val="auto"/>
          <w:sz w:val="30"/>
          <w:szCs w:val="30"/>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bookmarkStart w:id="145" w:name="_Toc945"/>
      <w:r>
        <w:rPr>
          <w:rFonts w:hint="eastAsia" w:ascii="宋体" w:hAnsi="宋体" w:eastAsia="宋体" w:cs="宋体"/>
          <w:b/>
          <w:bCs/>
          <w:color w:val="auto"/>
          <w:kern w:val="36"/>
          <w:sz w:val="36"/>
          <w:szCs w:val="36"/>
          <w:highlight w:val="none"/>
          <w:lang w:val="en-US" w:eastAsia="zh-CN"/>
        </w:rPr>
        <w:t>第五章  合同条款及格式</w:t>
      </w:r>
      <w:bookmarkEnd w:id="145"/>
      <w:bookmarkStart w:id="146" w:name="_Toc2066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bookmarkStart w:id="147" w:name="_Toc9302"/>
      <w:r>
        <w:rPr>
          <w:rFonts w:hint="eastAsia" w:ascii="宋体" w:hAnsi="宋体" w:eastAsia="宋体" w:cs="宋体"/>
          <w:color w:val="auto"/>
          <w:szCs w:val="21"/>
          <w:highlight w:val="none"/>
        </w:rPr>
        <w:t>（本合同为合同样稿，最终稿由供需双方协商后确定）</w:t>
      </w:r>
      <w:bookmarkEnd w:id="146"/>
      <w:bookmarkEnd w:id="147"/>
    </w:p>
    <w:p>
      <w:pPr>
        <w:widowControl/>
        <w:numPr>
          <w:ilvl w:val="0"/>
          <w:numId w:val="9"/>
        </w:numPr>
        <w:shd w:val="clear" w:color="auto" w:fill="auto"/>
        <w:spacing w:line="600" w:lineRule="exact"/>
        <w:jc w:val="center"/>
        <w:textAlignment w:val="baseline"/>
        <w:outlineLvl w:val="1"/>
        <w:rPr>
          <w:rFonts w:hint="eastAsia" w:ascii="黑体" w:eastAsia="黑体"/>
          <w:b/>
          <w:color w:val="auto"/>
          <w:sz w:val="28"/>
          <w:szCs w:val="28"/>
          <w:highlight w:val="none"/>
        </w:rPr>
      </w:pPr>
      <w:r>
        <w:rPr>
          <w:rFonts w:hint="eastAsia" w:ascii="宋体"/>
          <w:b/>
          <w:color w:val="auto"/>
          <w:sz w:val="28"/>
          <w:szCs w:val="28"/>
          <w:highlight w:val="none"/>
        </w:rPr>
        <w:t xml:space="preserve"> </w:t>
      </w:r>
      <w:bookmarkStart w:id="148" w:name="_Toc17934"/>
      <w:r>
        <w:rPr>
          <w:rFonts w:hint="eastAsia" w:ascii="宋体"/>
          <w:b/>
          <w:color w:val="auto"/>
          <w:sz w:val="28"/>
          <w:szCs w:val="28"/>
          <w:highlight w:val="none"/>
        </w:rPr>
        <w:t>合同协议书</w:t>
      </w:r>
      <w:bookmarkEnd w:id="148"/>
    </w:p>
    <w:p>
      <w:pPr>
        <w:shd w:val="clear" w:color="auto" w:fill="auto"/>
        <w:spacing w:line="360" w:lineRule="auto"/>
        <w:ind w:firstLine="480" w:firstLineChars="200"/>
        <w:jc w:val="both"/>
        <w:rPr>
          <w:rFonts w:hint="eastAsia"/>
          <w:color w:val="auto"/>
          <w:highlight w:val="none"/>
          <w:lang w:eastAsia="zh-CN"/>
        </w:rPr>
      </w:pPr>
      <w:r>
        <w:rPr>
          <w:rFonts w:hint="eastAsia" w:ascii="宋体"/>
          <w:color w:val="auto"/>
          <w:sz w:val="24"/>
          <w:highlight w:val="none"/>
          <w:lang w:val="en-US" w:eastAsia="zh-CN"/>
        </w:rPr>
        <w:t>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编号</w:t>
      </w:r>
      <w:r>
        <w:rPr>
          <w:rFonts w:hint="eastAsia" w:ascii="宋体"/>
          <w:color w:val="auto"/>
          <w:sz w:val="24"/>
          <w:highlight w:val="none"/>
          <w:lang w:eastAsia="zh-CN"/>
        </w:rPr>
        <w:t>：</w:t>
      </w:r>
    </w:p>
    <w:p>
      <w:pPr>
        <w:shd w:val="clear" w:color="auto" w:fill="auto"/>
        <w:spacing w:line="420" w:lineRule="exact"/>
        <w:ind w:firstLine="420" w:firstLineChars="200"/>
        <w:rPr>
          <w:rFonts w:hint="eastAsia" w:ascii="宋体" w:cs="宋体"/>
          <w:color w:val="auto"/>
          <w:szCs w:val="21"/>
          <w:highlight w:val="none"/>
        </w:rPr>
      </w:pPr>
      <w:bookmarkStart w:id="149" w:name="_Toc296602498"/>
      <w:bookmarkStart w:id="150" w:name="_Toc246996996"/>
      <w:bookmarkStart w:id="151" w:name="_Toc247085768"/>
      <w:bookmarkStart w:id="152" w:name="_Toc152045610"/>
      <w:bookmarkStart w:id="153" w:name="_Toc179632628"/>
      <w:bookmarkStart w:id="154" w:name="_Toc144974578"/>
      <w:bookmarkStart w:id="155" w:name="_Toc152042388"/>
      <w:bookmarkStart w:id="156" w:name="_Toc246996253"/>
      <w:r>
        <w:rPr>
          <w:rFonts w:hint="eastAsia" w:ascii="宋体" w:cs="宋体"/>
          <w:color w:val="auto"/>
          <w:szCs w:val="21"/>
          <w:highlight w:val="none"/>
        </w:rPr>
        <w:t>买    方：                                   卖    方：</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电    话：                                   电    话：</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w:t>
      </w:r>
      <w:r>
        <w:rPr>
          <w:rFonts w:hint="eastAsia" w:ascii="宋体" w:cs="宋体"/>
          <w:color w:val="auto"/>
          <w:szCs w:val="21"/>
          <w:highlight w:val="none"/>
          <w:lang w:eastAsia="zh-CN"/>
        </w:rPr>
        <w:t>民法典</w:t>
      </w:r>
      <w:r>
        <w:rPr>
          <w:rFonts w:hint="eastAsia" w:ascii="宋体" w:cs="宋体"/>
          <w:color w:val="auto"/>
          <w:szCs w:val="21"/>
          <w:highlight w:val="none"/>
        </w:rPr>
        <w:t>的规定，买卖双方同意按照下述的条款和条件，签署本合同。</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1、本合同文件</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eastAsia="zh-CN"/>
        </w:rPr>
        <w:t>采购文件</w:t>
      </w:r>
      <w:r>
        <w:rPr>
          <w:rFonts w:hint="eastAsia" w:ascii="宋体" w:cs="宋体"/>
          <w:color w:val="auto"/>
          <w:szCs w:val="21"/>
          <w:highlight w:val="none"/>
        </w:rPr>
        <w:t>（2）投标文件（3）中标通知书</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3、合同总价</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合同总价为 </w:t>
      </w:r>
      <w:r>
        <w:rPr>
          <w:rFonts w:hint="eastAsia" w:ascii="宋体" w:cs="宋体"/>
          <w:color w:val="auto"/>
          <w:szCs w:val="21"/>
          <w:highlight w:val="none"/>
          <w:u w:val="single"/>
        </w:rPr>
        <w:t xml:space="preserve">              </w:t>
      </w:r>
      <w:r>
        <w:rPr>
          <w:rFonts w:hint="eastAsia" w:ascii="宋体" w:cs="宋体"/>
          <w:color w:val="auto"/>
          <w:szCs w:val="21"/>
          <w:highlight w:val="none"/>
        </w:rPr>
        <w:t>元人民币。</w:t>
      </w:r>
    </w:p>
    <w:p>
      <w:pPr>
        <w:shd w:val="clear" w:color="auto" w:fill="auto"/>
        <w:autoSpaceDN w:val="0"/>
        <w:spacing w:line="240" w:lineRule="atLeast"/>
        <w:ind w:firstLine="420" w:firstLineChars="200"/>
        <w:rPr>
          <w:rFonts w:hint="eastAsia" w:ascii="宋体" w:hAnsi="宋体" w:cs="宋体"/>
          <w:b/>
          <w:color w:val="auto"/>
          <w:kern w:val="0"/>
          <w:szCs w:val="21"/>
          <w:highlight w:val="none"/>
        </w:rPr>
      </w:pPr>
      <w:r>
        <w:rPr>
          <w:rFonts w:hint="eastAsia" w:ascii="宋体" w:cs="宋体"/>
          <w:color w:val="auto"/>
          <w:szCs w:val="21"/>
          <w:highlight w:val="none"/>
        </w:rPr>
        <w:t>4、付款方式</w:t>
      </w:r>
      <w:r>
        <w:rPr>
          <w:rFonts w:hint="eastAsia" w:ascii="黑体" w:eastAsia="黑体" w:cs="宋体"/>
          <w:b/>
          <w:bCs/>
          <w:color w:val="auto"/>
          <w:szCs w:val="21"/>
          <w:highlight w:val="none"/>
        </w:rPr>
        <w:t>：</w:t>
      </w:r>
      <w:r>
        <w:rPr>
          <w:rFonts w:hint="eastAsia" w:ascii="宋体"/>
          <w:color w:val="auto"/>
          <w:szCs w:val="21"/>
          <w:highlight w:val="none"/>
          <w:u w:val="single"/>
        </w:rPr>
        <w:t xml:space="preserve">                                         。</w:t>
      </w:r>
    </w:p>
    <w:p>
      <w:pPr>
        <w:shd w:val="clear" w:color="auto" w:fill="auto"/>
        <w:spacing w:line="360" w:lineRule="auto"/>
        <w:ind w:firstLine="420" w:firstLineChars="200"/>
        <w:rPr>
          <w:rFonts w:hint="eastAsia" w:ascii="宋体"/>
          <w:color w:val="auto"/>
          <w:szCs w:val="21"/>
          <w:highlight w:val="none"/>
        </w:rPr>
      </w:pPr>
      <w:r>
        <w:rPr>
          <w:rFonts w:hint="eastAsia" w:ascii="宋体" w:cs="宋体"/>
          <w:color w:val="auto"/>
          <w:szCs w:val="21"/>
          <w:highlight w:val="none"/>
        </w:rPr>
        <w:t>5、</w:t>
      </w:r>
      <w:r>
        <w:rPr>
          <w:rFonts w:hint="eastAsia" w:ascii="宋体"/>
          <w:color w:val="auto"/>
          <w:szCs w:val="21"/>
          <w:highlight w:val="none"/>
        </w:rPr>
        <w:t>合同供货（服务）期限及地点和方式</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6、验收要求及违约责任</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7、违约责任及解决争议方法</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8、合同的生效</w:t>
      </w:r>
    </w:p>
    <w:p>
      <w:pPr>
        <w:pStyle w:val="11"/>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合同经双方授权代表签署，买卖双方加盖印章之后生效。</w:t>
      </w:r>
    </w:p>
    <w:p>
      <w:pPr>
        <w:pStyle w:val="11"/>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本合同一式     份，双方各执     份。</w:t>
      </w:r>
    </w:p>
    <w:p>
      <w:pPr>
        <w:pStyle w:val="11"/>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买  方：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卖  方：</w:t>
      </w:r>
    </w:p>
    <w:p>
      <w:pPr>
        <w:pStyle w:val="11"/>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名  称：（盖章）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名  称：（盖章）</w:t>
      </w:r>
    </w:p>
    <w:p>
      <w:pPr>
        <w:pStyle w:val="11"/>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法定代表人（或委托代理人）： （签字） 法定代表人（或委托代理人）：（签字）                        </w:t>
      </w:r>
    </w:p>
    <w:p>
      <w:pPr>
        <w:pStyle w:val="11"/>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地    址：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地    址：</w:t>
      </w:r>
    </w:p>
    <w:p>
      <w:pPr>
        <w:pStyle w:val="11"/>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邮政编码：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邮政编码：</w:t>
      </w:r>
    </w:p>
    <w:p>
      <w:pPr>
        <w:pStyle w:val="11"/>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电    话：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电    话：</w:t>
      </w:r>
    </w:p>
    <w:p>
      <w:pPr>
        <w:pStyle w:val="11"/>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开户银行：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开户银行：</w:t>
      </w:r>
    </w:p>
    <w:p>
      <w:pPr>
        <w:pStyle w:val="11"/>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帐    号：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帐    号：</w:t>
      </w:r>
    </w:p>
    <w:p>
      <w:pPr>
        <w:rPr>
          <w:rFonts w:hint="eastAsia"/>
          <w:color w:val="auto"/>
          <w:highlight w:val="none"/>
        </w:rPr>
      </w:pPr>
    </w:p>
    <w:p>
      <w:pPr>
        <w:pStyle w:val="11"/>
        <w:shd w:val="clear" w:color="auto" w:fill="auto"/>
        <w:spacing w:after="0" w:line="420" w:lineRule="exact"/>
        <w:ind w:left="0" w:leftChars="0"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  合同条款</w:t>
      </w:r>
      <w:bookmarkEnd w:id="149"/>
      <w:bookmarkEnd w:id="150"/>
      <w:bookmarkEnd w:id="151"/>
      <w:bookmarkEnd w:id="152"/>
      <w:bookmarkEnd w:id="153"/>
      <w:bookmarkEnd w:id="154"/>
      <w:bookmarkEnd w:id="155"/>
      <w:bookmarkEnd w:id="156"/>
    </w:p>
    <w:p>
      <w:pPr>
        <w:shd w:val="clear" w:color="auto" w:fill="auto"/>
        <w:spacing w:line="440" w:lineRule="exact"/>
        <w:outlineLvl w:val="1"/>
        <w:rPr>
          <w:rFonts w:hint="eastAsia" w:ascii="宋体" w:cs="宋体"/>
          <w:b/>
          <w:color w:val="auto"/>
          <w:szCs w:val="21"/>
          <w:highlight w:val="none"/>
        </w:rPr>
      </w:pPr>
      <w:bookmarkStart w:id="157" w:name="_Toc14113"/>
      <w:r>
        <w:rPr>
          <w:rFonts w:hint="eastAsia" w:ascii="宋体" w:cs="宋体"/>
          <w:b/>
          <w:color w:val="auto"/>
          <w:szCs w:val="21"/>
          <w:highlight w:val="none"/>
        </w:rPr>
        <w:t>一.  合同文件</w:t>
      </w:r>
      <w:bookmarkEnd w:id="157"/>
    </w:p>
    <w:p>
      <w:pPr>
        <w:shd w:val="clear" w:color="auto" w:fill="auto"/>
        <w:spacing w:line="440" w:lineRule="exact"/>
        <w:outlineLvl w:val="2"/>
        <w:rPr>
          <w:rFonts w:hint="eastAsia" w:ascii="宋体" w:cs="宋体"/>
          <w:color w:val="auto"/>
          <w:szCs w:val="21"/>
          <w:highlight w:val="none"/>
        </w:rPr>
      </w:pPr>
      <w:bookmarkStart w:id="158" w:name="_Toc32162"/>
      <w:r>
        <w:rPr>
          <w:rFonts w:hint="eastAsia" w:ascii="宋体" w:cs="宋体"/>
          <w:color w:val="auto"/>
          <w:szCs w:val="21"/>
          <w:highlight w:val="none"/>
        </w:rPr>
        <w:t>1、合同文件适用法律</w:t>
      </w:r>
      <w:bookmarkEnd w:id="158"/>
    </w:p>
    <w:p>
      <w:pPr>
        <w:shd w:val="clear" w:color="auto" w:fill="auto"/>
        <w:spacing w:line="440" w:lineRule="exact"/>
        <w:ind w:firstLine="630"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pPr>
        <w:shd w:val="clear" w:color="auto" w:fill="auto"/>
        <w:spacing w:line="440" w:lineRule="exact"/>
        <w:outlineLvl w:val="2"/>
        <w:rPr>
          <w:rFonts w:hint="eastAsia" w:ascii="宋体" w:cs="宋体"/>
          <w:color w:val="auto"/>
          <w:szCs w:val="21"/>
          <w:highlight w:val="none"/>
        </w:rPr>
      </w:pPr>
      <w:bookmarkStart w:id="159" w:name="_Toc18336"/>
      <w:r>
        <w:rPr>
          <w:rFonts w:hint="eastAsia" w:ascii="宋体" w:cs="宋体"/>
          <w:color w:val="auto"/>
          <w:szCs w:val="21"/>
          <w:highlight w:val="none"/>
        </w:rPr>
        <w:t>2、合同文件组成和解释顺序</w:t>
      </w:r>
      <w:bookmarkEnd w:id="159"/>
    </w:p>
    <w:p>
      <w:pPr>
        <w:shd w:val="clear" w:color="auto" w:fill="auto"/>
        <w:spacing w:line="440" w:lineRule="exact"/>
        <w:ind w:firstLine="525" w:firstLineChars="250"/>
        <w:outlineLvl w:val="3"/>
        <w:rPr>
          <w:rFonts w:hint="eastAsia" w:ascii="宋体" w:cs="宋体"/>
          <w:color w:val="auto"/>
          <w:szCs w:val="21"/>
          <w:highlight w:val="none"/>
        </w:rPr>
      </w:pPr>
      <w:r>
        <w:rPr>
          <w:rFonts w:hint="eastAsia" w:ascii="宋体" w:cs="宋体"/>
          <w:color w:val="auto"/>
          <w:szCs w:val="21"/>
          <w:highlight w:val="none"/>
        </w:rPr>
        <w:t>(1)合同文件的组成和解释顺序如下：</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&lt;1&gt;合同的主要条款；</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pPr>
        <w:shd w:val="clear" w:color="auto" w:fill="auto"/>
        <w:spacing w:line="440" w:lineRule="exact"/>
        <w:outlineLvl w:val="2"/>
        <w:rPr>
          <w:rFonts w:hint="eastAsia" w:ascii="宋体" w:cs="宋体"/>
          <w:color w:val="auto"/>
          <w:szCs w:val="21"/>
          <w:highlight w:val="none"/>
        </w:rPr>
      </w:pPr>
      <w:bookmarkStart w:id="160" w:name="_Toc4377"/>
      <w:r>
        <w:rPr>
          <w:rFonts w:hint="eastAsia" w:ascii="宋体" w:cs="宋体"/>
          <w:color w:val="auto"/>
          <w:szCs w:val="21"/>
          <w:highlight w:val="none"/>
        </w:rPr>
        <w:t>3、合同文件使用文字</w:t>
      </w:r>
      <w:bookmarkEnd w:id="160"/>
    </w:p>
    <w:p>
      <w:pPr>
        <w:pStyle w:val="7"/>
        <w:shd w:val="clear" w:color="auto" w:fill="auto"/>
        <w:spacing w:line="440" w:lineRule="exact"/>
        <w:ind w:firstLine="525" w:firstLineChars="250"/>
        <w:outlineLvl w:val="3"/>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outlineLvl w:val="1"/>
        <w:rPr>
          <w:rFonts w:hint="eastAsia" w:ascii="宋体" w:cs="宋体"/>
          <w:b/>
          <w:color w:val="auto"/>
          <w:szCs w:val="21"/>
          <w:highlight w:val="none"/>
        </w:rPr>
      </w:pPr>
      <w:bookmarkStart w:id="161" w:name="_Toc32391"/>
      <w:r>
        <w:rPr>
          <w:rFonts w:hint="eastAsia" w:ascii="宋体" w:cs="宋体"/>
          <w:b/>
          <w:color w:val="auto"/>
          <w:szCs w:val="21"/>
          <w:highlight w:val="none"/>
        </w:rPr>
        <w:t>二.  标的物的一般条款</w:t>
      </w:r>
      <w:bookmarkEnd w:id="161"/>
    </w:p>
    <w:p>
      <w:pPr>
        <w:shd w:val="clear" w:color="auto" w:fill="auto"/>
        <w:spacing w:line="440" w:lineRule="exact"/>
        <w:outlineLvl w:val="2"/>
        <w:rPr>
          <w:rFonts w:hint="eastAsia" w:ascii="宋体" w:cs="宋体"/>
          <w:color w:val="auto"/>
          <w:szCs w:val="21"/>
          <w:highlight w:val="none"/>
        </w:rPr>
      </w:pPr>
      <w:bookmarkStart w:id="162" w:name="_Toc22561"/>
      <w:r>
        <w:rPr>
          <w:rFonts w:hint="eastAsia" w:ascii="宋体" w:cs="宋体"/>
          <w:color w:val="auto"/>
          <w:szCs w:val="21"/>
          <w:highlight w:val="none"/>
        </w:rPr>
        <w:t>4、完整物权</w:t>
      </w:r>
      <w:bookmarkEnd w:id="162"/>
    </w:p>
    <w:p>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pPr>
        <w:shd w:val="clear" w:color="auto" w:fill="auto"/>
        <w:spacing w:line="440" w:lineRule="exact"/>
        <w:outlineLvl w:val="2"/>
        <w:rPr>
          <w:rFonts w:hint="eastAsia" w:ascii="宋体" w:cs="宋体"/>
          <w:color w:val="auto"/>
          <w:szCs w:val="21"/>
          <w:highlight w:val="none"/>
        </w:rPr>
      </w:pPr>
      <w:bookmarkStart w:id="163" w:name="_Toc10067"/>
      <w:r>
        <w:rPr>
          <w:rFonts w:hint="eastAsia" w:ascii="宋体" w:cs="宋体"/>
          <w:color w:val="auto"/>
          <w:szCs w:val="21"/>
          <w:highlight w:val="none"/>
        </w:rPr>
        <w:t>5、质量保证</w:t>
      </w:r>
      <w:bookmarkEnd w:id="163"/>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7"/>
        <w:shd w:val="clear" w:color="auto" w:fill="auto"/>
        <w:tabs>
          <w:tab w:val="left" w:pos="900"/>
        </w:tabs>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outlineLvl w:val="2"/>
        <w:rPr>
          <w:rFonts w:hint="eastAsia" w:ascii="宋体" w:cs="宋体"/>
          <w:color w:val="auto"/>
          <w:szCs w:val="21"/>
          <w:highlight w:val="none"/>
        </w:rPr>
      </w:pPr>
      <w:bookmarkStart w:id="164" w:name="_Toc8360"/>
      <w:r>
        <w:rPr>
          <w:rFonts w:hint="eastAsia" w:ascii="宋体" w:cs="宋体"/>
          <w:color w:val="auto"/>
          <w:szCs w:val="21"/>
          <w:highlight w:val="none"/>
        </w:rPr>
        <w:t>6、包装</w:t>
      </w:r>
      <w:bookmarkEnd w:id="164"/>
    </w:p>
    <w:p>
      <w:pPr>
        <w:pStyle w:val="7"/>
        <w:shd w:val="clear" w:color="auto" w:fill="auto"/>
        <w:tabs>
          <w:tab w:val="left" w:pos="900"/>
        </w:tabs>
        <w:spacing w:line="440" w:lineRule="exact"/>
        <w:ind w:firstLine="472"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outlineLvl w:val="2"/>
        <w:rPr>
          <w:rFonts w:hint="eastAsia" w:ascii="宋体" w:cs="宋体"/>
          <w:color w:val="auto"/>
          <w:szCs w:val="21"/>
          <w:highlight w:val="none"/>
        </w:rPr>
      </w:pPr>
      <w:bookmarkStart w:id="165" w:name="_Toc20251"/>
      <w:r>
        <w:rPr>
          <w:rFonts w:hint="eastAsia" w:ascii="宋体" w:cs="宋体"/>
          <w:color w:val="auto"/>
          <w:szCs w:val="21"/>
          <w:highlight w:val="none"/>
        </w:rPr>
        <w:t>7、伴随服务</w:t>
      </w:r>
      <w:bookmarkEnd w:id="165"/>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7"/>
        <w:shd w:val="clear" w:color="auto" w:fill="auto"/>
        <w:overflowPunct w:val="0"/>
        <w:spacing w:line="440" w:lineRule="exact"/>
        <w:ind w:firstLine="525" w:firstLineChars="250"/>
        <w:rPr>
          <w:rFonts w:hint="eastAsia" w:ascii="宋体" w:eastAsia="宋体" w:cs="宋体"/>
          <w:color w:val="auto"/>
          <w:sz w:val="21"/>
          <w:szCs w:val="21"/>
          <w:highlight w:val="none"/>
          <w:u w:val="none" w:color="000000"/>
          <w:lang w:eastAsia="zh-CN"/>
        </w:rPr>
      </w:pPr>
      <w:r>
        <w:rPr>
          <w:rFonts w:hint="eastAsia" w:ascii="宋体" w:cs="宋体"/>
          <w:color w:val="auto"/>
          <w:sz w:val="21"/>
          <w:szCs w:val="21"/>
          <w:highlight w:val="none"/>
          <w:u w:val="none" w:color="000000"/>
        </w:rPr>
        <w:t>&lt;4&gt;对买方技术人员的技术指导或培训</w:t>
      </w:r>
      <w:r>
        <w:rPr>
          <w:rFonts w:hint="eastAsia" w:ascii="宋体" w:cs="宋体"/>
          <w:color w:val="auto"/>
          <w:sz w:val="21"/>
          <w:szCs w:val="21"/>
          <w:highlight w:val="none"/>
          <w:u w:val="none" w:color="000000"/>
          <w:lang w:eastAsia="zh-CN"/>
        </w:rPr>
        <w:t>（必须现场培训一年不少于</w:t>
      </w:r>
      <w:r>
        <w:rPr>
          <w:rFonts w:hint="eastAsia" w:ascii="宋体" w:cs="宋体"/>
          <w:color w:val="auto"/>
          <w:sz w:val="21"/>
          <w:szCs w:val="21"/>
          <w:highlight w:val="none"/>
          <w:u w:val="none" w:color="000000"/>
          <w:lang w:val="en-US" w:eastAsia="zh-CN"/>
        </w:rPr>
        <w:t>2次</w:t>
      </w:r>
      <w:r>
        <w:rPr>
          <w:rFonts w:hint="eastAsia" w:ascii="宋体" w:cs="宋体"/>
          <w:color w:val="auto"/>
          <w:sz w:val="21"/>
          <w:szCs w:val="21"/>
          <w:highlight w:val="none"/>
          <w:u w:val="none" w:color="000000"/>
          <w:lang w:eastAsia="zh-CN"/>
        </w:rPr>
        <w:t>）</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pPr>
        <w:spacing w:line="560" w:lineRule="exact"/>
        <w:ind w:firstLine="422" w:firstLineChars="200"/>
        <w:outlineLvl w:val="1"/>
        <w:rPr>
          <w:rFonts w:hint="eastAsia" w:ascii="宋体" w:hAnsi="宋体" w:eastAsia="宋体" w:cs="宋体"/>
          <w:b/>
          <w:color w:val="auto"/>
          <w:sz w:val="24"/>
          <w:highlight w:val="none"/>
        </w:rPr>
      </w:pPr>
      <w:bookmarkStart w:id="166" w:name="_Toc18140"/>
      <w:r>
        <w:rPr>
          <w:rFonts w:hint="eastAsia" w:ascii="宋体" w:cs="宋体"/>
          <w:b/>
          <w:color w:val="auto"/>
          <w:szCs w:val="21"/>
          <w:highlight w:val="none"/>
        </w:rPr>
        <w:t xml:space="preserve">三. </w:t>
      </w:r>
      <w:r>
        <w:rPr>
          <w:rFonts w:hint="eastAsia" w:ascii="宋体" w:hAnsi="宋体" w:eastAsia="宋体" w:cs="宋体"/>
          <w:b/>
          <w:color w:val="auto"/>
          <w:sz w:val="24"/>
          <w:highlight w:val="none"/>
        </w:rPr>
        <w:t xml:space="preserve"> 检验和验收</w:t>
      </w:r>
      <w:bookmarkEnd w:id="166"/>
    </w:p>
    <w:p>
      <w:pPr>
        <w:tabs>
          <w:tab w:val="left" w:pos="360"/>
          <w:tab w:val="left" w:pos="540"/>
          <w:tab w:val="left" w:pos="1080"/>
        </w:tabs>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tabs>
          <w:tab w:val="left" w:pos="360"/>
          <w:tab w:val="left" w:pos="540"/>
          <w:tab w:val="left" w:pos="1080"/>
        </w:tabs>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3 检验和验收标准、程序等具体内容以及前述验收书的效力详见合同专用条款。</w:t>
      </w:r>
    </w:p>
    <w:p>
      <w:pPr>
        <w:shd w:val="clear" w:color="auto" w:fill="auto"/>
        <w:spacing w:line="440" w:lineRule="exact"/>
        <w:outlineLvl w:val="1"/>
        <w:rPr>
          <w:rFonts w:hint="eastAsia" w:ascii="宋体" w:cs="宋体"/>
          <w:b/>
          <w:color w:val="auto"/>
          <w:szCs w:val="21"/>
          <w:highlight w:val="none"/>
        </w:rPr>
      </w:pPr>
      <w:bookmarkStart w:id="167" w:name="_Toc7931"/>
      <w:r>
        <w:rPr>
          <w:rFonts w:hint="eastAsia" w:ascii="宋体" w:cs="宋体"/>
          <w:b/>
          <w:color w:val="auto"/>
          <w:szCs w:val="21"/>
          <w:highlight w:val="none"/>
        </w:rPr>
        <w:t>四. 对标的物提出异议的时间和办法</w:t>
      </w:r>
      <w:bookmarkEnd w:id="167"/>
    </w:p>
    <w:p>
      <w:pPr>
        <w:shd w:val="clear" w:color="auto" w:fill="auto"/>
        <w:spacing w:line="440" w:lineRule="exact"/>
        <w:outlineLvl w:val="2"/>
        <w:rPr>
          <w:rFonts w:hint="eastAsia" w:ascii="宋体" w:cs="宋体"/>
          <w:color w:val="auto"/>
          <w:szCs w:val="21"/>
          <w:highlight w:val="none"/>
        </w:rPr>
      </w:pPr>
      <w:bookmarkStart w:id="168" w:name="_Toc15979"/>
      <w:r>
        <w:rPr>
          <w:rFonts w:hint="eastAsia" w:ascii="宋体" w:cs="宋体"/>
          <w:color w:val="auto"/>
          <w:szCs w:val="21"/>
          <w:highlight w:val="none"/>
          <w:lang w:val="en-US" w:eastAsia="zh-CN"/>
        </w:rPr>
        <w:t>1</w:t>
      </w:r>
      <w:r>
        <w:rPr>
          <w:rFonts w:hint="eastAsia" w:ascii="宋体" w:cs="宋体"/>
          <w:color w:val="auto"/>
          <w:szCs w:val="21"/>
          <w:highlight w:val="none"/>
        </w:rPr>
        <w:t>、对标的物提出异议的时间和办法</w:t>
      </w:r>
      <w:bookmarkEnd w:id="168"/>
      <w:r>
        <w:rPr>
          <w:rFonts w:hint="eastAsia" w:ascii="宋体" w:cs="宋体"/>
          <w:color w:val="auto"/>
          <w:szCs w:val="21"/>
          <w:highlight w:val="none"/>
        </w:rPr>
        <w:t xml:space="preserve"> </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w:t>
      </w:r>
      <w:r>
        <w:rPr>
          <w:rFonts w:hint="eastAsia" w:ascii="宋体" w:cs="宋体"/>
          <w:color w:val="auto"/>
          <w:sz w:val="21"/>
          <w:szCs w:val="21"/>
          <w:highlight w:val="none"/>
          <w:u w:val="none" w:color="000000"/>
          <w:lang w:val="en-US" w:eastAsia="zh-CN"/>
        </w:rPr>
        <w:t>3</w:t>
      </w:r>
      <w:r>
        <w:rPr>
          <w:rFonts w:hint="eastAsia" w:ascii="宋体" w:cs="宋体"/>
          <w:color w:val="auto"/>
          <w:sz w:val="21"/>
          <w:szCs w:val="21"/>
          <w:highlight w:val="none"/>
          <w:u w:val="none" w:color="000000"/>
        </w:rPr>
        <w:t>天内负责处理问题，否则将视为默认买方提出的异议和处理意见。</w:t>
      </w:r>
    </w:p>
    <w:p>
      <w:pPr>
        <w:shd w:val="clear" w:color="auto" w:fill="auto"/>
        <w:spacing w:line="440" w:lineRule="exact"/>
        <w:outlineLvl w:val="1"/>
        <w:rPr>
          <w:rFonts w:hint="eastAsia" w:ascii="宋体" w:cs="宋体"/>
          <w:b/>
          <w:color w:val="auto"/>
          <w:szCs w:val="21"/>
          <w:highlight w:val="none"/>
        </w:rPr>
      </w:pPr>
      <w:bookmarkStart w:id="169" w:name="_Toc30433"/>
      <w:r>
        <w:rPr>
          <w:rFonts w:hint="eastAsia" w:ascii="宋体" w:cs="宋体"/>
          <w:b/>
          <w:color w:val="auto"/>
          <w:szCs w:val="21"/>
          <w:highlight w:val="none"/>
        </w:rPr>
        <w:t>五. 合同价款和支付</w:t>
      </w:r>
      <w:bookmarkEnd w:id="169"/>
    </w:p>
    <w:p>
      <w:pPr>
        <w:shd w:val="clear" w:color="auto" w:fill="auto"/>
        <w:spacing w:line="440" w:lineRule="exact"/>
        <w:ind w:firstLine="210" w:firstLineChars="100"/>
        <w:outlineLvl w:val="2"/>
        <w:rPr>
          <w:rFonts w:hint="eastAsia" w:ascii="宋体" w:cs="宋体"/>
          <w:color w:val="auto"/>
          <w:szCs w:val="21"/>
          <w:highlight w:val="none"/>
        </w:rPr>
      </w:pPr>
      <w:bookmarkStart w:id="170" w:name="_Toc7837"/>
      <w:r>
        <w:rPr>
          <w:rFonts w:hint="eastAsia" w:ascii="宋体" w:cs="宋体"/>
          <w:color w:val="auto"/>
          <w:szCs w:val="21"/>
          <w:highlight w:val="none"/>
          <w:lang w:val="en-US" w:eastAsia="zh-CN"/>
        </w:rPr>
        <w:t>1.</w:t>
      </w:r>
      <w:r>
        <w:rPr>
          <w:rFonts w:hint="eastAsia" w:ascii="宋体" w:cs="宋体"/>
          <w:color w:val="auto"/>
          <w:szCs w:val="21"/>
          <w:highlight w:val="none"/>
        </w:rPr>
        <w:t>合同价款和支付</w:t>
      </w:r>
      <w:bookmarkEnd w:id="170"/>
    </w:p>
    <w:p>
      <w:pPr>
        <w:pStyle w:val="7"/>
        <w:shd w:val="clear" w:color="auto" w:fill="auto"/>
        <w:overflowPunct w:val="0"/>
        <w:spacing w:line="440" w:lineRule="exact"/>
        <w:ind w:firstLine="525" w:firstLineChars="250"/>
        <w:outlineLvl w:val="3"/>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pPr>
        <w:pStyle w:val="7"/>
        <w:shd w:val="clear" w:color="auto" w:fill="auto"/>
        <w:overflowPunct w:val="0"/>
        <w:spacing w:line="440" w:lineRule="exact"/>
        <w:ind w:firstLine="525" w:firstLineChars="250"/>
        <w:outlineLvl w:val="3"/>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pPr>
        <w:pStyle w:val="7"/>
        <w:shd w:val="clear" w:color="auto" w:fill="auto"/>
        <w:tabs>
          <w:tab w:val="left" w:pos="540"/>
        </w:tabs>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outlineLvl w:val="1"/>
        <w:rPr>
          <w:rFonts w:hint="eastAsia" w:ascii="宋体" w:cs="宋体"/>
          <w:b/>
          <w:color w:val="auto"/>
          <w:szCs w:val="21"/>
          <w:highlight w:val="none"/>
        </w:rPr>
      </w:pPr>
      <w:bookmarkStart w:id="171" w:name="_Toc13252"/>
      <w:r>
        <w:rPr>
          <w:rFonts w:hint="eastAsia" w:ascii="宋体" w:cs="宋体"/>
          <w:b/>
          <w:color w:val="auto"/>
          <w:szCs w:val="21"/>
          <w:highlight w:val="none"/>
        </w:rPr>
        <w:t>六. 违约责任</w:t>
      </w:r>
      <w:bookmarkEnd w:id="171"/>
    </w:p>
    <w:p>
      <w:pPr>
        <w:keepNext w:val="0"/>
        <w:keepLines w:val="0"/>
        <w:pageBreakBefore w:val="0"/>
        <w:kinsoku/>
        <w:wordWrap/>
        <w:overflowPunct/>
        <w:topLinePunct w:val="0"/>
        <w:bidi w:val="0"/>
        <w:spacing w:line="400" w:lineRule="exact"/>
        <w:ind w:firstLine="482" w:firstLineChars="200"/>
        <w:textAlignment w:val="auto"/>
        <w:outlineLvl w:val="2"/>
        <w:rPr>
          <w:rFonts w:hint="eastAsia" w:ascii="宋体" w:hAnsi="宋体" w:eastAsia="宋体" w:cs="宋体"/>
          <w:b/>
          <w:bCs/>
          <w:color w:val="auto"/>
          <w:kern w:val="0"/>
          <w:sz w:val="24"/>
          <w:szCs w:val="24"/>
          <w:highlight w:val="none"/>
          <w:lang w:val="en-US" w:eastAsia="zh-CN" w:bidi="ar"/>
        </w:rPr>
      </w:pPr>
      <w:bookmarkStart w:id="172" w:name="_Toc4140"/>
      <w:r>
        <w:rPr>
          <w:rFonts w:hint="eastAsia" w:ascii="宋体" w:hAnsi="宋体" w:cs="宋体"/>
          <w:b/>
          <w:bCs/>
          <w:color w:val="auto"/>
          <w:kern w:val="0"/>
          <w:sz w:val="24"/>
          <w:szCs w:val="24"/>
          <w:highlight w:val="none"/>
          <w:lang w:val="en-US" w:eastAsia="zh-CN" w:bidi="ar"/>
        </w:rPr>
        <w:t>1</w:t>
      </w:r>
      <w:r>
        <w:rPr>
          <w:rFonts w:hint="eastAsia" w:ascii="宋体" w:hAnsi="宋体" w:eastAsia="宋体" w:cs="宋体"/>
          <w:b/>
          <w:bCs/>
          <w:color w:val="auto"/>
          <w:kern w:val="0"/>
          <w:sz w:val="24"/>
          <w:szCs w:val="24"/>
          <w:highlight w:val="none"/>
          <w:lang w:val="en-US" w:eastAsia="zh-CN" w:bidi="ar"/>
        </w:rPr>
        <w:t>、违约责任：</w:t>
      </w:r>
      <w:bookmarkEnd w:id="172"/>
    </w:p>
    <w:p>
      <w:pPr>
        <w:keepNext w:val="0"/>
        <w:keepLines w:val="0"/>
        <w:pageBreakBefore w:val="0"/>
        <w:kinsoku/>
        <w:wordWrap/>
        <w:overflowPunct/>
        <w:topLinePunct w:val="0"/>
        <w:bidi w:val="0"/>
        <w:spacing w:line="400" w:lineRule="exact"/>
        <w:ind w:firstLine="420" w:firstLineChars="20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cs="宋体"/>
          <w:color w:val="auto"/>
          <w:kern w:val="0"/>
          <w:sz w:val="21"/>
          <w:szCs w:val="21"/>
          <w:highlight w:val="none"/>
          <w:u w:val="none" w:color="000000"/>
          <w:lang w:val="en-US" w:eastAsia="zh-CN" w:bidi="ar-SA"/>
        </w:rPr>
        <w:t>供应商</w:t>
      </w:r>
      <w:r>
        <w:rPr>
          <w:rFonts w:hint="eastAsia" w:ascii="宋体" w:hAnsi="Times New Roman" w:eastAsia="宋体" w:cs="宋体"/>
          <w:color w:val="auto"/>
          <w:kern w:val="0"/>
          <w:sz w:val="21"/>
          <w:szCs w:val="21"/>
          <w:highlight w:val="none"/>
          <w:u w:val="none" w:color="000000"/>
          <w:lang w:val="en-US" w:eastAsia="zh-CN" w:bidi="ar-SA"/>
        </w:rPr>
        <w:t>在工作时有下列行为，采购人将采取终止合同、列入黑名单及拒绝支付审计费用等处理处罚措施，涉嫌犯罪的，移送司法机关依法追究责任：</w:t>
      </w:r>
    </w:p>
    <w:p>
      <w:pPr>
        <w:keepNext w:val="0"/>
        <w:keepLines w:val="0"/>
        <w:pageBreakBefore w:val="0"/>
        <w:numPr>
          <w:ilvl w:val="0"/>
          <w:numId w:val="0"/>
        </w:numPr>
        <w:kinsoku/>
        <w:wordWrap/>
        <w:overflowPunct/>
        <w:topLinePunct w:val="0"/>
        <w:bidi w:val="0"/>
        <w:spacing w:line="400" w:lineRule="exact"/>
        <w:ind w:left="700" w:leftChars="0"/>
        <w:textAlignment w:val="auto"/>
        <w:outlineLvl w:val="3"/>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(1)将受托业务转包或分包给其他中介机构或个人；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(2)未按委托要求实施程序导致应发现问题而未发现，或故意隐瞒存在问题；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(3)全过程服务工作存在严重质量问题；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(4)拒绝接受委托方监督、检查、指导；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(5)索取、收受委托合同约定以外的酬金或者其他财物，或者利用执行业务之便，谋取其他不正当的利益；</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(6)泄露国家秘密、公安工作秘密和相关单位商业秘密；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(7)其他违反执业规范和执业道德及违法违纪行为。</w:t>
      </w:r>
    </w:p>
    <w:p>
      <w:pPr>
        <w:shd w:val="clear" w:color="auto" w:fill="auto"/>
        <w:spacing w:line="440" w:lineRule="exact"/>
        <w:outlineLvl w:val="1"/>
        <w:rPr>
          <w:rFonts w:hint="eastAsia" w:ascii="宋体" w:cs="宋体"/>
          <w:b/>
          <w:color w:val="auto"/>
          <w:szCs w:val="21"/>
          <w:highlight w:val="none"/>
        </w:rPr>
      </w:pPr>
      <w:bookmarkStart w:id="173" w:name="_Toc9357"/>
      <w:r>
        <w:rPr>
          <w:rFonts w:hint="eastAsia" w:ascii="宋体" w:cs="宋体"/>
          <w:b/>
          <w:color w:val="auto"/>
          <w:szCs w:val="21"/>
          <w:highlight w:val="none"/>
        </w:rPr>
        <w:t>七. 索赔</w:t>
      </w:r>
      <w:bookmarkEnd w:id="173"/>
    </w:p>
    <w:p>
      <w:pPr>
        <w:shd w:val="clear" w:color="auto" w:fill="auto"/>
        <w:spacing w:line="440" w:lineRule="exact"/>
        <w:outlineLvl w:val="2"/>
        <w:rPr>
          <w:rFonts w:hint="eastAsia" w:ascii="宋体" w:cs="宋体"/>
          <w:color w:val="auto"/>
          <w:szCs w:val="21"/>
          <w:highlight w:val="none"/>
        </w:rPr>
      </w:pPr>
      <w:bookmarkStart w:id="174" w:name="_Toc13075"/>
      <w:r>
        <w:rPr>
          <w:rFonts w:hint="eastAsia" w:ascii="宋体" w:cs="宋体"/>
          <w:color w:val="auto"/>
          <w:szCs w:val="21"/>
          <w:highlight w:val="none"/>
          <w:lang w:val="en-US" w:eastAsia="zh-CN"/>
        </w:rPr>
        <w:t>1</w:t>
      </w:r>
      <w:r>
        <w:rPr>
          <w:rFonts w:hint="eastAsia" w:ascii="宋体" w:cs="宋体"/>
          <w:color w:val="auto"/>
          <w:szCs w:val="21"/>
          <w:highlight w:val="none"/>
        </w:rPr>
        <w:t>、索赔</w:t>
      </w:r>
      <w:bookmarkEnd w:id="174"/>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outlineLvl w:val="1"/>
        <w:rPr>
          <w:rFonts w:hint="eastAsia" w:ascii="宋体" w:cs="宋体"/>
          <w:b/>
          <w:color w:val="auto"/>
          <w:szCs w:val="21"/>
          <w:highlight w:val="none"/>
        </w:rPr>
      </w:pPr>
      <w:bookmarkStart w:id="175" w:name="_Toc2866"/>
      <w:r>
        <w:rPr>
          <w:rFonts w:hint="eastAsia" w:ascii="宋体" w:cs="宋体"/>
          <w:b/>
          <w:color w:val="auto"/>
          <w:szCs w:val="21"/>
          <w:highlight w:val="none"/>
        </w:rPr>
        <w:t>八. 履约保证金</w:t>
      </w:r>
      <w:bookmarkEnd w:id="175"/>
    </w:p>
    <w:p>
      <w:pPr>
        <w:shd w:val="clear" w:color="auto" w:fill="auto"/>
        <w:spacing w:line="440" w:lineRule="exact"/>
        <w:outlineLvl w:val="2"/>
        <w:rPr>
          <w:rFonts w:hint="eastAsia" w:ascii="宋体" w:cs="宋体"/>
          <w:color w:val="auto"/>
          <w:szCs w:val="21"/>
          <w:highlight w:val="none"/>
        </w:rPr>
      </w:pPr>
      <w:bookmarkStart w:id="176" w:name="_Toc943"/>
      <w:r>
        <w:rPr>
          <w:rFonts w:hint="eastAsia" w:ascii="宋体" w:cs="宋体"/>
          <w:color w:val="auto"/>
          <w:szCs w:val="21"/>
          <w:highlight w:val="none"/>
          <w:lang w:val="en-US" w:eastAsia="zh-CN"/>
        </w:rPr>
        <w:t>1</w:t>
      </w:r>
      <w:r>
        <w:rPr>
          <w:rFonts w:hint="eastAsia" w:ascii="宋体" w:cs="宋体"/>
          <w:color w:val="auto"/>
          <w:szCs w:val="21"/>
          <w:highlight w:val="none"/>
        </w:rPr>
        <w:t>、履约保证金</w:t>
      </w:r>
      <w:bookmarkEnd w:id="176"/>
    </w:p>
    <w:p>
      <w:pPr>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（1）采购文件要求乙方提交履约保证金的，乙方应按合同专用条款约定的方式，以电汇、转账、网银汇款</w:t>
      </w:r>
      <w:r>
        <w:rPr>
          <w:rFonts w:hint="eastAsia" w:ascii="宋体" w:cs="宋体"/>
          <w:color w:val="auto"/>
          <w:kern w:val="0"/>
          <w:sz w:val="21"/>
          <w:szCs w:val="21"/>
          <w:highlight w:val="none"/>
          <w:u w:val="none" w:color="000000"/>
          <w:lang w:val="en-US" w:eastAsia="zh-CN" w:bidi="ar-SA"/>
        </w:rPr>
        <w:t>、保函</w:t>
      </w:r>
      <w:r>
        <w:rPr>
          <w:rFonts w:hint="eastAsia" w:ascii="宋体" w:hAnsi="Times New Roman" w:eastAsia="宋体" w:cs="宋体"/>
          <w:color w:val="auto"/>
          <w:kern w:val="0"/>
          <w:sz w:val="21"/>
          <w:szCs w:val="21"/>
          <w:highlight w:val="none"/>
          <w:u w:val="none" w:color="000000"/>
          <w:lang w:val="en-US" w:eastAsia="zh-CN" w:bidi="ar-SA"/>
        </w:rPr>
        <w:t>等非现金形式，提交合同价10%的履约保证金；</w:t>
      </w:r>
    </w:p>
    <w:p>
      <w:pPr>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（2）履约保证金在合同专用条款约定期间内或者服务质量保证期内不予退还或者应完全有效，前述约定期间届满或者服务质量保证期届满之日起 5 个工作日内，甲方应将履约保证金退还乙方；</w:t>
      </w:r>
    </w:p>
    <w:p>
      <w:pPr>
        <w:shd w:val="clear" w:color="auto" w:fill="auto"/>
        <w:spacing w:line="440" w:lineRule="exact"/>
        <w:rPr>
          <w:rFonts w:hint="eastAsia" w:ascii="宋体" w:cs="宋体"/>
          <w:b/>
          <w:color w:val="auto"/>
          <w:szCs w:val="21"/>
          <w:highlight w:val="none"/>
        </w:rPr>
      </w:pPr>
    </w:p>
    <w:p>
      <w:pPr>
        <w:shd w:val="clear" w:color="auto" w:fill="auto"/>
        <w:spacing w:line="440" w:lineRule="exact"/>
        <w:outlineLvl w:val="1"/>
        <w:rPr>
          <w:rFonts w:hint="eastAsia" w:ascii="宋体" w:cs="宋体"/>
          <w:b/>
          <w:color w:val="auto"/>
          <w:szCs w:val="21"/>
          <w:highlight w:val="none"/>
        </w:rPr>
      </w:pPr>
      <w:bookmarkStart w:id="177" w:name="_Toc13277"/>
      <w:r>
        <w:rPr>
          <w:rFonts w:hint="eastAsia" w:ascii="宋体" w:cs="宋体"/>
          <w:b/>
          <w:color w:val="auto"/>
          <w:szCs w:val="21"/>
          <w:highlight w:val="none"/>
        </w:rPr>
        <w:t>九.  合同的解除和转让</w:t>
      </w:r>
      <w:bookmarkEnd w:id="177"/>
    </w:p>
    <w:p>
      <w:pPr>
        <w:shd w:val="clear" w:color="auto" w:fill="auto"/>
        <w:spacing w:line="440" w:lineRule="exact"/>
        <w:outlineLvl w:val="2"/>
        <w:rPr>
          <w:rFonts w:hint="eastAsia" w:ascii="宋体" w:cs="宋体"/>
          <w:color w:val="auto"/>
          <w:szCs w:val="21"/>
          <w:highlight w:val="none"/>
        </w:rPr>
      </w:pPr>
      <w:bookmarkStart w:id="178" w:name="_Toc16853"/>
      <w:r>
        <w:rPr>
          <w:rFonts w:hint="eastAsia" w:ascii="宋体" w:cs="宋体"/>
          <w:color w:val="auto"/>
          <w:szCs w:val="21"/>
          <w:highlight w:val="none"/>
          <w:lang w:val="en-US" w:eastAsia="zh-CN"/>
        </w:rPr>
        <w:t>1</w:t>
      </w:r>
      <w:r>
        <w:rPr>
          <w:rFonts w:hint="eastAsia" w:ascii="宋体" w:cs="宋体"/>
          <w:color w:val="auto"/>
          <w:szCs w:val="21"/>
          <w:highlight w:val="none"/>
        </w:rPr>
        <w:t>、合同的解除</w:t>
      </w:r>
      <w:bookmarkEnd w:id="178"/>
    </w:p>
    <w:p>
      <w:pPr>
        <w:pStyle w:val="7"/>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pPr>
        <w:pStyle w:val="7"/>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pPr>
        <w:pStyle w:val="7"/>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pPr>
        <w:pStyle w:val="7"/>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pPr>
        <w:pStyle w:val="7"/>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outlineLvl w:val="2"/>
        <w:rPr>
          <w:rFonts w:hint="eastAsia" w:ascii="宋体" w:cs="宋体"/>
          <w:color w:val="auto"/>
          <w:szCs w:val="21"/>
          <w:highlight w:val="none"/>
        </w:rPr>
      </w:pPr>
      <w:bookmarkStart w:id="179" w:name="_Toc14866"/>
      <w:r>
        <w:rPr>
          <w:rFonts w:hint="eastAsia" w:ascii="宋体" w:cs="宋体"/>
          <w:color w:val="auto"/>
          <w:szCs w:val="21"/>
          <w:highlight w:val="none"/>
          <w:lang w:val="en-US" w:eastAsia="zh-CN"/>
        </w:rPr>
        <w:t>2</w:t>
      </w:r>
      <w:r>
        <w:rPr>
          <w:rFonts w:hint="eastAsia" w:ascii="宋体" w:cs="宋体"/>
          <w:color w:val="auto"/>
          <w:szCs w:val="21"/>
          <w:highlight w:val="none"/>
        </w:rPr>
        <w:t>、合同的转让</w:t>
      </w:r>
      <w:bookmarkEnd w:id="179"/>
    </w:p>
    <w:p>
      <w:pPr>
        <w:shd w:val="clear" w:color="auto" w:fill="auto"/>
        <w:spacing w:line="440" w:lineRule="exact"/>
        <w:rPr>
          <w:rFonts w:hint="eastAsia" w:ascii="宋体" w:cs="宋体"/>
          <w:b/>
          <w:color w:val="auto"/>
          <w:szCs w:val="21"/>
          <w:highlight w:val="none"/>
        </w:rPr>
      </w:pPr>
      <w:r>
        <w:rPr>
          <w:rFonts w:hint="eastAsia" w:ascii="宋体" w:cs="宋体"/>
          <w:color w:val="auto"/>
          <w:szCs w:val="21"/>
          <w:highlight w:val="none"/>
        </w:rPr>
        <w:t xml:space="preserve">    合同的部分和全部都不得转让。</w:t>
      </w:r>
    </w:p>
    <w:p>
      <w:pPr>
        <w:shd w:val="clear" w:color="auto" w:fill="auto"/>
        <w:spacing w:line="440" w:lineRule="exact"/>
        <w:outlineLvl w:val="1"/>
        <w:rPr>
          <w:rFonts w:hint="eastAsia" w:ascii="宋体" w:cs="宋体"/>
          <w:b/>
          <w:color w:val="auto"/>
          <w:szCs w:val="21"/>
          <w:highlight w:val="none"/>
        </w:rPr>
      </w:pPr>
      <w:bookmarkStart w:id="180" w:name="_Toc12764"/>
      <w:r>
        <w:rPr>
          <w:rFonts w:hint="eastAsia" w:ascii="宋体" w:cs="宋体"/>
          <w:b/>
          <w:color w:val="auto"/>
          <w:szCs w:val="21"/>
          <w:highlight w:val="none"/>
        </w:rPr>
        <w:t>十. 合同的生效</w:t>
      </w:r>
      <w:bookmarkEnd w:id="180"/>
    </w:p>
    <w:p>
      <w:pPr>
        <w:shd w:val="clear" w:color="auto" w:fill="auto"/>
        <w:spacing w:line="440" w:lineRule="exact"/>
        <w:outlineLvl w:val="2"/>
        <w:rPr>
          <w:rFonts w:hint="eastAsia" w:ascii="宋体" w:cs="宋体"/>
          <w:color w:val="auto"/>
          <w:szCs w:val="21"/>
          <w:highlight w:val="none"/>
        </w:rPr>
      </w:pPr>
      <w:bookmarkStart w:id="181" w:name="_Toc5164"/>
      <w:r>
        <w:rPr>
          <w:rFonts w:hint="eastAsia" w:ascii="宋体" w:cs="宋体"/>
          <w:color w:val="auto"/>
          <w:szCs w:val="21"/>
          <w:highlight w:val="none"/>
          <w:lang w:val="en-US" w:eastAsia="zh-CN"/>
        </w:rPr>
        <w:t>1</w:t>
      </w:r>
      <w:r>
        <w:rPr>
          <w:rFonts w:hint="eastAsia" w:ascii="宋体" w:cs="宋体"/>
          <w:color w:val="auto"/>
          <w:szCs w:val="21"/>
          <w:highlight w:val="none"/>
        </w:rPr>
        <w:t>、合同的生效</w:t>
      </w:r>
      <w:bookmarkEnd w:id="181"/>
    </w:p>
    <w:p>
      <w:pPr>
        <w:shd w:val="clear" w:color="auto" w:fill="auto"/>
        <w:spacing w:line="440" w:lineRule="exact"/>
        <w:ind w:firstLine="581"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pPr>
        <w:shd w:val="clear" w:color="auto" w:fill="auto"/>
        <w:spacing w:line="440" w:lineRule="exact"/>
        <w:outlineLvl w:val="1"/>
        <w:rPr>
          <w:rFonts w:hint="eastAsia" w:ascii="宋体" w:cs="宋体"/>
          <w:b/>
          <w:color w:val="auto"/>
          <w:szCs w:val="21"/>
          <w:highlight w:val="none"/>
        </w:rPr>
      </w:pPr>
      <w:bookmarkStart w:id="182" w:name="_Toc3748"/>
      <w:r>
        <w:rPr>
          <w:rFonts w:hint="eastAsia" w:ascii="宋体" w:cs="宋体"/>
          <w:b/>
          <w:color w:val="auto"/>
          <w:szCs w:val="21"/>
          <w:highlight w:val="none"/>
        </w:rPr>
        <w:t>十一. 争议解决</w:t>
      </w:r>
      <w:bookmarkEnd w:id="182"/>
    </w:p>
    <w:p>
      <w:pPr>
        <w:shd w:val="clear" w:color="auto" w:fill="auto"/>
        <w:spacing w:line="440" w:lineRule="exact"/>
        <w:ind w:firstLine="210" w:firstLineChars="100"/>
        <w:outlineLvl w:val="2"/>
        <w:rPr>
          <w:rFonts w:hint="eastAsia" w:ascii="宋体" w:cs="宋体"/>
          <w:color w:val="auto"/>
          <w:szCs w:val="21"/>
          <w:highlight w:val="none"/>
        </w:rPr>
      </w:pPr>
      <w:bookmarkStart w:id="183" w:name="_Toc32689"/>
      <w:r>
        <w:rPr>
          <w:rFonts w:hint="eastAsia" w:ascii="宋体" w:cs="宋体"/>
          <w:color w:val="auto"/>
          <w:szCs w:val="21"/>
          <w:highlight w:val="none"/>
          <w:lang w:val="en-US" w:eastAsia="zh-CN"/>
        </w:rPr>
        <w:t>1</w:t>
      </w:r>
      <w:r>
        <w:rPr>
          <w:rFonts w:hint="eastAsia" w:ascii="宋体" w:cs="宋体"/>
          <w:color w:val="auto"/>
          <w:szCs w:val="21"/>
          <w:highlight w:val="none"/>
        </w:rPr>
        <w:t>、争议解决</w:t>
      </w:r>
      <w:bookmarkEnd w:id="183"/>
    </w:p>
    <w:p>
      <w:pPr>
        <w:pStyle w:val="7"/>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pPr>
        <w:pStyle w:val="7"/>
        <w:shd w:val="clear" w:color="auto" w:fill="auto"/>
        <w:tabs>
          <w:tab w:val="left" w:pos="900"/>
        </w:tabs>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pPr>
        <w:shd w:val="clear" w:color="auto" w:fill="auto"/>
        <w:spacing w:line="440" w:lineRule="exact"/>
        <w:outlineLvl w:val="1"/>
        <w:rPr>
          <w:rFonts w:hint="eastAsia" w:ascii="宋体" w:cs="宋体"/>
          <w:b/>
          <w:color w:val="auto"/>
          <w:szCs w:val="21"/>
          <w:highlight w:val="none"/>
        </w:rPr>
      </w:pPr>
      <w:bookmarkStart w:id="184" w:name="_Toc32031"/>
      <w:r>
        <w:rPr>
          <w:rFonts w:hint="eastAsia" w:ascii="宋体" w:cs="宋体"/>
          <w:b/>
          <w:color w:val="auto"/>
          <w:szCs w:val="21"/>
          <w:highlight w:val="none"/>
        </w:rPr>
        <w:t>十二 .附则</w:t>
      </w:r>
      <w:bookmarkEnd w:id="184"/>
    </w:p>
    <w:p>
      <w:pPr>
        <w:shd w:val="clear" w:color="auto" w:fill="auto"/>
        <w:spacing w:line="440" w:lineRule="exact"/>
        <w:ind w:firstLine="210" w:firstLineChars="100"/>
        <w:outlineLvl w:val="2"/>
        <w:rPr>
          <w:rFonts w:hint="eastAsia" w:ascii="宋体" w:cs="宋体"/>
          <w:color w:val="auto"/>
          <w:szCs w:val="21"/>
          <w:highlight w:val="none"/>
        </w:rPr>
      </w:pPr>
      <w:bookmarkStart w:id="185" w:name="_Toc32069"/>
      <w:r>
        <w:rPr>
          <w:rFonts w:hint="eastAsia" w:ascii="宋体" w:cs="宋体"/>
          <w:color w:val="auto"/>
          <w:szCs w:val="21"/>
          <w:highlight w:val="none"/>
          <w:lang w:val="en-US" w:eastAsia="zh-CN"/>
        </w:rPr>
        <w:t>1</w:t>
      </w:r>
      <w:r>
        <w:rPr>
          <w:rFonts w:hint="eastAsia" w:ascii="宋体" w:cs="宋体"/>
          <w:color w:val="auto"/>
          <w:szCs w:val="21"/>
          <w:highlight w:val="none"/>
        </w:rPr>
        <w:t>、合同份数。</w:t>
      </w:r>
      <w:bookmarkEnd w:id="185"/>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本合同一式陆份，买卖双方各执二份，招标代理机构一份，招标采购管理部门一份。</w:t>
      </w:r>
    </w:p>
    <w:p>
      <w:pPr>
        <w:shd w:val="clear" w:color="auto" w:fill="auto"/>
        <w:spacing w:line="440" w:lineRule="exact"/>
        <w:ind w:firstLine="210" w:firstLineChars="100"/>
        <w:outlineLvl w:val="2"/>
        <w:rPr>
          <w:rFonts w:hint="eastAsia" w:ascii="宋体" w:cs="宋体"/>
          <w:color w:val="auto"/>
          <w:szCs w:val="21"/>
          <w:highlight w:val="none"/>
        </w:rPr>
      </w:pPr>
      <w:bookmarkStart w:id="186" w:name="_Toc5360"/>
      <w:r>
        <w:rPr>
          <w:rFonts w:hint="eastAsia" w:ascii="宋体" w:cs="宋体"/>
          <w:color w:val="auto"/>
          <w:szCs w:val="21"/>
          <w:highlight w:val="none"/>
          <w:lang w:val="en-US" w:eastAsia="zh-CN"/>
        </w:rPr>
        <w:t>2</w:t>
      </w:r>
      <w:r>
        <w:rPr>
          <w:rFonts w:hint="eastAsia" w:ascii="宋体" w:cs="宋体"/>
          <w:color w:val="auto"/>
          <w:szCs w:val="21"/>
          <w:highlight w:val="none"/>
        </w:rPr>
        <w:t>、未尽事宜</w:t>
      </w:r>
      <w:bookmarkEnd w:id="186"/>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w:t>
      </w:r>
      <w:r>
        <w:rPr>
          <w:rFonts w:hint="eastAsia" w:ascii="宋体" w:cs="宋体"/>
          <w:color w:val="auto"/>
          <w:szCs w:val="21"/>
          <w:highlight w:val="none"/>
          <w:lang w:eastAsia="zh-CN"/>
        </w:rPr>
        <w:t>民法典</w:t>
      </w:r>
      <w:r>
        <w:rPr>
          <w:rFonts w:hint="eastAsia" w:ascii="宋体" w:cs="宋体"/>
          <w:color w:val="auto"/>
          <w:szCs w:val="21"/>
          <w:highlight w:val="none"/>
        </w:rPr>
        <w:t>》、《中华人民共和国产品质量法》之规定解释。</w:t>
      </w:r>
    </w:p>
    <w:p>
      <w:pPr>
        <w:pStyle w:val="11"/>
        <w:shd w:val="clear" w:color="auto" w:fill="auto"/>
        <w:spacing w:after="0" w:line="400" w:lineRule="exact"/>
        <w:ind w:left="0" w:leftChars="0" w:firstLine="480" w:firstLineChars="200"/>
        <w:rPr>
          <w:rFonts w:hint="eastAsia"/>
          <w:color w:val="auto"/>
          <w:kern w:val="0"/>
          <w:sz w:val="24"/>
          <w:szCs w:val="20"/>
          <w:highlight w:val="none"/>
          <w:u w:val="none" w:color="000000"/>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p>
    <w:p>
      <w:pPr>
        <w:spacing w:line="240" w:lineRule="auto"/>
        <w:jc w:val="center"/>
        <w:outlineLvl w:val="0"/>
        <w:rPr>
          <w:rFonts w:hint="eastAsia" w:ascii="宋体" w:hAnsi="宋体" w:eastAsia="宋体" w:cs="宋体"/>
          <w:b/>
          <w:bCs/>
          <w:color w:val="auto"/>
          <w:kern w:val="36"/>
          <w:sz w:val="36"/>
          <w:szCs w:val="36"/>
          <w:highlight w:val="none"/>
          <w:lang w:val="en-US" w:eastAsia="zh-CN"/>
        </w:rPr>
      </w:pPr>
      <w:bookmarkStart w:id="187" w:name="_Toc16715"/>
      <w:r>
        <w:rPr>
          <w:rFonts w:hint="eastAsia" w:ascii="宋体" w:hAnsi="宋体" w:eastAsia="宋体" w:cs="宋体"/>
          <w:b/>
          <w:bCs/>
          <w:color w:val="auto"/>
          <w:kern w:val="36"/>
          <w:sz w:val="36"/>
          <w:szCs w:val="36"/>
          <w:highlight w:val="none"/>
          <w:lang w:val="en-US" w:eastAsia="zh-CN"/>
        </w:rPr>
        <w:t>第六章  投标文件格式</w:t>
      </w:r>
      <w:bookmarkEnd w:id="187"/>
    </w:p>
    <w:p>
      <w:pPr>
        <w:shd w:val="clear" w:color="auto" w:fill="auto"/>
        <w:spacing w:line="240" w:lineRule="atLeast"/>
        <w:ind w:left="735" w:leftChars="350" w:firstLine="120" w:firstLineChars="50"/>
        <w:rPr>
          <w:rFonts w:hint="eastAsia" w:ascii="仿宋" w:hAnsi="仿宋" w:eastAsia="仿宋" w:cs="仿宋"/>
          <w:color w:val="auto"/>
          <w:sz w:val="24"/>
          <w:highlight w:val="none"/>
        </w:rPr>
      </w:pPr>
    </w:p>
    <w:p>
      <w:pPr>
        <w:pStyle w:val="4"/>
        <w:numPr>
          <w:ilvl w:val="0"/>
          <w:numId w:val="0"/>
        </w:numPr>
        <w:shd w:val="clear" w:color="auto" w:fill="auto"/>
        <w:spacing w:before="0" w:line="240" w:lineRule="atLeast"/>
        <w:outlineLvl w:val="0"/>
        <w:rPr>
          <w:rFonts w:hint="eastAsia" w:ascii="宋体" w:hAnsi="宋体" w:eastAsia="宋体" w:cs="宋体"/>
          <w:color w:val="auto"/>
          <w:sz w:val="24"/>
          <w:highlight w:val="none"/>
        </w:rPr>
      </w:pPr>
      <w:bookmarkStart w:id="188" w:name="_Toc18974"/>
      <w:bookmarkStart w:id="189" w:name="_Toc8919"/>
      <w:bookmarkStart w:id="190" w:name="_Toc515647803"/>
      <w:bookmarkStart w:id="191" w:name="_Toc18694"/>
      <w:bookmarkStart w:id="192" w:name="_Toc28432"/>
      <w:r>
        <w:rPr>
          <w:rFonts w:hint="eastAsia" w:ascii="宋体" w:hAnsi="宋体" w:eastAsia="宋体" w:cs="宋体"/>
          <w:b/>
          <w:bCs/>
          <w:color w:val="auto"/>
          <w:sz w:val="24"/>
          <w:highlight w:val="none"/>
        </w:rPr>
        <w:t>第一部分 资格证明文件</w:t>
      </w:r>
      <w:bookmarkEnd w:id="188"/>
      <w:bookmarkEnd w:id="189"/>
      <w:bookmarkEnd w:id="190"/>
      <w:bookmarkEnd w:id="191"/>
      <w:bookmarkEnd w:id="192"/>
    </w:p>
    <w:p>
      <w:pPr>
        <w:shd w:val="clear" w:color="auto" w:fill="auto"/>
        <w:spacing w:line="240" w:lineRule="atLeast"/>
        <w:ind w:left="708" w:hanging="708" w:hangingChars="295"/>
        <w:jc w:val="center"/>
        <w:rPr>
          <w:rFonts w:hint="eastAsia" w:ascii="宋体" w:hAnsi="宋体" w:eastAsia="宋体" w:cs="宋体"/>
          <w:color w:val="auto"/>
          <w:sz w:val="24"/>
          <w:highlight w:val="none"/>
        </w:rPr>
      </w:pP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w:t>
      </w:r>
      <w:r>
        <w:rPr>
          <w:rFonts w:hint="eastAsia" w:ascii="宋体" w:hAnsi="宋体" w:cs="Times New Roman"/>
          <w:color w:val="auto"/>
          <w:szCs w:val="21"/>
          <w:highlight w:val="none"/>
          <w:lang w:val="en-US" w:eastAsia="zh-CN"/>
        </w:rPr>
        <w:t>扫描</w:t>
      </w:r>
      <w:r>
        <w:rPr>
          <w:rFonts w:hint="eastAsia" w:ascii="宋体" w:hAnsi="宋体" w:eastAsia="宋体" w:cs="Times New Roman"/>
          <w:color w:val="auto"/>
          <w:szCs w:val="21"/>
          <w:highlight w:val="none"/>
          <w:lang w:val="en-US" w:eastAsia="zh-CN"/>
        </w:rPr>
        <w:t>件（须加盖本单位章）或自然人的身份证明</w:t>
      </w:r>
      <w:r>
        <w:rPr>
          <w:rFonts w:hint="eastAsia" w:ascii="宋体" w:hAnsi="宋体" w:cs="Times New Roman"/>
          <w:color w:val="auto"/>
          <w:szCs w:val="21"/>
          <w:highlight w:val="none"/>
          <w:lang w:val="en-US" w:eastAsia="zh-CN"/>
        </w:rPr>
        <w:t>扫描</w:t>
      </w:r>
      <w:r>
        <w:rPr>
          <w:rFonts w:hint="eastAsia" w:ascii="宋体" w:hAnsi="宋体" w:eastAsia="宋体" w:cs="Times New Roman"/>
          <w:color w:val="auto"/>
          <w:szCs w:val="21"/>
          <w:highlight w:val="none"/>
          <w:lang w:val="en-US" w:eastAsia="zh-CN"/>
        </w:rPr>
        <w:t>件;</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r>
        <w:rPr>
          <w:rFonts w:hint="eastAsia" w:ascii="宋体" w:hAnsi="宋体" w:cs="Times New Roman"/>
          <w:color w:val="auto"/>
          <w:szCs w:val="21"/>
          <w:highlight w:val="none"/>
          <w:lang w:val="en-US" w:eastAsia="zh-CN"/>
        </w:rPr>
        <w:t>；</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r>
        <w:rPr>
          <w:rFonts w:hint="eastAsia" w:ascii="宋体" w:hAnsi="宋体" w:cs="Times New Roman"/>
          <w:color w:val="auto"/>
          <w:szCs w:val="21"/>
          <w:highlight w:val="none"/>
          <w:lang w:val="en-US" w:eastAsia="zh-CN"/>
        </w:rPr>
        <w:t>；</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cs="Times New Roman"/>
          <w:color w:val="auto"/>
          <w:szCs w:val="21"/>
          <w:highlight w:val="none"/>
          <w:lang w:val="en-US" w:eastAsia="zh-CN"/>
        </w:rPr>
        <w:t>投标企业须提供投标人（被授权在职人员）近3个月有效的社保证明；</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7、未被“信用中国”（www.creditchina.gov.cn）、中国政府采购网（www.ccgp.gov.cn）列入失信被执行人、重大税收违法案件当事人名单、政府采购严重违法失信行为记录名单；</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8、投标人具有有效的《医疗器械生产许可证》或《医疗器械经营许可证》扫描件。</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9、投标人须知资料表要求的其他资格证明文件;</w:t>
      </w: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pStyle w:val="5"/>
        <w:outlineLvl w:val="9"/>
        <w:rPr>
          <w:rFonts w:hint="eastAsia" w:ascii="宋体" w:hAnsi="宋体" w:eastAsia="宋体" w:cs="宋体"/>
          <w:color w:val="auto"/>
          <w:sz w:val="24"/>
          <w:highlight w:val="none"/>
        </w:rPr>
      </w:pPr>
    </w:p>
    <w:p>
      <w:pPr>
        <w:rPr>
          <w:rFonts w:hint="eastAsia"/>
          <w:color w:val="auto"/>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pStyle w:val="2"/>
        <w:rPr>
          <w:rFonts w:hint="eastAsia"/>
        </w:rPr>
      </w:pPr>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outlineLvl w:val="9"/>
        <w:rPr>
          <w:rFonts w:hint="eastAsia" w:ascii="宋体" w:hAnsi="宋体" w:eastAsia="宋体" w:cs="宋体"/>
          <w:b/>
          <w:bCs/>
          <w:color w:val="auto"/>
          <w:sz w:val="24"/>
          <w:highlight w:val="none"/>
          <w:lang w:val="en-US" w:eastAsia="zh-CN"/>
        </w:rPr>
      </w:pPr>
      <w:bookmarkStart w:id="193" w:name="_Toc515647805"/>
      <w:bookmarkStart w:id="194" w:name="_Toc4844"/>
      <w:bookmarkStart w:id="195" w:name="_Toc17577"/>
      <w:bookmarkStart w:id="196" w:name="_Toc29899"/>
      <w:bookmarkStart w:id="197" w:name="_Toc520356217"/>
      <w:bookmarkStart w:id="198" w:name="_Ref467988698"/>
      <w:bookmarkStart w:id="199" w:name="_Toc480942349"/>
      <w:bookmarkStart w:id="200" w:name="_Toc216582813"/>
    </w:p>
    <w:p>
      <w:pPr>
        <w:rPr>
          <w:rFonts w:hint="eastAsia"/>
          <w:color w:val="auto"/>
          <w:highlight w:val="none"/>
          <w:lang w:val="en-US" w:eastAsia="zh-CN"/>
        </w:rPr>
      </w:pPr>
    </w:p>
    <w:p>
      <w:pPr>
        <w:pStyle w:val="5"/>
        <w:outlineLvl w:val="9"/>
        <w:rPr>
          <w:rFonts w:hint="eastAsia"/>
          <w:color w:val="auto"/>
          <w:highlight w:val="none"/>
          <w:lang w:val="en-US" w:eastAsia="zh-CN"/>
        </w:rPr>
      </w:pPr>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rPr>
      </w:pPr>
      <w:bookmarkStart w:id="201" w:name="_Toc26229"/>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w:t>
      </w:r>
      <w:bookmarkEnd w:id="193"/>
      <w:bookmarkStart w:id="202" w:name="_Toc515647806"/>
      <w:r>
        <w:rPr>
          <w:rFonts w:hint="eastAsia" w:ascii="宋体" w:hAnsi="宋体" w:eastAsia="宋体" w:cs="宋体"/>
          <w:b/>
          <w:bCs/>
          <w:color w:val="auto"/>
          <w:sz w:val="24"/>
          <w:highlight w:val="none"/>
        </w:rPr>
        <w:t>或自然人的身份证明</w:t>
      </w:r>
      <w:bookmarkEnd w:id="194"/>
      <w:bookmarkEnd w:id="195"/>
      <w:bookmarkEnd w:id="196"/>
      <w:bookmarkEnd w:id="201"/>
      <w:bookmarkEnd w:id="202"/>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both"/>
        <w:rPr>
          <w:rFonts w:hint="eastAsia" w:ascii="宋体" w:hAnsi="宋体" w:eastAsia="宋体" w:cs="宋体"/>
          <w:b/>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b/>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b/>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w:t>
      </w:r>
      <w:r>
        <w:rPr>
          <w:rFonts w:hint="eastAsia" w:hAnsi="宋体" w:cs="宋体"/>
          <w:color w:val="auto"/>
          <w:sz w:val="21"/>
          <w:szCs w:val="21"/>
          <w:highlight w:val="none"/>
          <w:lang w:eastAsia="zh-CN"/>
        </w:rPr>
        <w:t>扫描件</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eastAsia="zh-CN"/>
        </w:rPr>
        <w:t>扫描</w:t>
      </w:r>
      <w:r>
        <w:rPr>
          <w:rFonts w:hint="eastAsia" w:ascii="宋体" w:hAnsi="宋体" w:eastAsia="宋体" w:cs="宋体"/>
          <w:color w:val="auto"/>
          <w:sz w:val="21"/>
          <w:szCs w:val="21"/>
          <w:highlight w:val="none"/>
        </w:rPr>
        <w:t>件上应加盖本单位章。</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ind w:left="1080" w:leftChars="257" w:hanging="540"/>
        <w:jc w:val="center"/>
        <w:rPr>
          <w:rFonts w:hint="eastAsia" w:ascii="宋体" w:hAnsi="宋体" w:eastAsia="宋体" w:cs="宋体"/>
          <w:color w:val="auto"/>
          <w:sz w:val="24"/>
          <w:highlight w:val="none"/>
        </w:rPr>
      </w:pPr>
      <w:bookmarkStart w:id="203" w:name="_Toc7039"/>
      <w:bookmarkStart w:id="204" w:name="_Toc515647808"/>
      <w:bookmarkStart w:id="205" w:name="_Toc32520"/>
    </w:p>
    <w:p>
      <w:pPr>
        <w:pStyle w:val="4"/>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bookmarkStart w:id="206" w:name="_Toc515647807"/>
      <w:bookmarkStart w:id="207" w:name="_Toc22472"/>
      <w:bookmarkStart w:id="208" w:name="_Toc23503"/>
      <w:bookmarkStart w:id="209" w:name="_Toc1083"/>
    </w:p>
    <w:p>
      <w:pPr>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jc w:val="center"/>
        <w:rPr>
          <w:rFonts w:hint="eastAsia" w:ascii="宋体" w:hAnsi="宋体" w:eastAsia="宋体" w:cs="宋体"/>
          <w:b w:val="0"/>
          <w:color w:val="auto"/>
          <w:sz w:val="24"/>
          <w:highlight w:val="none"/>
          <w:u w:val="single"/>
        </w:rPr>
      </w:pPr>
      <w:bookmarkStart w:id="210" w:name="_Toc29342"/>
      <w:bookmarkStart w:id="211" w:name="_Toc30244"/>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bookmarkEnd w:id="210"/>
    </w:p>
    <w:p>
      <w:pPr>
        <w:adjustRightInd w:val="0"/>
        <w:snapToGrid w:val="0"/>
        <w:spacing w:before="240" w:beforeLines="100" w:after="240" w:afterLines="10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pPr>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                  单位：           （盖章）</w:t>
      </w:r>
    </w:p>
    <w:p>
      <w:pPr>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pPr>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pPr>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3、将此证明书原件提交采购代理机构作为投标文件附件。</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w:t>
                            </w:r>
                            <w:r>
                              <w:rPr>
                                <w:rFonts w:hint="eastAsia" w:hAnsi="宋体"/>
                                <w:szCs w:val="21"/>
                                <w:lang w:eastAsia="zh-CN"/>
                              </w:rPr>
                              <w:t>扫描</w:t>
                            </w:r>
                            <w:r>
                              <w:rPr>
                                <w:rFonts w:hint="eastAsia" w:hAnsi="宋体"/>
                                <w:szCs w:val="21"/>
                              </w:rPr>
                              <w:t>件</w:t>
                            </w:r>
                            <w:r>
                              <w:rPr>
                                <w:rFonts w:hint="eastAsia" w:hAnsi="宋体"/>
                                <w:szCs w:val="21"/>
                                <w:lang w:eastAsia="zh-CN"/>
                              </w:rPr>
                              <w:t>正面</w:t>
                            </w:r>
                          </w:p>
                        </w:txbxContent>
                      </wps:txbx>
                      <wps:bodyPr vert="horz" wrap="square" anchor="t" anchorCtr="0" upright="1"/>
                    </wps:wsp>
                  </a:graphicData>
                </a:graphic>
              </wp:anchor>
            </w:drawing>
          </mc:Choice>
          <mc:Fallback>
            <w:pict>
              <v:shape id="_x0000_s1026" o:spid="_x0000_s1026"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XBfHjWAAAACAEAAA8AAAAAAAAA&#10;AQAgAAAAIgAAAGRycy9kb3ducmV2LnhtbFBLAQIUABQAAAAIAIdO4kBvBrYKTAIAAJMEAAAOAAAA&#10;AAAAAAEAIAAAACUBAABkcnMvZTJvRG9jLnhtbFBLBQYAAAAABgAGAFkBAADj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w:t>
                      </w:r>
                      <w:r>
                        <w:rPr>
                          <w:rFonts w:hint="eastAsia" w:hAnsi="宋体"/>
                          <w:szCs w:val="21"/>
                          <w:lang w:eastAsia="zh-CN"/>
                        </w:rPr>
                        <w:t>扫描</w:t>
                      </w:r>
                      <w:r>
                        <w:rPr>
                          <w:rFonts w:hint="eastAsia" w:hAnsi="宋体"/>
                          <w:szCs w:val="21"/>
                        </w:rPr>
                        <w:t>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1" name="流程图: 可选过程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w:t>
                            </w:r>
                            <w:r>
                              <w:rPr>
                                <w:rFonts w:hint="eastAsia" w:hAnsi="宋体"/>
                                <w:szCs w:val="21"/>
                                <w:lang w:eastAsia="zh-CN"/>
                              </w:rPr>
                              <w:t>扫描</w:t>
                            </w:r>
                            <w:r>
                              <w:rPr>
                                <w:rFonts w:hint="eastAsia" w:hAnsi="宋体"/>
                                <w:szCs w:val="21"/>
                              </w:rPr>
                              <w:t>件</w:t>
                            </w:r>
                            <w:r>
                              <w:rPr>
                                <w:rFonts w:hint="eastAsia" w:hAnsi="宋体"/>
                                <w:szCs w:val="21"/>
                                <w:lang w:eastAsia="zh-CN"/>
                              </w:rPr>
                              <w:t>反面</w:t>
                            </w:r>
                          </w:p>
                        </w:txbxContent>
                      </wps:txbx>
                      <wps:bodyPr vert="horz" wrap="square" anchor="t" anchorCtr="0" upright="1"/>
                    </wps:wsp>
                  </a:graphicData>
                </a:graphic>
              </wp:anchor>
            </w:drawing>
          </mc:Choice>
          <mc:Fallback>
            <w:pict>
              <v:shape id="_x0000_s1026" o:spid="_x0000_s1026"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hPEYdgAAAAJAQAADwAAAAAA&#10;AAABACAAAAAiAAAAZHJzL2Rvd25yZXYueG1sUEsBAhQAFAAAAAgAh07iQGLOlrNMAgAAkwQAAA4A&#10;AAAAAAAAAQAgAAAAJwEAAGRycy9lMm9Eb2MueG1sUEsFBgAAAAAGAAYAWQEAAOU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w:t>
                      </w:r>
                      <w:r>
                        <w:rPr>
                          <w:rFonts w:hint="eastAsia" w:hAnsi="宋体"/>
                          <w:szCs w:val="21"/>
                          <w:lang w:eastAsia="zh-CN"/>
                        </w:rPr>
                        <w:t>扫描</w:t>
                      </w:r>
                      <w:r>
                        <w:rPr>
                          <w:rFonts w:hint="eastAsia" w:hAnsi="宋体"/>
                          <w:szCs w:val="21"/>
                        </w:rPr>
                        <w:t>件</w:t>
                      </w:r>
                      <w:r>
                        <w:rPr>
                          <w:rFonts w:hint="eastAsia" w:hAnsi="宋体"/>
                          <w:szCs w:val="21"/>
                          <w:lang w:eastAsia="zh-CN"/>
                        </w:rPr>
                        <w:t>反面</w:t>
                      </w:r>
                    </w:p>
                  </w:txbxContent>
                </v:textbox>
              </v:shape>
            </w:pict>
          </mc:Fallback>
        </mc:AlternateConten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pacing w:line="500" w:lineRule="exact"/>
        <w:jc w:val="center"/>
        <w:rPr>
          <w:rFonts w:hint="eastAsia" w:ascii="宋体" w:hAnsi="宋体" w:eastAsia="宋体" w:cs="宋体"/>
          <w:color w:val="auto"/>
          <w:sz w:val="24"/>
          <w:szCs w:val="24"/>
          <w:highlight w:val="none"/>
        </w:rPr>
      </w:pPr>
    </w:p>
    <w:p>
      <w:pPr>
        <w:autoSpaceDE w:val="0"/>
        <w:autoSpaceDN w:val="0"/>
        <w:adjustRightInd w:val="0"/>
        <w:spacing w:line="500" w:lineRule="exact"/>
        <w:ind w:right="246" w:firstLine="784" w:firstLineChars="327"/>
        <w:rPr>
          <w:rFonts w:hint="eastAsia" w:ascii="宋体" w:hAnsi="宋体" w:eastAsia="宋体" w:cs="宋体"/>
          <w:color w:val="auto"/>
          <w:kern w:val="0"/>
          <w:sz w:val="24"/>
          <w:szCs w:val="24"/>
          <w:highlight w:val="none"/>
        </w:rPr>
      </w:pPr>
    </w:p>
    <w:p>
      <w:pPr>
        <w:pStyle w:val="13"/>
        <w:shd w:val="clear" w:color="auto" w:fill="auto"/>
        <w:tabs>
          <w:tab w:val="left" w:pos="5580"/>
        </w:tabs>
        <w:spacing w:line="240"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pPr>
        <w:pStyle w:val="13"/>
        <w:shd w:val="clear" w:color="auto" w:fill="auto"/>
        <w:tabs>
          <w:tab w:val="left" w:pos="5580"/>
        </w:tabs>
        <w:spacing w:line="2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pPr>
        <w:shd w:val="clear" w:color="auto" w:fill="auto"/>
        <w:spacing w:line="360" w:lineRule="auto"/>
        <w:ind w:firstLine="480"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pPr>
        <w:spacing w:line="500" w:lineRule="exact"/>
        <w:jc w:val="center"/>
        <w:rPr>
          <w:rFonts w:hint="eastAsia" w:ascii="宋体" w:hAnsi="宋体" w:eastAsia="宋体" w:cs="宋体"/>
          <w:b/>
          <w:color w:val="auto"/>
          <w:sz w:val="28"/>
          <w:szCs w:val="28"/>
          <w:highlight w:val="none"/>
        </w:rPr>
      </w:pPr>
    </w:p>
    <w:p>
      <w:pPr>
        <w:pStyle w:val="53"/>
        <w:rPr>
          <w:rFonts w:hint="eastAsia" w:ascii="宋体" w:hAnsi="宋体" w:eastAsia="宋体" w:cs="宋体"/>
          <w:b/>
          <w:color w:val="auto"/>
          <w:sz w:val="28"/>
          <w:szCs w:val="28"/>
          <w:highlight w:val="none"/>
        </w:rPr>
      </w:pPr>
    </w:p>
    <w:p>
      <w:pPr>
        <w:pStyle w:val="53"/>
        <w:rPr>
          <w:rFonts w:hint="eastAsia" w:ascii="宋体" w:hAnsi="宋体" w:eastAsia="宋体" w:cs="宋体"/>
          <w:b/>
          <w:color w:val="auto"/>
          <w:sz w:val="28"/>
          <w:szCs w:val="28"/>
          <w:highlight w:val="none"/>
        </w:rPr>
      </w:pPr>
    </w:p>
    <w:p>
      <w:pPr>
        <w:pStyle w:val="53"/>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u w:val="single"/>
        </w:rPr>
      </w:pPr>
      <w:bookmarkStart w:id="212" w:name="_Toc22982"/>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bookmarkEnd w:id="206"/>
      <w:bookmarkEnd w:id="207"/>
      <w:bookmarkEnd w:id="208"/>
      <w:bookmarkEnd w:id="209"/>
      <w:bookmarkEnd w:id="211"/>
      <w:bookmarkEnd w:id="212"/>
    </w:p>
    <w:p>
      <w:pPr>
        <w:pStyle w:val="13"/>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pPr>
        <w:pStyle w:val="13"/>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2"/>
          <w:szCs w:val="18"/>
          <w:highlight w:val="none"/>
        </w:rPr>
        <w:t>本授权书声明</w:t>
      </w:r>
      <w:r>
        <w:rPr>
          <w:rFonts w:hint="eastAsia" w:ascii="宋体" w:hAnsi="宋体" w:eastAsia="宋体" w:cs="宋体"/>
          <w:i w:val="0"/>
          <w:iCs w:val="0"/>
          <w:color w:val="auto"/>
          <w:sz w:val="22"/>
          <w:szCs w:val="18"/>
          <w:highlight w:val="none"/>
        </w:rPr>
        <w:t>：注册于</w:t>
      </w:r>
      <w:r>
        <w:rPr>
          <w:rFonts w:hint="eastAsia" w:ascii="宋体" w:hAnsi="宋体" w:eastAsia="宋体" w:cs="宋体"/>
          <w:i w:val="0"/>
          <w:iCs w:val="0"/>
          <w:color w:val="auto"/>
          <w:sz w:val="22"/>
          <w:szCs w:val="18"/>
          <w:highlight w:val="none"/>
          <w:u w:val="single"/>
        </w:rPr>
        <w:t>（国家或地区的名称）</w:t>
      </w:r>
      <w:r>
        <w:rPr>
          <w:rFonts w:hint="eastAsia" w:ascii="宋体" w:hAnsi="宋体" w:eastAsia="宋体" w:cs="宋体"/>
          <w:i w:val="0"/>
          <w:iCs w:val="0"/>
          <w:color w:val="auto"/>
          <w:sz w:val="22"/>
          <w:szCs w:val="18"/>
          <w:highlight w:val="none"/>
        </w:rPr>
        <w:t>的（</w:t>
      </w:r>
      <w:r>
        <w:rPr>
          <w:rFonts w:hint="eastAsia" w:ascii="宋体" w:hAnsi="宋体" w:eastAsia="宋体" w:cs="宋体"/>
          <w:i w:val="0"/>
          <w:iCs w:val="0"/>
          <w:color w:val="auto"/>
          <w:sz w:val="22"/>
          <w:szCs w:val="18"/>
          <w:highlight w:val="none"/>
          <w:u w:val="single"/>
        </w:rPr>
        <w:t>投标人</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法人代表姓名、职务</w:t>
      </w:r>
      <w:r>
        <w:rPr>
          <w:rFonts w:hint="eastAsia" w:ascii="宋体" w:hAnsi="宋体" w:eastAsia="宋体" w:cs="宋体"/>
          <w:i w:val="0"/>
          <w:iCs w:val="0"/>
          <w:color w:val="auto"/>
          <w:sz w:val="22"/>
          <w:szCs w:val="18"/>
          <w:highlight w:val="none"/>
        </w:rPr>
        <w:t>）代表我单位授权（</w:t>
      </w:r>
      <w:r>
        <w:rPr>
          <w:rFonts w:hint="eastAsia" w:ascii="宋体" w:hAnsi="宋体" w:eastAsia="宋体" w:cs="宋体"/>
          <w:i w:val="0"/>
          <w:iCs w:val="0"/>
          <w:color w:val="auto"/>
          <w:sz w:val="22"/>
          <w:szCs w:val="18"/>
          <w:highlight w:val="none"/>
          <w:u w:val="single"/>
        </w:rPr>
        <w:t>单位名称</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被授权人的姓名、职务</w:t>
      </w:r>
      <w:r>
        <w:rPr>
          <w:rFonts w:hint="eastAsia" w:ascii="宋体" w:hAnsi="宋体" w:eastAsia="宋体" w:cs="宋体"/>
          <w:i w:val="0"/>
          <w:iCs w:val="0"/>
          <w:color w:val="auto"/>
          <w:sz w:val="22"/>
          <w:szCs w:val="18"/>
          <w:highlight w:val="none"/>
        </w:rPr>
        <w:t>）</w:t>
      </w:r>
      <w:r>
        <w:rPr>
          <w:rFonts w:hint="eastAsia" w:ascii="宋体" w:hAnsi="宋体" w:eastAsia="宋体" w:cs="宋体"/>
          <w:color w:val="auto"/>
          <w:sz w:val="22"/>
          <w:szCs w:val="18"/>
          <w:highlight w:val="none"/>
        </w:rPr>
        <w:t>为我单位的合法代理人，</w:t>
      </w:r>
      <w:r>
        <w:rPr>
          <w:rFonts w:hint="eastAsia" w:ascii="宋体" w:hAnsi="宋体" w:eastAsia="宋体" w:cs="宋体"/>
          <w:i w:val="0"/>
          <w:iCs w:val="0"/>
          <w:color w:val="auto"/>
          <w:sz w:val="22"/>
          <w:szCs w:val="18"/>
          <w:highlight w:val="none"/>
        </w:rPr>
        <w:t>就（</w:t>
      </w:r>
      <w:r>
        <w:rPr>
          <w:rFonts w:hint="eastAsia" w:ascii="宋体" w:hAnsi="宋体" w:eastAsia="宋体" w:cs="宋体"/>
          <w:i w:val="0"/>
          <w:iCs w:val="0"/>
          <w:color w:val="auto"/>
          <w:sz w:val="22"/>
          <w:szCs w:val="18"/>
          <w:highlight w:val="none"/>
          <w:u w:val="single"/>
        </w:rPr>
        <w:t>项目名称</w:t>
      </w:r>
      <w:r>
        <w:rPr>
          <w:rFonts w:hint="eastAsia" w:ascii="宋体" w:hAnsi="宋体" w:eastAsia="宋体" w:cs="宋体"/>
          <w:color w:val="auto"/>
          <w:sz w:val="22"/>
          <w:szCs w:val="18"/>
          <w:highlight w:val="none"/>
        </w:rPr>
        <w:t>）投标，以我单位名义处理一切与之有关的事务。</w:t>
      </w:r>
      <w:r>
        <w:rPr>
          <w:rFonts w:hint="eastAsia" w:ascii="宋体" w:hAnsi="宋体" w:eastAsia="宋体" w:cs="宋体"/>
          <w:color w:val="auto"/>
          <w:sz w:val="22"/>
          <w:szCs w:val="18"/>
          <w:highlight w:val="none"/>
        </w:rPr>
        <w:cr/>
      </w:r>
      <w:r>
        <w:rPr>
          <w:rFonts w:hint="eastAsia" w:ascii="宋体" w:hAnsi="宋体" w:eastAsia="宋体" w:cs="宋体"/>
          <w:color w:val="auto"/>
          <w:sz w:val="22"/>
          <w:szCs w:val="18"/>
          <w:highlight w:val="none"/>
        </w:rPr>
        <w:t>　　本授权书于</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年</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月</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日签字生效,特此声明。</w:t>
      </w:r>
      <w:r>
        <w:rPr>
          <w:rFonts w:hint="eastAsia" w:ascii="宋体" w:hAnsi="宋体" w:eastAsia="宋体" w:cs="宋体"/>
          <w:color w:val="auto"/>
          <w:sz w:val="24"/>
          <w:highlight w:val="none"/>
        </w:rPr>
        <w:cr/>
      </w:r>
    </w:p>
    <w:p>
      <w:pPr>
        <w:pStyle w:val="13"/>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jc w:val="center"/>
                              <w:rPr>
                                <w:rFonts w:hint="eastAsia" w:hAnsi="宋体"/>
                              </w:rPr>
                            </w:pPr>
                            <w:r>
                              <w:rPr>
                                <w:rFonts w:hint="eastAsia" w:hAnsi="宋体"/>
                              </w:rPr>
                              <w:t>法人身份证</w:t>
                            </w:r>
                            <w:r>
                              <w:rPr>
                                <w:rFonts w:hint="eastAsia" w:hAnsi="宋体"/>
                                <w:szCs w:val="21"/>
                                <w:lang w:eastAsia="zh-CN"/>
                              </w:rPr>
                              <w:t>扫描</w:t>
                            </w:r>
                            <w:r>
                              <w:rPr>
                                <w:rFonts w:hint="eastAsia" w:hAnsi="宋体"/>
                                <w:szCs w:val="21"/>
                              </w:rPr>
                              <w:t>件</w:t>
                            </w:r>
                            <w:r>
                              <w:rPr>
                                <w:rFonts w:hint="eastAsia" w:hAnsi="宋体"/>
                              </w:rPr>
                              <w:t>反面</w:t>
                            </w:r>
                          </w:p>
                          <w:p/>
                        </w:txbxContent>
                      </wps:txbx>
                      <wps:bodyPr vert="horz" wrap="square" anchor="t" anchorCtr="0"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aFySLbAAAACgEAAA8AAAAA&#10;AAAAAQAgAAAAIgAAAGRycy9kb3ducmV2LnhtbFBLAQIUABQAAAAIAIdO4kAmMylwSgIAAJkEAAAO&#10;AAAAAAAAAAEAIAAAACoBAABkcnMvZTJvRG9jLnhtbFBLBQYAAAAABgAGAFkBAADmBQAAAAA=&#10;">
                <v:fill on="t" focussize="0,0"/>
                <v:stroke weight="1.25pt" color="#808080" joinstyle="round"/>
                <v:imagedata o:title=""/>
                <o:lock v:ext="edit" aspectratio="f"/>
                <v:textbox>
                  <w:txbxContent>
                    <w:p>
                      <w:pPr>
                        <w:rPr>
                          <w:rFonts w:hint="eastAsia" w:hAnsi="宋体"/>
                        </w:rPr>
                      </w:pPr>
                    </w:p>
                    <w:p>
                      <w:pPr>
                        <w:rPr>
                          <w:rFonts w:hint="eastAsia" w:hAnsi="宋体"/>
                        </w:rPr>
                      </w:pPr>
                    </w:p>
                    <w:p>
                      <w:pPr>
                        <w:jc w:val="center"/>
                        <w:rPr>
                          <w:rFonts w:hint="eastAsia" w:hAnsi="宋体"/>
                        </w:rPr>
                      </w:pPr>
                      <w:r>
                        <w:rPr>
                          <w:rFonts w:hint="eastAsia" w:hAnsi="宋体"/>
                        </w:rPr>
                        <w:t>法人身份证</w:t>
                      </w:r>
                      <w:r>
                        <w:rPr>
                          <w:rFonts w:hint="eastAsia" w:hAnsi="宋体"/>
                          <w:szCs w:val="21"/>
                          <w:lang w:eastAsia="zh-CN"/>
                        </w:rPr>
                        <w:t>扫描</w:t>
                      </w:r>
                      <w:r>
                        <w:rPr>
                          <w:rFonts w:hint="eastAsia" w:hAnsi="宋体"/>
                          <w:szCs w:val="21"/>
                        </w:rPr>
                        <w:t>件</w:t>
                      </w:r>
                      <w:r>
                        <w:rPr>
                          <w:rFonts w:hint="eastAsia" w:hAnsi="宋体"/>
                        </w:rPr>
                        <w:t>反面</w:t>
                      </w: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法人身份证</w:t>
                            </w:r>
                            <w:r>
                              <w:rPr>
                                <w:rFonts w:hint="eastAsia" w:hAnsi="宋体"/>
                                <w:szCs w:val="21"/>
                                <w:lang w:eastAsia="zh-CN"/>
                              </w:rPr>
                              <w:t>扫描</w:t>
                            </w:r>
                            <w:r>
                              <w:rPr>
                                <w:rFonts w:hint="eastAsia" w:hAnsi="宋体"/>
                                <w:szCs w:val="21"/>
                              </w:rPr>
                              <w:t>件</w:t>
                            </w:r>
                            <w:r>
                              <w:rPr>
                                <w:rFonts w:hint="eastAsia" w:hAnsi="宋体"/>
                              </w:rPr>
                              <w:t>正面</w:t>
                            </w:r>
                          </w:p>
                          <w:p>
                            <w:pPr>
                              <w:jc w:val="center"/>
                              <w:rPr>
                                <w:rFonts w:hint="eastAsia" w:hAnsi="宋体"/>
                              </w:rPr>
                            </w:pPr>
                          </w:p>
                        </w:txbxContent>
                      </wps:txbx>
                      <wps:bodyPr vert="horz" wrap="square" anchor="t" anchorCtr="0"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BIyMNYAAAAIAQAADwAAAAAA&#10;AAABACAAAAAiAAAAZHJzL2Rvd25yZXYueG1sUEsBAhQAFAAAAAgAh07iQLw3pqZOAgAAkQQAAA4A&#10;AAAAAAAAAQAgAAAAJQEAAGRycy9lMm9Eb2MueG1sUEsFBgAAAAAGAAYAWQEAAOUFA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法人身份证</w:t>
                      </w:r>
                      <w:r>
                        <w:rPr>
                          <w:rFonts w:hint="eastAsia" w:hAnsi="宋体"/>
                          <w:szCs w:val="21"/>
                          <w:lang w:eastAsia="zh-CN"/>
                        </w:rPr>
                        <w:t>扫描</w:t>
                      </w:r>
                      <w:r>
                        <w:rPr>
                          <w:rFonts w:hint="eastAsia" w:hAnsi="宋体"/>
                          <w:szCs w:val="21"/>
                        </w:rPr>
                        <w:t>件</w:t>
                      </w:r>
                      <w:r>
                        <w:rPr>
                          <w:rFonts w:hint="eastAsia" w:hAnsi="宋体"/>
                        </w:rPr>
                        <w:t>正面</w:t>
                      </w:r>
                    </w:p>
                    <w:p>
                      <w:pPr>
                        <w:jc w:val="center"/>
                        <w:rPr>
                          <w:rFonts w:hint="eastAsia" w:hAnsi="宋体"/>
                        </w:rPr>
                      </w:pPr>
                    </w:p>
                  </w:txbxContent>
                </v:textbox>
              </v:shape>
            </w:pict>
          </mc:Fallback>
        </mc:AlternateContent>
      </w: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w:t>
                            </w:r>
                            <w:r>
                              <w:rPr>
                                <w:rFonts w:hint="eastAsia" w:hAnsi="宋体"/>
                                <w:szCs w:val="21"/>
                                <w:lang w:eastAsia="zh-CN"/>
                              </w:rPr>
                              <w:t>扫描</w:t>
                            </w:r>
                            <w:r>
                              <w:rPr>
                                <w:rFonts w:hint="eastAsia" w:hAnsi="宋体"/>
                                <w:szCs w:val="21"/>
                              </w:rPr>
                              <w:t>件</w:t>
                            </w:r>
                            <w:r>
                              <w:rPr>
                                <w:rFonts w:hint="eastAsia" w:hAnsi="宋体"/>
                              </w:rPr>
                              <w:t>反面</w:t>
                            </w:r>
                          </w:p>
                          <w:p>
                            <w:pPr>
                              <w:jc w:val="center"/>
                            </w:pPr>
                          </w:p>
                          <w:p/>
                        </w:txbxContent>
                      </wps:txbx>
                      <wps:bodyPr vert="horz" wrap="square" anchor="t" anchorCtr="0"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UHNIL2gAAAAkBAAAPAAAAAAAA&#10;AAEAIAAAACIAAABkcnMvZG93bnJldi54bWxQSwECFAAUAAAACACHTuJAtuYibkkCAACZBAAADgAA&#10;AAAAAAABACAAAAApAQAAZHJzL2Uyb0RvYy54bWxQSwUGAAAAAAYABgBZAQAA5AU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w:t>
                      </w:r>
                      <w:r>
                        <w:rPr>
                          <w:rFonts w:hint="eastAsia" w:hAnsi="宋体"/>
                          <w:szCs w:val="21"/>
                          <w:lang w:eastAsia="zh-CN"/>
                        </w:rPr>
                        <w:t>扫描</w:t>
                      </w:r>
                      <w:r>
                        <w:rPr>
                          <w:rFonts w:hint="eastAsia" w:hAnsi="宋体"/>
                          <w:szCs w:val="21"/>
                        </w:rPr>
                        <w:t>件</w:t>
                      </w:r>
                      <w:r>
                        <w:rPr>
                          <w:rFonts w:hint="eastAsia" w:hAnsi="宋体"/>
                        </w:rPr>
                        <w:t>反面</w:t>
                      </w:r>
                    </w:p>
                    <w:p>
                      <w:pPr>
                        <w:jc w:val="center"/>
                      </w:pP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授权委托人身份证</w:t>
                            </w:r>
                            <w:r>
                              <w:rPr>
                                <w:rFonts w:hint="eastAsia" w:hAnsi="宋体"/>
                                <w:szCs w:val="21"/>
                                <w:lang w:eastAsia="zh-CN"/>
                              </w:rPr>
                              <w:t>扫描</w:t>
                            </w:r>
                            <w:r>
                              <w:rPr>
                                <w:rFonts w:hint="eastAsia" w:hAnsi="宋体"/>
                                <w:szCs w:val="21"/>
                              </w:rPr>
                              <w:t>件</w:t>
                            </w:r>
                            <w:r>
                              <w:rPr>
                                <w:rFonts w:hint="eastAsia" w:hAnsi="宋体"/>
                              </w:rPr>
                              <w:t>正面</w:t>
                            </w:r>
                          </w:p>
                          <w:p>
                            <w:pPr>
                              <w:jc w:val="center"/>
                              <w:rPr>
                                <w:rFonts w:hint="eastAsia" w:hAnsi="宋体"/>
                              </w:rPr>
                            </w:pPr>
                          </w:p>
                          <w:p/>
                        </w:txbxContent>
                      </wps:txbx>
                      <wps:bodyPr vert="horz" wrap="square" anchor="t" anchorCtr="0"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74Le9gAAAAIAQAADwAAAAAA&#10;AAABACAAAAAiAAAAZHJzL2Rvd25yZXYueG1sUEsBAhQAFAAAAAgAh07iQMx/s1pMAgAAmQQAAA4A&#10;AAAAAAAAAQAgAAAAJwEAAGRycy9lMm9Eb2MueG1sUEsFBgAAAAAGAAYAWQEAAOUFA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授权委托人身份证</w:t>
                      </w:r>
                      <w:r>
                        <w:rPr>
                          <w:rFonts w:hint="eastAsia" w:hAnsi="宋体"/>
                          <w:szCs w:val="21"/>
                          <w:lang w:eastAsia="zh-CN"/>
                        </w:rPr>
                        <w:t>扫描</w:t>
                      </w:r>
                      <w:r>
                        <w:rPr>
                          <w:rFonts w:hint="eastAsia" w:hAnsi="宋体"/>
                          <w:szCs w:val="21"/>
                        </w:rPr>
                        <w:t>件</w:t>
                      </w:r>
                      <w:r>
                        <w:rPr>
                          <w:rFonts w:hint="eastAsia" w:hAnsi="宋体"/>
                        </w:rPr>
                        <w:t>正面</w:t>
                      </w:r>
                    </w:p>
                    <w:p>
                      <w:pPr>
                        <w:jc w:val="center"/>
                        <w:rPr>
                          <w:rFonts w:hint="eastAsia" w:hAnsi="宋体"/>
                        </w:rPr>
                      </w:pPr>
                    </w:p>
                    <w:p/>
                  </w:txbxContent>
                </v:textbox>
              </v:roundrect>
            </w:pict>
          </mc:Fallback>
        </mc:AlternateContent>
      </w: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pStyle w:val="13"/>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p>
    <w:p>
      <w:pPr>
        <w:pStyle w:val="13"/>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p>
    <w:p>
      <w:pPr>
        <w:pStyle w:val="13"/>
        <w:shd w:val="clear" w:color="auto" w:fill="auto"/>
        <w:tabs>
          <w:tab w:val="left" w:pos="5580"/>
        </w:tabs>
        <w:spacing w:line="240" w:lineRule="atLeast"/>
        <w:ind w:firstLine="440"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 xml:space="preserve">                           </w:t>
      </w:r>
    </w:p>
    <w:p>
      <w:pPr>
        <w:pStyle w:val="13"/>
        <w:shd w:val="clear" w:color="auto" w:fill="auto"/>
        <w:tabs>
          <w:tab w:val="left" w:pos="5580"/>
        </w:tabs>
        <w:spacing w:line="240" w:lineRule="atLeast"/>
        <w:ind w:firstLine="440"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ascii="宋体" w:hAnsi="宋体" w:eastAsia="宋体" w:cs="宋体"/>
          <w:color w:val="auto"/>
          <w:sz w:val="22"/>
          <w:szCs w:val="18"/>
          <w:highlight w:val="none"/>
          <w:u w:val="single"/>
        </w:rPr>
        <w:t xml:space="preserve">                     </w:t>
      </w:r>
    </w:p>
    <w:p>
      <w:pPr>
        <w:pStyle w:val="13"/>
        <w:shd w:val="clear" w:color="auto" w:fill="auto"/>
        <w:tabs>
          <w:tab w:val="left" w:pos="5580"/>
        </w:tabs>
        <w:spacing w:line="240" w:lineRule="atLeast"/>
        <w:ind w:firstLine="440"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委托代理人：</w:t>
      </w:r>
      <w:r>
        <w:rPr>
          <w:rFonts w:hint="eastAsia" w:ascii="宋体" w:hAnsi="宋体" w:eastAsia="宋体" w:cs="宋体"/>
          <w:color w:val="auto"/>
          <w:sz w:val="22"/>
          <w:szCs w:val="18"/>
          <w:highlight w:val="none"/>
          <w:u w:val="single"/>
        </w:rPr>
        <w:t xml:space="preserve">                                   </w:t>
      </w:r>
    </w:p>
    <w:p>
      <w:pPr>
        <w:shd w:val="clear" w:color="auto" w:fill="auto"/>
        <w:spacing w:line="360" w:lineRule="auto"/>
        <w:ind w:firstLine="440" w:firstLineChars="200"/>
        <w:jc w:val="left"/>
        <w:rPr>
          <w:rFonts w:hint="eastAsia" w:ascii="宋体" w:hAnsi="宋体" w:eastAsia="宋体" w:cs="宋体"/>
          <w:color w:val="auto"/>
          <w:kern w:val="2"/>
          <w:sz w:val="22"/>
          <w:szCs w:val="18"/>
          <w:highlight w:val="none"/>
          <w:u w:val="none" w:color="000000"/>
          <w:lang w:val="en-US" w:eastAsia="zh-CN" w:bidi="ar-SA"/>
        </w:rPr>
      </w:pPr>
      <w:r>
        <w:rPr>
          <w:rFonts w:hint="eastAsia" w:ascii="宋体" w:hAnsi="宋体" w:eastAsia="宋体" w:cs="宋体"/>
          <w:color w:val="auto"/>
          <w:kern w:val="2"/>
          <w:sz w:val="22"/>
          <w:szCs w:val="18"/>
          <w:highlight w:val="none"/>
          <w:u w:val="none" w:color="000000"/>
          <w:lang w:val="en-US" w:eastAsia="zh-CN" w:bidi="ar-SA"/>
        </w:rPr>
        <w:t xml:space="preserve">年   月   日 </w:t>
      </w:r>
    </w:p>
    <w:p>
      <w:pPr>
        <w:pStyle w:val="4"/>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213" w:name="_Toc26357"/>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bookmarkStart w:id="214" w:name="_Toc6479"/>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bookmarkEnd w:id="203"/>
      <w:bookmarkEnd w:id="204"/>
      <w:bookmarkEnd w:id="205"/>
      <w:bookmarkEnd w:id="213"/>
      <w:bookmarkStart w:id="215" w:name="_Toc4866"/>
      <w:bookmarkStart w:id="216" w:name="_Toc11047"/>
      <w:bookmarkStart w:id="217" w:name="_Toc28445"/>
      <w:bookmarkStart w:id="218" w:name="_Toc515647809"/>
      <w:r>
        <w:rPr>
          <w:rFonts w:hint="eastAsia" w:ascii="宋体" w:hAnsi="宋体" w:eastAsia="宋体" w:cs="宋体"/>
          <w:b/>
          <w:bCs/>
          <w:color w:val="auto"/>
          <w:sz w:val="24"/>
          <w:highlight w:val="none"/>
        </w:rPr>
        <w:t>投标保证金缴纳凭证或投标担保函</w:t>
      </w:r>
      <w:bookmarkEnd w:id="214"/>
      <w:bookmarkEnd w:id="215"/>
      <w:bookmarkEnd w:id="216"/>
      <w:bookmarkEnd w:id="217"/>
      <w:bookmarkEnd w:id="218"/>
    </w:p>
    <w:p>
      <w:pPr>
        <w:shd w:val="clear" w:color="auto" w:fill="auto"/>
        <w:ind w:firstLine="420" w:firstLineChars="200"/>
        <w:rPr>
          <w:rFonts w:hint="eastAsia" w:ascii="宋体" w:hAnsi="宋体" w:eastAsia="宋体" w:cs="宋体"/>
          <w:color w:val="auto"/>
          <w:sz w:val="21"/>
          <w:szCs w:val="21"/>
          <w:highlight w:val="none"/>
        </w:rPr>
      </w:pPr>
      <w:bookmarkStart w:id="219" w:name="_Toc494296665"/>
      <w:bookmarkStart w:id="220" w:name="_Toc494296991"/>
    </w:p>
    <w:bookmarkEnd w:id="219"/>
    <w:bookmarkEnd w:id="220"/>
    <w:p>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投标人可将本项目投标保证金支付的汇款凭证作为缴纳凭证装订在本部分，</w:t>
      </w:r>
      <w:r>
        <w:rPr>
          <w:rFonts w:hint="eastAsia" w:ascii="宋体" w:hAnsi="宋体" w:cs="宋体"/>
          <w:color w:val="auto"/>
          <w:sz w:val="24"/>
          <w:highlight w:val="none"/>
          <w:lang w:eastAsia="zh-CN"/>
        </w:rPr>
        <w:t>扫描</w:t>
      </w:r>
      <w:r>
        <w:rPr>
          <w:rFonts w:hint="eastAsia" w:ascii="宋体" w:hAnsi="宋体" w:eastAsia="宋体" w:cs="宋体"/>
          <w:color w:val="auto"/>
          <w:sz w:val="24"/>
          <w:highlight w:val="none"/>
        </w:rPr>
        <w:t>件上应加盖本单位章；使用银行保函等其他投标担保函的，应将担保函正本，装订在本部分正本中；如采用政府采购信用担保形式的，应使用（投标文件格式三）,将原件装订在本部分正本中。</w:t>
      </w:r>
    </w:p>
    <w:p>
      <w:pPr>
        <w:pStyle w:val="7"/>
        <w:shd w:val="clear" w:color="auto" w:fill="auto"/>
        <w:rPr>
          <w:rFonts w:hint="eastAsia" w:ascii="宋体" w:hAnsi="宋体" w:eastAsia="宋体" w:cs="宋体"/>
          <w:color w:val="auto"/>
          <w:highlight w:val="none"/>
        </w:rPr>
      </w:pPr>
    </w:p>
    <w:tbl>
      <w:tblPr>
        <w:tblStyle w:val="27"/>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投标保证金汇款凭证</w:t>
            </w:r>
          </w:p>
          <w:p>
            <w:pPr>
              <w:shd w:val="clear" w:color="auto" w:fill="auto"/>
              <w:jc w:val="center"/>
              <w:rPr>
                <w:rFonts w:hint="eastAsia" w:ascii="宋体" w:hAnsi="宋体" w:eastAsia="宋体" w:cs="宋体"/>
                <w:b/>
                <w:bCs/>
                <w:color w:val="auto"/>
                <w:sz w:val="30"/>
                <w:szCs w:val="30"/>
                <w:highlight w:val="none"/>
              </w:rPr>
            </w:pPr>
          </w:p>
        </w:tc>
      </w:tr>
    </w:tbl>
    <w:p>
      <w:pPr>
        <w:pStyle w:val="7"/>
        <w:shd w:val="clear" w:color="auto" w:fill="auto"/>
        <w:rPr>
          <w:rFonts w:hint="eastAsia" w:ascii="宋体" w:hAnsi="宋体" w:eastAsia="宋体" w:cs="宋体"/>
          <w:color w:val="auto"/>
          <w:highlight w:val="none"/>
        </w:rPr>
      </w:pPr>
    </w:p>
    <w:p>
      <w:pPr>
        <w:shd w:val="clear" w:color="auto" w:fill="auto"/>
        <w:spacing w:line="240" w:lineRule="atLeast"/>
        <w:ind w:left="1080"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p>
      <w:pPr>
        <w:pStyle w:val="7"/>
        <w:shd w:val="clear" w:color="auto" w:fill="auto"/>
        <w:rPr>
          <w:rFonts w:hint="eastAsia" w:ascii="宋体" w:hAnsi="宋体" w:eastAsia="宋体" w:cs="宋体"/>
          <w:color w:val="auto"/>
          <w:highlight w:val="none"/>
        </w:rPr>
      </w:pPr>
    </w:p>
    <w:p>
      <w:pPr>
        <w:pStyle w:val="7"/>
        <w:shd w:val="clear" w:color="auto" w:fill="auto"/>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outlineLvl w:val="9"/>
        <w:rPr>
          <w:rFonts w:hint="eastAsia" w:ascii="宋体" w:hAnsi="宋体" w:eastAsia="宋体" w:cs="宋体"/>
          <w:color w:val="auto"/>
          <w:highlight w:val="none"/>
        </w:rPr>
      </w:pPr>
    </w:p>
    <w:p>
      <w:pPr>
        <w:rPr>
          <w:rFonts w:hint="eastAsia"/>
          <w:color w:val="auto"/>
          <w:highlight w:val="none"/>
        </w:rPr>
      </w:pPr>
    </w:p>
    <w:p>
      <w:pPr>
        <w:pStyle w:val="7"/>
        <w:shd w:val="clear" w:color="auto" w:fill="auto"/>
        <w:rPr>
          <w:rFonts w:hint="eastAsia" w:ascii="宋体" w:hAnsi="宋体" w:eastAsia="宋体" w:cs="宋体"/>
          <w:color w:val="auto"/>
          <w:highlight w:val="none"/>
        </w:rPr>
      </w:pPr>
    </w:p>
    <w:p>
      <w:pPr>
        <w:pStyle w:val="7"/>
        <w:shd w:val="clear" w:color="auto" w:fill="auto"/>
        <w:rPr>
          <w:rFonts w:hint="eastAsia" w:ascii="宋体" w:hAnsi="宋体" w:eastAsia="宋体" w:cs="宋体"/>
          <w:color w:val="auto"/>
          <w:highlight w:val="none"/>
        </w:rPr>
      </w:pPr>
    </w:p>
    <w:p>
      <w:pPr>
        <w:pStyle w:val="7"/>
        <w:shd w:val="clear" w:color="auto" w:fill="auto"/>
        <w:rPr>
          <w:rFonts w:hint="eastAsia" w:ascii="宋体" w:hAnsi="宋体" w:eastAsia="宋体" w:cs="宋体"/>
          <w:color w:val="auto"/>
          <w:highlight w:val="none"/>
        </w:rPr>
      </w:pPr>
    </w:p>
    <w:p>
      <w:pPr>
        <w:rPr>
          <w:rFonts w:hint="eastAsia"/>
          <w:color w:val="auto"/>
          <w:highlight w:val="none"/>
        </w:rPr>
      </w:pPr>
    </w:p>
    <w:p>
      <w:pPr>
        <w:pStyle w:val="7"/>
        <w:shd w:val="clear" w:color="auto" w:fill="auto"/>
        <w:rPr>
          <w:rFonts w:hint="eastAsia" w:ascii="宋体" w:hAnsi="宋体" w:eastAsia="宋体" w:cs="宋体"/>
          <w:color w:val="auto"/>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2"/>
        <w:rPr>
          <w:rFonts w:hint="eastAsia" w:ascii="宋体" w:hAnsi="宋体" w:eastAsia="宋体" w:cs="宋体"/>
          <w:b/>
          <w:bCs/>
          <w:color w:val="auto"/>
          <w:highlight w:val="none"/>
        </w:rPr>
        <w:sectPr>
          <w:footerReference r:id="rId7" w:type="default"/>
          <w:pgSz w:w="11905" w:h="16838"/>
          <w:pgMar w:top="1440" w:right="1083" w:bottom="1440" w:left="1083" w:header="850" w:footer="992" w:gutter="0"/>
          <w:pgNumType w:fmt="decimal"/>
          <w:cols w:space="720" w:num="1"/>
          <w:rtlGutter w:val="0"/>
          <w:docGrid w:type="lines" w:linePitch="314" w:charSpace="0"/>
        </w:sectPr>
      </w:pPr>
      <w:bookmarkStart w:id="221" w:name="_Toc29668"/>
      <w:r>
        <w:rPr>
          <w:rFonts w:hint="eastAsia" w:ascii="宋体" w:hAnsi="宋体" w:eastAsia="宋体" w:cs="宋体"/>
          <w:b/>
          <w:bCs/>
          <w:color w:val="auto"/>
          <w:sz w:val="28"/>
          <w:szCs w:val="28"/>
          <w:highlight w:val="none"/>
        </w:rPr>
        <w:t>政府采购投标担保函 （项目用）</w:t>
      </w:r>
      <w:bookmarkEnd w:id="221"/>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4"/>
          <w:szCs w:val="20"/>
          <w:highlight w:val="none"/>
          <w:lang w:val="en-US" w:eastAsia="zh-CN" w:bidi="ar-SA"/>
        </w:rPr>
        <w:t>5、</w:t>
      </w:r>
      <w:r>
        <w:rPr>
          <w:rFonts w:hint="eastAsia" w:cs="宋体"/>
          <w:b/>
          <w:bCs/>
          <w:color w:val="auto"/>
          <w:kern w:val="0"/>
          <w:sz w:val="24"/>
          <w:szCs w:val="20"/>
          <w:highlight w:val="none"/>
          <w:lang w:val="en-US" w:eastAsia="zh-CN" w:bidi="ar-SA"/>
        </w:rPr>
        <w:t>投标企业须提供投标人（被授权在职人员）近3个月有效的社保证明；</w:t>
      </w:r>
    </w:p>
    <w:p>
      <w:pPr>
        <w:shd w:val="clear" w:color="auto" w:fill="auto"/>
        <w:spacing w:line="360" w:lineRule="auto"/>
        <w:jc w:val="both"/>
        <w:rPr>
          <w:rFonts w:hint="eastAsia" w:ascii="宋体" w:hAnsi="宋体" w:eastAsia="宋体" w:cs="宋体"/>
          <w:b/>
          <w:bCs/>
          <w:color w:val="auto"/>
          <w:kern w:val="0"/>
          <w:sz w:val="24"/>
          <w:szCs w:val="20"/>
          <w:highlight w:val="none"/>
          <w:lang w:val="en-US" w:eastAsia="zh-CN" w:bidi="ar-SA"/>
        </w:rPr>
      </w:pPr>
    </w:p>
    <w:p>
      <w:pPr>
        <w:pStyle w:val="4"/>
        <w:numPr>
          <w:ilvl w:val="0"/>
          <w:numId w:val="0"/>
        </w:numPr>
        <w:shd w:val="clear" w:color="auto" w:fill="auto"/>
        <w:spacing w:before="0" w:line="360" w:lineRule="auto"/>
        <w:jc w:val="both"/>
        <w:outlineLvl w:val="9"/>
        <w:rPr>
          <w:rFonts w:hint="eastAsia" w:ascii="宋体" w:hAnsi="宋体" w:eastAsia="宋体" w:cs="宋体"/>
          <w:b/>
          <w:bCs/>
          <w:color w:val="auto"/>
          <w:kern w:val="0"/>
          <w:sz w:val="24"/>
          <w:szCs w:val="20"/>
          <w:highlight w:val="none"/>
          <w:lang w:val="en-US" w:eastAsia="zh-CN" w:bidi="ar-SA"/>
        </w:rPr>
      </w:pPr>
      <w:bookmarkStart w:id="222" w:name="_Toc515647810"/>
      <w:bookmarkStart w:id="223" w:name="_Toc27021"/>
      <w:bookmarkStart w:id="224" w:name="_Toc18754"/>
      <w:bookmarkStart w:id="225" w:name="_Toc5710"/>
    </w:p>
    <w:p>
      <w:pPr>
        <w:pStyle w:val="4"/>
        <w:numPr>
          <w:ilvl w:val="0"/>
          <w:numId w:val="0"/>
        </w:numPr>
        <w:shd w:val="clear" w:color="auto" w:fill="auto"/>
        <w:spacing w:before="0" w:line="360" w:lineRule="auto"/>
        <w:jc w:val="both"/>
        <w:rPr>
          <w:rFonts w:hint="default" w:ascii="宋体" w:hAnsi="宋体" w:eastAsia="宋体" w:cs="宋体"/>
          <w:b/>
          <w:bCs/>
          <w:color w:val="auto"/>
          <w:kern w:val="0"/>
          <w:sz w:val="24"/>
          <w:szCs w:val="20"/>
          <w:highlight w:val="none"/>
          <w:lang w:val="en-US" w:eastAsia="zh-CN" w:bidi="ar-SA"/>
        </w:rPr>
      </w:pPr>
      <w:bookmarkStart w:id="226" w:name="_Toc28681"/>
      <w:r>
        <w:rPr>
          <w:rFonts w:hint="eastAsia" w:ascii="宋体" w:hAnsi="宋体" w:eastAsia="宋体" w:cs="宋体"/>
          <w:b/>
          <w:bCs/>
          <w:color w:val="auto"/>
          <w:kern w:val="0"/>
          <w:sz w:val="24"/>
          <w:szCs w:val="20"/>
          <w:highlight w:val="none"/>
          <w:lang w:val="en-US" w:eastAsia="zh-CN" w:bidi="ar-SA"/>
        </w:rPr>
        <w:t>6、</w:t>
      </w:r>
      <w:bookmarkEnd w:id="222"/>
      <w:bookmarkEnd w:id="223"/>
      <w:bookmarkEnd w:id="224"/>
      <w:bookmarkEnd w:id="225"/>
      <w:r>
        <w:rPr>
          <w:rFonts w:hint="eastAsia" w:ascii="宋体" w:hAnsi="宋体" w:eastAsia="宋体" w:cs="宋体"/>
          <w:b/>
          <w:bCs/>
          <w:color w:val="auto"/>
          <w:kern w:val="0"/>
          <w:sz w:val="24"/>
          <w:szCs w:val="20"/>
          <w:highlight w:val="none"/>
          <w:lang w:val="en-US" w:eastAsia="zh-CN" w:bidi="ar-SA"/>
        </w:rPr>
        <w:t>参加政府采购活动前3年内在经营活动中没有重大违法记录的书面声明</w:t>
      </w:r>
      <w:r>
        <w:rPr>
          <w:rFonts w:hint="eastAsia" w:ascii="宋体" w:hAnsi="宋体" w:cs="宋体"/>
          <w:b/>
          <w:bCs/>
          <w:color w:val="auto"/>
          <w:kern w:val="0"/>
          <w:sz w:val="24"/>
          <w:szCs w:val="20"/>
          <w:highlight w:val="none"/>
          <w:lang w:val="en-US" w:eastAsia="zh-CN" w:bidi="ar-SA"/>
        </w:rPr>
        <w:t>；</w:t>
      </w:r>
      <w:bookmarkEnd w:id="226"/>
    </w:p>
    <w:p>
      <w:pPr>
        <w:pStyle w:val="13"/>
        <w:shd w:val="clear" w:color="auto" w:fill="auto"/>
        <w:tabs>
          <w:tab w:val="left" w:pos="5580"/>
        </w:tabs>
        <w:spacing w:line="360" w:lineRule="auto"/>
        <w:ind w:left="1100" w:leftChars="257" w:hanging="540"/>
        <w:jc w:val="center"/>
        <w:rPr>
          <w:rFonts w:hint="eastAsia" w:ascii="宋体" w:hAnsi="宋体" w:eastAsia="宋体" w:cs="宋体"/>
          <w:b/>
          <w:color w:val="auto"/>
          <w:sz w:val="24"/>
          <w:highlight w:val="none"/>
        </w:rPr>
      </w:pPr>
    </w:p>
    <w:p>
      <w:pPr>
        <w:pStyle w:val="13"/>
        <w:shd w:val="clear" w:color="auto" w:fill="auto"/>
        <w:tabs>
          <w:tab w:val="left" w:pos="5580"/>
        </w:tabs>
        <w:spacing w:line="360" w:lineRule="auto"/>
        <w:ind w:left="1100" w:leftChars="257" w:hanging="540"/>
        <w:rPr>
          <w:rFonts w:hint="eastAsia" w:ascii="宋体" w:hAnsi="宋体" w:eastAsia="宋体" w:cs="宋体"/>
          <w:color w:val="auto"/>
          <w:sz w:val="24"/>
          <w:highlight w:val="none"/>
        </w:rPr>
      </w:pP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7、未被“信用中国”（www.creditchina.gov.cn）、中国政府采购网（www.ccgp.gov.cn）列入失信被执行人、重大税收违法案件当事人名单、政府采购严重违法失信行为记录名单；</w:t>
      </w: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p>
    <w:p>
      <w:pPr>
        <w:numPr>
          <w:ilvl w:val="0"/>
          <w:numId w:val="10"/>
        </w:numPr>
        <w:shd w:val="clear" w:color="auto" w:fill="auto"/>
        <w:spacing w:line="440" w:lineRule="exact"/>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投标人具有有效的《医疗器械生产许可证》或《医疗器械经营许可证》扫描件。</w:t>
      </w:r>
    </w:p>
    <w:p>
      <w:pPr>
        <w:shd w:val="clear" w:color="auto" w:fill="auto"/>
        <w:spacing w:line="360" w:lineRule="auto"/>
        <w:rPr>
          <w:rFonts w:hint="eastAsia" w:ascii="宋体" w:hAnsi="宋体" w:eastAsia="宋体" w:cs="宋体"/>
          <w:b/>
          <w:bCs/>
          <w:color w:val="auto"/>
          <w:highlight w:val="none"/>
          <w:lang w:val="en-US" w:eastAsia="zh-CN"/>
        </w:rPr>
      </w:pPr>
    </w:p>
    <w:p>
      <w:pPr>
        <w:pStyle w:val="4"/>
        <w:numPr>
          <w:ilvl w:val="0"/>
          <w:numId w:val="0"/>
        </w:numPr>
        <w:shd w:val="clear" w:color="auto" w:fill="auto"/>
        <w:spacing w:before="0" w:line="240" w:lineRule="atLeast"/>
        <w:outlineLvl w:val="9"/>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outlineLvl w:val="9"/>
        <w:rPr>
          <w:rFonts w:hint="eastAsia" w:ascii="宋体" w:hAnsi="宋体" w:eastAsia="宋体" w:cs="宋体"/>
          <w:b/>
          <w:bCs/>
          <w:color w:val="auto"/>
          <w:kern w:val="2"/>
          <w:sz w:val="21"/>
          <w:szCs w:val="24"/>
          <w:highlight w:val="none"/>
          <w:lang w:val="en-US" w:eastAsia="zh-CN" w:bidi="ar-SA"/>
        </w:rPr>
      </w:pPr>
    </w:p>
    <w:p>
      <w:pPr>
        <w:pStyle w:val="4"/>
        <w:numPr>
          <w:ilvl w:val="0"/>
          <w:numId w:val="0"/>
        </w:numPr>
        <w:shd w:val="clear" w:color="auto" w:fill="auto"/>
        <w:spacing w:before="0" w:line="240" w:lineRule="atLeast"/>
        <w:outlineLvl w:val="9"/>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outlineLvl w:val="9"/>
        <w:rPr>
          <w:rFonts w:hint="eastAsia" w:ascii="宋体" w:hAnsi="宋体" w:eastAsia="宋体" w:cs="宋体"/>
          <w:color w:val="auto"/>
          <w:sz w:val="24"/>
          <w:highlight w:val="none"/>
        </w:rPr>
      </w:pPr>
    </w:p>
    <w:p>
      <w:pPr>
        <w:numPr>
          <w:ilvl w:val="0"/>
          <w:numId w:val="10"/>
        </w:numPr>
        <w:shd w:val="clear" w:color="auto" w:fill="auto"/>
        <w:spacing w:line="440" w:lineRule="exact"/>
        <w:outlineLvl w:val="1"/>
        <w:rPr>
          <w:rFonts w:hint="eastAsia" w:ascii="宋体" w:hAnsi="宋体" w:eastAsia="宋体" w:cs="宋体"/>
          <w:b/>
          <w:bCs/>
          <w:color w:val="auto"/>
          <w:kern w:val="0"/>
          <w:sz w:val="24"/>
          <w:szCs w:val="20"/>
          <w:highlight w:val="none"/>
          <w:lang w:val="en-US" w:eastAsia="zh-CN" w:bidi="ar-SA"/>
        </w:rPr>
      </w:pPr>
      <w:bookmarkStart w:id="227" w:name="_Toc4512"/>
      <w:r>
        <w:rPr>
          <w:rFonts w:hint="eastAsia" w:ascii="宋体" w:hAnsi="宋体" w:eastAsia="宋体" w:cs="宋体"/>
          <w:b/>
          <w:bCs/>
          <w:color w:val="auto"/>
          <w:kern w:val="0"/>
          <w:sz w:val="24"/>
          <w:szCs w:val="20"/>
          <w:highlight w:val="none"/>
          <w:lang w:val="en-US" w:eastAsia="zh-CN" w:bidi="ar-SA"/>
        </w:rPr>
        <w:t>投标人须知资料表要求的其他资格证明文件；</w:t>
      </w:r>
      <w:bookmarkEnd w:id="227"/>
    </w:p>
    <w:p>
      <w:pPr>
        <w:pStyle w:val="5"/>
        <w:outlineLvl w:val="9"/>
        <w:rPr>
          <w:rFonts w:hint="eastAsia" w:ascii="宋体" w:hAnsi="宋体" w:eastAsia="宋体" w:cs="宋体"/>
          <w:b/>
          <w:bCs/>
          <w:color w:val="auto"/>
          <w:kern w:val="0"/>
          <w:sz w:val="24"/>
          <w:szCs w:val="20"/>
          <w:highlight w:val="none"/>
          <w:lang w:val="en-US" w:eastAsia="zh-CN" w:bidi="ar-SA"/>
        </w:rPr>
      </w:pPr>
    </w:p>
    <w:p>
      <w:pPr>
        <w:rPr>
          <w:rFonts w:hint="eastAsia"/>
          <w:lang w:val="en-US" w:eastAsia="zh-CN"/>
        </w:rPr>
      </w:pPr>
    </w:p>
    <w:p>
      <w:pPr>
        <w:pStyle w:val="5"/>
        <w:numPr>
          <w:ilvl w:val="0"/>
          <w:numId w:val="0"/>
        </w:numPr>
        <w:outlineLvl w:val="9"/>
        <w:rPr>
          <w:rFonts w:hint="eastAsia"/>
          <w:lang w:val="en-US" w:eastAsia="zh-CN"/>
        </w:rPr>
      </w:pPr>
    </w:p>
    <w:p>
      <w:pPr>
        <w:pStyle w:val="4"/>
        <w:numPr>
          <w:ilvl w:val="0"/>
          <w:numId w:val="0"/>
        </w:numPr>
        <w:shd w:val="clear" w:color="auto" w:fill="auto"/>
        <w:spacing w:before="0" w:line="240" w:lineRule="atLeast"/>
        <w:outlineLvl w:val="9"/>
        <w:rPr>
          <w:rFonts w:hint="eastAsia" w:ascii="宋体" w:hAnsi="宋体" w:eastAsia="宋体" w:cs="宋体"/>
          <w:color w:val="auto"/>
          <w:sz w:val="24"/>
          <w:highlight w:val="none"/>
          <w:lang w:val="en-US" w:eastAsia="zh-CN"/>
        </w:rPr>
      </w:pPr>
      <w:bookmarkStart w:id="228" w:name="_Toc515647811"/>
      <w:bookmarkStart w:id="229" w:name="_Toc4937"/>
      <w:bookmarkStart w:id="230" w:name="_Toc24428"/>
      <w:bookmarkStart w:id="231" w:name="_Toc32670"/>
    </w:p>
    <w:p>
      <w:pPr>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rPr>
          <w:rFonts w:hint="eastAsia" w:ascii="宋体" w:hAnsi="宋体" w:eastAsia="宋体" w:cs="宋体"/>
          <w:color w:val="auto"/>
          <w:sz w:val="24"/>
          <w:highlight w:val="none"/>
          <w:lang w:val="en-US" w:eastAsia="zh-CN"/>
        </w:rPr>
      </w:pPr>
    </w:p>
    <w:bookmarkEnd w:id="228"/>
    <w:bookmarkEnd w:id="229"/>
    <w:bookmarkEnd w:id="230"/>
    <w:bookmarkEnd w:id="231"/>
    <w:p>
      <w:pPr>
        <w:rPr>
          <w:rFonts w:hint="eastAsia"/>
          <w:color w:val="auto"/>
          <w:highlight w:val="none"/>
        </w:rPr>
      </w:pPr>
      <w:bookmarkStart w:id="232" w:name="_Toc515647816"/>
      <w:bookmarkStart w:id="233" w:name="_Toc22967"/>
      <w:bookmarkStart w:id="234" w:name="_Toc11180"/>
      <w:bookmarkStart w:id="235" w:name="_Toc5695"/>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32"/>
          <w:szCs w:val="32"/>
          <w:highlight w:val="none"/>
        </w:rPr>
      </w:pPr>
      <w:bookmarkStart w:id="236" w:name="_Toc32178"/>
      <w:r>
        <w:rPr>
          <w:rFonts w:hint="eastAsia"/>
          <w:color w:val="auto"/>
          <w:sz w:val="32"/>
          <w:szCs w:val="32"/>
          <w:highlight w:val="none"/>
        </w:rPr>
        <w:t>第二部分  商务及技术文件</w:t>
      </w:r>
      <w:bookmarkEnd w:id="232"/>
      <w:bookmarkEnd w:id="233"/>
      <w:bookmarkEnd w:id="234"/>
      <w:bookmarkEnd w:id="235"/>
      <w:bookmarkEnd w:id="236"/>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360" w:lineRule="auto"/>
        <w:ind w:firstLine="293" w:firstLine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w:t>
      </w:r>
      <w:r>
        <w:rPr>
          <w:rFonts w:hint="eastAsia" w:ascii="宋体" w:hAnsi="宋体" w:cs="Times New Roman"/>
          <w:color w:val="auto"/>
          <w:szCs w:val="21"/>
          <w:highlight w:val="none"/>
          <w:lang w:val="en-US" w:eastAsia="zh-CN"/>
        </w:rPr>
        <w:t>投标分项报价表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4、技术规格偏离表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5、商务条款偏离表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6、投标人基本情况表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7、近三年类似项目业绩表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8、中小企业声明函(货物)</w:t>
      </w:r>
    </w:p>
    <w:p>
      <w:pPr>
        <w:shd w:val="clear" w:color="auto" w:fill="auto"/>
        <w:spacing w:line="360" w:lineRule="auto"/>
        <w:ind w:firstLine="293" w:firstLine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w:t>
      </w:r>
      <w:r>
        <w:rPr>
          <w:rFonts w:hint="eastAsia" w:ascii="宋体" w:hAnsi="宋体" w:cs="Times New Roman"/>
          <w:color w:val="auto"/>
          <w:szCs w:val="21"/>
          <w:highlight w:val="none"/>
          <w:lang w:val="en-US" w:eastAsia="zh-CN"/>
        </w:rPr>
        <w:t>投标人关联单位的说明</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、评分标准和细则中技术部分证明材料</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pPr>
        <w:shd w:val="clear" w:color="auto" w:fill="auto"/>
        <w:spacing w:line="360" w:lineRule="auto"/>
        <w:ind w:firstLine="293" w:firstLineChars="135"/>
        <w:rPr>
          <w:rFonts w:hint="eastAsia" w:ascii="宋体" w:hAnsi="宋体" w:eastAsia="宋体" w:cs="宋体"/>
          <w:color w:val="auto"/>
          <w:sz w:val="24"/>
          <w:highlight w:val="none"/>
        </w:rPr>
      </w:pP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val="en-US" w:eastAsia="zh-CN"/>
        </w:rPr>
        <w:t>、投标人认为有必要提供的其他证明材料（格式自拟）</w:t>
      </w:r>
    </w:p>
    <w:bookmarkEnd w:id="197"/>
    <w:bookmarkEnd w:id="198"/>
    <w:bookmarkEnd w:id="199"/>
    <w:bookmarkEnd w:id="200"/>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bookmarkStart w:id="237" w:name="_Toc1266"/>
      <w:bookmarkStart w:id="238" w:name="_Toc10107"/>
      <w:bookmarkStart w:id="239" w:name="_Toc23473"/>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rPr>
          <w:rFonts w:hint="eastAsia" w:ascii="仿宋" w:hAnsi="仿宋" w:eastAsia="仿宋" w:cs="仿宋"/>
          <w:b/>
          <w:bCs/>
          <w:color w:val="auto"/>
          <w:sz w:val="36"/>
          <w:szCs w:val="36"/>
          <w:highlight w:val="none"/>
          <w:lang w:val="en-US" w:eastAsia="zh-CN"/>
        </w:rPr>
      </w:pPr>
    </w:p>
    <w:p>
      <w:pPr>
        <w:pStyle w:val="2"/>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、投标函</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rPr>
        <w:t xml:space="preserve">                     </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为响应你方组织的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项目的招标项目编号为：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，我方愿参与投标。</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我方确认收到贵方提供的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rPr>
        <w:t>招标</w:t>
      </w:r>
      <w:r>
        <w:rPr>
          <w:rFonts w:hint="eastAsia" w:ascii="宋体" w:hAnsi="宋体" w:eastAsia="宋体" w:cs="宋体"/>
          <w:color w:val="auto"/>
          <w:kern w:val="0"/>
          <w:sz w:val="21"/>
          <w:szCs w:val="21"/>
          <w:highlight w:val="none"/>
        </w:rPr>
        <w:t>文件的全部内容。</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(投标人名称)      </w:t>
      </w:r>
      <w:r>
        <w:rPr>
          <w:rFonts w:hint="eastAsia" w:ascii="宋体" w:hAnsi="宋体" w:eastAsia="宋体" w:cs="宋体"/>
          <w:color w:val="auto"/>
          <w:kern w:val="0"/>
          <w:sz w:val="21"/>
          <w:szCs w:val="21"/>
          <w:highlight w:val="none"/>
        </w:rPr>
        <w:t>作为投标人正式授权</w:t>
      </w:r>
      <w:r>
        <w:rPr>
          <w:rFonts w:hint="eastAsia" w:ascii="宋体" w:hAnsi="宋体" w:eastAsia="宋体" w:cs="宋体"/>
          <w:color w:val="auto"/>
          <w:kern w:val="0"/>
          <w:sz w:val="21"/>
          <w:szCs w:val="21"/>
          <w:highlight w:val="none"/>
          <w:u w:val="single"/>
        </w:rPr>
        <w:t xml:space="preserve">  (授权代表全名, 职务)  </w:t>
      </w:r>
      <w:r>
        <w:rPr>
          <w:rFonts w:hint="eastAsia" w:ascii="宋体" w:hAnsi="宋体" w:eastAsia="宋体" w:cs="宋体"/>
          <w:color w:val="auto"/>
          <w:kern w:val="0"/>
          <w:sz w:val="21"/>
          <w:szCs w:val="21"/>
          <w:highlight w:val="none"/>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我方已完全明白招标文件的所有条款要求，并申明如下：</w:t>
      </w:r>
    </w:p>
    <w:p>
      <w:pPr>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（一）按招标文件提供的全部货物与相关服务的投标</w:t>
      </w:r>
      <w:r>
        <w:rPr>
          <w:rFonts w:hint="eastAsia" w:ascii="宋体" w:hAnsi="宋体" w:cs="宋体"/>
          <w:color w:val="auto"/>
          <w:kern w:val="0"/>
          <w:sz w:val="21"/>
          <w:szCs w:val="21"/>
          <w:highlight w:val="none"/>
          <w:lang w:val="en-US" w:eastAsia="zh-CN"/>
        </w:rPr>
        <w:t>单价</w:t>
      </w:r>
      <w:r>
        <w:rPr>
          <w:rFonts w:hint="eastAsia" w:ascii="宋体" w:hAnsi="宋体" w:eastAsia="宋体" w:cs="宋体"/>
          <w:color w:val="auto"/>
          <w:kern w:val="0"/>
          <w:sz w:val="21"/>
          <w:szCs w:val="21"/>
          <w:highlight w:val="none"/>
        </w:rPr>
        <w:t>详见《报价一览表》。</w:t>
      </w:r>
    </w:p>
    <w:p>
      <w:pPr>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（二）本投标文件的有效期为投标截止时间起</w:t>
      </w:r>
      <w:r>
        <w:rPr>
          <w:rFonts w:hint="eastAsia" w:ascii="宋体" w:hAnsi="宋体" w:eastAsia="宋体" w:cs="宋体"/>
          <w:color w:val="auto"/>
          <w:kern w:val="0"/>
          <w:sz w:val="21"/>
          <w:szCs w:val="21"/>
          <w:highlight w:val="none"/>
          <w:u w:val="single"/>
          <w:lang w:val="en-US" w:eastAsia="zh-CN"/>
        </w:rPr>
        <w:t>60</w:t>
      </w:r>
      <w:r>
        <w:rPr>
          <w:rFonts w:hint="eastAsia" w:ascii="宋体" w:hAnsi="宋体" w:eastAsia="宋体" w:cs="宋体"/>
          <w:color w:val="auto"/>
          <w:kern w:val="0"/>
          <w:sz w:val="21"/>
          <w:szCs w:val="21"/>
          <w:highlight w:val="none"/>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（三）我方同意按照贵方可能提出的要求而提供与投标有关的任何其它数据、信息或资料。</w:t>
      </w:r>
    </w:p>
    <w:p>
      <w:pPr>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）我方理解贵方不一定接受最低投标价或任何贵方可能收到的投标。</w:t>
      </w:r>
    </w:p>
    <w:p>
      <w:pPr>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五</w:t>
      </w:r>
      <w:r>
        <w:rPr>
          <w:rFonts w:hint="eastAsia" w:ascii="宋体" w:hAnsi="宋体" w:eastAsia="宋体" w:cs="宋体"/>
          <w:color w:val="auto"/>
          <w:kern w:val="0"/>
          <w:sz w:val="21"/>
          <w:szCs w:val="21"/>
          <w:highlight w:val="none"/>
        </w:rPr>
        <w:t>）我方如果中标，将保证履行招标文件及其澄清、修改文件（如果有）中的全部责任和义务，按质、按量、按期完成《招标内容》及《合同书》中的全部任务。</w:t>
      </w:r>
    </w:p>
    <w:p>
      <w:pPr>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六</w:t>
      </w:r>
      <w:r>
        <w:rPr>
          <w:rFonts w:hint="eastAsia" w:ascii="宋体" w:hAnsi="宋体" w:eastAsia="宋体" w:cs="宋体"/>
          <w:color w:val="auto"/>
          <w:kern w:val="0"/>
          <w:sz w:val="21"/>
          <w:szCs w:val="21"/>
          <w:highlight w:val="none"/>
        </w:rPr>
        <w:t>）如我方被授予合同，我方承诺支付就本次招标应支付或将支付的中标服务费（详见按招标文件要求格式填写的《中标服务费支付承诺书》）。</w:t>
      </w:r>
    </w:p>
    <w:p>
      <w:pPr>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七</w:t>
      </w:r>
      <w:r>
        <w:rPr>
          <w:rFonts w:hint="eastAsia" w:ascii="宋体" w:hAnsi="宋体" w:eastAsia="宋体" w:cs="宋体"/>
          <w:color w:val="auto"/>
          <w:kern w:val="0"/>
          <w:sz w:val="21"/>
          <w:szCs w:val="21"/>
          <w:highlight w:val="none"/>
        </w:rPr>
        <w:t>）我方作为在法律、财务和运作上独立于采购人、招标代理机构的投标人，在此保证所提交的所有文件和全部说明是真实的和正确的。</w:t>
      </w:r>
    </w:p>
    <w:p>
      <w:pPr>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八</w:t>
      </w:r>
      <w:r>
        <w:rPr>
          <w:rFonts w:hint="eastAsia" w:ascii="宋体" w:hAnsi="宋体" w:eastAsia="宋体" w:cs="宋体"/>
          <w:color w:val="auto"/>
          <w:kern w:val="0"/>
          <w:sz w:val="21"/>
          <w:szCs w:val="21"/>
          <w:highlight w:val="none"/>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九</w:t>
      </w:r>
      <w:r>
        <w:rPr>
          <w:rFonts w:hint="eastAsia" w:ascii="宋体" w:hAnsi="宋体" w:eastAsia="宋体" w:cs="宋体"/>
          <w:color w:val="auto"/>
          <w:kern w:val="0"/>
          <w:sz w:val="21"/>
          <w:szCs w:val="21"/>
          <w:highlight w:val="none"/>
        </w:rPr>
        <w:t>）我方与其他投标人不存在单位负责人为同一人或者存在直接控股、管理关系。</w:t>
      </w:r>
    </w:p>
    <w:p>
      <w:pPr>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（十）我方承诺未为本项目提供整体设计、规范编制或者项目管理、监理、检测等服务。</w:t>
      </w:r>
    </w:p>
    <w:p>
      <w:pPr>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w:t>
      </w: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代表姓名：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（公章） </w:t>
      </w:r>
    </w:p>
    <w:p>
      <w:pPr>
        <w:keepNext w:val="0"/>
        <w:keepLines w:val="0"/>
        <w:pageBreakBefore w:val="0"/>
        <w:widowControl w:val="0"/>
        <w:wordWrap w:val="0"/>
        <w:topLinePunct w:val="0"/>
        <w:autoSpaceDE/>
        <w:autoSpaceDN/>
        <w:bidi w:val="0"/>
        <w:adjustRightInd/>
        <w:snapToGrid/>
        <w:spacing w:line="440" w:lineRule="exact"/>
        <w:ind w:firstLine="436" w:firstLineChars="20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法定代表人或委托人：</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签字或盖章</w:t>
      </w:r>
      <w:r>
        <w:rPr>
          <w:rFonts w:hint="eastAsia" w:ascii="宋体" w:hAnsi="宋体" w:eastAsia="宋体" w:cs="宋体"/>
          <w:color w:val="auto"/>
          <w:kern w:val="0"/>
          <w:sz w:val="21"/>
          <w:szCs w:val="21"/>
          <w:highlight w:val="none"/>
        </w:rPr>
        <w:t xml:space="preserve">）  </w:t>
      </w:r>
    </w:p>
    <w:p>
      <w:pPr>
        <w:keepNext w:val="0"/>
        <w:keepLines w:val="0"/>
        <w:pageBreakBefore w:val="0"/>
        <w:widowControl w:val="0"/>
        <w:wordWrap w:val="0"/>
        <w:topLinePunct w:val="0"/>
        <w:autoSpaceDE/>
        <w:autoSpaceDN/>
        <w:bidi w:val="0"/>
        <w:adjustRightInd/>
        <w:snapToGrid/>
        <w:spacing w:line="440" w:lineRule="exact"/>
        <w:ind w:firstLine="436" w:firstLineChars="20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pPr>
        <w:pStyle w:val="4"/>
        <w:numPr>
          <w:ilvl w:val="0"/>
          <w:numId w:val="0"/>
        </w:numPr>
        <w:shd w:val="clear" w:color="auto" w:fill="auto"/>
        <w:spacing w:before="0" w:line="240" w:lineRule="atLeast"/>
        <w:ind w:left="431" w:leftChars="0"/>
        <w:outlineLvl w:val="9"/>
        <w:rPr>
          <w:rFonts w:hint="eastAsia" w:ascii="宋体" w:hAnsi="宋体" w:eastAsia="宋体" w:cs="宋体"/>
          <w:color w:val="auto"/>
          <w:sz w:val="24"/>
          <w:highlight w:val="none"/>
        </w:rPr>
      </w:pPr>
    </w:p>
    <w:p>
      <w:pPr>
        <w:pStyle w:val="5"/>
        <w:outlineLvl w:val="9"/>
        <w:rPr>
          <w:rFonts w:hint="eastAsia"/>
          <w:color w:val="auto"/>
          <w:highlight w:val="none"/>
        </w:rPr>
      </w:pPr>
    </w:p>
    <w:p>
      <w:pPr>
        <w:pStyle w:val="7"/>
        <w:shd w:val="clear" w:color="auto" w:fill="auto"/>
        <w:tabs>
          <w:tab w:val="left" w:pos="5580"/>
        </w:tabs>
        <w:spacing w:line="240" w:lineRule="atLeast"/>
        <w:ind w:firstLine="3411" w:firstLineChars="927"/>
        <w:jc w:val="both"/>
        <w:rPr>
          <w:rFonts w:hint="eastAsia" w:ascii="宋体" w:hAnsi="宋体" w:eastAsia="宋体" w:cs="宋体"/>
          <w:b/>
          <w:color w:val="auto"/>
          <w:sz w:val="36"/>
          <w:szCs w:val="24"/>
          <w:highlight w:val="none"/>
        </w:rPr>
      </w:pPr>
      <w:bookmarkStart w:id="240" w:name="_Toc494296984"/>
    </w:p>
    <w:p>
      <w:pPr>
        <w:pStyle w:val="7"/>
        <w:shd w:val="clear" w:color="auto" w:fill="auto"/>
        <w:tabs>
          <w:tab w:val="left" w:pos="5580"/>
        </w:tabs>
        <w:spacing w:line="240" w:lineRule="atLeast"/>
        <w:ind w:left="0" w:leftChars="0" w:firstLine="0" w:firstLineChars="0"/>
        <w:jc w:val="both"/>
        <w:rPr>
          <w:rFonts w:hint="eastAsia" w:ascii="宋体" w:hAnsi="宋体" w:eastAsia="宋体" w:cs="宋体"/>
          <w:b/>
          <w:color w:val="auto"/>
          <w:sz w:val="36"/>
          <w:szCs w:val="24"/>
          <w:highlight w:val="none"/>
        </w:rPr>
      </w:pPr>
    </w:p>
    <w:p>
      <w:pPr>
        <w:rPr>
          <w:rFonts w:hint="eastAsia"/>
          <w:color w:val="auto"/>
          <w:highlight w:val="none"/>
        </w:rPr>
      </w:pPr>
    </w:p>
    <w:p>
      <w:pPr>
        <w:pStyle w:val="7"/>
        <w:numPr>
          <w:ilvl w:val="0"/>
          <w:numId w:val="0"/>
        </w:numPr>
        <w:shd w:val="clear" w:color="auto" w:fill="auto"/>
        <w:tabs>
          <w:tab w:val="left" w:pos="5580"/>
        </w:tabs>
        <w:spacing w:line="240" w:lineRule="atLeast"/>
        <w:ind w:leftChars="0"/>
        <w:jc w:val="center"/>
        <w:outlineLvl w:val="1"/>
        <w:rPr>
          <w:rFonts w:hint="eastAsia" w:ascii="宋体" w:hAnsi="宋体" w:eastAsia="宋体" w:cs="宋体"/>
          <w:b/>
          <w:color w:val="auto"/>
          <w:sz w:val="28"/>
          <w:szCs w:val="21"/>
          <w:highlight w:val="none"/>
        </w:rPr>
      </w:pPr>
      <w:bookmarkStart w:id="241" w:name="_Toc20004"/>
      <w:r>
        <w:rPr>
          <w:rFonts w:hint="eastAsia" w:ascii="宋体" w:hAnsi="宋体" w:cs="宋体"/>
          <w:b/>
          <w:color w:val="auto"/>
          <w:sz w:val="28"/>
          <w:szCs w:val="21"/>
          <w:highlight w:val="none"/>
          <w:lang w:val="en-US" w:eastAsia="zh-CN"/>
        </w:rPr>
        <w:t>2、</w:t>
      </w:r>
      <w:r>
        <w:rPr>
          <w:rFonts w:hint="eastAsia" w:ascii="宋体" w:hAnsi="宋体" w:eastAsia="宋体" w:cs="宋体"/>
          <w:b/>
          <w:color w:val="auto"/>
          <w:sz w:val="28"/>
          <w:szCs w:val="21"/>
          <w:highlight w:val="none"/>
        </w:rPr>
        <w:t>开标一览表</w:t>
      </w:r>
      <w:bookmarkEnd w:id="240"/>
      <w:bookmarkEnd w:id="241"/>
    </w:p>
    <w:p>
      <w:pPr>
        <w:pStyle w:val="7"/>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7"/>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供货时间</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供货地点</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质保期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lang w:eastAsia="zh-CN"/>
              </w:rPr>
              <w:t>合计</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500" w:lineRule="exact"/>
        <w:ind w:firstLine="426" w:firstLineChars="196"/>
        <w:rPr>
          <w:rFonts w:hint="eastAsia" w:ascii="宋体" w:hAnsi="宋体" w:eastAsia="宋体" w:cs="宋体"/>
          <w:color w:val="auto"/>
          <w:szCs w:val="21"/>
          <w:highlight w:val="none"/>
        </w:rPr>
      </w:pPr>
      <w:bookmarkStart w:id="242" w:name="_Toc23717"/>
      <w:r>
        <w:rPr>
          <w:rFonts w:hint="eastAsia" w:ascii="宋体" w:hAnsi="宋体" w:eastAsia="宋体" w:cs="宋体"/>
          <w:color w:val="auto"/>
          <w:szCs w:val="21"/>
          <w:highlight w:val="none"/>
        </w:rPr>
        <w:t>填写说明：</w:t>
      </w:r>
    </w:p>
    <w:p>
      <w:pPr>
        <w:shd w:val="clear" w:color="auto" w:fill="auto"/>
        <w:spacing w:line="500" w:lineRule="exact"/>
        <w:ind w:firstLine="42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1.为方便开标唱标，投标人应将开标一览表单独密封，并在信封上标明“开标一览表”字样，然后在递交投标文件时单独递交</w:t>
      </w:r>
      <w:r>
        <w:rPr>
          <w:rFonts w:hint="eastAsia" w:ascii="宋体" w:hAnsi="宋体" w:eastAsia="宋体" w:cs="宋体"/>
          <w:b/>
          <w:bCs/>
          <w:color w:val="auto"/>
          <w:sz w:val="24"/>
          <w:highlight w:val="none"/>
        </w:rPr>
        <w:t>。</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4.必须在投标文件中装订。</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5.投标报价不得填报选择性报价。</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2"/>
        <w:rPr>
          <w:rFonts w:hint="eastAsia"/>
          <w:color w:val="auto"/>
          <w:highlight w:val="none"/>
        </w:rPr>
      </w:pPr>
    </w:p>
    <w:bookmarkEnd w:id="237"/>
    <w:bookmarkEnd w:id="238"/>
    <w:bookmarkEnd w:id="239"/>
    <w:bookmarkEnd w:id="242"/>
    <w:p>
      <w:pPr>
        <w:pStyle w:val="4"/>
        <w:numPr>
          <w:ilvl w:val="0"/>
          <w:numId w:val="11"/>
        </w:numPr>
        <w:shd w:val="clear" w:color="auto" w:fill="auto"/>
        <w:spacing w:before="0" w:line="240" w:lineRule="atLeast"/>
        <w:ind w:left="425" w:leftChars="0" w:hanging="425" w:firstLineChars="0"/>
        <w:jc w:val="center"/>
        <w:rPr>
          <w:rFonts w:hint="eastAsia" w:ascii="宋体" w:hAnsi="宋体" w:eastAsia="宋体" w:cs="宋体"/>
          <w:b/>
          <w:bCs/>
          <w:color w:val="auto"/>
          <w:sz w:val="24"/>
          <w:highlight w:val="none"/>
        </w:rPr>
      </w:pPr>
      <w:bookmarkStart w:id="243" w:name="_Toc1881"/>
      <w:bookmarkStart w:id="244" w:name="_Toc10313"/>
      <w:bookmarkStart w:id="245" w:name="_Toc20897"/>
      <w:bookmarkStart w:id="246" w:name="_Toc216582815"/>
      <w:bookmarkStart w:id="247" w:name="_Toc18759"/>
      <w:bookmarkStart w:id="248" w:name="_Toc515647818"/>
      <w:bookmarkStart w:id="249" w:name="_Toc515647820"/>
      <w:bookmarkStart w:id="250" w:name="_Toc22563"/>
      <w:bookmarkStart w:id="251" w:name="_Toc28959"/>
      <w:bookmarkStart w:id="252" w:name="_Toc216582817"/>
      <w:r>
        <w:rPr>
          <w:rFonts w:hint="eastAsia" w:ascii="宋体" w:hAnsi="宋体" w:eastAsia="宋体" w:cs="宋体"/>
          <w:b/>
          <w:bCs/>
          <w:color w:val="auto"/>
          <w:sz w:val="24"/>
          <w:highlight w:val="none"/>
        </w:rPr>
        <w:t>投标分项报价表</w:t>
      </w:r>
      <w:bookmarkEnd w:id="243"/>
      <w:bookmarkEnd w:id="244"/>
      <w:bookmarkEnd w:id="245"/>
      <w:bookmarkEnd w:id="246"/>
      <w:bookmarkEnd w:id="247"/>
      <w:bookmarkEnd w:id="248"/>
    </w:p>
    <w:p>
      <w:pPr>
        <w:pStyle w:val="13"/>
        <w:shd w:val="clear" w:color="auto" w:fill="auto"/>
        <w:spacing w:line="240" w:lineRule="atLeast"/>
        <w:ind w:left="1100" w:leftChars="257" w:hanging="540"/>
        <w:rPr>
          <w:rFonts w:hint="eastAsia" w:ascii="宋体" w:hAnsi="宋体" w:eastAsia="宋体" w:cs="宋体"/>
          <w:color w:val="auto"/>
          <w:sz w:val="24"/>
          <w:highlight w:val="none"/>
        </w:rPr>
      </w:pPr>
    </w:p>
    <w:p>
      <w:pPr>
        <w:pStyle w:val="13"/>
        <w:shd w:val="clear" w:color="auto" w:fill="auto"/>
        <w:spacing w:line="240" w:lineRule="atLeast"/>
        <w:ind w:left="1100" w:leftChars="257" w:hanging="540"/>
        <w:rPr>
          <w:rFonts w:hint="eastAsia" w:ascii="宋体" w:hAnsi="宋体" w:eastAsia="宋体" w:cs="宋体"/>
          <w:color w:val="auto"/>
          <w:sz w:val="21"/>
          <w:szCs w:val="21"/>
          <w:highlight w:val="none"/>
        </w:rPr>
      </w:pPr>
      <w:bookmarkStart w:id="253" w:name="_Toc12170"/>
      <w:r>
        <w:rPr>
          <w:rFonts w:hint="eastAsia" w:ascii="宋体" w:hAnsi="宋体" w:eastAsia="宋体" w:cs="宋体"/>
          <w:color w:val="auto"/>
          <w:sz w:val="21"/>
          <w:szCs w:val="21"/>
          <w:highlight w:val="none"/>
        </w:rPr>
        <w:t xml:space="preserve">项目名称:                      招标编号:                  包号: 　 </w:t>
      </w:r>
    </w:p>
    <w:p>
      <w:pPr>
        <w:pStyle w:val="13"/>
        <w:shd w:val="clear" w:color="auto" w:fill="auto"/>
        <w:spacing w:line="240" w:lineRule="atLeast"/>
        <w:ind w:left="1100"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7"/>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84"/>
        <w:gridCol w:w="1088"/>
        <w:gridCol w:w="1088"/>
        <w:gridCol w:w="1088"/>
        <w:gridCol w:w="1088"/>
        <w:gridCol w:w="787"/>
        <w:gridCol w:w="787"/>
        <w:gridCol w:w="892"/>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3"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684"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yellow"/>
                <w:lang w:val="en-US" w:eastAsia="zh-CN"/>
              </w:rPr>
              <w:t>标的</w:t>
            </w:r>
            <w:r>
              <w:rPr>
                <w:rFonts w:hint="eastAsia" w:hAnsi="宋体" w:eastAsia="宋体" w:cs="宋体"/>
                <w:color w:val="auto"/>
                <w:sz w:val="21"/>
                <w:szCs w:val="21"/>
                <w:highlight w:val="yellow"/>
                <w:lang w:val="en-US" w:eastAsia="zh-CN"/>
              </w:rPr>
              <w:t>名称</w:t>
            </w:r>
          </w:p>
        </w:tc>
        <w:tc>
          <w:tcPr>
            <w:tcW w:w="1088" w:type="dxa"/>
            <w:noWrap w:val="0"/>
            <w:vAlign w:val="center"/>
          </w:tcPr>
          <w:p>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品牌</w:t>
            </w:r>
          </w:p>
        </w:tc>
        <w:tc>
          <w:tcPr>
            <w:tcW w:w="1088" w:type="dxa"/>
            <w:noWrap w:val="0"/>
            <w:vAlign w:val="center"/>
          </w:tcPr>
          <w:p>
            <w:pPr>
              <w:pStyle w:val="13"/>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型号</w:t>
            </w:r>
          </w:p>
        </w:tc>
        <w:tc>
          <w:tcPr>
            <w:tcW w:w="1088" w:type="dxa"/>
            <w:noWrap w:val="0"/>
            <w:vAlign w:val="center"/>
          </w:tcPr>
          <w:p>
            <w:pPr>
              <w:pStyle w:val="13"/>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技术</w:t>
            </w:r>
          </w:p>
          <w:p>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参数</w:t>
            </w:r>
          </w:p>
        </w:tc>
        <w:tc>
          <w:tcPr>
            <w:tcW w:w="1088" w:type="dxa"/>
            <w:noWrap w:val="0"/>
            <w:vAlign w:val="center"/>
          </w:tcPr>
          <w:p>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w:t>
            </w:r>
            <w:r>
              <w:rPr>
                <w:rFonts w:hint="eastAsia" w:hAnsi="宋体" w:eastAsia="宋体" w:cs="宋体"/>
                <w:color w:val="auto"/>
                <w:sz w:val="21"/>
                <w:szCs w:val="21"/>
                <w:highlight w:val="none"/>
                <w:lang w:val="en-US" w:eastAsia="zh-CN"/>
              </w:rPr>
              <w:t>量</w:t>
            </w:r>
          </w:p>
        </w:tc>
        <w:tc>
          <w:tcPr>
            <w:tcW w:w="787"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单位</w:t>
            </w:r>
          </w:p>
        </w:tc>
        <w:tc>
          <w:tcPr>
            <w:tcW w:w="787"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892" w:type="dxa"/>
            <w:noWrap w:val="0"/>
            <w:vAlign w:val="center"/>
          </w:tcPr>
          <w:p>
            <w:pPr>
              <w:pStyle w:val="13"/>
              <w:shd w:val="clear" w:color="auto" w:fill="auto"/>
              <w:spacing w:line="240" w:lineRule="atLeast"/>
              <w:ind w:firstLine="218" w:firstLineChars="10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总价</w:t>
            </w:r>
          </w:p>
        </w:tc>
        <w:tc>
          <w:tcPr>
            <w:tcW w:w="669"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23"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84"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787" w:type="dxa"/>
            <w:noWrap w:val="0"/>
            <w:vAlign w:val="center"/>
          </w:tcPr>
          <w:p>
            <w:pPr>
              <w:pStyle w:val="13"/>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787" w:type="dxa"/>
            <w:noWrap w:val="0"/>
            <w:vAlign w:val="center"/>
          </w:tcPr>
          <w:p>
            <w:pPr>
              <w:pStyle w:val="13"/>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892" w:type="dxa"/>
            <w:noWrap w:val="0"/>
            <w:vAlign w:val="center"/>
          </w:tcPr>
          <w:p>
            <w:pPr>
              <w:pStyle w:val="13"/>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669" w:type="dxa"/>
            <w:noWrap w:val="0"/>
            <w:vAlign w:val="center"/>
          </w:tcPr>
          <w:p>
            <w:pPr>
              <w:pStyle w:val="13"/>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3"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84"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3"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84"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3"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84"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23"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84"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3" w:type="dxa"/>
            <w:noWrap w:val="0"/>
            <w:vAlign w:val="center"/>
          </w:tcPr>
          <w:p>
            <w:pPr>
              <w:pStyle w:val="13"/>
              <w:shd w:val="clear" w:color="auto" w:fill="auto"/>
              <w:spacing w:line="240" w:lineRule="atLeast"/>
              <w:ind w:left="1100" w:leftChars="257" w:hanging="540"/>
              <w:jc w:val="both"/>
              <w:rPr>
                <w:rFonts w:hint="eastAsia" w:hAnsi="宋体" w:eastAsia="宋体" w:cs="宋体"/>
                <w:color w:val="auto"/>
                <w:sz w:val="21"/>
                <w:szCs w:val="21"/>
                <w:highlight w:val="none"/>
                <w:lang w:val="en-US" w:eastAsia="zh-CN"/>
              </w:rPr>
            </w:pPr>
          </w:p>
        </w:tc>
        <w:tc>
          <w:tcPr>
            <w:tcW w:w="9171" w:type="dxa"/>
            <w:gridSpan w:val="9"/>
            <w:noWrap w:val="0"/>
            <w:vAlign w:val="center"/>
          </w:tcPr>
          <w:p>
            <w:pPr>
              <w:pStyle w:val="13"/>
              <w:shd w:val="clear" w:color="auto" w:fill="auto"/>
              <w:spacing w:line="240" w:lineRule="atLeast"/>
              <w:ind w:left="1100" w:leftChars="257" w:hanging="540"/>
              <w:jc w:val="both"/>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pPr>
        <w:pStyle w:val="13"/>
        <w:shd w:val="clear" w:color="auto" w:fill="auto"/>
        <w:spacing w:line="240" w:lineRule="atLeast"/>
        <w:ind w:left="1100" w:leftChars="257" w:hanging="540"/>
        <w:rPr>
          <w:rFonts w:hint="eastAsia" w:ascii="宋体" w:hAnsi="宋体" w:eastAsia="宋体" w:cs="宋体"/>
          <w:color w:val="auto"/>
          <w:sz w:val="21"/>
          <w:szCs w:val="21"/>
          <w:highlight w:val="none"/>
        </w:rPr>
      </w:pPr>
    </w:p>
    <w:p>
      <w:pPr>
        <w:pStyle w:val="13"/>
        <w:shd w:val="clear" w:color="auto" w:fill="auto"/>
        <w:spacing w:line="240" w:lineRule="atLeast"/>
        <w:ind w:left="110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13"/>
        <w:shd w:val="clear" w:color="auto" w:fill="auto"/>
        <w:tabs>
          <w:tab w:val="left" w:pos="5370"/>
        </w:tabs>
        <w:spacing w:line="240" w:lineRule="atLeast"/>
        <w:ind w:left="1100"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pStyle w:val="13"/>
        <w:shd w:val="clear" w:color="auto" w:fill="auto"/>
        <w:spacing w:line="240" w:lineRule="atLeast"/>
        <w:ind w:left="1100" w:leftChars="257" w:hanging="540"/>
        <w:rPr>
          <w:rFonts w:hint="eastAsia" w:ascii="宋体" w:hAnsi="宋体" w:eastAsia="宋体" w:cs="宋体"/>
          <w:color w:val="auto"/>
          <w:sz w:val="21"/>
          <w:szCs w:val="21"/>
          <w:highlight w:val="none"/>
        </w:rPr>
      </w:pPr>
    </w:p>
    <w:p>
      <w:pPr>
        <w:pStyle w:val="13"/>
        <w:shd w:val="clear" w:color="auto" w:fill="auto"/>
        <w:spacing w:line="240" w:lineRule="atLeast"/>
        <w:ind w:left="110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pPr>
        <w:pStyle w:val="13"/>
        <w:shd w:val="clear" w:color="auto" w:fill="auto"/>
        <w:spacing w:line="240" w:lineRule="atLeast"/>
        <w:ind w:left="110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招标</w:t>
      </w:r>
      <w:r>
        <w:rPr>
          <w:rFonts w:hint="eastAsia"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pPr>
        <w:pStyle w:val="13"/>
        <w:shd w:val="clear" w:color="auto" w:fill="auto"/>
        <w:spacing w:line="240" w:lineRule="atLeast"/>
        <w:ind w:left="110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pPr>
        <w:pStyle w:val="13"/>
        <w:shd w:val="clear" w:color="auto" w:fill="auto"/>
        <w:spacing w:line="240" w:lineRule="atLeast"/>
        <w:ind w:left="1114" w:leftChars="455" w:hanging="123" w:hangingChars="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pPr>
        <w:pStyle w:val="13"/>
        <w:shd w:val="clear" w:color="auto" w:fill="auto"/>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4"/>
        <w:numPr>
          <w:ilvl w:val="0"/>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bookmarkStart w:id="254" w:name="_Toc21287"/>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技术规格偏离表</w:t>
      </w:r>
      <w:bookmarkEnd w:id="249"/>
      <w:bookmarkEnd w:id="250"/>
      <w:bookmarkEnd w:id="251"/>
      <w:bookmarkEnd w:id="252"/>
      <w:bookmarkEnd w:id="253"/>
      <w:bookmarkEnd w:id="254"/>
    </w:p>
    <w:p>
      <w:pPr>
        <w:pStyle w:val="13"/>
        <w:shd w:val="clear" w:color="auto" w:fill="auto"/>
        <w:spacing w:line="240" w:lineRule="atLeast"/>
        <w:ind w:left="1100" w:leftChars="257" w:hanging="540"/>
        <w:rPr>
          <w:rFonts w:hint="eastAsia" w:ascii="宋体" w:hAnsi="宋体" w:eastAsia="宋体" w:cs="宋体"/>
          <w:color w:val="auto"/>
          <w:sz w:val="24"/>
          <w:highlight w:val="none"/>
        </w:rPr>
      </w:pPr>
    </w:p>
    <w:p>
      <w:pPr>
        <w:pStyle w:val="13"/>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招标编号:                 包号:</w:t>
      </w:r>
    </w:p>
    <w:p>
      <w:pPr>
        <w:pStyle w:val="13"/>
        <w:shd w:val="clear" w:color="auto" w:fill="auto"/>
        <w:spacing w:line="240" w:lineRule="atLeast"/>
        <w:ind w:left="1100" w:leftChars="257" w:hanging="540"/>
        <w:rPr>
          <w:rFonts w:hint="eastAsia" w:ascii="宋体" w:hAnsi="宋体" w:eastAsia="宋体" w:cs="宋体"/>
          <w:color w:val="auto"/>
          <w:sz w:val="24"/>
          <w:highlight w:val="none"/>
        </w:rPr>
      </w:pPr>
    </w:p>
    <w:tbl>
      <w:tblPr>
        <w:tblStyle w:val="27"/>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521"/>
        <w:gridCol w:w="1454"/>
        <w:gridCol w:w="1338"/>
        <w:gridCol w:w="244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6" w:type="dxa"/>
            <w:noWrap w:val="0"/>
            <w:vAlign w:val="center"/>
          </w:tcPr>
          <w:p>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521" w:type="dxa"/>
            <w:noWrap w:val="0"/>
            <w:vAlign w:val="center"/>
          </w:tcPr>
          <w:p>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hAnsi="宋体" w:cs="宋体"/>
                <w:color w:val="auto"/>
                <w:sz w:val="24"/>
                <w:highlight w:val="yellow"/>
                <w:lang w:val="en-US" w:eastAsia="zh-CN"/>
              </w:rPr>
              <w:t>标的</w:t>
            </w:r>
            <w:r>
              <w:rPr>
                <w:rFonts w:hint="eastAsia" w:ascii="宋体" w:hAnsi="宋体" w:eastAsia="宋体" w:cs="宋体"/>
                <w:color w:val="auto"/>
                <w:sz w:val="24"/>
                <w:highlight w:val="yellow"/>
                <w:lang w:val="en-US" w:eastAsia="zh-CN"/>
              </w:rPr>
              <w:t>名称</w:t>
            </w:r>
          </w:p>
        </w:tc>
        <w:tc>
          <w:tcPr>
            <w:tcW w:w="1454" w:type="dxa"/>
            <w:noWrap w:val="0"/>
            <w:vAlign w:val="center"/>
          </w:tcPr>
          <w:p>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338" w:type="dxa"/>
            <w:noWrap w:val="0"/>
            <w:vAlign w:val="center"/>
          </w:tcPr>
          <w:p>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2448" w:type="dxa"/>
            <w:noWrap w:val="0"/>
            <w:vAlign w:val="center"/>
          </w:tcPr>
          <w:p>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750" w:type="dxa"/>
            <w:noWrap w:val="0"/>
            <w:vAlign w:val="center"/>
          </w:tcPr>
          <w:p>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1"/>
                <w:szCs w:val="16"/>
                <w:highlight w:val="none"/>
                <w:lang w:val="en-US" w:eastAsia="zh-CN"/>
              </w:rPr>
            </w:pPr>
          </w:p>
        </w:tc>
        <w:tc>
          <w:tcPr>
            <w:tcW w:w="2448" w:type="dxa"/>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1"/>
                <w:szCs w:val="16"/>
                <w:highlight w:val="none"/>
                <w:lang w:val="en-US" w:eastAsia="zh-CN"/>
              </w:rPr>
            </w:pPr>
            <w:r>
              <w:rPr>
                <w:rFonts w:hint="eastAsia" w:hAnsi="宋体" w:eastAsia="宋体" w:cs="宋体"/>
                <w:b/>
                <w:bCs/>
                <w:color w:val="auto"/>
                <w:sz w:val="21"/>
                <w:szCs w:val="16"/>
                <w:highlight w:val="none"/>
                <w:u w:val="single" w:color="auto"/>
                <w:lang w:val="en-US" w:eastAsia="zh-CN"/>
              </w:rPr>
              <w:t>如有正偏离需提供证明材料，证明材料附后(并注明页码)</w:t>
            </w:r>
            <w:r>
              <w:rPr>
                <w:rFonts w:hint="eastAsia" w:hAnsi="宋体" w:cs="宋体"/>
                <w:b/>
                <w:bCs/>
                <w:color w:val="auto"/>
                <w:sz w:val="21"/>
                <w:szCs w:val="16"/>
                <w:highlight w:val="none"/>
                <w:u w:val="single" w:color="auto"/>
                <w:lang w:val="en-US" w:eastAsia="zh-CN"/>
              </w:rPr>
              <w:t>、不允许负偏离</w:t>
            </w: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bl>
    <w:p>
      <w:pPr>
        <w:pStyle w:val="13"/>
        <w:shd w:val="clear" w:color="auto" w:fill="auto"/>
        <w:spacing w:line="240" w:lineRule="atLeast"/>
        <w:ind w:left="1100" w:leftChars="257" w:hanging="540"/>
        <w:rPr>
          <w:rFonts w:hint="eastAsia" w:ascii="宋体" w:hAnsi="宋体" w:eastAsia="宋体" w:cs="宋体"/>
          <w:color w:val="auto"/>
          <w:sz w:val="24"/>
          <w:highlight w:val="none"/>
        </w:rPr>
      </w:pPr>
    </w:p>
    <w:p>
      <w:pPr>
        <w:pStyle w:val="13"/>
        <w:shd w:val="clear" w:color="auto" w:fill="auto"/>
        <w:spacing w:line="240" w:lineRule="atLeast"/>
        <w:ind w:left="1100" w:leftChars="257" w:hanging="540"/>
        <w:rPr>
          <w:rFonts w:hint="eastAsia" w:ascii="宋体" w:hAnsi="宋体" w:eastAsia="宋体" w:cs="宋体"/>
          <w:color w:val="auto"/>
          <w:sz w:val="24"/>
          <w:highlight w:val="none"/>
          <w:lang w:eastAsia="zh-CN"/>
        </w:rPr>
      </w:pPr>
    </w:p>
    <w:p>
      <w:pPr>
        <w:pStyle w:val="13"/>
        <w:shd w:val="clear" w:color="auto" w:fill="auto"/>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3"/>
        <w:shd w:val="clear" w:color="auto" w:fill="auto"/>
        <w:tabs>
          <w:tab w:val="left" w:pos="5370"/>
        </w:tabs>
        <w:spacing w:line="240" w:lineRule="atLeast"/>
        <w:ind w:left="1100"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3"/>
        <w:shd w:val="clear" w:color="auto" w:fill="auto"/>
        <w:tabs>
          <w:tab w:val="left" w:pos="5580"/>
        </w:tabs>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日期：          年    月      日</w:t>
      </w:r>
      <w:r>
        <w:rPr>
          <w:rFonts w:hint="eastAsia" w:ascii="宋体" w:hAnsi="宋体" w:eastAsia="宋体" w:cs="宋体"/>
          <w:color w:val="auto"/>
          <w:sz w:val="24"/>
          <w:highlight w:val="none"/>
          <w:u w:val="single"/>
        </w:rPr>
        <w:br w:type="page"/>
      </w:r>
    </w:p>
    <w:p>
      <w:pPr>
        <w:pStyle w:val="4"/>
        <w:numPr>
          <w:ilvl w:val="0"/>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bookmarkStart w:id="255" w:name="_Toc216582818"/>
      <w:bookmarkStart w:id="256" w:name="_Toc515647821"/>
      <w:bookmarkStart w:id="257" w:name="_Toc23"/>
      <w:bookmarkStart w:id="258" w:name="_Toc21391"/>
      <w:bookmarkStart w:id="259" w:name="_Toc1980"/>
    </w:p>
    <w:p>
      <w:pPr>
        <w:pStyle w:val="4"/>
        <w:numPr>
          <w:ilvl w:val="0"/>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p>
    <w:p>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bookmarkStart w:id="260" w:name="_Toc16803"/>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255"/>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256"/>
      <w:bookmarkEnd w:id="257"/>
      <w:bookmarkEnd w:id="258"/>
      <w:bookmarkEnd w:id="259"/>
      <w:bookmarkEnd w:id="260"/>
    </w:p>
    <w:p>
      <w:pPr>
        <w:pStyle w:val="13"/>
        <w:shd w:val="clear" w:color="auto" w:fill="auto"/>
        <w:spacing w:line="240" w:lineRule="atLeast"/>
        <w:ind w:left="1100" w:leftChars="257" w:hanging="540"/>
        <w:rPr>
          <w:rFonts w:hint="eastAsia" w:ascii="宋体" w:hAnsi="宋体" w:eastAsia="宋体" w:cs="宋体"/>
          <w:color w:val="auto"/>
          <w:sz w:val="24"/>
          <w:highlight w:val="none"/>
        </w:rPr>
      </w:pPr>
    </w:p>
    <w:p>
      <w:pPr>
        <w:pStyle w:val="13"/>
        <w:shd w:val="clear" w:color="auto" w:fill="auto"/>
        <w:spacing w:line="240" w:lineRule="atLeast"/>
        <w:ind w:left="1100" w:leftChars="257" w:hanging="540"/>
        <w:rPr>
          <w:rFonts w:hint="eastAsia" w:ascii="宋体" w:hAnsi="宋体" w:eastAsia="宋体" w:cs="宋体"/>
          <w:color w:val="auto"/>
          <w:sz w:val="24"/>
          <w:highlight w:val="none"/>
        </w:rPr>
      </w:pPr>
    </w:p>
    <w:p>
      <w:pPr>
        <w:pStyle w:val="13"/>
        <w:shd w:val="clear" w:color="auto" w:fill="auto"/>
        <w:spacing w:line="240" w:lineRule="atLeast"/>
        <w:ind w:left="1100"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包号:</w:t>
      </w:r>
    </w:p>
    <w:p>
      <w:pPr>
        <w:pStyle w:val="13"/>
        <w:shd w:val="clear" w:color="auto" w:fill="auto"/>
        <w:spacing w:line="240" w:lineRule="atLeast"/>
        <w:ind w:left="1100" w:leftChars="257" w:hanging="540"/>
        <w:rPr>
          <w:rFonts w:hint="eastAsia" w:ascii="宋体" w:hAnsi="宋体" w:eastAsia="宋体" w:cs="宋体"/>
          <w:color w:val="auto"/>
          <w:sz w:val="22"/>
          <w:szCs w:val="18"/>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100"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100" w:leftChars="257" w:hanging="540"/>
              <w:jc w:val="center"/>
              <w:rPr>
                <w:rFonts w:hint="eastAsia" w:ascii="宋体" w:hAnsi="宋体" w:eastAsia="宋体" w:cs="宋体"/>
                <w:color w:val="auto"/>
                <w:sz w:val="22"/>
                <w:szCs w:val="18"/>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bl>
    <w:p>
      <w:pPr>
        <w:pStyle w:val="13"/>
        <w:shd w:val="clear" w:color="auto" w:fill="auto"/>
        <w:spacing w:line="240" w:lineRule="atLeast"/>
        <w:ind w:left="1100" w:leftChars="257" w:hanging="540"/>
        <w:rPr>
          <w:rFonts w:hint="eastAsia" w:ascii="宋体" w:hAnsi="宋体" w:eastAsia="宋体" w:cs="宋体"/>
          <w:color w:val="auto"/>
          <w:sz w:val="24"/>
          <w:highlight w:val="none"/>
        </w:rPr>
      </w:pPr>
    </w:p>
    <w:p>
      <w:pPr>
        <w:pStyle w:val="13"/>
        <w:shd w:val="clear" w:color="auto" w:fill="auto"/>
        <w:spacing w:line="240" w:lineRule="atLeast"/>
        <w:ind w:left="1100" w:leftChars="257" w:hanging="540"/>
        <w:rPr>
          <w:rFonts w:hint="eastAsia" w:ascii="宋体" w:hAnsi="宋体" w:eastAsia="宋体" w:cs="宋体"/>
          <w:color w:val="auto"/>
          <w:sz w:val="24"/>
          <w:highlight w:val="none"/>
        </w:rPr>
      </w:pPr>
    </w:p>
    <w:p>
      <w:pPr>
        <w:pStyle w:val="13"/>
        <w:shd w:val="clear" w:color="auto" w:fill="auto"/>
        <w:spacing w:line="240" w:lineRule="atLeast"/>
        <w:ind w:left="1100"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pPr>
        <w:pStyle w:val="13"/>
        <w:shd w:val="clear" w:color="auto" w:fill="auto"/>
        <w:tabs>
          <w:tab w:val="left" w:pos="5370"/>
        </w:tabs>
        <w:spacing w:line="240" w:lineRule="atLeast"/>
        <w:ind w:left="1100"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pPr>
        <w:pStyle w:val="81"/>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61" w:name="_Toc10725"/>
      <w:bookmarkStart w:id="262" w:name="_Toc515647823"/>
      <w:bookmarkStart w:id="263" w:name="_Toc21312"/>
      <w:bookmarkStart w:id="264" w:name="_Toc2963"/>
      <w:bookmarkStart w:id="265" w:name="_Toc515647827"/>
      <w:bookmarkStart w:id="266" w:name="_Toc28099"/>
      <w:bookmarkStart w:id="267" w:name="_Toc30795"/>
    </w:p>
    <w:p>
      <w:pPr>
        <w:pStyle w:val="8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6、投标人基本情况表</w:t>
      </w:r>
    </w:p>
    <w:p>
      <w:pPr>
        <w:pStyle w:val="2"/>
        <w:numPr>
          <w:ilvl w:val="0"/>
          <w:numId w:val="0"/>
        </w:numPr>
        <w:kinsoku w:val="0"/>
        <w:overflowPunct w:val="0"/>
        <w:spacing w:before="5"/>
        <w:ind w:leftChars="0" w:right="0" w:rightChars="0"/>
        <w:rPr>
          <w:rFonts w:hint="eastAsia" w:ascii="仿宋" w:hAnsi="仿宋" w:eastAsia="仿宋" w:cs="仿宋"/>
          <w:b/>
          <w:bCs/>
          <w:color w:val="auto"/>
          <w:sz w:val="6"/>
          <w:szCs w:val="6"/>
          <w:highlight w:val="none"/>
        </w:rPr>
      </w:pPr>
    </w:p>
    <w:tbl>
      <w:tblPr>
        <w:tblStyle w:val="27"/>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8"/>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8"/>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8"/>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8"/>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pPr>
              <w:pStyle w:val="58"/>
              <w:kinsoku w:val="0"/>
              <w:overflowPunct w:val="0"/>
              <w:spacing w:before="145"/>
              <w:ind w:left="1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8"/>
              <w:kinsoku w:val="0"/>
              <w:overflowPunct w:val="0"/>
              <w:spacing w:before="146"/>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8"/>
              <w:kinsoku w:val="0"/>
              <w:overflowPunct w:val="0"/>
              <w:spacing w:before="141" w:line="312" w:lineRule="exact"/>
              <w:ind w:left="257" w:right="133"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58"/>
              <w:kinsoku w:val="0"/>
              <w:overflowPunct w:val="0"/>
              <w:spacing w:before="4"/>
              <w:rPr>
                <w:rFonts w:hint="eastAsia" w:ascii="宋体" w:hAnsi="宋体" w:eastAsia="宋体" w:cs="宋体"/>
                <w:b/>
                <w:bCs/>
                <w:color w:val="auto"/>
                <w:sz w:val="21"/>
                <w:szCs w:val="21"/>
                <w:highlight w:val="none"/>
              </w:rPr>
            </w:pPr>
          </w:p>
          <w:p>
            <w:pPr>
              <w:pStyle w:val="58"/>
              <w:kinsoku w:val="0"/>
              <w:overflowPunct w:val="0"/>
              <w:ind w:left="3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pPr>
              <w:pStyle w:val="58"/>
              <w:kinsoku w:val="0"/>
              <w:overflowPunct w:val="0"/>
              <w:spacing w:before="4"/>
              <w:rPr>
                <w:rFonts w:hint="eastAsia" w:ascii="宋体" w:hAnsi="宋体" w:eastAsia="宋体" w:cs="宋体"/>
                <w:b/>
                <w:bCs/>
                <w:color w:val="auto"/>
                <w:sz w:val="21"/>
                <w:szCs w:val="21"/>
                <w:highlight w:val="none"/>
              </w:rPr>
            </w:pPr>
          </w:p>
          <w:p>
            <w:pPr>
              <w:pStyle w:val="58"/>
              <w:kinsoku w:val="0"/>
              <w:overflowPunct w:val="0"/>
              <w:ind w:left="38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8"/>
              <w:kinsoku w:val="0"/>
              <w:overflowPunct w:val="0"/>
              <w:spacing w:before="141" w:line="312" w:lineRule="exact"/>
              <w:ind w:left="257" w:right="133"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pStyle w:val="58"/>
              <w:kinsoku w:val="0"/>
              <w:overflowPunct w:val="0"/>
              <w:spacing w:before="144"/>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8"/>
              <w:kinsoku w:val="0"/>
              <w:overflowPunct w:val="0"/>
              <w:spacing w:line="237" w:lineRule="auto"/>
              <w:ind w:left="497" w:right="49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r>
    </w:tbl>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pPr>
        <w:pStyle w:val="2"/>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highlight w:val="none"/>
          <w:lang w:eastAsia="zh-CN"/>
        </w:rPr>
      </w:pPr>
      <w:r>
        <w:rPr>
          <w:rFonts w:hint="eastAsia" w:ascii="宋体" w:hAnsi="宋体" w:eastAsia="宋体" w:cs="宋体"/>
          <w:b w:val="0"/>
          <w:bCs/>
          <w:color w:val="auto"/>
          <w:kern w:val="0"/>
          <w:sz w:val="24"/>
          <w:szCs w:val="24"/>
          <w:highlight w:val="none"/>
          <w:lang w:val="en-US" w:eastAsia="zh-CN"/>
        </w:rPr>
        <w:t>7、</w:t>
      </w:r>
      <w:r>
        <w:rPr>
          <w:rFonts w:hint="eastAsia" w:ascii="宋体" w:hAnsi="宋体" w:eastAsia="宋体" w:cs="宋体"/>
          <w:b/>
          <w:bCs/>
          <w:color w:val="auto"/>
          <w:w w:val="90"/>
          <w:sz w:val="24"/>
          <w:szCs w:val="24"/>
          <w:highlight w:val="none"/>
        </w:rPr>
        <w:t>近三年类似项目业绩</w:t>
      </w:r>
      <w:r>
        <w:rPr>
          <w:rFonts w:hint="eastAsia" w:ascii="宋体" w:hAnsi="宋体" w:eastAsia="宋体" w:cs="宋体"/>
          <w:b/>
          <w:bCs/>
          <w:color w:val="auto"/>
          <w:w w:val="90"/>
          <w:sz w:val="24"/>
          <w:szCs w:val="24"/>
          <w:highlight w:val="none"/>
          <w:lang w:eastAsia="zh-CN"/>
        </w:rPr>
        <w:t>表</w:t>
      </w:r>
    </w:p>
    <w:p>
      <w:pPr>
        <w:pStyle w:val="2"/>
        <w:numPr>
          <w:ilvl w:val="0"/>
          <w:numId w:val="0"/>
        </w:numPr>
        <w:kinsoku w:val="0"/>
        <w:overflowPunct w:val="0"/>
        <w:ind w:leftChars="0" w:right="0" w:rightChars="0"/>
        <w:rPr>
          <w:rFonts w:hint="eastAsia" w:ascii="仿宋" w:hAnsi="仿宋" w:eastAsia="仿宋" w:cs="仿宋"/>
          <w:b/>
          <w:bCs/>
          <w:color w:val="auto"/>
          <w:sz w:val="20"/>
          <w:szCs w:val="20"/>
          <w:highlight w:val="none"/>
        </w:rPr>
      </w:pPr>
    </w:p>
    <w:tbl>
      <w:tblPr>
        <w:tblStyle w:val="27"/>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pPr>
              <w:pStyle w:val="8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pPr>
              <w:pStyle w:val="83"/>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项目单位名称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pPr>
              <w:pStyle w:val="83"/>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项目单位联系姓名及联系方式</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pPr>
              <w:pStyle w:val="8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合同金额</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pPr>
              <w:pStyle w:val="83"/>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项目负责人姓名</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pPr>
              <w:pStyle w:val="83"/>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项目实施时间</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pPr>
              <w:pStyle w:val="83"/>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宋体" w:hAnsi="宋体" w:eastAsia="宋体" w:cs="宋体"/>
                <w:color w:val="auto"/>
                <w:sz w:val="21"/>
                <w:szCs w:val="21"/>
                <w:highlight w:val="none"/>
              </w:rPr>
            </w:pPr>
          </w:p>
        </w:tc>
      </w:tr>
    </w:tbl>
    <w:p>
      <w:pPr>
        <w:rPr>
          <w:rFonts w:hint="eastAsia" w:ascii="仿宋" w:hAnsi="仿宋" w:eastAsia="仿宋" w:cs="仿宋"/>
          <w:color w:val="auto"/>
          <w:spacing w:val="-1"/>
          <w:kern w:val="0"/>
          <w:sz w:val="24"/>
          <w:highlight w:val="none"/>
        </w:rPr>
      </w:pPr>
    </w:p>
    <w:p>
      <w:pP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注：每个</w:t>
      </w:r>
      <w:r>
        <w:rPr>
          <w:rFonts w:hint="eastAsia" w:ascii="宋体" w:hAnsi="宋体" w:eastAsia="宋体" w:cs="宋体"/>
          <w:color w:val="auto"/>
          <w:spacing w:val="-1"/>
          <w:kern w:val="0"/>
          <w:sz w:val="21"/>
          <w:szCs w:val="21"/>
          <w:highlight w:val="none"/>
          <w:lang w:eastAsia="zh-CN"/>
        </w:rPr>
        <w:t>业绩</w:t>
      </w:r>
      <w:r>
        <w:rPr>
          <w:rFonts w:hint="eastAsia" w:ascii="宋体" w:hAnsi="宋体" w:eastAsia="宋体" w:cs="宋体"/>
          <w:color w:val="auto"/>
          <w:spacing w:val="-1"/>
          <w:kern w:val="0"/>
          <w:sz w:val="21"/>
          <w:szCs w:val="21"/>
          <w:highlight w:val="none"/>
        </w:rPr>
        <w:t>须单独附表，并附上</w:t>
      </w:r>
      <w:r>
        <w:rPr>
          <w:rFonts w:hint="eastAsia" w:ascii="宋体" w:hAnsi="宋体" w:eastAsia="宋体" w:cs="宋体"/>
          <w:color w:val="auto"/>
          <w:spacing w:val="-1"/>
          <w:kern w:val="0"/>
          <w:sz w:val="21"/>
          <w:szCs w:val="21"/>
          <w:highlight w:val="none"/>
          <w:lang w:eastAsia="zh-CN"/>
        </w:rPr>
        <w:t>合同</w:t>
      </w:r>
      <w:r>
        <w:rPr>
          <w:rFonts w:hint="eastAsia" w:ascii="宋体" w:hAnsi="宋体" w:eastAsia="宋体" w:cs="宋体"/>
          <w:color w:val="auto"/>
          <w:spacing w:val="-1"/>
          <w:kern w:val="0"/>
          <w:sz w:val="21"/>
          <w:szCs w:val="21"/>
          <w:highlight w:val="none"/>
          <w:lang w:val="en-US" w:eastAsia="zh-CN"/>
        </w:rPr>
        <w:t>或</w:t>
      </w:r>
      <w:r>
        <w:rPr>
          <w:rFonts w:hint="eastAsia" w:ascii="宋体" w:hAnsi="宋体" w:eastAsia="宋体" w:cs="宋体"/>
          <w:color w:val="auto"/>
          <w:spacing w:val="-1"/>
          <w:kern w:val="0"/>
          <w:sz w:val="21"/>
          <w:szCs w:val="21"/>
          <w:highlight w:val="none"/>
          <w:lang w:eastAsia="zh-CN"/>
        </w:rPr>
        <w:t>中标通知书</w:t>
      </w:r>
      <w:r>
        <w:rPr>
          <w:rFonts w:hint="eastAsia" w:ascii="宋体" w:hAnsi="宋体" w:eastAsia="宋体" w:cs="宋体"/>
          <w:color w:val="auto"/>
          <w:spacing w:val="-1"/>
          <w:kern w:val="0"/>
          <w:sz w:val="21"/>
          <w:szCs w:val="21"/>
          <w:highlight w:val="none"/>
        </w:rPr>
        <w:t>相关证明材料，否则专家在评审时将不予采信。</w:t>
      </w: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（盖章）</w:t>
      </w: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highlight w:val="none"/>
        </w:rPr>
      </w:pPr>
      <w:r>
        <w:rPr>
          <w:rFonts w:hint="eastAsia" w:ascii="宋体" w:hAnsi="宋体" w:eastAsia="宋体" w:cs="宋体"/>
          <w:color w:val="auto"/>
          <w:sz w:val="21"/>
          <w:szCs w:val="21"/>
          <w:highlight w:val="none"/>
        </w:rPr>
        <w:t>法定代表人或被授权人：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bidi="ar-SA"/>
        </w:rPr>
        <w:t>(签字或盖章）</w:t>
      </w:r>
    </w:p>
    <w:p>
      <w:pPr>
        <w:pStyle w:val="2"/>
        <w:numPr>
          <w:ilvl w:val="0"/>
          <w:numId w:val="0"/>
        </w:numPr>
        <w:tabs>
          <w:tab w:val="left" w:pos="5551"/>
          <w:tab w:val="left" w:pos="6511"/>
          <w:tab w:val="left" w:pos="7111"/>
          <w:tab w:val="left" w:pos="7711"/>
        </w:tabs>
        <w:kinsoku w:val="0"/>
        <w:overflowPunct w:val="0"/>
        <w:spacing w:before="46"/>
        <w:ind w:right="0" w:rightChars="0" w:firstLine="3924"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pPr>
        <w:pStyle w:val="81"/>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auto"/>
          <w:spacing w:val="0"/>
          <w:w w:val="100"/>
          <w:position w:val="0"/>
          <w:highlight w:val="none"/>
        </w:rPr>
      </w:pPr>
    </w:p>
    <w:p>
      <w:pPr>
        <w:pStyle w:val="4"/>
        <w:numPr>
          <w:ilvl w:val="0"/>
          <w:numId w:val="0"/>
        </w:numPr>
        <w:shd w:val="clear" w:color="auto" w:fill="auto"/>
        <w:spacing w:before="0" w:line="240" w:lineRule="atLeast"/>
        <w:jc w:val="both"/>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jc w:val="center"/>
        <w:outlineLvl w:val="1"/>
        <w:rPr>
          <w:rFonts w:hint="eastAsia" w:ascii="宋体" w:hAnsi="宋体" w:eastAsia="宋体" w:cs="宋体"/>
          <w:b/>
          <w:bCs/>
          <w:color w:val="auto"/>
          <w:sz w:val="24"/>
          <w:highlight w:val="none"/>
          <w:lang w:val="en-US" w:eastAsia="zh-CN"/>
        </w:rPr>
      </w:pPr>
      <w:bookmarkStart w:id="268" w:name="_Toc6155"/>
      <w:r>
        <w:rPr>
          <w:rFonts w:hint="eastAsia" w:ascii="宋体" w:hAnsi="宋体" w:eastAsia="宋体" w:cs="宋体"/>
          <w:b/>
          <w:bCs/>
          <w:color w:val="auto"/>
          <w:kern w:val="0"/>
          <w:sz w:val="24"/>
          <w:szCs w:val="20"/>
          <w:highlight w:val="none"/>
          <w:u w:val="none"/>
          <w:lang w:val="en-US" w:eastAsia="zh-CN" w:bidi="ar-SA"/>
        </w:rPr>
        <w:t>8、中小企业声明函(货物)</w:t>
      </w:r>
      <w:bookmarkEnd w:id="268"/>
    </w:p>
    <w:bookmarkEnd w:id="261"/>
    <w:bookmarkEnd w:id="262"/>
    <w:bookmarkEnd w:id="263"/>
    <w:bookmarkEnd w:id="264"/>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both"/>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1. </w:t>
      </w:r>
      <w:r>
        <w:rPr>
          <w:rFonts w:hint="eastAsia" w:ascii="宋体" w:hAnsi="宋体" w:cs="宋体"/>
          <w:color w:val="auto"/>
          <w:kern w:val="0"/>
          <w:sz w:val="24"/>
          <w:highlight w:val="yellow"/>
          <w:u w:val="single"/>
          <w:lang w:val="en-US" w:eastAsia="zh-CN"/>
        </w:rPr>
        <w:t>（标的名称）</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，属于</w:t>
      </w:r>
      <w:r>
        <w:rPr>
          <w:rFonts w:hint="eastAsia" w:ascii="宋体" w:hAnsi="宋体" w:cs="宋体"/>
          <w:color w:val="auto"/>
          <w:kern w:val="0"/>
          <w:sz w:val="24"/>
          <w:highlight w:val="none"/>
          <w:u w:val="single"/>
          <w:lang w:val="en-US" w:eastAsia="zh-CN"/>
        </w:rPr>
        <w:t>（采购文件中明确的所属行业）行业</w:t>
      </w:r>
      <w:r>
        <w:rPr>
          <w:rFonts w:hint="eastAsia" w:ascii="宋体" w:hAnsi="宋体" w:cs="宋体"/>
          <w:color w:val="auto"/>
          <w:kern w:val="0"/>
          <w:sz w:val="24"/>
          <w:highlight w:val="none"/>
          <w:lang w:val="en-US" w:eastAsia="zh-CN"/>
        </w:rPr>
        <w:t>；制造商为</w:t>
      </w:r>
      <w:r>
        <w:rPr>
          <w:rFonts w:hint="eastAsia" w:ascii="宋体" w:hAnsi="宋体" w:cs="宋体"/>
          <w:color w:val="auto"/>
          <w:kern w:val="0"/>
          <w:sz w:val="24"/>
          <w:highlight w:val="none"/>
          <w:u w:val="single"/>
          <w:lang w:val="en-US" w:eastAsia="zh-CN"/>
        </w:rPr>
        <w:t>（企业名称）</w:t>
      </w:r>
      <w:r>
        <w:rPr>
          <w:rFonts w:hint="eastAsia" w:ascii="宋体" w:hAnsi="宋体" w:cs="宋体"/>
          <w:color w:val="auto"/>
          <w:kern w:val="0"/>
          <w:sz w:val="24"/>
          <w:highlight w:val="none"/>
          <w:lang w:val="en-US" w:eastAsia="zh-CN"/>
        </w:rPr>
        <w:t>，从业人员</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人，营业收入为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万元，资产总额为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万元，属于</w:t>
      </w:r>
      <w:r>
        <w:rPr>
          <w:rFonts w:hint="eastAsia" w:ascii="宋体" w:hAnsi="宋体" w:cs="宋体"/>
          <w:color w:val="auto"/>
          <w:kern w:val="0"/>
          <w:sz w:val="24"/>
          <w:highlight w:val="none"/>
          <w:u w:val="single"/>
          <w:lang w:val="en-US" w:eastAsia="zh-CN"/>
        </w:rPr>
        <w:t>（中型企业、小型企业、微型企业）</w:t>
      </w:r>
      <w:r>
        <w:rPr>
          <w:rFonts w:hint="eastAsia" w:ascii="宋体" w:hAnsi="宋体" w:cs="宋体"/>
          <w:color w:val="auto"/>
          <w:kern w:val="0"/>
          <w:sz w:val="24"/>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 </w:t>
      </w:r>
      <w:r>
        <w:rPr>
          <w:rFonts w:hint="eastAsia" w:ascii="宋体" w:hAnsi="宋体" w:cs="宋体"/>
          <w:color w:val="auto"/>
          <w:kern w:val="0"/>
          <w:sz w:val="24"/>
          <w:highlight w:val="yellow"/>
          <w:u w:val="single"/>
          <w:lang w:val="en-US" w:eastAsia="zh-CN"/>
        </w:rPr>
        <w:t>（标的名称）</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，属于</w:t>
      </w:r>
      <w:r>
        <w:rPr>
          <w:rFonts w:hint="eastAsia" w:ascii="宋体" w:hAnsi="宋体" w:cs="宋体"/>
          <w:color w:val="auto"/>
          <w:kern w:val="0"/>
          <w:sz w:val="24"/>
          <w:highlight w:val="none"/>
          <w:u w:val="single"/>
          <w:lang w:val="en-US" w:eastAsia="zh-CN"/>
        </w:rPr>
        <w:t>（采购文件中明确的所属行业）行业</w:t>
      </w:r>
      <w:r>
        <w:rPr>
          <w:rFonts w:hint="eastAsia" w:ascii="宋体" w:hAnsi="宋体" w:cs="宋体"/>
          <w:color w:val="auto"/>
          <w:kern w:val="0"/>
          <w:sz w:val="24"/>
          <w:highlight w:val="none"/>
          <w:lang w:val="en-US" w:eastAsia="zh-CN"/>
        </w:rPr>
        <w:t>；制造商为</w:t>
      </w:r>
      <w:r>
        <w:rPr>
          <w:rFonts w:hint="eastAsia" w:ascii="宋体" w:hAnsi="宋体" w:cs="宋体"/>
          <w:color w:val="auto"/>
          <w:kern w:val="0"/>
          <w:sz w:val="24"/>
          <w:highlight w:val="none"/>
          <w:u w:val="single"/>
          <w:lang w:val="en-US" w:eastAsia="zh-CN"/>
        </w:rPr>
        <w:t>（企业名称）</w:t>
      </w:r>
      <w:r>
        <w:rPr>
          <w:rFonts w:hint="eastAsia" w:ascii="宋体" w:hAnsi="宋体" w:cs="宋体"/>
          <w:color w:val="auto"/>
          <w:kern w:val="0"/>
          <w:sz w:val="24"/>
          <w:highlight w:val="none"/>
          <w:lang w:val="en-US" w:eastAsia="zh-CN"/>
        </w:rPr>
        <w:t>，从业人员</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人，营业收入为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万元，资产总额为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万元，属于</w:t>
      </w:r>
      <w:r>
        <w:rPr>
          <w:rFonts w:hint="eastAsia" w:ascii="宋体" w:hAnsi="宋体" w:cs="宋体"/>
          <w:color w:val="auto"/>
          <w:kern w:val="0"/>
          <w:sz w:val="24"/>
          <w:highlight w:val="none"/>
          <w:u w:val="single"/>
          <w:lang w:val="en-US" w:eastAsia="zh-CN"/>
        </w:rPr>
        <w:t>（中型企业、小型企业、微型企业）</w:t>
      </w:r>
      <w:r>
        <w:rPr>
          <w:rFonts w:hint="eastAsia" w:ascii="宋体" w:hAnsi="宋体" w:cs="宋体"/>
          <w:color w:val="auto"/>
          <w:kern w:val="0"/>
          <w:sz w:val="24"/>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以上企业，不属于大企业的分支机构，不存在控股股东为大企业的情形，也不存在与大企业的负责人为同一人的情形。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本企业对上述声明内容的真实性负责。如有虚假，将依法承担相应责任。 </w:t>
      </w:r>
    </w:p>
    <w:p>
      <w:pPr>
        <w:widowControl/>
        <w:shd w:val="clear" w:color="auto" w:fill="auto"/>
        <w:spacing w:before="100" w:beforeAutospacing="1" w:after="100" w:afterAutospacing="1" w:line="330" w:lineRule="atLeast"/>
        <w:ind w:firstLine="5952" w:firstLineChars="2400"/>
        <w:jc w:val="left"/>
        <w:rPr>
          <w:rFonts w:hint="eastAsia" w:ascii="宋体" w:hAnsi="宋体" w:cs="宋体"/>
          <w:color w:val="auto"/>
          <w:kern w:val="0"/>
          <w:sz w:val="24"/>
          <w:highlight w:val="none"/>
          <w:lang w:val="en-US" w:eastAsia="zh-CN"/>
        </w:rPr>
      </w:pPr>
    </w:p>
    <w:p>
      <w:pPr>
        <w:widowControl/>
        <w:shd w:val="clear" w:color="auto" w:fill="auto"/>
        <w:spacing w:before="100" w:beforeAutospacing="1" w:after="100" w:afterAutospacing="1" w:line="330" w:lineRule="atLeast"/>
        <w:ind w:firstLine="5952" w:firstLineChars="24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企业名称（盖章）： </w:t>
      </w:r>
    </w:p>
    <w:p>
      <w:pPr>
        <w:widowControl/>
        <w:shd w:val="clear" w:color="auto" w:fill="auto"/>
        <w:spacing w:before="100" w:beforeAutospacing="1" w:after="100" w:afterAutospacing="1" w:line="330" w:lineRule="atLeast"/>
        <w:ind w:firstLine="6200" w:firstLineChars="25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日 期：   </w:t>
      </w:r>
    </w:p>
    <w:p>
      <w:pPr>
        <w:pStyle w:val="8"/>
        <w:rPr>
          <w:rFonts w:hint="default"/>
          <w:color w:val="auto"/>
          <w:highlight w:val="none"/>
          <w:lang w:val="en-US"/>
        </w:rPr>
      </w:pPr>
    </w:p>
    <w:p>
      <w:pPr>
        <w:widowControl/>
        <w:shd w:val="clear" w:color="auto" w:fill="auto"/>
        <w:spacing w:before="100" w:beforeAutospacing="1" w:after="100" w:afterAutospacing="1" w:line="330" w:lineRule="atLeast"/>
        <w:ind w:firstLine="376"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18"/>
          <w:szCs w:val="18"/>
          <w:highlight w:val="none"/>
          <w:lang w:val="en-US" w:eastAsia="zh-CN" w:bidi="ar"/>
        </w:rPr>
        <w:t>注：从业人员、营业收入、资产总额填报上一年度数据，无上一年度数据的新成立企业可不填报。</w:t>
      </w:r>
      <w:r>
        <w:rPr>
          <w:rFonts w:hint="eastAsia" w:ascii="宋体" w:hAnsi="宋体" w:cs="宋体"/>
          <w:color w:val="auto"/>
          <w:kern w:val="0"/>
          <w:sz w:val="24"/>
          <w:highlight w:val="none"/>
        </w:rPr>
        <w:t xml:space="preserve">    </w:t>
      </w:r>
    </w:p>
    <w:p>
      <w:pPr>
        <w:widowControl/>
        <w:spacing w:before="100" w:beforeAutospacing="1" w:after="100" w:afterAutospacing="1" w:line="330" w:lineRule="atLeast"/>
        <w:ind w:firstLine="2834" w:firstLineChars="13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p>
    <w:p>
      <w:pPr>
        <w:widowControl/>
        <w:kinsoku/>
        <w:topLinePunct w:val="0"/>
        <w:bidi w:val="0"/>
        <w:spacing w:before="100" w:beforeAutospacing="1" w:after="100" w:afterAutospacing="1" w:line="380" w:lineRule="exact"/>
        <w:ind w:firstLine="3224" w:firstLineChars="13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pPr>
        <w:pStyle w:val="53"/>
        <w:kinsoku/>
        <w:topLinePunct w:val="0"/>
        <w:bidi w:val="0"/>
        <w:spacing w:line="380" w:lineRule="exact"/>
        <w:rPr>
          <w:rFonts w:hint="eastAsia" w:ascii="宋体" w:hAnsi="宋体" w:eastAsia="宋体" w:cs="宋体"/>
          <w:color w:val="auto"/>
          <w:kern w:val="0"/>
          <w:sz w:val="24"/>
          <w:highlight w:val="none"/>
        </w:rPr>
      </w:pPr>
    </w:p>
    <w:p>
      <w:pPr>
        <w:pStyle w:val="53"/>
        <w:kinsoku/>
        <w:topLinePunct w:val="0"/>
        <w:bidi w:val="0"/>
        <w:spacing w:line="380" w:lineRule="exact"/>
        <w:rPr>
          <w:rFonts w:hint="eastAsia" w:ascii="宋体" w:hAnsi="宋体" w:eastAsia="宋体" w:cs="宋体"/>
          <w:color w:val="auto"/>
          <w:kern w:val="0"/>
          <w:sz w:val="24"/>
          <w:highlight w:val="none"/>
        </w:rPr>
      </w:pPr>
    </w:p>
    <w:p>
      <w:pPr>
        <w:pStyle w:val="4"/>
        <w:numPr>
          <w:ilvl w:val="0"/>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bookmarkStart w:id="269" w:name="_Toc6386"/>
    </w:p>
    <w:p>
      <w:pPr>
        <w:pStyle w:val="4"/>
        <w:numPr>
          <w:ilvl w:val="0"/>
          <w:numId w:val="0"/>
        </w:numPr>
        <w:shd w:val="clear" w:color="auto" w:fill="auto"/>
        <w:spacing w:before="0" w:line="240" w:lineRule="atLeast"/>
        <w:jc w:val="both"/>
        <w:rPr>
          <w:rFonts w:hint="eastAsia" w:ascii="宋体" w:hAnsi="宋体" w:eastAsia="宋体" w:cs="宋体"/>
          <w:b/>
          <w:bCs/>
          <w:color w:val="auto"/>
          <w:sz w:val="24"/>
          <w:highlight w:val="none"/>
        </w:rPr>
      </w:pPr>
      <w:bookmarkStart w:id="270" w:name="_Toc7341"/>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265"/>
      <w:bookmarkEnd w:id="266"/>
      <w:bookmarkEnd w:id="267"/>
      <w:bookmarkEnd w:id="269"/>
      <w:bookmarkEnd w:id="270"/>
    </w:p>
    <w:p>
      <w:pPr>
        <w:pStyle w:val="7"/>
        <w:shd w:val="clear" w:color="auto" w:fill="auto"/>
        <w:jc w:val="center"/>
        <w:rPr>
          <w:rFonts w:hint="eastAsia" w:ascii="宋体" w:hAnsi="宋体" w:eastAsia="宋体" w:cs="宋体"/>
          <w:color w:val="auto"/>
          <w:highlight w:val="none"/>
        </w:rPr>
      </w:pPr>
    </w:p>
    <w:p>
      <w:pPr>
        <w:pStyle w:val="7"/>
        <w:shd w:val="clear" w:color="auto" w:fill="auto"/>
        <w:ind w:firstLine="43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pPr>
        <w:pStyle w:val="7"/>
        <w:shd w:val="clear" w:color="auto" w:fill="auto"/>
        <w:ind w:firstLine="436"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pPr>
        <w:pStyle w:val="7"/>
        <w:shd w:val="clear" w:color="auto" w:fill="auto"/>
        <w:ind w:firstLine="43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pPr>
        <w:pStyle w:val="7"/>
        <w:shd w:val="clear" w:color="auto" w:fill="auto"/>
        <w:ind w:firstLine="0"/>
        <w:rPr>
          <w:rFonts w:hint="eastAsia" w:ascii="宋体" w:hAnsi="宋体" w:eastAsia="宋体" w:cs="宋体"/>
          <w:color w:val="auto"/>
          <w:highlight w:val="none"/>
        </w:rPr>
      </w:pPr>
      <w:bookmarkStart w:id="271" w:name="_Toc17333"/>
      <w:bookmarkStart w:id="272" w:name="_Toc7414"/>
      <w:bookmarkStart w:id="273" w:name="_Toc515647828"/>
    </w:p>
    <w:p>
      <w:pPr>
        <w:pStyle w:val="53"/>
        <w:shd w:val="clear" w:color="auto" w:fill="auto"/>
        <w:ind w:left="0" w:leftChars="0" w:firstLine="0" w:firstLineChars="0"/>
        <w:rPr>
          <w:rFonts w:hint="eastAsia" w:ascii="宋体" w:hAnsi="宋体" w:eastAsia="宋体" w:cs="宋体"/>
          <w:color w:val="auto"/>
          <w:highlight w:val="none"/>
        </w:rPr>
      </w:pPr>
    </w:p>
    <w:p>
      <w:pPr>
        <w:pStyle w:val="53"/>
        <w:shd w:val="clear" w:color="auto" w:fill="auto"/>
        <w:ind w:left="0" w:leftChars="0" w:firstLine="0" w:firstLineChars="0"/>
        <w:rPr>
          <w:rFonts w:hint="eastAsia" w:ascii="宋体" w:hAnsi="宋体" w:eastAsia="宋体" w:cs="宋体"/>
          <w:color w:val="auto"/>
          <w:highlight w:val="none"/>
        </w:rPr>
      </w:pPr>
    </w:p>
    <w:p>
      <w:pPr>
        <w:pStyle w:val="53"/>
        <w:shd w:val="clear" w:color="auto" w:fill="auto"/>
        <w:rPr>
          <w:rFonts w:hint="eastAsia" w:ascii="宋体" w:hAnsi="宋体" w:eastAsia="宋体" w:cs="宋体"/>
          <w:color w:val="auto"/>
          <w:highlight w:val="none"/>
        </w:rPr>
      </w:pPr>
    </w:p>
    <w:bookmarkEnd w:id="271"/>
    <w:bookmarkEnd w:id="272"/>
    <w:bookmarkEnd w:id="273"/>
    <w:p>
      <w:pPr>
        <w:pStyle w:val="4"/>
        <w:numPr>
          <w:ilvl w:val="1"/>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p>
    <w:p>
      <w:pPr>
        <w:pStyle w:val="4"/>
        <w:numPr>
          <w:ilvl w:val="1"/>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p>
    <w:p>
      <w:pPr>
        <w:pStyle w:val="4"/>
        <w:numPr>
          <w:ilvl w:val="1"/>
          <w:numId w:val="0"/>
        </w:numPr>
        <w:shd w:val="clear" w:color="auto" w:fill="auto"/>
        <w:spacing w:before="0" w:line="240" w:lineRule="atLeast"/>
        <w:jc w:val="both"/>
        <w:rPr>
          <w:rFonts w:hint="eastAsia" w:ascii="宋体" w:hAnsi="宋体" w:eastAsia="宋体" w:cs="宋体"/>
          <w:b/>
          <w:bCs/>
          <w:color w:val="auto"/>
          <w:sz w:val="24"/>
          <w:highlight w:val="none"/>
          <w:lang w:eastAsia="zh-CN"/>
        </w:rPr>
      </w:pPr>
      <w:bookmarkStart w:id="274" w:name="_Toc28392"/>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评分标准和细则中技术部分证明材料（格式自拟）</w:t>
      </w:r>
      <w:bookmarkEnd w:id="274"/>
    </w:p>
    <w:p>
      <w:pPr>
        <w:pStyle w:val="4"/>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ind w:leftChars="257"/>
        <w:jc w:val="center"/>
        <w:outlineLvl w:val="9"/>
        <w:rPr>
          <w:rFonts w:hint="eastAsia" w:ascii="宋体" w:hAnsi="宋体" w:eastAsia="宋体" w:cs="宋体"/>
          <w:color w:val="auto"/>
          <w:kern w:val="2"/>
          <w:sz w:val="21"/>
          <w:szCs w:val="16"/>
          <w:highlight w:val="none"/>
          <w:u w:val="none" w:color="000000"/>
          <w:lang w:val="en-US" w:eastAsia="zh-CN" w:bidi="ar-SA"/>
        </w:rPr>
      </w:pPr>
    </w:p>
    <w:p>
      <w:pPr>
        <w:pStyle w:val="13"/>
        <w:shd w:val="clear" w:color="auto" w:fill="auto"/>
        <w:tabs>
          <w:tab w:val="left" w:pos="5580"/>
        </w:tabs>
        <w:spacing w:line="240" w:lineRule="atLeast"/>
        <w:ind w:left="1287" w:leftChars="344" w:hanging="538"/>
        <w:rPr>
          <w:rFonts w:hint="eastAsia" w:ascii="宋体" w:hAnsi="宋体" w:eastAsia="宋体" w:cs="宋体"/>
          <w:color w:val="auto"/>
          <w:kern w:val="2"/>
          <w:sz w:val="21"/>
          <w:szCs w:val="16"/>
          <w:highlight w:val="none"/>
          <w:u w:val="none" w:color="000000"/>
          <w:lang w:val="en-US" w:eastAsia="zh-CN" w:bidi="ar-SA"/>
        </w:rPr>
      </w:pPr>
      <w:r>
        <w:rPr>
          <w:rFonts w:hint="eastAsia" w:ascii="宋体" w:hAnsi="宋体" w:eastAsia="宋体" w:cs="宋体"/>
          <w:color w:val="auto"/>
          <w:kern w:val="2"/>
          <w:sz w:val="21"/>
          <w:szCs w:val="16"/>
          <w:highlight w:val="none"/>
          <w:u w:val="none" w:color="000000"/>
          <w:lang w:val="en-US" w:eastAsia="zh-CN" w:bidi="ar-SA"/>
        </w:rPr>
        <w:t>说明：1.应提供评分标准和细则中技术部分要求的其他资格证明文件:1、所投产品的相关技术证明资料（如有关产品的检测报告产品图片、性能参数说明书等），2、招标文件要求的其它证明材料等</w:t>
      </w:r>
    </w:p>
    <w:p>
      <w:pPr>
        <w:pStyle w:val="13"/>
        <w:shd w:val="clear" w:color="auto" w:fill="auto"/>
        <w:tabs>
          <w:tab w:val="left" w:pos="5580"/>
        </w:tabs>
        <w:spacing w:line="240" w:lineRule="atLeast"/>
        <w:ind w:left="1287" w:leftChars="344" w:hanging="538"/>
        <w:rPr>
          <w:rFonts w:hint="eastAsia" w:ascii="宋体" w:hAnsi="宋体" w:eastAsia="宋体" w:cs="宋体"/>
          <w:color w:val="auto"/>
          <w:kern w:val="2"/>
          <w:sz w:val="21"/>
          <w:szCs w:val="16"/>
          <w:highlight w:val="none"/>
          <w:u w:val="none" w:color="000000"/>
          <w:lang w:val="en-US" w:eastAsia="zh-CN" w:bidi="ar-SA"/>
        </w:rPr>
      </w:pPr>
      <w:r>
        <w:rPr>
          <w:rFonts w:hint="eastAsia" w:ascii="宋体" w:hAnsi="宋体" w:eastAsia="宋体" w:cs="宋体"/>
          <w:color w:val="auto"/>
          <w:kern w:val="2"/>
          <w:sz w:val="21"/>
          <w:szCs w:val="16"/>
          <w:highlight w:val="none"/>
          <w:u w:val="none" w:color="000000"/>
          <w:lang w:val="en-US" w:eastAsia="zh-CN" w:bidi="ar-SA"/>
        </w:rPr>
        <w:t xml:space="preserve">   </w:t>
      </w:r>
    </w:p>
    <w:p>
      <w:pPr>
        <w:shd w:val="clear" w:color="auto" w:fill="auto"/>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both"/>
        <w:rPr>
          <w:rFonts w:hint="eastAsia" w:ascii="宋体" w:hAnsi="宋体" w:eastAsia="宋体" w:cs="宋体"/>
          <w:b/>
          <w:bCs/>
          <w:color w:val="auto"/>
          <w:sz w:val="24"/>
          <w:highlight w:val="none"/>
          <w:lang w:eastAsia="zh-CN"/>
        </w:rPr>
      </w:pPr>
      <w:bookmarkStart w:id="275" w:name="_Toc12483"/>
      <w:r>
        <w:rPr>
          <w:rFonts w:hint="eastAsia" w:ascii="宋体" w:hAnsi="宋体" w:cs="宋体"/>
          <w:b/>
          <w:bCs/>
          <w:color w:val="auto"/>
          <w:sz w:val="24"/>
          <w:highlight w:val="none"/>
          <w:lang w:val="en-US" w:eastAsia="zh-CN"/>
        </w:rPr>
        <w:t>11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评分标准和细则中商务部分证明材料（格式自拟）</w:t>
      </w:r>
      <w:bookmarkEnd w:id="275"/>
    </w:p>
    <w:p>
      <w:pPr>
        <w:pStyle w:val="13"/>
        <w:shd w:val="clear" w:color="auto" w:fill="auto"/>
        <w:tabs>
          <w:tab w:val="left" w:pos="5580"/>
        </w:tabs>
        <w:spacing w:line="240" w:lineRule="atLeast"/>
        <w:ind w:left="1100" w:leftChars="257" w:hanging="540"/>
        <w:rPr>
          <w:rFonts w:hint="eastAsia" w:ascii="宋体" w:hAnsi="宋体" w:eastAsia="宋体" w:cs="宋体"/>
          <w:color w:val="auto"/>
          <w:sz w:val="24"/>
          <w:highlight w:val="none"/>
        </w:rPr>
      </w:pPr>
    </w:p>
    <w:p>
      <w:pPr>
        <w:pStyle w:val="13"/>
        <w:shd w:val="clear" w:color="auto" w:fill="auto"/>
        <w:tabs>
          <w:tab w:val="left" w:pos="5580"/>
        </w:tabs>
        <w:spacing w:line="240" w:lineRule="atLeast"/>
        <w:ind w:left="1100" w:leftChars="257" w:hanging="540"/>
        <w:rPr>
          <w:rFonts w:hint="eastAsia" w:ascii="宋体" w:hAnsi="宋体" w:eastAsia="宋体" w:cs="宋体"/>
          <w:color w:val="auto"/>
          <w:sz w:val="24"/>
          <w:highlight w:val="none"/>
        </w:rPr>
      </w:pPr>
    </w:p>
    <w:p>
      <w:pPr>
        <w:pStyle w:val="13"/>
        <w:shd w:val="clear" w:color="auto" w:fill="auto"/>
        <w:tabs>
          <w:tab w:val="left" w:pos="5580"/>
        </w:tabs>
        <w:spacing w:line="360" w:lineRule="auto"/>
        <w:ind w:left="1100"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pPr>
        <w:pStyle w:val="13"/>
        <w:shd w:val="clear" w:color="auto" w:fill="auto"/>
        <w:tabs>
          <w:tab w:val="left" w:pos="5580"/>
        </w:tabs>
        <w:spacing w:line="360" w:lineRule="auto"/>
        <w:ind w:left="1180" w:leftChars="485" w:hanging="123"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w:t>
      </w:r>
      <w:r>
        <w:rPr>
          <w:rFonts w:hint="eastAsia" w:hAnsi="宋体" w:cs="宋体"/>
          <w:color w:val="auto"/>
          <w:sz w:val="21"/>
          <w:szCs w:val="16"/>
          <w:highlight w:val="none"/>
          <w:lang w:eastAsia="zh-CN"/>
        </w:rPr>
        <w:t>扫描</w:t>
      </w:r>
      <w:r>
        <w:rPr>
          <w:rFonts w:hint="eastAsia" w:ascii="宋体" w:hAnsi="宋体" w:eastAsia="宋体" w:cs="宋体"/>
          <w:color w:val="auto"/>
          <w:sz w:val="21"/>
          <w:szCs w:val="16"/>
          <w:highlight w:val="none"/>
        </w:rPr>
        <w:t>件上应加盖本单位章（自然人投标的无需盖章，需要签字）。</w:t>
      </w:r>
    </w:p>
    <w:p>
      <w:pPr>
        <w:pStyle w:val="13"/>
        <w:shd w:val="clear" w:color="auto" w:fill="auto"/>
        <w:tabs>
          <w:tab w:val="left" w:pos="5580"/>
        </w:tabs>
        <w:spacing w:line="360" w:lineRule="auto"/>
        <w:ind w:left="1100"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pPr>
        <w:pStyle w:val="4"/>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left"/>
        <w:outlineLvl w:val="9"/>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both"/>
        <w:rPr>
          <w:rFonts w:hint="eastAsia" w:ascii="宋体" w:hAnsi="宋体" w:eastAsia="宋体" w:cs="宋体"/>
          <w:b/>
          <w:bCs/>
          <w:color w:val="auto"/>
          <w:sz w:val="24"/>
          <w:highlight w:val="none"/>
          <w:lang w:eastAsia="zh-CN"/>
        </w:rPr>
      </w:pPr>
      <w:bookmarkStart w:id="276" w:name="_Toc30398"/>
      <w:r>
        <w:rPr>
          <w:rFonts w:hint="eastAsia" w:ascii="宋体" w:hAnsi="宋体" w:cs="宋体"/>
          <w:b/>
          <w:bCs/>
          <w:color w:val="auto"/>
          <w:sz w:val="24"/>
          <w:highlight w:val="none"/>
          <w:lang w:val="en-US" w:eastAsia="zh-CN"/>
        </w:rPr>
        <w:t>12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投标人认为有必要提供的其他证明材料（格式自拟）</w:t>
      </w:r>
      <w:bookmarkEnd w:id="276"/>
    </w:p>
    <w:p>
      <w:pPr>
        <w:shd w:val="clear" w:color="auto" w:fill="auto"/>
        <w:rPr>
          <w:rFonts w:hint="eastAsia" w:ascii="宋体" w:hAnsi="宋体" w:eastAsia="宋体" w:cs="宋体"/>
          <w:color w:val="auto"/>
          <w:highlight w:val="none"/>
        </w:rPr>
      </w:pPr>
    </w:p>
    <w:p>
      <w:pPr>
        <w:pStyle w:val="13"/>
        <w:shd w:val="clear" w:color="auto" w:fill="auto"/>
        <w:tabs>
          <w:tab w:val="left" w:pos="5580"/>
        </w:tabs>
        <w:spacing w:line="360" w:lineRule="auto"/>
        <w:ind w:left="1100" w:leftChars="257" w:hanging="540"/>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说明：1.</w:t>
      </w:r>
      <w:r>
        <w:rPr>
          <w:rFonts w:hint="eastAsia" w:hAnsi="宋体" w:cs="宋体"/>
          <w:color w:val="auto"/>
          <w:sz w:val="21"/>
          <w:szCs w:val="16"/>
          <w:highlight w:val="none"/>
          <w:lang w:val="en-US" w:eastAsia="zh-CN"/>
        </w:rPr>
        <w:t>扫描</w:t>
      </w:r>
      <w:r>
        <w:rPr>
          <w:rFonts w:hint="eastAsia" w:ascii="宋体" w:hAnsi="宋体" w:eastAsia="宋体" w:cs="宋体"/>
          <w:color w:val="auto"/>
          <w:sz w:val="21"/>
          <w:szCs w:val="16"/>
          <w:highlight w:val="none"/>
          <w:lang w:val="en-US" w:eastAsia="zh-CN"/>
        </w:rPr>
        <w:t>件上应加盖本单位章（自然人投标的无需盖章，需要签字）。</w:t>
      </w:r>
    </w:p>
    <w:p>
      <w:pPr>
        <w:pStyle w:val="13"/>
        <w:shd w:val="clear" w:color="auto" w:fill="auto"/>
        <w:tabs>
          <w:tab w:val="left" w:pos="5580"/>
        </w:tabs>
        <w:spacing w:line="360" w:lineRule="auto"/>
        <w:ind w:left="1100" w:leftChars="257" w:hanging="540"/>
        <w:rPr>
          <w:rFonts w:hint="eastAsia"/>
          <w:color w:val="auto"/>
          <w:highlight w:val="none"/>
        </w:rPr>
      </w:pPr>
      <w:r>
        <w:rPr>
          <w:rFonts w:hint="eastAsia" w:ascii="宋体" w:hAnsi="宋体" w:eastAsia="宋体" w:cs="宋体"/>
          <w:color w:val="auto"/>
          <w:sz w:val="21"/>
          <w:szCs w:val="16"/>
          <w:highlight w:val="none"/>
          <w:lang w:val="en-US" w:eastAsia="zh-CN"/>
        </w:rPr>
        <w:t>2.（本项目不接受联合体）如果是联合体投标，联合体各方需提供的满足招标文件要求的其他资格证明文件。</w:t>
      </w:r>
    </w:p>
    <w:sectPr>
      <w:headerReference r:id="rId8" w:type="default"/>
      <w:footerReference r:id="rId9" w:type="default"/>
      <w:pgSz w:w="11905" w:h="16838"/>
      <w:pgMar w:top="1440" w:right="1797" w:bottom="1440" w:left="1797" w:header="850" w:footer="992" w:gutter="0"/>
      <w:pgNumType w:fmt="decimal"/>
      <w:cols w:space="720" w:num="1"/>
      <w:rtlGutter w:val="0"/>
      <w:docGrid w:type="linesAndChars" w:linePitch="332" w:charSpace="17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MS Mincho"/>
    <w:panose1 w:val="00000000000000000000"/>
    <w:charset w:val="80"/>
    <w:family w:val="auto"/>
    <w:pitch w:val="default"/>
    <w:sig w:usb0="00000000" w:usb1="00000000" w:usb2="00000012" w:usb3="00000000" w:csb0="0002000D" w:csb1="00000000"/>
  </w:font>
  <w:font w:name="长城仿宋">
    <w:altName w:val="宋体"/>
    <w:panose1 w:val="02010609000101010101"/>
    <w:charset w:val="86"/>
    <w:family w:val="modern"/>
    <w:pitch w:val="default"/>
    <w:sig w:usb0="00000000" w:usb1="00000000" w:usb2="00000010" w:usb3="00000000" w:csb0="00040000" w:csb1="00000000"/>
  </w:font>
  <w:font w:name="华文仿宋">
    <w:altName w:val="仿宋"/>
    <w:panose1 w:val="02010600040101010101"/>
    <w:charset w:val="86"/>
    <w:family w:val="swiss"/>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rPr>
        <w:rFonts w:hint="eastAsia"/>
      </w:rPr>
    </w:pP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pPr>
      <w:pStyle w:val="16"/>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rPr>
        <w:rFonts w:hint="eastAsia"/>
      </w:rPr>
    </w:pPr>
    <w:r>
      <w:rPr>
        <w:sz w:val="13"/>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GCTDt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k5jd8LSwC8/vl9+/r78+saW&#10;y6RPH2JFaXeBEnF47QfamtkfyZloDy3Y9CdCjOKk7vmqrhqQyXRpvVqvSwpJis0Hwi/urweI+FZ5&#10;y5JRc6DxZVXF6X3EMXVOSdWcv9XG5BEa95eDMJOnSL2PPSYLh/0wEdr75kx86B1Qnc7DV8562oKa&#10;O1p6zsw7RyKnhZkNmI39bAgn6WLNkbPRfIPjYh0D6EOXVy01FcOrI1KnmUBqY6w9dUdzzRJMO5gW&#10;5+E5Z92/u+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gkw7dAQAAvwMAAA4AAAAAAAAA&#10;AQAgAAAAHgEAAGRycy9lMm9Eb2MueG1sUEsFBgAAAAAGAAYAWQEAAG0FA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pPr>
      <w:pStyle w:val="16"/>
      <w:tabs>
        <w:tab w:val="center" w:pos="4320"/>
        <w:tab w:val="right" w:pos="8640"/>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69"/>
        <w:tab w:val="clear" w:pos="4153"/>
      </w:tabs>
      <w:ind w:right="36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zAV03gEAAL4DAAAOAAAAAAAA&#10;AAEAIAAAAB4BAABkcnMvZTJvRG9jLnhtbFBLBQYAAAAABgAGAFkBAABuBQ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r>
      <w:rPr>
        <w:rFonts w:hint="eastAsia"/>
        <w:color w:val="800000"/>
      </w:rPr>
      <w:t>Add：阿图什市香港城西区8号楼2单元402室</w:t>
    </w:r>
    <w:r>
      <w:rPr>
        <w:rFonts w:hint="eastAsia"/>
        <w:color w:val="800000"/>
        <w:szCs w:val="21"/>
      </w:rPr>
      <w:t xml:space="preserve">                                </w:t>
    </w:r>
    <w:r>
      <w:rPr>
        <w:rFonts w:hint="eastAsia"/>
        <w:color w:val="800000"/>
        <w:szCs w:val="21"/>
        <w:lang w:val="en-US" w:eastAsia="zh-CN"/>
      </w:rPr>
      <w:t xml:space="preserve">       </w:t>
    </w:r>
    <w:r>
      <w:rPr>
        <w:rFonts w:hint="eastAsia"/>
        <w:color w:val="800000"/>
        <w:szCs w:val="21"/>
      </w:rPr>
      <w:t xml:space="preserve"> </w:t>
    </w:r>
    <w:r>
      <w:rPr>
        <w:rFonts w:hint="eastAsia"/>
        <w:color w:val="800000"/>
        <w:sz w:val="21"/>
        <w:szCs w:val="21"/>
      </w:rPr>
      <w:t>Tel：0908-4222622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69"/>
        <w:tab w:val="clear" w:pos="4153"/>
      </w:tabs>
      <w:ind w:right="360"/>
      <w:jc w:val="both"/>
      <w:rPr>
        <w:rFonts w:hint="eastAsia"/>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yFa0TdAQAAvgMAAA4AAAAAAAAA&#10;AQAgAAAAHgEAAGRycy9lMm9Eb2MueG1sUEsFBgAAAAAGAAYAWQEAAG0FA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r>
      <w:rPr>
        <w:rFonts w:hint="eastAsia"/>
        <w:color w:val="800000"/>
        <w:sz w:val="16"/>
        <w:szCs w:val="20"/>
        <w:lang w:val="en-US" w:eastAsia="zh-CN"/>
      </w:rPr>
      <w:tab/>
    </w:r>
  </w:p>
  <w:p>
    <w:pPr>
      <w:pStyle w:val="16"/>
      <w:tabs>
        <w:tab w:val="center" w:pos="4320"/>
        <w:tab w:val="right" w:pos="8640"/>
        <w:tab w:val="clear" w:pos="4153"/>
        <w:tab w:val="clear" w:pos="8306"/>
      </w:tabs>
      <w:ind w:right="360"/>
    </w:pPr>
    <w:r>
      <w:rPr>
        <w:rFonts w:hint="eastAsia"/>
        <w:color w:val="800000"/>
      </w:rPr>
      <w:t>Add：阿图什市香港城西区8号楼2单元402室</w:t>
    </w:r>
    <w:r>
      <w:rPr>
        <w:rFonts w:hint="eastAsia"/>
        <w:color w:val="800000"/>
        <w:szCs w:val="21"/>
      </w:rPr>
      <w:t xml:space="preserve">                                 </w:t>
    </w:r>
    <w:r>
      <w:rPr>
        <w:rFonts w:hint="eastAsia"/>
        <w:color w:val="800000"/>
        <w:sz w:val="21"/>
        <w:szCs w:val="21"/>
      </w:rPr>
      <w:t>Tel：0908-4222622</w:t>
    </w:r>
  </w:p>
  <w:p>
    <w:pPr>
      <w:pStyle w:val="16"/>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rPr>
        <w:rFonts w:hint="eastAsia"/>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HDZpSndAQAAvwMAAA4AAAAAAAAA&#10;AQAgAAAAHgEAAGRycy9lMm9Eb2MueG1sUEsFBgAAAAAGAAYAWQEAAG0FA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r>
      <w:rPr>
        <w:rFonts w:hint="eastAsia"/>
        <w:color w:val="800000"/>
        <w:sz w:val="16"/>
        <w:szCs w:val="20"/>
        <w:lang w:val="en-US" w:eastAsia="zh-CN"/>
      </w:rPr>
      <w:t xml:space="preserve">        </w:t>
    </w:r>
  </w:p>
  <w:p>
    <w:pPr>
      <w:pStyle w:val="16"/>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6"/>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inline distT="0" distB="0" distL="114300" distR="114300">
          <wp:extent cx="184150" cy="171450"/>
          <wp:effectExtent l="0" t="0" r="6350" b="0"/>
          <wp:docPr id="9" name="图片 2" descr="D:\Documents\Tencent Files\1263463892\Image\C2C\AC)_{}]Y[938E0CT5S8WO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D:\Documents\Tencent Files\1263463892\Image\C2C\AC)_{}]Y[938E0CT5S8WO59.jpg"/>
                  <pic:cNvPicPr>
                    <a:picLocks noChangeAspect="1"/>
                  </pic:cNvPicPr>
                </pic:nvPicPr>
                <pic:blipFill>
                  <a:blip r:embed="rId1"/>
                  <a:stretch>
                    <a:fillRect/>
                  </a:stretch>
                </pic:blipFill>
                <pic:spPr>
                  <a:xfrm>
                    <a:off x="0" y="0"/>
                    <a:ext cx="184150" cy="171450"/>
                  </a:xfrm>
                  <a:prstGeom prst="rect">
                    <a:avLst/>
                  </a:prstGeom>
                  <a:noFill/>
                  <a:ln>
                    <a:noFill/>
                  </a:ln>
                </pic:spPr>
              </pic:pic>
            </a:graphicData>
          </a:graphic>
        </wp:inline>
      </w:drawing>
    </w:r>
    <w:r>
      <w:rPr>
        <w:rFonts w:hint="eastAsia"/>
      </w:rPr>
      <w:t>新疆泽远工程项目管理有限公司</w:t>
    </w:r>
    <w:r>
      <w:rPr>
        <w:rFonts w:hint="eastAsia" w:ascii="宋体" w:hAnsi="宋体"/>
        <w:b/>
        <w:color w:val="000000"/>
        <w:kern w:val="0"/>
        <w:sz w:val="28"/>
        <w:szCs w:val="22"/>
        <w:shd w:val="clear" w:color="auto" w:fill="FFFFFF"/>
      </w:rPr>
      <w:t xml:space="preserve">      </w:t>
    </w:r>
    <w:r>
      <w:rPr>
        <w:rFonts w:hint="eastAsia" w:ascii="宋体" w:hAnsi="宋体"/>
        <w:b/>
        <w:color w:val="000000"/>
        <w:kern w:val="0"/>
        <w:sz w:val="28"/>
        <w:szCs w:val="22"/>
        <w:shd w:val="clear" w:color="auto" w:fill="FFFFFF"/>
        <w:lang w:val="en-US" w:eastAsia="zh-CN"/>
      </w:rPr>
      <w:t xml:space="preserve"> </w:t>
    </w:r>
    <w:r>
      <w:rPr>
        <w:rFonts w:hint="eastAsia" w:ascii="Times New Roman" w:hAnsi="Times New Roman" w:eastAsia="宋体" w:cs="Times New Roman"/>
        <w:lang w:val="en-US" w:eastAsia="zh-CN"/>
      </w:rPr>
      <w:t xml:space="preserve">  克州疾病预防控制中心离子色谱仪采购项目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default" w:ascii="宋体" w:hAnsi="宋体" w:eastAsia="宋体" w:cs="宋体"/>
        <w:b w:val="0"/>
        <w:bCs w:val="0"/>
        <w:sz w:val="21"/>
        <w:szCs w:val="21"/>
        <w:lang w:val="en-US" w:eastAsia="zh-CN"/>
      </w:rPr>
    </w:pPr>
    <w:r>
      <w:rPr>
        <w:rFonts w:hint="eastAsia"/>
        <w:lang w:val="en-US" w:eastAsia="zh-CN"/>
      </w:rPr>
      <w:t>克州疾病预防控制中心离子色谱仪采购项目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46351"/>
    <w:multiLevelType w:val="singleLevel"/>
    <w:tmpl w:val="DD346351"/>
    <w:lvl w:ilvl="0" w:tentative="0">
      <w:start w:val="8"/>
      <w:numFmt w:val="decimal"/>
      <w:suff w:val="nothing"/>
      <w:lvlText w:val="（%1）"/>
      <w:lvlJc w:val="left"/>
    </w:lvl>
  </w:abstractNum>
  <w:abstractNum w:abstractNumId="1">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1E9214C"/>
    <w:multiLevelType w:val="singleLevel"/>
    <w:tmpl w:val="01E9214C"/>
    <w:lvl w:ilvl="0" w:tentative="0">
      <w:start w:val="3"/>
      <w:numFmt w:val="decimal"/>
      <w:lvlText w:val="%1."/>
      <w:lvlJc w:val="left"/>
      <w:pPr>
        <w:tabs>
          <w:tab w:val="left" w:pos="420"/>
        </w:tabs>
        <w:ind w:left="425" w:hanging="425"/>
      </w:pPr>
      <w:rPr>
        <w:rFonts w:hint="default"/>
      </w:rPr>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5">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55CD4C99"/>
    <w:multiLevelType w:val="singleLevel"/>
    <w:tmpl w:val="55CD4C99"/>
    <w:lvl w:ilvl="0" w:tentative="0">
      <w:start w:val="1"/>
      <w:numFmt w:val="chineseCounting"/>
      <w:suff w:val="nothing"/>
      <w:lvlText w:val="%1、"/>
      <w:lvlJc w:val="left"/>
    </w:lvl>
  </w:abstractNum>
  <w:abstractNum w:abstractNumId="8">
    <w:nsid w:val="6EC8727B"/>
    <w:multiLevelType w:val="singleLevel"/>
    <w:tmpl w:val="6EC8727B"/>
    <w:lvl w:ilvl="0" w:tentative="0">
      <w:start w:val="1"/>
      <w:numFmt w:val="decimal"/>
      <w:suff w:val="nothing"/>
      <w:lvlText w:val="%1、"/>
      <w:lvlJc w:val="left"/>
    </w:lvl>
  </w:abstractNum>
  <w:abstractNum w:abstractNumId="9">
    <w:nsid w:val="75A5E9BA"/>
    <w:multiLevelType w:val="singleLevel"/>
    <w:tmpl w:val="75A5E9BA"/>
    <w:lvl w:ilvl="0" w:tentative="0">
      <w:start w:val="8"/>
      <w:numFmt w:val="decimal"/>
      <w:suff w:val="nothing"/>
      <w:lvlText w:val="%1、"/>
      <w:lvlJc w:val="left"/>
    </w:lvl>
  </w:abstractNum>
  <w:abstractNum w:abstractNumId="10">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6"/>
  </w:num>
  <w:num w:numId="3">
    <w:abstractNumId w:val="4"/>
  </w:num>
  <w:num w:numId="4">
    <w:abstractNumId w:val="8"/>
  </w:num>
  <w:num w:numId="5">
    <w:abstractNumId w:val="7"/>
  </w:num>
  <w:num w:numId="6">
    <w:abstractNumId w:val="3"/>
  </w:num>
  <w:num w:numId="7">
    <w:abstractNumId w:val="10"/>
  </w:num>
  <w:num w:numId="8">
    <w:abstractNumId w:val="0"/>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9"/>
  <w:drawingGridVerticalSpacing w:val="157"/>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MzAzMWRkZjRmODZmY2ZlYmE4ZDViODIxZjY2YzQ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1800"/>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5EB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3DCD"/>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39A0"/>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463"/>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C7E74"/>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3242"/>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0C0502"/>
    <w:rsid w:val="013637D1"/>
    <w:rsid w:val="01390BCC"/>
    <w:rsid w:val="01437C9C"/>
    <w:rsid w:val="01453A14"/>
    <w:rsid w:val="014743B3"/>
    <w:rsid w:val="014F04E5"/>
    <w:rsid w:val="016F0A91"/>
    <w:rsid w:val="016F283F"/>
    <w:rsid w:val="01920401"/>
    <w:rsid w:val="0195644C"/>
    <w:rsid w:val="019E4202"/>
    <w:rsid w:val="01A22C15"/>
    <w:rsid w:val="01B87B26"/>
    <w:rsid w:val="01C072D1"/>
    <w:rsid w:val="01C62F65"/>
    <w:rsid w:val="0255198A"/>
    <w:rsid w:val="027423B3"/>
    <w:rsid w:val="028E7BDF"/>
    <w:rsid w:val="029472CF"/>
    <w:rsid w:val="02AD32CA"/>
    <w:rsid w:val="02B472A9"/>
    <w:rsid w:val="02C95469"/>
    <w:rsid w:val="02D34744"/>
    <w:rsid w:val="02D61B95"/>
    <w:rsid w:val="03101E00"/>
    <w:rsid w:val="033E4DA4"/>
    <w:rsid w:val="0360329F"/>
    <w:rsid w:val="03A367D0"/>
    <w:rsid w:val="03A762C0"/>
    <w:rsid w:val="03B44E81"/>
    <w:rsid w:val="03E11484"/>
    <w:rsid w:val="040636B7"/>
    <w:rsid w:val="04385760"/>
    <w:rsid w:val="04552530"/>
    <w:rsid w:val="0465519A"/>
    <w:rsid w:val="04B05277"/>
    <w:rsid w:val="04B14A54"/>
    <w:rsid w:val="04BD7D66"/>
    <w:rsid w:val="04E86924"/>
    <w:rsid w:val="05087233"/>
    <w:rsid w:val="050D4295"/>
    <w:rsid w:val="05371AF0"/>
    <w:rsid w:val="0548574A"/>
    <w:rsid w:val="05534E65"/>
    <w:rsid w:val="05544350"/>
    <w:rsid w:val="05A32D8D"/>
    <w:rsid w:val="05D02834"/>
    <w:rsid w:val="05E64C20"/>
    <w:rsid w:val="05ED6429"/>
    <w:rsid w:val="05F45A09"/>
    <w:rsid w:val="064A0705"/>
    <w:rsid w:val="06562220"/>
    <w:rsid w:val="0687687D"/>
    <w:rsid w:val="068862DC"/>
    <w:rsid w:val="06897EFF"/>
    <w:rsid w:val="06955CFD"/>
    <w:rsid w:val="06A04F45"/>
    <w:rsid w:val="06AF7AFE"/>
    <w:rsid w:val="06B04F83"/>
    <w:rsid w:val="06D500D3"/>
    <w:rsid w:val="06F15555"/>
    <w:rsid w:val="07043A2A"/>
    <w:rsid w:val="074143D2"/>
    <w:rsid w:val="07443158"/>
    <w:rsid w:val="074E6108"/>
    <w:rsid w:val="07BC60B3"/>
    <w:rsid w:val="07C531B9"/>
    <w:rsid w:val="07C66477"/>
    <w:rsid w:val="07D41F0B"/>
    <w:rsid w:val="07E15B19"/>
    <w:rsid w:val="07EF451C"/>
    <w:rsid w:val="08083F2A"/>
    <w:rsid w:val="080A62FE"/>
    <w:rsid w:val="082779D0"/>
    <w:rsid w:val="08305869"/>
    <w:rsid w:val="083640B7"/>
    <w:rsid w:val="08846DDB"/>
    <w:rsid w:val="088C0AE8"/>
    <w:rsid w:val="088F1F3E"/>
    <w:rsid w:val="089E6217"/>
    <w:rsid w:val="08A3733C"/>
    <w:rsid w:val="08AE6343"/>
    <w:rsid w:val="08BE09DC"/>
    <w:rsid w:val="08C96CD9"/>
    <w:rsid w:val="08D82CBE"/>
    <w:rsid w:val="08DF2475"/>
    <w:rsid w:val="08E421C5"/>
    <w:rsid w:val="08F63846"/>
    <w:rsid w:val="08F830FA"/>
    <w:rsid w:val="091F4B4B"/>
    <w:rsid w:val="092A4459"/>
    <w:rsid w:val="092E626A"/>
    <w:rsid w:val="09385C0D"/>
    <w:rsid w:val="09F101AC"/>
    <w:rsid w:val="09F547F1"/>
    <w:rsid w:val="0A1641A0"/>
    <w:rsid w:val="0A374116"/>
    <w:rsid w:val="0A3E54A5"/>
    <w:rsid w:val="0A425D09"/>
    <w:rsid w:val="0A560047"/>
    <w:rsid w:val="0A615213"/>
    <w:rsid w:val="0A6D4931"/>
    <w:rsid w:val="0AA36A44"/>
    <w:rsid w:val="0ACA4847"/>
    <w:rsid w:val="0AD361DF"/>
    <w:rsid w:val="0AF139A7"/>
    <w:rsid w:val="0B515FE9"/>
    <w:rsid w:val="0B5B6E32"/>
    <w:rsid w:val="0B930956"/>
    <w:rsid w:val="0BAF7383"/>
    <w:rsid w:val="0BB97AC8"/>
    <w:rsid w:val="0BCA09F3"/>
    <w:rsid w:val="0BCE4606"/>
    <w:rsid w:val="0BCF5D24"/>
    <w:rsid w:val="0BED0F30"/>
    <w:rsid w:val="0C08214B"/>
    <w:rsid w:val="0C174BC2"/>
    <w:rsid w:val="0C1A784C"/>
    <w:rsid w:val="0C473732"/>
    <w:rsid w:val="0C7D722D"/>
    <w:rsid w:val="0C7F7E31"/>
    <w:rsid w:val="0C881CA5"/>
    <w:rsid w:val="0CB97FA9"/>
    <w:rsid w:val="0CCB1770"/>
    <w:rsid w:val="0CCE5B94"/>
    <w:rsid w:val="0CD47BA0"/>
    <w:rsid w:val="0CEF39AD"/>
    <w:rsid w:val="0CFF1A4A"/>
    <w:rsid w:val="0D327C6B"/>
    <w:rsid w:val="0D3F1B32"/>
    <w:rsid w:val="0D5F286E"/>
    <w:rsid w:val="0D9F4315"/>
    <w:rsid w:val="0DEB14A0"/>
    <w:rsid w:val="0DEB54DD"/>
    <w:rsid w:val="0E096438"/>
    <w:rsid w:val="0E1A2D0C"/>
    <w:rsid w:val="0E33119A"/>
    <w:rsid w:val="0E484B44"/>
    <w:rsid w:val="0EEF05BA"/>
    <w:rsid w:val="0F0F11BE"/>
    <w:rsid w:val="0F2203CF"/>
    <w:rsid w:val="0F272863"/>
    <w:rsid w:val="0F2C78B5"/>
    <w:rsid w:val="0F49256A"/>
    <w:rsid w:val="0F4B3C50"/>
    <w:rsid w:val="0F4C41C0"/>
    <w:rsid w:val="0F6256F4"/>
    <w:rsid w:val="0F6F56E5"/>
    <w:rsid w:val="0FAC2639"/>
    <w:rsid w:val="0FB2671F"/>
    <w:rsid w:val="0FBF4B97"/>
    <w:rsid w:val="0FED5273"/>
    <w:rsid w:val="10130368"/>
    <w:rsid w:val="102E514F"/>
    <w:rsid w:val="104C77C0"/>
    <w:rsid w:val="1061783B"/>
    <w:rsid w:val="107439CE"/>
    <w:rsid w:val="10B36C33"/>
    <w:rsid w:val="10B60966"/>
    <w:rsid w:val="10BF71E9"/>
    <w:rsid w:val="10C5422A"/>
    <w:rsid w:val="10C761F4"/>
    <w:rsid w:val="10D241D0"/>
    <w:rsid w:val="10D77D5D"/>
    <w:rsid w:val="10E12137"/>
    <w:rsid w:val="10E46A0A"/>
    <w:rsid w:val="10F240FC"/>
    <w:rsid w:val="11105DEF"/>
    <w:rsid w:val="111123A7"/>
    <w:rsid w:val="112C59A2"/>
    <w:rsid w:val="1132247A"/>
    <w:rsid w:val="11511AAD"/>
    <w:rsid w:val="115B06EA"/>
    <w:rsid w:val="11660481"/>
    <w:rsid w:val="11714438"/>
    <w:rsid w:val="117C475F"/>
    <w:rsid w:val="11D10160"/>
    <w:rsid w:val="1204469C"/>
    <w:rsid w:val="12135469"/>
    <w:rsid w:val="121E04E8"/>
    <w:rsid w:val="12200177"/>
    <w:rsid w:val="126E04C4"/>
    <w:rsid w:val="128E689D"/>
    <w:rsid w:val="12900868"/>
    <w:rsid w:val="12C10A21"/>
    <w:rsid w:val="12C26FCA"/>
    <w:rsid w:val="131011AA"/>
    <w:rsid w:val="13441AE5"/>
    <w:rsid w:val="134C6DD6"/>
    <w:rsid w:val="136D666B"/>
    <w:rsid w:val="139F799A"/>
    <w:rsid w:val="13B17C71"/>
    <w:rsid w:val="13CE17D5"/>
    <w:rsid w:val="13E8624A"/>
    <w:rsid w:val="14001CAF"/>
    <w:rsid w:val="1405689D"/>
    <w:rsid w:val="14236387"/>
    <w:rsid w:val="1425441D"/>
    <w:rsid w:val="14301B0C"/>
    <w:rsid w:val="14711FFC"/>
    <w:rsid w:val="147C18B9"/>
    <w:rsid w:val="147E2158"/>
    <w:rsid w:val="1485147D"/>
    <w:rsid w:val="14970D4A"/>
    <w:rsid w:val="14AD4DB8"/>
    <w:rsid w:val="14C4258A"/>
    <w:rsid w:val="150F4C5D"/>
    <w:rsid w:val="154047C7"/>
    <w:rsid w:val="155166C1"/>
    <w:rsid w:val="15C13494"/>
    <w:rsid w:val="15D95780"/>
    <w:rsid w:val="15EC220C"/>
    <w:rsid w:val="15F555B1"/>
    <w:rsid w:val="161E3404"/>
    <w:rsid w:val="16937E27"/>
    <w:rsid w:val="169C77DB"/>
    <w:rsid w:val="16CD208A"/>
    <w:rsid w:val="16EF1F48"/>
    <w:rsid w:val="16F5338F"/>
    <w:rsid w:val="16F56691"/>
    <w:rsid w:val="170A6E3A"/>
    <w:rsid w:val="17122A20"/>
    <w:rsid w:val="1720040C"/>
    <w:rsid w:val="174E3C66"/>
    <w:rsid w:val="175005C5"/>
    <w:rsid w:val="175E4589"/>
    <w:rsid w:val="176059C1"/>
    <w:rsid w:val="17881110"/>
    <w:rsid w:val="178E0747"/>
    <w:rsid w:val="17A50911"/>
    <w:rsid w:val="17BA0860"/>
    <w:rsid w:val="17EB1CC3"/>
    <w:rsid w:val="17F45202"/>
    <w:rsid w:val="17FF1CA5"/>
    <w:rsid w:val="181D494B"/>
    <w:rsid w:val="18536DE6"/>
    <w:rsid w:val="185A2D62"/>
    <w:rsid w:val="186576DB"/>
    <w:rsid w:val="1870581D"/>
    <w:rsid w:val="18852DC4"/>
    <w:rsid w:val="188B3FAB"/>
    <w:rsid w:val="18B43EE8"/>
    <w:rsid w:val="18C474BD"/>
    <w:rsid w:val="191D6340"/>
    <w:rsid w:val="19283AD5"/>
    <w:rsid w:val="19353F17"/>
    <w:rsid w:val="19940024"/>
    <w:rsid w:val="19B73F44"/>
    <w:rsid w:val="19FB2026"/>
    <w:rsid w:val="1A1C0075"/>
    <w:rsid w:val="1A2235E4"/>
    <w:rsid w:val="1A304E0A"/>
    <w:rsid w:val="1A3D3BF8"/>
    <w:rsid w:val="1A943AF7"/>
    <w:rsid w:val="1ADC3C25"/>
    <w:rsid w:val="1ADD108A"/>
    <w:rsid w:val="1ADE6EE4"/>
    <w:rsid w:val="1AE479A2"/>
    <w:rsid w:val="1B2C68C9"/>
    <w:rsid w:val="1B540B5B"/>
    <w:rsid w:val="1B8A22F8"/>
    <w:rsid w:val="1B9B7430"/>
    <w:rsid w:val="1BA809D0"/>
    <w:rsid w:val="1BAD4A8B"/>
    <w:rsid w:val="1BC872C4"/>
    <w:rsid w:val="1BC8769B"/>
    <w:rsid w:val="1BCE1685"/>
    <w:rsid w:val="1BE0272F"/>
    <w:rsid w:val="1BFA42E6"/>
    <w:rsid w:val="1C041A94"/>
    <w:rsid w:val="1C202F7D"/>
    <w:rsid w:val="1C456AEB"/>
    <w:rsid w:val="1C817B9F"/>
    <w:rsid w:val="1C8C41A9"/>
    <w:rsid w:val="1C913B90"/>
    <w:rsid w:val="1C982E58"/>
    <w:rsid w:val="1C9C4C5E"/>
    <w:rsid w:val="1CAA2094"/>
    <w:rsid w:val="1CB338B2"/>
    <w:rsid w:val="1CEE68B6"/>
    <w:rsid w:val="1CF52D14"/>
    <w:rsid w:val="1D076741"/>
    <w:rsid w:val="1D0F3860"/>
    <w:rsid w:val="1D2A5E93"/>
    <w:rsid w:val="1D4578C4"/>
    <w:rsid w:val="1D5C49B8"/>
    <w:rsid w:val="1D6227F8"/>
    <w:rsid w:val="1D644556"/>
    <w:rsid w:val="1D992CC6"/>
    <w:rsid w:val="1DAB7C59"/>
    <w:rsid w:val="1DBD1371"/>
    <w:rsid w:val="1DC96A0D"/>
    <w:rsid w:val="1DE1661E"/>
    <w:rsid w:val="1DFE291F"/>
    <w:rsid w:val="1E141822"/>
    <w:rsid w:val="1E385966"/>
    <w:rsid w:val="1E7D1FC4"/>
    <w:rsid w:val="1E9439AB"/>
    <w:rsid w:val="1E990AA4"/>
    <w:rsid w:val="1EC41FC5"/>
    <w:rsid w:val="1EE42889"/>
    <w:rsid w:val="1EFC175F"/>
    <w:rsid w:val="1F170346"/>
    <w:rsid w:val="1F387436"/>
    <w:rsid w:val="1F4C5B16"/>
    <w:rsid w:val="1F852551"/>
    <w:rsid w:val="1F9574BD"/>
    <w:rsid w:val="1FA73631"/>
    <w:rsid w:val="1FBB64FE"/>
    <w:rsid w:val="1FBF278C"/>
    <w:rsid w:val="1FC009DE"/>
    <w:rsid w:val="1FC35DD8"/>
    <w:rsid w:val="1FF90AD1"/>
    <w:rsid w:val="200E1CB4"/>
    <w:rsid w:val="201448F3"/>
    <w:rsid w:val="201A79C2"/>
    <w:rsid w:val="201E74B3"/>
    <w:rsid w:val="2056004D"/>
    <w:rsid w:val="205F5715"/>
    <w:rsid w:val="206118DB"/>
    <w:rsid w:val="206B2007"/>
    <w:rsid w:val="206F2A21"/>
    <w:rsid w:val="207B4905"/>
    <w:rsid w:val="20A04297"/>
    <w:rsid w:val="20C20C31"/>
    <w:rsid w:val="20C84D12"/>
    <w:rsid w:val="20CF4C51"/>
    <w:rsid w:val="20F806B0"/>
    <w:rsid w:val="210F6386"/>
    <w:rsid w:val="211742A6"/>
    <w:rsid w:val="21543824"/>
    <w:rsid w:val="2197751D"/>
    <w:rsid w:val="21A6126D"/>
    <w:rsid w:val="21BA77C5"/>
    <w:rsid w:val="21CD2F3E"/>
    <w:rsid w:val="21E12E8E"/>
    <w:rsid w:val="21E40288"/>
    <w:rsid w:val="220F1E76"/>
    <w:rsid w:val="223B259E"/>
    <w:rsid w:val="223E3706"/>
    <w:rsid w:val="225D0766"/>
    <w:rsid w:val="227F3C44"/>
    <w:rsid w:val="22813E3B"/>
    <w:rsid w:val="22934188"/>
    <w:rsid w:val="22A14C18"/>
    <w:rsid w:val="22BE3A08"/>
    <w:rsid w:val="22C04851"/>
    <w:rsid w:val="22D14F53"/>
    <w:rsid w:val="22E20377"/>
    <w:rsid w:val="22F4274D"/>
    <w:rsid w:val="22F87608"/>
    <w:rsid w:val="23411CCC"/>
    <w:rsid w:val="23447230"/>
    <w:rsid w:val="235C0A1E"/>
    <w:rsid w:val="23D9206E"/>
    <w:rsid w:val="23DB0465"/>
    <w:rsid w:val="23DE59BA"/>
    <w:rsid w:val="23F21382"/>
    <w:rsid w:val="240E27FB"/>
    <w:rsid w:val="24305A06"/>
    <w:rsid w:val="2460453E"/>
    <w:rsid w:val="24613453"/>
    <w:rsid w:val="247955FF"/>
    <w:rsid w:val="24A43F77"/>
    <w:rsid w:val="24C82820"/>
    <w:rsid w:val="24D16C22"/>
    <w:rsid w:val="24D740D4"/>
    <w:rsid w:val="25011339"/>
    <w:rsid w:val="25617F2B"/>
    <w:rsid w:val="256E3D48"/>
    <w:rsid w:val="25ED1E01"/>
    <w:rsid w:val="25F50CB6"/>
    <w:rsid w:val="26163EB5"/>
    <w:rsid w:val="26251D06"/>
    <w:rsid w:val="26321F0A"/>
    <w:rsid w:val="26445799"/>
    <w:rsid w:val="268B327A"/>
    <w:rsid w:val="26B4725E"/>
    <w:rsid w:val="26C568DA"/>
    <w:rsid w:val="26CD6696"/>
    <w:rsid w:val="26D905D7"/>
    <w:rsid w:val="26DD1E76"/>
    <w:rsid w:val="26EA6665"/>
    <w:rsid w:val="26F93445"/>
    <w:rsid w:val="2746688A"/>
    <w:rsid w:val="276A7481"/>
    <w:rsid w:val="276B6060"/>
    <w:rsid w:val="27822A1D"/>
    <w:rsid w:val="278F23C0"/>
    <w:rsid w:val="27AC35F6"/>
    <w:rsid w:val="27B2145C"/>
    <w:rsid w:val="27BB71B0"/>
    <w:rsid w:val="27DE7237"/>
    <w:rsid w:val="27FA7131"/>
    <w:rsid w:val="281A0EA7"/>
    <w:rsid w:val="282317CB"/>
    <w:rsid w:val="28435545"/>
    <w:rsid w:val="284E07CD"/>
    <w:rsid w:val="287C121A"/>
    <w:rsid w:val="288602EB"/>
    <w:rsid w:val="28962D82"/>
    <w:rsid w:val="28C22024"/>
    <w:rsid w:val="28D728F5"/>
    <w:rsid w:val="28DA4193"/>
    <w:rsid w:val="28E76FDC"/>
    <w:rsid w:val="28FB2A87"/>
    <w:rsid w:val="290129D3"/>
    <w:rsid w:val="2940493E"/>
    <w:rsid w:val="298011DE"/>
    <w:rsid w:val="298D5275"/>
    <w:rsid w:val="29E71E17"/>
    <w:rsid w:val="29F56D48"/>
    <w:rsid w:val="29F85218"/>
    <w:rsid w:val="2A0D0CC4"/>
    <w:rsid w:val="2A1B2201"/>
    <w:rsid w:val="2A3140FD"/>
    <w:rsid w:val="2A613DAE"/>
    <w:rsid w:val="2AA67BB2"/>
    <w:rsid w:val="2AB7478C"/>
    <w:rsid w:val="2AC3622E"/>
    <w:rsid w:val="2AC8240E"/>
    <w:rsid w:val="2AE474F4"/>
    <w:rsid w:val="2AE91610"/>
    <w:rsid w:val="2AF23A16"/>
    <w:rsid w:val="2B2D0EF2"/>
    <w:rsid w:val="2B337822"/>
    <w:rsid w:val="2B69661F"/>
    <w:rsid w:val="2BA271EA"/>
    <w:rsid w:val="2BAE7D76"/>
    <w:rsid w:val="2BCD7395"/>
    <w:rsid w:val="2BCE4856"/>
    <w:rsid w:val="2BEC2B5B"/>
    <w:rsid w:val="2BEC4909"/>
    <w:rsid w:val="2C0B1EB7"/>
    <w:rsid w:val="2C3708A1"/>
    <w:rsid w:val="2C740C6A"/>
    <w:rsid w:val="2C8D1A28"/>
    <w:rsid w:val="2C8F5842"/>
    <w:rsid w:val="2C9B54B2"/>
    <w:rsid w:val="2CBA5B43"/>
    <w:rsid w:val="2CFE750E"/>
    <w:rsid w:val="2D05394C"/>
    <w:rsid w:val="2D0F7889"/>
    <w:rsid w:val="2D775328"/>
    <w:rsid w:val="2D834DF9"/>
    <w:rsid w:val="2D874C30"/>
    <w:rsid w:val="2DC21DC5"/>
    <w:rsid w:val="2DF42E5B"/>
    <w:rsid w:val="2E0D4939"/>
    <w:rsid w:val="2E1D524D"/>
    <w:rsid w:val="2E230507"/>
    <w:rsid w:val="2E341DD7"/>
    <w:rsid w:val="2E734E6D"/>
    <w:rsid w:val="2EA27501"/>
    <w:rsid w:val="2EE46E89"/>
    <w:rsid w:val="2F234AE5"/>
    <w:rsid w:val="2F3317D8"/>
    <w:rsid w:val="2F3C2100"/>
    <w:rsid w:val="2F3E7857"/>
    <w:rsid w:val="2F5E167A"/>
    <w:rsid w:val="2F624773"/>
    <w:rsid w:val="2F6824F8"/>
    <w:rsid w:val="2F9060E8"/>
    <w:rsid w:val="2F9706CB"/>
    <w:rsid w:val="2FC242FE"/>
    <w:rsid w:val="2FCA4F61"/>
    <w:rsid w:val="2FE00F3D"/>
    <w:rsid w:val="2FEC4067"/>
    <w:rsid w:val="2FF02C24"/>
    <w:rsid w:val="2FF40230"/>
    <w:rsid w:val="30246A80"/>
    <w:rsid w:val="30274161"/>
    <w:rsid w:val="305C0CAD"/>
    <w:rsid w:val="307325D9"/>
    <w:rsid w:val="30B11ABF"/>
    <w:rsid w:val="30C418AA"/>
    <w:rsid w:val="30C51EF2"/>
    <w:rsid w:val="30FC114A"/>
    <w:rsid w:val="31784752"/>
    <w:rsid w:val="318750EF"/>
    <w:rsid w:val="318C73AC"/>
    <w:rsid w:val="31E71DFA"/>
    <w:rsid w:val="31F2015C"/>
    <w:rsid w:val="31F67EDC"/>
    <w:rsid w:val="32302576"/>
    <w:rsid w:val="325D5CAE"/>
    <w:rsid w:val="32E53E60"/>
    <w:rsid w:val="32FD11AA"/>
    <w:rsid w:val="332B1B27"/>
    <w:rsid w:val="333E257D"/>
    <w:rsid w:val="337C0898"/>
    <w:rsid w:val="341774EA"/>
    <w:rsid w:val="343C6007"/>
    <w:rsid w:val="3474525E"/>
    <w:rsid w:val="348231C8"/>
    <w:rsid w:val="349756CD"/>
    <w:rsid w:val="34BB1D0D"/>
    <w:rsid w:val="34DB703E"/>
    <w:rsid w:val="351D5B33"/>
    <w:rsid w:val="352B6080"/>
    <w:rsid w:val="352E7A4E"/>
    <w:rsid w:val="355D1BDD"/>
    <w:rsid w:val="356B689E"/>
    <w:rsid w:val="359F1FBC"/>
    <w:rsid w:val="35C05A50"/>
    <w:rsid w:val="35C81F43"/>
    <w:rsid w:val="35CB6407"/>
    <w:rsid w:val="35E44485"/>
    <w:rsid w:val="35F273D0"/>
    <w:rsid w:val="35FF1075"/>
    <w:rsid w:val="36312BA6"/>
    <w:rsid w:val="363E3E80"/>
    <w:rsid w:val="364147F8"/>
    <w:rsid w:val="365E6501"/>
    <w:rsid w:val="36636652"/>
    <w:rsid w:val="36AB0D07"/>
    <w:rsid w:val="36B85B13"/>
    <w:rsid w:val="36CA51EA"/>
    <w:rsid w:val="36D33310"/>
    <w:rsid w:val="36E7289C"/>
    <w:rsid w:val="36F44901"/>
    <w:rsid w:val="370C2303"/>
    <w:rsid w:val="371216F3"/>
    <w:rsid w:val="371562DB"/>
    <w:rsid w:val="37256F21"/>
    <w:rsid w:val="37321D6A"/>
    <w:rsid w:val="37555A58"/>
    <w:rsid w:val="375B0D98"/>
    <w:rsid w:val="37B26BC7"/>
    <w:rsid w:val="37BA272F"/>
    <w:rsid w:val="37DF7667"/>
    <w:rsid w:val="380354B4"/>
    <w:rsid w:val="3810197F"/>
    <w:rsid w:val="3810372D"/>
    <w:rsid w:val="382F7F59"/>
    <w:rsid w:val="38685317"/>
    <w:rsid w:val="3898459D"/>
    <w:rsid w:val="38B36EDA"/>
    <w:rsid w:val="38B4677D"/>
    <w:rsid w:val="38D65532"/>
    <w:rsid w:val="38ED08FE"/>
    <w:rsid w:val="3951224F"/>
    <w:rsid w:val="39585248"/>
    <w:rsid w:val="39682C9F"/>
    <w:rsid w:val="39BB6428"/>
    <w:rsid w:val="39C0030D"/>
    <w:rsid w:val="39E15BEA"/>
    <w:rsid w:val="3A434E4D"/>
    <w:rsid w:val="3A4E20D5"/>
    <w:rsid w:val="3AB535E1"/>
    <w:rsid w:val="3AF96F3C"/>
    <w:rsid w:val="3AFF6407"/>
    <w:rsid w:val="3B2F036E"/>
    <w:rsid w:val="3B4E1274"/>
    <w:rsid w:val="3B6A75F8"/>
    <w:rsid w:val="3B8A2759"/>
    <w:rsid w:val="3BA20BFD"/>
    <w:rsid w:val="3BA42B0A"/>
    <w:rsid w:val="3BBB7E54"/>
    <w:rsid w:val="3BC40B50"/>
    <w:rsid w:val="3BD01B51"/>
    <w:rsid w:val="3BE057AF"/>
    <w:rsid w:val="3C003D8D"/>
    <w:rsid w:val="3C26586A"/>
    <w:rsid w:val="3C3917A1"/>
    <w:rsid w:val="3C526997"/>
    <w:rsid w:val="3C5C2847"/>
    <w:rsid w:val="3C663019"/>
    <w:rsid w:val="3C925059"/>
    <w:rsid w:val="3CB5559F"/>
    <w:rsid w:val="3CBC2B52"/>
    <w:rsid w:val="3CBC525F"/>
    <w:rsid w:val="3CBE52C8"/>
    <w:rsid w:val="3CC870FB"/>
    <w:rsid w:val="3CE753A4"/>
    <w:rsid w:val="3CEB5709"/>
    <w:rsid w:val="3D1D3C32"/>
    <w:rsid w:val="3D1F312E"/>
    <w:rsid w:val="3D2B2448"/>
    <w:rsid w:val="3D5B3B65"/>
    <w:rsid w:val="3D671D7B"/>
    <w:rsid w:val="3D6A7724"/>
    <w:rsid w:val="3D6E1622"/>
    <w:rsid w:val="3DDC1163"/>
    <w:rsid w:val="3DFE0BF8"/>
    <w:rsid w:val="3E175815"/>
    <w:rsid w:val="3E354E7D"/>
    <w:rsid w:val="3E3711E2"/>
    <w:rsid w:val="3E375EB7"/>
    <w:rsid w:val="3E421533"/>
    <w:rsid w:val="3E4E44C1"/>
    <w:rsid w:val="3E506F79"/>
    <w:rsid w:val="3E8D5E6B"/>
    <w:rsid w:val="3EBE4E2C"/>
    <w:rsid w:val="3ED01430"/>
    <w:rsid w:val="3EDC25BB"/>
    <w:rsid w:val="3EE906FE"/>
    <w:rsid w:val="3F0B6C2D"/>
    <w:rsid w:val="3F66594E"/>
    <w:rsid w:val="3F796D91"/>
    <w:rsid w:val="3F9733C2"/>
    <w:rsid w:val="3FA30497"/>
    <w:rsid w:val="3FA763B0"/>
    <w:rsid w:val="3FAA7FC2"/>
    <w:rsid w:val="3FD247CD"/>
    <w:rsid w:val="3FD414E4"/>
    <w:rsid w:val="3FE1257F"/>
    <w:rsid w:val="401D05DE"/>
    <w:rsid w:val="4024246B"/>
    <w:rsid w:val="40302BBE"/>
    <w:rsid w:val="40890521"/>
    <w:rsid w:val="408C1AED"/>
    <w:rsid w:val="40B3559D"/>
    <w:rsid w:val="40D45C40"/>
    <w:rsid w:val="40D73D5E"/>
    <w:rsid w:val="40DB5220"/>
    <w:rsid w:val="40E81C84"/>
    <w:rsid w:val="40F94293"/>
    <w:rsid w:val="40FB0484"/>
    <w:rsid w:val="414A7D5A"/>
    <w:rsid w:val="4157061F"/>
    <w:rsid w:val="41662610"/>
    <w:rsid w:val="41921B27"/>
    <w:rsid w:val="41AC2719"/>
    <w:rsid w:val="41D75722"/>
    <w:rsid w:val="421D3616"/>
    <w:rsid w:val="4286740D"/>
    <w:rsid w:val="429E34F1"/>
    <w:rsid w:val="42AA6865"/>
    <w:rsid w:val="42B702DA"/>
    <w:rsid w:val="42C57F36"/>
    <w:rsid w:val="42D27F5D"/>
    <w:rsid w:val="42EA6221"/>
    <w:rsid w:val="42EF4755"/>
    <w:rsid w:val="430D7F72"/>
    <w:rsid w:val="431E13F4"/>
    <w:rsid w:val="43265893"/>
    <w:rsid w:val="432D7889"/>
    <w:rsid w:val="43317379"/>
    <w:rsid w:val="4342770D"/>
    <w:rsid w:val="434A46EC"/>
    <w:rsid w:val="435C7A89"/>
    <w:rsid w:val="43941B2C"/>
    <w:rsid w:val="43AD55B9"/>
    <w:rsid w:val="43B5750E"/>
    <w:rsid w:val="43CB2F74"/>
    <w:rsid w:val="43E33E05"/>
    <w:rsid w:val="44116C17"/>
    <w:rsid w:val="444A568D"/>
    <w:rsid w:val="444C4C47"/>
    <w:rsid w:val="44531998"/>
    <w:rsid w:val="44590819"/>
    <w:rsid w:val="445B488C"/>
    <w:rsid w:val="446E48E9"/>
    <w:rsid w:val="44784B34"/>
    <w:rsid w:val="447B1C4D"/>
    <w:rsid w:val="4490282F"/>
    <w:rsid w:val="44F87A23"/>
    <w:rsid w:val="450F3328"/>
    <w:rsid w:val="453252CE"/>
    <w:rsid w:val="453A4CCF"/>
    <w:rsid w:val="45597105"/>
    <w:rsid w:val="455E0086"/>
    <w:rsid w:val="45640302"/>
    <w:rsid w:val="456C63D5"/>
    <w:rsid w:val="45763405"/>
    <w:rsid w:val="45C945EA"/>
    <w:rsid w:val="45E73FDA"/>
    <w:rsid w:val="46293689"/>
    <w:rsid w:val="464E0068"/>
    <w:rsid w:val="464E7D0F"/>
    <w:rsid w:val="465A35BD"/>
    <w:rsid w:val="465D0485"/>
    <w:rsid w:val="465F0134"/>
    <w:rsid w:val="46D93AEF"/>
    <w:rsid w:val="47113641"/>
    <w:rsid w:val="4742292E"/>
    <w:rsid w:val="475E2568"/>
    <w:rsid w:val="47745A86"/>
    <w:rsid w:val="47842674"/>
    <w:rsid w:val="4795427E"/>
    <w:rsid w:val="479F32A6"/>
    <w:rsid w:val="47A10D56"/>
    <w:rsid w:val="47A143A2"/>
    <w:rsid w:val="47AF4D11"/>
    <w:rsid w:val="47B9126E"/>
    <w:rsid w:val="47FF763C"/>
    <w:rsid w:val="48322A33"/>
    <w:rsid w:val="484908DB"/>
    <w:rsid w:val="48492E5F"/>
    <w:rsid w:val="485209FF"/>
    <w:rsid w:val="485E307D"/>
    <w:rsid w:val="486235C5"/>
    <w:rsid w:val="4866371A"/>
    <w:rsid w:val="488401F0"/>
    <w:rsid w:val="48A95C04"/>
    <w:rsid w:val="48C42A3E"/>
    <w:rsid w:val="48CE652C"/>
    <w:rsid w:val="48D91605"/>
    <w:rsid w:val="48F549A5"/>
    <w:rsid w:val="48F97216"/>
    <w:rsid w:val="48FF3A76"/>
    <w:rsid w:val="491A2237"/>
    <w:rsid w:val="492275A4"/>
    <w:rsid w:val="4926601A"/>
    <w:rsid w:val="49446E29"/>
    <w:rsid w:val="49597971"/>
    <w:rsid w:val="495A158B"/>
    <w:rsid w:val="49670380"/>
    <w:rsid w:val="497955D6"/>
    <w:rsid w:val="49B16CC5"/>
    <w:rsid w:val="49C9699B"/>
    <w:rsid w:val="49DD50AA"/>
    <w:rsid w:val="4A061B4C"/>
    <w:rsid w:val="4A496086"/>
    <w:rsid w:val="4A5D4EF8"/>
    <w:rsid w:val="4A6C513B"/>
    <w:rsid w:val="4A74295D"/>
    <w:rsid w:val="4A866708"/>
    <w:rsid w:val="4A8E3303"/>
    <w:rsid w:val="4A92483C"/>
    <w:rsid w:val="4AC11C68"/>
    <w:rsid w:val="4ACD4CEF"/>
    <w:rsid w:val="4ACE1952"/>
    <w:rsid w:val="4AEF15D8"/>
    <w:rsid w:val="4AF60278"/>
    <w:rsid w:val="4AF91025"/>
    <w:rsid w:val="4B005883"/>
    <w:rsid w:val="4B036369"/>
    <w:rsid w:val="4B0B0B93"/>
    <w:rsid w:val="4B2C6EA1"/>
    <w:rsid w:val="4B4475D2"/>
    <w:rsid w:val="4B61791F"/>
    <w:rsid w:val="4B6D45C9"/>
    <w:rsid w:val="4B7A0F54"/>
    <w:rsid w:val="4B83098E"/>
    <w:rsid w:val="4BA97CC9"/>
    <w:rsid w:val="4BDD711F"/>
    <w:rsid w:val="4BE40D01"/>
    <w:rsid w:val="4C3C231E"/>
    <w:rsid w:val="4C4C09CF"/>
    <w:rsid w:val="4C4D6CFC"/>
    <w:rsid w:val="4C7A188D"/>
    <w:rsid w:val="4C7E4CB1"/>
    <w:rsid w:val="4C8936F0"/>
    <w:rsid w:val="4CA02851"/>
    <w:rsid w:val="4D141FE0"/>
    <w:rsid w:val="4D351D41"/>
    <w:rsid w:val="4D646B23"/>
    <w:rsid w:val="4D7C3C66"/>
    <w:rsid w:val="4D8F132B"/>
    <w:rsid w:val="4DAC05E6"/>
    <w:rsid w:val="4DC126F3"/>
    <w:rsid w:val="4DC236BE"/>
    <w:rsid w:val="4E0524B6"/>
    <w:rsid w:val="4E0E5897"/>
    <w:rsid w:val="4E4242CC"/>
    <w:rsid w:val="4E5403C0"/>
    <w:rsid w:val="4E5F5F0E"/>
    <w:rsid w:val="4E677615"/>
    <w:rsid w:val="4E9407BC"/>
    <w:rsid w:val="4EB82ACF"/>
    <w:rsid w:val="4ED079B5"/>
    <w:rsid w:val="4ED127FF"/>
    <w:rsid w:val="4ED96A7E"/>
    <w:rsid w:val="4EE5726A"/>
    <w:rsid w:val="4F211B43"/>
    <w:rsid w:val="4F540514"/>
    <w:rsid w:val="4F6666E3"/>
    <w:rsid w:val="4F6B6FFA"/>
    <w:rsid w:val="4F742507"/>
    <w:rsid w:val="4F9C22EA"/>
    <w:rsid w:val="4FA72771"/>
    <w:rsid w:val="4FB22195"/>
    <w:rsid w:val="4FFE3062"/>
    <w:rsid w:val="500372D1"/>
    <w:rsid w:val="502819C0"/>
    <w:rsid w:val="503279C5"/>
    <w:rsid w:val="50772144"/>
    <w:rsid w:val="50C01628"/>
    <w:rsid w:val="50C65FDD"/>
    <w:rsid w:val="50C77758"/>
    <w:rsid w:val="50E028B4"/>
    <w:rsid w:val="50E344A6"/>
    <w:rsid w:val="5119769F"/>
    <w:rsid w:val="51230B0D"/>
    <w:rsid w:val="51271000"/>
    <w:rsid w:val="517D674F"/>
    <w:rsid w:val="51894824"/>
    <w:rsid w:val="51917235"/>
    <w:rsid w:val="51B11960"/>
    <w:rsid w:val="51EF0B3A"/>
    <w:rsid w:val="5200468D"/>
    <w:rsid w:val="520B596A"/>
    <w:rsid w:val="5226253D"/>
    <w:rsid w:val="522D7877"/>
    <w:rsid w:val="52567D81"/>
    <w:rsid w:val="526D37FE"/>
    <w:rsid w:val="52964527"/>
    <w:rsid w:val="52C728C5"/>
    <w:rsid w:val="52E57E15"/>
    <w:rsid w:val="52EB0BC7"/>
    <w:rsid w:val="52FD43C9"/>
    <w:rsid w:val="530C1269"/>
    <w:rsid w:val="531B187C"/>
    <w:rsid w:val="53204D14"/>
    <w:rsid w:val="533C110A"/>
    <w:rsid w:val="536A3A27"/>
    <w:rsid w:val="53737AE7"/>
    <w:rsid w:val="537D5CC3"/>
    <w:rsid w:val="53990AFD"/>
    <w:rsid w:val="53CC0B1E"/>
    <w:rsid w:val="53DE35D5"/>
    <w:rsid w:val="5403105C"/>
    <w:rsid w:val="543E122D"/>
    <w:rsid w:val="544544DB"/>
    <w:rsid w:val="54454A38"/>
    <w:rsid w:val="54603722"/>
    <w:rsid w:val="5460414F"/>
    <w:rsid w:val="54680721"/>
    <w:rsid w:val="546E385E"/>
    <w:rsid w:val="546E6143"/>
    <w:rsid w:val="54752E3E"/>
    <w:rsid w:val="54994D7E"/>
    <w:rsid w:val="54B76D9A"/>
    <w:rsid w:val="54C44B46"/>
    <w:rsid w:val="54C4504C"/>
    <w:rsid w:val="54D34337"/>
    <w:rsid w:val="54DA5D8D"/>
    <w:rsid w:val="54E40E2D"/>
    <w:rsid w:val="54ED35AA"/>
    <w:rsid w:val="551D40DC"/>
    <w:rsid w:val="55A734CB"/>
    <w:rsid w:val="55B921AE"/>
    <w:rsid w:val="55C217A6"/>
    <w:rsid w:val="55E05CBF"/>
    <w:rsid w:val="55F964C0"/>
    <w:rsid w:val="56226FF5"/>
    <w:rsid w:val="565A47A0"/>
    <w:rsid w:val="565A665B"/>
    <w:rsid w:val="566B44F9"/>
    <w:rsid w:val="567E47FA"/>
    <w:rsid w:val="568000FE"/>
    <w:rsid w:val="569C6DA8"/>
    <w:rsid w:val="56CB31E9"/>
    <w:rsid w:val="56CE1E48"/>
    <w:rsid w:val="57412FD4"/>
    <w:rsid w:val="57441971"/>
    <w:rsid w:val="574D0B96"/>
    <w:rsid w:val="5753390A"/>
    <w:rsid w:val="57790E97"/>
    <w:rsid w:val="577949F3"/>
    <w:rsid w:val="5781344E"/>
    <w:rsid w:val="578923D3"/>
    <w:rsid w:val="57C837F3"/>
    <w:rsid w:val="57D27E9C"/>
    <w:rsid w:val="58002426"/>
    <w:rsid w:val="584E6149"/>
    <w:rsid w:val="585A65D3"/>
    <w:rsid w:val="58603D71"/>
    <w:rsid w:val="587868EA"/>
    <w:rsid w:val="587873A1"/>
    <w:rsid w:val="587C29ED"/>
    <w:rsid w:val="587D598D"/>
    <w:rsid w:val="589F3852"/>
    <w:rsid w:val="58A61818"/>
    <w:rsid w:val="58BB798B"/>
    <w:rsid w:val="58CD4EBA"/>
    <w:rsid w:val="58D7491C"/>
    <w:rsid w:val="58E77AFF"/>
    <w:rsid w:val="58E77E9A"/>
    <w:rsid w:val="58FA0183"/>
    <w:rsid w:val="59154646"/>
    <w:rsid w:val="5935428B"/>
    <w:rsid w:val="59537423"/>
    <w:rsid w:val="59637709"/>
    <w:rsid w:val="59695434"/>
    <w:rsid w:val="598B2F92"/>
    <w:rsid w:val="598B728E"/>
    <w:rsid w:val="59B57AB7"/>
    <w:rsid w:val="59CA7788"/>
    <w:rsid w:val="59D06384"/>
    <w:rsid w:val="59D46859"/>
    <w:rsid w:val="59E837EE"/>
    <w:rsid w:val="59EB363D"/>
    <w:rsid w:val="59F359C5"/>
    <w:rsid w:val="5A074538"/>
    <w:rsid w:val="5A3D43FE"/>
    <w:rsid w:val="5A6B3743"/>
    <w:rsid w:val="5A6E2A15"/>
    <w:rsid w:val="5AA705B3"/>
    <w:rsid w:val="5AE70465"/>
    <w:rsid w:val="5AF54CD9"/>
    <w:rsid w:val="5B105132"/>
    <w:rsid w:val="5B20049A"/>
    <w:rsid w:val="5B314FB8"/>
    <w:rsid w:val="5B395408"/>
    <w:rsid w:val="5B445318"/>
    <w:rsid w:val="5B5136E8"/>
    <w:rsid w:val="5B8542BD"/>
    <w:rsid w:val="5B931646"/>
    <w:rsid w:val="5B935A55"/>
    <w:rsid w:val="5B9718EC"/>
    <w:rsid w:val="5BB22788"/>
    <w:rsid w:val="5BEF0AD5"/>
    <w:rsid w:val="5C0E64BD"/>
    <w:rsid w:val="5C0F3B78"/>
    <w:rsid w:val="5C36729C"/>
    <w:rsid w:val="5C520E7C"/>
    <w:rsid w:val="5C5611D3"/>
    <w:rsid w:val="5C6E5A67"/>
    <w:rsid w:val="5C735EB5"/>
    <w:rsid w:val="5C9D0F42"/>
    <w:rsid w:val="5CC055C4"/>
    <w:rsid w:val="5CC07DD9"/>
    <w:rsid w:val="5D0D35F8"/>
    <w:rsid w:val="5D123E93"/>
    <w:rsid w:val="5D1C654D"/>
    <w:rsid w:val="5D2017FC"/>
    <w:rsid w:val="5D543F38"/>
    <w:rsid w:val="5D940E92"/>
    <w:rsid w:val="5DA6050C"/>
    <w:rsid w:val="5DB449D7"/>
    <w:rsid w:val="5DC23869"/>
    <w:rsid w:val="5DC62A8F"/>
    <w:rsid w:val="5E4F584C"/>
    <w:rsid w:val="5E5B745B"/>
    <w:rsid w:val="5E6D4E5F"/>
    <w:rsid w:val="5E8343A9"/>
    <w:rsid w:val="5E875C48"/>
    <w:rsid w:val="5EB033F0"/>
    <w:rsid w:val="5EBF4451"/>
    <w:rsid w:val="5ECF7C24"/>
    <w:rsid w:val="5EFA2F5D"/>
    <w:rsid w:val="5F0E6877"/>
    <w:rsid w:val="5F1405A9"/>
    <w:rsid w:val="5F4E2C09"/>
    <w:rsid w:val="5F7C47FC"/>
    <w:rsid w:val="5F830B05"/>
    <w:rsid w:val="5F9251D4"/>
    <w:rsid w:val="5FA3091E"/>
    <w:rsid w:val="5FB4164A"/>
    <w:rsid w:val="5FDC515A"/>
    <w:rsid w:val="5FF41E65"/>
    <w:rsid w:val="60675D31"/>
    <w:rsid w:val="606E61E9"/>
    <w:rsid w:val="6099055F"/>
    <w:rsid w:val="60BE0A02"/>
    <w:rsid w:val="60D17C50"/>
    <w:rsid w:val="61152866"/>
    <w:rsid w:val="6162299C"/>
    <w:rsid w:val="619F7059"/>
    <w:rsid w:val="61CD0B83"/>
    <w:rsid w:val="61CE7FA1"/>
    <w:rsid w:val="622017F1"/>
    <w:rsid w:val="623A5A89"/>
    <w:rsid w:val="62DD1EB5"/>
    <w:rsid w:val="62F96AF5"/>
    <w:rsid w:val="63154001"/>
    <w:rsid w:val="633163BD"/>
    <w:rsid w:val="633914DA"/>
    <w:rsid w:val="633D39F4"/>
    <w:rsid w:val="634467FD"/>
    <w:rsid w:val="634A36E8"/>
    <w:rsid w:val="63644F37"/>
    <w:rsid w:val="63744BF1"/>
    <w:rsid w:val="6375205B"/>
    <w:rsid w:val="637F5A87"/>
    <w:rsid w:val="63937429"/>
    <w:rsid w:val="63955212"/>
    <w:rsid w:val="63B079EF"/>
    <w:rsid w:val="63D0339F"/>
    <w:rsid w:val="63FF0159"/>
    <w:rsid w:val="6413263F"/>
    <w:rsid w:val="64175F22"/>
    <w:rsid w:val="641F58A3"/>
    <w:rsid w:val="642425F4"/>
    <w:rsid w:val="644D7AF5"/>
    <w:rsid w:val="64603554"/>
    <w:rsid w:val="646A3415"/>
    <w:rsid w:val="64944B56"/>
    <w:rsid w:val="64B27796"/>
    <w:rsid w:val="64B41760"/>
    <w:rsid w:val="64CA1A25"/>
    <w:rsid w:val="64E83DE8"/>
    <w:rsid w:val="64EC3D37"/>
    <w:rsid w:val="64EE1A97"/>
    <w:rsid w:val="65306815"/>
    <w:rsid w:val="655F2CFF"/>
    <w:rsid w:val="65810E59"/>
    <w:rsid w:val="65817895"/>
    <w:rsid w:val="658E039D"/>
    <w:rsid w:val="65901116"/>
    <w:rsid w:val="65924CA9"/>
    <w:rsid w:val="65A85B71"/>
    <w:rsid w:val="65B46B2F"/>
    <w:rsid w:val="65C26A8E"/>
    <w:rsid w:val="65D200F0"/>
    <w:rsid w:val="65E51C8D"/>
    <w:rsid w:val="65FF6E40"/>
    <w:rsid w:val="660D2ED6"/>
    <w:rsid w:val="660E0C4E"/>
    <w:rsid w:val="6612135A"/>
    <w:rsid w:val="662F7813"/>
    <w:rsid w:val="6659207B"/>
    <w:rsid w:val="668A09CB"/>
    <w:rsid w:val="66AE7DC2"/>
    <w:rsid w:val="66D6776C"/>
    <w:rsid w:val="66D85CF0"/>
    <w:rsid w:val="66E41D5C"/>
    <w:rsid w:val="672A3F5C"/>
    <w:rsid w:val="672C66EE"/>
    <w:rsid w:val="673849B2"/>
    <w:rsid w:val="674D4335"/>
    <w:rsid w:val="67726657"/>
    <w:rsid w:val="678A4ED6"/>
    <w:rsid w:val="679D44A7"/>
    <w:rsid w:val="67BB05DB"/>
    <w:rsid w:val="67BD26DA"/>
    <w:rsid w:val="68120612"/>
    <w:rsid w:val="68470794"/>
    <w:rsid w:val="68744C4B"/>
    <w:rsid w:val="688A35DC"/>
    <w:rsid w:val="6896352A"/>
    <w:rsid w:val="689B1082"/>
    <w:rsid w:val="68D51FF8"/>
    <w:rsid w:val="68F41093"/>
    <w:rsid w:val="69083E29"/>
    <w:rsid w:val="69232A11"/>
    <w:rsid w:val="69252C2D"/>
    <w:rsid w:val="69401815"/>
    <w:rsid w:val="694F6758"/>
    <w:rsid w:val="6958090C"/>
    <w:rsid w:val="695E2B47"/>
    <w:rsid w:val="69721525"/>
    <w:rsid w:val="69740DD1"/>
    <w:rsid w:val="69874162"/>
    <w:rsid w:val="69886D18"/>
    <w:rsid w:val="699C0B46"/>
    <w:rsid w:val="699E6EDB"/>
    <w:rsid w:val="69C02CC6"/>
    <w:rsid w:val="6A0C5CC5"/>
    <w:rsid w:val="6A0D4726"/>
    <w:rsid w:val="6A1011E7"/>
    <w:rsid w:val="6A445335"/>
    <w:rsid w:val="6A5C61DA"/>
    <w:rsid w:val="6A7C687C"/>
    <w:rsid w:val="6A7D7D3F"/>
    <w:rsid w:val="6A9C5931"/>
    <w:rsid w:val="6AB601A3"/>
    <w:rsid w:val="6ABC418D"/>
    <w:rsid w:val="6ACA6579"/>
    <w:rsid w:val="6AD14FD7"/>
    <w:rsid w:val="6B244066"/>
    <w:rsid w:val="6B2A277C"/>
    <w:rsid w:val="6B2E30B1"/>
    <w:rsid w:val="6B327947"/>
    <w:rsid w:val="6B3753A0"/>
    <w:rsid w:val="6B3929BF"/>
    <w:rsid w:val="6B9419A4"/>
    <w:rsid w:val="6BC92D5B"/>
    <w:rsid w:val="6BD20370"/>
    <w:rsid w:val="6BDC2A11"/>
    <w:rsid w:val="6BE85984"/>
    <w:rsid w:val="6C2D7F57"/>
    <w:rsid w:val="6C350884"/>
    <w:rsid w:val="6C3E4063"/>
    <w:rsid w:val="6C4179F9"/>
    <w:rsid w:val="6C7964CA"/>
    <w:rsid w:val="6C7D68DC"/>
    <w:rsid w:val="6CA64085"/>
    <w:rsid w:val="6D121900"/>
    <w:rsid w:val="6D2356D5"/>
    <w:rsid w:val="6D374CDD"/>
    <w:rsid w:val="6D4603CA"/>
    <w:rsid w:val="6D7A376E"/>
    <w:rsid w:val="6D924ED4"/>
    <w:rsid w:val="6DDA7911"/>
    <w:rsid w:val="6E1F559C"/>
    <w:rsid w:val="6E74415F"/>
    <w:rsid w:val="6E881C94"/>
    <w:rsid w:val="6E967BE7"/>
    <w:rsid w:val="6E9A3775"/>
    <w:rsid w:val="6EC425A0"/>
    <w:rsid w:val="6EDB70B6"/>
    <w:rsid w:val="6F155591"/>
    <w:rsid w:val="6F564781"/>
    <w:rsid w:val="6F944336"/>
    <w:rsid w:val="6FA110A6"/>
    <w:rsid w:val="6FAD4F96"/>
    <w:rsid w:val="6FC64B3E"/>
    <w:rsid w:val="6FD5610C"/>
    <w:rsid w:val="6FDF5F0E"/>
    <w:rsid w:val="700A0487"/>
    <w:rsid w:val="70393F60"/>
    <w:rsid w:val="706E6C67"/>
    <w:rsid w:val="70903082"/>
    <w:rsid w:val="70A408DB"/>
    <w:rsid w:val="70A52F39"/>
    <w:rsid w:val="70C37EA7"/>
    <w:rsid w:val="70C40F7D"/>
    <w:rsid w:val="70CF206B"/>
    <w:rsid w:val="70D34E08"/>
    <w:rsid w:val="70D76905"/>
    <w:rsid w:val="70DE6DA5"/>
    <w:rsid w:val="70EF5AB4"/>
    <w:rsid w:val="71411CC9"/>
    <w:rsid w:val="714D6F6C"/>
    <w:rsid w:val="71502811"/>
    <w:rsid w:val="716D18F4"/>
    <w:rsid w:val="71741983"/>
    <w:rsid w:val="7189070C"/>
    <w:rsid w:val="71C10F2E"/>
    <w:rsid w:val="71C87C41"/>
    <w:rsid w:val="71C93E5C"/>
    <w:rsid w:val="71CD68B9"/>
    <w:rsid w:val="72220D7D"/>
    <w:rsid w:val="722453CB"/>
    <w:rsid w:val="72365B57"/>
    <w:rsid w:val="72611287"/>
    <w:rsid w:val="72842772"/>
    <w:rsid w:val="72B9250E"/>
    <w:rsid w:val="72BB5F8B"/>
    <w:rsid w:val="72BB6655"/>
    <w:rsid w:val="72C712E1"/>
    <w:rsid w:val="72FA1A10"/>
    <w:rsid w:val="73322ECF"/>
    <w:rsid w:val="73363C40"/>
    <w:rsid w:val="73384209"/>
    <w:rsid w:val="7343705C"/>
    <w:rsid w:val="73662167"/>
    <w:rsid w:val="73952CB3"/>
    <w:rsid w:val="73C55FFA"/>
    <w:rsid w:val="73C60B68"/>
    <w:rsid w:val="7424553A"/>
    <w:rsid w:val="744A0A36"/>
    <w:rsid w:val="74822D12"/>
    <w:rsid w:val="74914E1D"/>
    <w:rsid w:val="74AA7FCF"/>
    <w:rsid w:val="7501589A"/>
    <w:rsid w:val="75092F11"/>
    <w:rsid w:val="751C6001"/>
    <w:rsid w:val="752C54C6"/>
    <w:rsid w:val="754B01EC"/>
    <w:rsid w:val="75520893"/>
    <w:rsid w:val="75686957"/>
    <w:rsid w:val="75F714AD"/>
    <w:rsid w:val="761A4816"/>
    <w:rsid w:val="76201576"/>
    <w:rsid w:val="763418B6"/>
    <w:rsid w:val="76424E1E"/>
    <w:rsid w:val="76772852"/>
    <w:rsid w:val="767C4B99"/>
    <w:rsid w:val="769D3F76"/>
    <w:rsid w:val="76CA4E14"/>
    <w:rsid w:val="76D23F99"/>
    <w:rsid w:val="76D36956"/>
    <w:rsid w:val="76EB78A1"/>
    <w:rsid w:val="76F0487A"/>
    <w:rsid w:val="77110A7B"/>
    <w:rsid w:val="771D3195"/>
    <w:rsid w:val="773C3154"/>
    <w:rsid w:val="7758241F"/>
    <w:rsid w:val="77AB1CCE"/>
    <w:rsid w:val="77CE2B0A"/>
    <w:rsid w:val="77F838AE"/>
    <w:rsid w:val="780E7E28"/>
    <w:rsid w:val="781B0555"/>
    <w:rsid w:val="783571CB"/>
    <w:rsid w:val="783C5EB8"/>
    <w:rsid w:val="784E07A8"/>
    <w:rsid w:val="78533409"/>
    <w:rsid w:val="7860333A"/>
    <w:rsid w:val="78705799"/>
    <w:rsid w:val="78774B27"/>
    <w:rsid w:val="787765F1"/>
    <w:rsid w:val="787C77B1"/>
    <w:rsid w:val="78D26A7E"/>
    <w:rsid w:val="78F9553C"/>
    <w:rsid w:val="79110AD8"/>
    <w:rsid w:val="79940026"/>
    <w:rsid w:val="79EE2BC7"/>
    <w:rsid w:val="7A162C99"/>
    <w:rsid w:val="7A173ECC"/>
    <w:rsid w:val="7A1C5986"/>
    <w:rsid w:val="7A604C13"/>
    <w:rsid w:val="7A72753A"/>
    <w:rsid w:val="7A8377B3"/>
    <w:rsid w:val="7AC22F08"/>
    <w:rsid w:val="7ADA1C60"/>
    <w:rsid w:val="7AF47429"/>
    <w:rsid w:val="7B0862D8"/>
    <w:rsid w:val="7B130B37"/>
    <w:rsid w:val="7B406A51"/>
    <w:rsid w:val="7B6B4CD9"/>
    <w:rsid w:val="7B9B00FB"/>
    <w:rsid w:val="7BD7552B"/>
    <w:rsid w:val="7BF7374C"/>
    <w:rsid w:val="7C01654E"/>
    <w:rsid w:val="7C0730B6"/>
    <w:rsid w:val="7C09018C"/>
    <w:rsid w:val="7C321491"/>
    <w:rsid w:val="7C3A2988"/>
    <w:rsid w:val="7C420122"/>
    <w:rsid w:val="7C467F52"/>
    <w:rsid w:val="7C480CB4"/>
    <w:rsid w:val="7C541224"/>
    <w:rsid w:val="7C61684B"/>
    <w:rsid w:val="7C675C0A"/>
    <w:rsid w:val="7C6844B3"/>
    <w:rsid w:val="7C727ADF"/>
    <w:rsid w:val="7CB7753A"/>
    <w:rsid w:val="7CDA4E8F"/>
    <w:rsid w:val="7CF02627"/>
    <w:rsid w:val="7CF1710F"/>
    <w:rsid w:val="7D0956C7"/>
    <w:rsid w:val="7D114D01"/>
    <w:rsid w:val="7D741635"/>
    <w:rsid w:val="7DB20F2C"/>
    <w:rsid w:val="7DDC6E34"/>
    <w:rsid w:val="7E0F58D6"/>
    <w:rsid w:val="7E205AED"/>
    <w:rsid w:val="7E23216E"/>
    <w:rsid w:val="7E261365"/>
    <w:rsid w:val="7E3A462D"/>
    <w:rsid w:val="7E477579"/>
    <w:rsid w:val="7E5751DF"/>
    <w:rsid w:val="7E751182"/>
    <w:rsid w:val="7E8E57B1"/>
    <w:rsid w:val="7EA41695"/>
    <w:rsid w:val="7EAC1347"/>
    <w:rsid w:val="7ED96E19"/>
    <w:rsid w:val="7F095520"/>
    <w:rsid w:val="7F1F491B"/>
    <w:rsid w:val="7F245858"/>
    <w:rsid w:val="7F405C73"/>
    <w:rsid w:val="7F4A08A0"/>
    <w:rsid w:val="7F60009A"/>
    <w:rsid w:val="7F6557C1"/>
    <w:rsid w:val="7F674346"/>
    <w:rsid w:val="7F7B7110"/>
    <w:rsid w:val="7F9A1827"/>
    <w:rsid w:val="7FA22F78"/>
    <w:rsid w:val="7FA27CF2"/>
    <w:rsid w:val="7FAF4BA7"/>
    <w:rsid w:val="7FB201B2"/>
    <w:rsid w:val="7FB3011B"/>
    <w:rsid w:val="7FBA3291"/>
    <w:rsid w:val="7FF00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6">
    <w:name w:val="heading 4"/>
    <w:basedOn w:val="1"/>
    <w:next w:val="1"/>
    <w:qFormat/>
    <w:uiPriority w:val="1"/>
    <w:pPr>
      <w:ind w:left="652"/>
      <w:outlineLvl w:val="3"/>
    </w:pPr>
    <w:rPr>
      <w:b/>
      <w:bCs/>
      <w:sz w:val="30"/>
      <w:szCs w:val="30"/>
    </w:rPr>
  </w:style>
  <w:style w:type="character" w:default="1" w:styleId="29">
    <w:name w:val="Default Paragraph Font"/>
    <w:semiHidden/>
    <w:qFormat/>
    <w:uiPriority w:val="0"/>
  </w:style>
  <w:style w:type="table" w:default="1" w:styleId="27">
    <w:name w:val="Normal Table"/>
    <w:semiHidden/>
    <w:qFormat/>
    <w:uiPriority w:val="0"/>
    <w:tblPr>
      <w:tblStyle w:val="27"/>
      <w:tblCellMar>
        <w:top w:w="0" w:type="dxa"/>
        <w:left w:w="108" w:type="dxa"/>
        <w:bottom w:w="0" w:type="dxa"/>
        <w:right w:w="108" w:type="dxa"/>
      </w:tblCellMar>
    </w:tblPr>
  </w:style>
  <w:style w:type="paragraph" w:styleId="2">
    <w:name w:val="Body Text"/>
    <w:basedOn w:val="1"/>
    <w:link w:val="43"/>
    <w:qFormat/>
    <w:uiPriority w:val="0"/>
    <w:pPr>
      <w:spacing w:after="120"/>
    </w:pPr>
  </w:style>
  <w:style w:type="paragraph" w:styleId="7">
    <w:name w:val="Normal Indent"/>
    <w:basedOn w:val="1"/>
    <w:next w:val="1"/>
    <w:qFormat/>
    <w:uiPriority w:val="0"/>
    <w:pPr>
      <w:adjustRightInd w:val="0"/>
      <w:spacing w:line="360" w:lineRule="atLeast"/>
      <w:ind w:firstLine="482"/>
      <w:textAlignment w:val="baseline"/>
    </w:pPr>
    <w:rPr>
      <w:kern w:val="0"/>
      <w:sz w:val="24"/>
      <w:szCs w:val="20"/>
    </w:rPr>
  </w:style>
  <w:style w:type="paragraph" w:styleId="8">
    <w:name w:val="toa heading"/>
    <w:basedOn w:val="1"/>
    <w:next w:val="1"/>
    <w:unhideWhenUsed/>
    <w:qFormat/>
    <w:uiPriority w:val="99"/>
    <w:pPr>
      <w:spacing w:before="120"/>
    </w:pPr>
    <w:rPr>
      <w:rFonts w:ascii="Cambria" w:hAnsi="Cambria"/>
      <w:sz w:val="24"/>
    </w:rPr>
  </w:style>
  <w:style w:type="paragraph" w:styleId="9">
    <w:name w:val="annotation text"/>
    <w:basedOn w:val="1"/>
    <w:qFormat/>
    <w:uiPriority w:val="0"/>
    <w:pPr>
      <w:jc w:val="left"/>
    </w:pPr>
  </w:style>
  <w:style w:type="paragraph" w:styleId="10">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11">
    <w:name w:val="Body Text Indent"/>
    <w:basedOn w:val="1"/>
    <w:next w:val="1"/>
    <w:qFormat/>
    <w:uiPriority w:val="0"/>
    <w:pPr>
      <w:spacing w:after="120"/>
      <w:ind w:left="200" w:leftChars="200"/>
    </w:pPr>
  </w:style>
  <w:style w:type="paragraph" w:styleId="12">
    <w:name w:val="toc 3"/>
    <w:basedOn w:val="1"/>
    <w:next w:val="1"/>
    <w:qFormat/>
    <w:uiPriority w:val="39"/>
    <w:pPr>
      <w:tabs>
        <w:tab w:val="right" w:leader="dot" w:pos="9288"/>
      </w:tabs>
      <w:ind w:left="400" w:leftChars="400"/>
    </w:pPr>
    <w:rPr>
      <w:rFonts w:ascii="宋体"/>
    </w:rPr>
  </w:style>
  <w:style w:type="paragraph" w:styleId="13">
    <w:name w:val="Plain Text"/>
    <w:basedOn w:val="1"/>
    <w:next w:val="14"/>
    <w:link w:val="44"/>
    <w:qFormat/>
    <w:uiPriority w:val="0"/>
    <w:rPr>
      <w:rFonts w:ascii="宋体"/>
      <w:color w:val="000000"/>
      <w:szCs w:val="20"/>
      <w:u w:val="none" w:color="000000"/>
    </w:rPr>
  </w:style>
  <w:style w:type="paragraph" w:styleId="14">
    <w:name w:val="index 7"/>
    <w:basedOn w:val="1"/>
    <w:next w:val="1"/>
    <w:qFormat/>
    <w:uiPriority w:val="0"/>
    <w:pPr>
      <w:autoSpaceDE/>
      <w:autoSpaceDN/>
      <w:adjustRightInd/>
      <w:ind w:left="1200" w:leftChars="1200"/>
    </w:pPr>
    <w:rPr>
      <w:color w:val="auto"/>
      <w:kern w:val="2"/>
      <w:szCs w:val="24"/>
    </w:rPr>
  </w:style>
  <w:style w:type="paragraph" w:styleId="15">
    <w:name w:val="Date"/>
    <w:basedOn w:val="1"/>
    <w:next w:val="1"/>
    <w:link w:val="45"/>
    <w:qFormat/>
    <w:uiPriority w:val="0"/>
    <w:rPr>
      <w:rFonts w:ascii="Arial" w:hAnsi="Arial" w:eastAsia="仿宋_GB2312"/>
      <w:color w:val="000000"/>
      <w:sz w:val="32"/>
      <w:szCs w:val="20"/>
      <w:u w:val="none" w:color="000000"/>
    </w:rPr>
  </w:style>
  <w:style w:type="paragraph" w:styleId="16">
    <w:name w:val="footer"/>
    <w:basedOn w:val="1"/>
    <w:link w:val="46"/>
    <w:qFormat/>
    <w:uiPriority w:val="0"/>
    <w:pPr>
      <w:tabs>
        <w:tab w:val="center" w:pos="4153"/>
        <w:tab w:val="right" w:pos="8306"/>
      </w:tabs>
      <w:snapToGrid w:val="0"/>
      <w:jc w:val="left"/>
    </w:pPr>
    <w:rPr>
      <w:sz w:val="18"/>
      <w:szCs w:val="18"/>
    </w:rPr>
  </w:style>
  <w:style w:type="paragraph" w:styleId="17">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0">
    <w:name w:val="footnote text"/>
    <w:basedOn w:val="1"/>
    <w:next w:val="2"/>
    <w:qFormat/>
    <w:uiPriority w:val="0"/>
    <w:pPr>
      <w:snapToGrid w:val="0"/>
      <w:jc w:val="left"/>
    </w:pPr>
    <w:rPr>
      <w:rFonts w:ascii="Times New Roman" w:hAnsi="Times New Roman" w:eastAsia="宋体" w:cs="Times New Roman"/>
      <w:sz w:val="18"/>
    </w:rPr>
  </w:style>
  <w:style w:type="paragraph" w:styleId="21">
    <w:name w:val="toc 2"/>
    <w:basedOn w:val="1"/>
    <w:next w:val="1"/>
    <w:qFormat/>
    <w:uiPriority w:val="39"/>
    <w:pPr>
      <w:ind w:left="200" w:leftChars="200"/>
    </w:pPr>
  </w:style>
  <w:style w:type="paragraph" w:styleId="22">
    <w:name w:val="Body Text 2"/>
    <w:basedOn w:val="1"/>
    <w:qFormat/>
    <w:uiPriority w:val="0"/>
    <w:pPr>
      <w:tabs>
        <w:tab w:val="left" w:pos="0"/>
      </w:tabs>
      <w:spacing w:line="400" w:lineRule="atLeast"/>
    </w:pPr>
    <w:rPr>
      <w:rFonts w:ascii="Arial" w:hAnsi="Arial"/>
      <w:color w:val="000000"/>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link w:val="48"/>
    <w:qFormat/>
    <w:uiPriority w:val="0"/>
    <w:pPr>
      <w:spacing w:before="240" w:after="60"/>
      <w:ind w:left="425" w:hanging="425"/>
      <w:jc w:val="center"/>
      <w:outlineLvl w:val="0"/>
    </w:pPr>
    <w:rPr>
      <w:rFonts w:ascii="Arial" w:hAnsi="Arial" w:cs="Arial"/>
      <w:b/>
      <w:bCs/>
      <w:sz w:val="32"/>
      <w:szCs w:val="32"/>
    </w:rPr>
  </w:style>
  <w:style w:type="paragraph" w:styleId="25">
    <w:name w:val="Body Text First Indent"/>
    <w:basedOn w:val="2"/>
    <w:unhideWhenUsed/>
    <w:qFormat/>
    <w:uiPriority w:val="0"/>
    <w:pPr>
      <w:adjustRightInd/>
      <w:spacing w:after="120" w:line="240" w:lineRule="auto"/>
      <w:ind w:firstLine="420" w:firstLineChars="100"/>
      <w:jc w:val="both"/>
    </w:pPr>
    <w:rPr>
      <w:rFonts w:ascii="Times New Roman"/>
      <w:kern w:val="2"/>
      <w:sz w:val="21"/>
      <w:szCs w:val="24"/>
    </w:rPr>
  </w:style>
  <w:style w:type="paragraph" w:styleId="26">
    <w:name w:val="Body Text First Indent 2"/>
    <w:basedOn w:val="11"/>
    <w:unhideWhenUsed/>
    <w:qFormat/>
    <w:uiPriority w:val="99"/>
    <w:pPr>
      <w:spacing w:after="120" w:line="240" w:lineRule="auto"/>
      <w:ind w:left="420" w:leftChars="200" w:firstLine="420"/>
    </w:pPr>
    <w:rPr>
      <w:rFonts w:cs="宋体"/>
      <w:sz w:val="21"/>
      <w:szCs w:val="21"/>
    </w:rPr>
  </w:style>
  <w:style w:type="table" w:styleId="28">
    <w:name w:val="Table Grid"/>
    <w:basedOn w:val="27"/>
    <w:qFormat/>
    <w:uiPriority w:val="0"/>
    <w:pPr>
      <w:widowControl w:val="0"/>
      <w:jc w:val="both"/>
    </w:pPr>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qFormat/>
    <w:uiPriority w:val="0"/>
    <w:rPr>
      <w:color w:val="333333"/>
      <w:u w:val="none"/>
    </w:rPr>
  </w:style>
  <w:style w:type="character" w:styleId="33">
    <w:name w:val="Emphasis"/>
    <w:basedOn w:val="29"/>
    <w:qFormat/>
    <w:uiPriority w:val="0"/>
    <w:rPr>
      <w:i/>
    </w:rPr>
  </w:style>
  <w:style w:type="character" w:styleId="34">
    <w:name w:val="HTML Definition"/>
    <w:basedOn w:val="29"/>
    <w:qFormat/>
    <w:uiPriority w:val="0"/>
  </w:style>
  <w:style w:type="character" w:styleId="35">
    <w:name w:val="HTML Typewriter"/>
    <w:basedOn w:val="29"/>
    <w:qFormat/>
    <w:uiPriority w:val="0"/>
    <w:rPr>
      <w:rFonts w:ascii="monospace" w:hAnsi="monospace" w:eastAsia="monospace" w:cs="monospace"/>
      <w:sz w:val="20"/>
    </w:rPr>
  </w:style>
  <w:style w:type="character" w:styleId="36">
    <w:name w:val="HTML Acronym"/>
    <w:basedOn w:val="29"/>
    <w:qFormat/>
    <w:uiPriority w:val="0"/>
  </w:style>
  <w:style w:type="character" w:styleId="37">
    <w:name w:val="HTML Variable"/>
    <w:basedOn w:val="29"/>
    <w:qFormat/>
    <w:uiPriority w:val="0"/>
  </w:style>
  <w:style w:type="character" w:styleId="38">
    <w:name w:val="Hyperlink"/>
    <w:basedOn w:val="29"/>
    <w:qFormat/>
    <w:uiPriority w:val="99"/>
    <w:rPr>
      <w:color w:val="0000FF"/>
      <w:u w:val="single"/>
    </w:rPr>
  </w:style>
  <w:style w:type="character" w:styleId="39">
    <w:name w:val="HTML Code"/>
    <w:basedOn w:val="29"/>
    <w:qFormat/>
    <w:uiPriority w:val="0"/>
    <w:rPr>
      <w:rFonts w:hint="default" w:ascii="monospace" w:hAnsi="monospace" w:eastAsia="monospace" w:cs="monospace"/>
      <w:sz w:val="20"/>
    </w:rPr>
  </w:style>
  <w:style w:type="character" w:styleId="40">
    <w:name w:val="HTML Cite"/>
    <w:basedOn w:val="29"/>
    <w:qFormat/>
    <w:uiPriority w:val="0"/>
  </w:style>
  <w:style w:type="character" w:styleId="41">
    <w:name w:val="HTML Keyboard"/>
    <w:basedOn w:val="29"/>
    <w:qFormat/>
    <w:uiPriority w:val="0"/>
    <w:rPr>
      <w:rFonts w:hint="default" w:ascii="monospace" w:hAnsi="monospace" w:eastAsia="monospace" w:cs="monospace"/>
      <w:sz w:val="20"/>
    </w:rPr>
  </w:style>
  <w:style w:type="character" w:styleId="42">
    <w:name w:val="HTML Sample"/>
    <w:basedOn w:val="29"/>
    <w:qFormat/>
    <w:uiPriority w:val="0"/>
    <w:rPr>
      <w:rFonts w:hint="default" w:ascii="monospace" w:hAnsi="monospace" w:eastAsia="monospace" w:cs="monospace"/>
    </w:rPr>
  </w:style>
  <w:style w:type="character" w:customStyle="1" w:styleId="43">
    <w:name w:val="正文文本 Char"/>
    <w:link w:val="2"/>
    <w:semiHidden/>
    <w:qFormat/>
    <w:locked/>
    <w:uiPriority w:val="0"/>
    <w:rPr>
      <w:rFonts w:eastAsia="宋体"/>
      <w:kern w:val="2"/>
      <w:sz w:val="21"/>
      <w:szCs w:val="24"/>
      <w:lang w:val="en-US" w:eastAsia="zh-CN" w:bidi="ar-SA"/>
    </w:rPr>
  </w:style>
  <w:style w:type="character" w:customStyle="1" w:styleId="44">
    <w:name w:val="纯文本 Char"/>
    <w:link w:val="13"/>
    <w:qFormat/>
    <w:uiPriority w:val="0"/>
    <w:rPr>
      <w:rFonts w:ascii="宋体"/>
      <w:color w:val="000000"/>
      <w:kern w:val="2"/>
      <w:sz w:val="21"/>
      <w:u w:val="none" w:color="000000"/>
    </w:rPr>
  </w:style>
  <w:style w:type="character" w:customStyle="1" w:styleId="45">
    <w:name w:val="日期 Char"/>
    <w:link w:val="15"/>
    <w:qFormat/>
    <w:uiPriority w:val="0"/>
    <w:rPr>
      <w:rFonts w:ascii="Arial" w:hAnsi="Arial" w:eastAsia="仿宋_GB2312"/>
      <w:color w:val="000000"/>
      <w:kern w:val="2"/>
      <w:sz w:val="32"/>
      <w:u w:val="none" w:color="000000"/>
      <w:lang w:val="en-US" w:eastAsia="zh-CN" w:bidi="ar-SA"/>
    </w:rPr>
  </w:style>
  <w:style w:type="character" w:customStyle="1" w:styleId="46">
    <w:name w:val="页脚 Char"/>
    <w:link w:val="16"/>
    <w:qFormat/>
    <w:locked/>
    <w:uiPriority w:val="0"/>
    <w:rPr>
      <w:rFonts w:eastAsia="宋体"/>
      <w:kern w:val="2"/>
      <w:sz w:val="18"/>
      <w:szCs w:val="18"/>
      <w:lang w:val="en-US" w:eastAsia="zh-CN" w:bidi="ar-SA"/>
    </w:rPr>
  </w:style>
  <w:style w:type="character" w:customStyle="1" w:styleId="47">
    <w:name w:val="页眉 Char"/>
    <w:link w:val="17"/>
    <w:qFormat/>
    <w:locked/>
    <w:uiPriority w:val="0"/>
    <w:rPr>
      <w:rFonts w:eastAsia="宋体"/>
      <w:kern w:val="2"/>
      <w:sz w:val="18"/>
      <w:szCs w:val="18"/>
      <w:lang w:val="en-US" w:eastAsia="zh-CN" w:bidi="ar-SA"/>
    </w:rPr>
  </w:style>
  <w:style w:type="character" w:customStyle="1" w:styleId="48">
    <w:name w:val="标题 字符"/>
    <w:link w:val="24"/>
    <w:qFormat/>
    <w:uiPriority w:val="0"/>
    <w:rPr>
      <w:rFonts w:ascii="Arial" w:hAnsi="Arial" w:cs="Arial"/>
      <w:b/>
      <w:bCs/>
      <w:sz w:val="32"/>
      <w:szCs w:val="32"/>
    </w:rPr>
  </w:style>
  <w:style w:type="paragraph" w:customStyle="1" w:styleId="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0">
    <w:name w:val="_Style 2"/>
    <w:basedOn w:val="1"/>
    <w:next w:val="1"/>
    <w:qFormat/>
    <w:uiPriority w:val="0"/>
    <w:pPr>
      <w:ind w:firstLine="200" w:firstLineChars="200"/>
    </w:pPr>
    <w:rPr>
      <w:rFonts w:ascii="Calibri" w:hAnsi="Calibri"/>
      <w:sz w:val="28"/>
      <w:szCs w:val="22"/>
    </w:rPr>
  </w:style>
  <w:style w:type="paragraph" w:customStyle="1" w:styleId="51">
    <w:name w:val="首行缩进"/>
    <w:basedOn w:val="1"/>
    <w:qFormat/>
    <w:uiPriority w:val="0"/>
    <w:pPr>
      <w:spacing w:line="360" w:lineRule="auto"/>
      <w:ind w:firstLine="480" w:firstLineChars="200"/>
    </w:pPr>
    <w:rPr>
      <w:sz w:val="24"/>
      <w:szCs w:val="22"/>
      <w:lang w:val="zh-CN"/>
    </w:rPr>
  </w:style>
  <w:style w:type="paragraph" w:customStyle="1" w:styleId="52">
    <w:name w:val="正文缩进1"/>
    <w:basedOn w:val="1"/>
    <w:qFormat/>
    <w:uiPriority w:val="0"/>
    <w:pPr>
      <w:ind w:firstLine="420" w:firstLineChars="200"/>
    </w:pPr>
  </w:style>
  <w:style w:type="paragraph" w:customStyle="1" w:styleId="53">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4">
    <w:name w:val="font01"/>
    <w:basedOn w:val="29"/>
    <w:qFormat/>
    <w:uiPriority w:val="0"/>
    <w:rPr>
      <w:rFonts w:hint="eastAsia" w:ascii="宋体" w:hAnsi="宋体" w:eastAsia="宋体" w:cs="宋体"/>
      <w:color w:val="000000"/>
      <w:sz w:val="22"/>
      <w:szCs w:val="22"/>
      <w:u w:val="none"/>
    </w:rPr>
  </w:style>
  <w:style w:type="character" w:customStyle="1" w:styleId="55">
    <w:name w:val="font111"/>
    <w:basedOn w:val="29"/>
    <w:qFormat/>
    <w:uiPriority w:val="0"/>
    <w:rPr>
      <w:rFonts w:ascii="Arial" w:hAnsi="Arial" w:cs="Arial"/>
      <w:color w:val="000000"/>
      <w:sz w:val="18"/>
      <w:szCs w:val="18"/>
      <w:u w:val="none"/>
    </w:rPr>
  </w:style>
  <w:style w:type="character" w:customStyle="1" w:styleId="56">
    <w:name w:val="Body Text Char"/>
    <w:qFormat/>
    <w:locked/>
    <w:uiPriority w:val="0"/>
    <w:rPr>
      <w:rFonts w:ascii="宋体" w:hAnsi="Arial"/>
      <w:sz w:val="28"/>
    </w:rPr>
  </w:style>
  <w:style w:type="paragraph" w:customStyle="1" w:styleId="57">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8">
    <w:name w:val="Table Paragraph"/>
    <w:basedOn w:val="1"/>
    <w:qFormat/>
    <w:uiPriority w:val="1"/>
  </w:style>
  <w:style w:type="paragraph" w:customStyle="1" w:styleId="59">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6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1">
    <w:name w:val="Char"/>
    <w:basedOn w:val="1"/>
    <w:next w:val="1"/>
    <w:qFormat/>
    <w:uiPriority w:val="0"/>
    <w:pPr>
      <w:widowControl/>
      <w:spacing w:line="360" w:lineRule="auto"/>
      <w:jc w:val="left"/>
    </w:pPr>
    <w:rPr>
      <w:kern w:val="0"/>
      <w:szCs w:val="20"/>
      <w:lang w:eastAsia="en-US"/>
    </w:rPr>
  </w:style>
  <w:style w:type="paragraph" w:customStyle="1" w:styleId="62">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63">
    <w:name w:val="p0"/>
    <w:basedOn w:val="1"/>
    <w:qFormat/>
    <w:uiPriority w:val="0"/>
    <w:pPr>
      <w:widowControl/>
      <w:jc w:val="left"/>
    </w:pPr>
    <w:rPr>
      <w:rFonts w:ascii="宋体" w:hAnsi="宋体" w:cs="宋体"/>
      <w:kern w:val="0"/>
      <w:sz w:val="18"/>
      <w:szCs w:val="18"/>
    </w:rPr>
  </w:style>
  <w:style w:type="paragraph" w:customStyle="1" w:styleId="64">
    <w:name w:val="WPS Plain"/>
    <w:qFormat/>
    <w:uiPriority w:val="0"/>
    <w:rPr>
      <w:rFonts w:ascii="Times New Roman" w:hAnsi="Times New Roman" w:eastAsia="宋体" w:cs="Times New Roman"/>
      <w:lang w:val="en-US" w:eastAsia="zh-CN" w:bidi="ar-SA"/>
    </w:rPr>
  </w:style>
  <w:style w:type="paragraph" w:customStyle="1" w:styleId="65">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styleId="66">
    <w:name w:val="List Paragraph"/>
    <w:basedOn w:val="1"/>
    <w:qFormat/>
    <w:uiPriority w:val="0"/>
    <w:pPr>
      <w:spacing w:line="360" w:lineRule="auto"/>
      <w:ind w:firstLine="420" w:firstLineChars="200"/>
    </w:pPr>
    <w:rPr>
      <w:rFonts w:ascii="宋体" w:hAnsi="宋体" w:cs="宋体"/>
      <w:sz w:val="24"/>
    </w:rPr>
  </w:style>
  <w:style w:type="paragraph" w:customStyle="1" w:styleId="67">
    <w:name w:val="样式 左侧:  0 厘米 悬挂缩进: 2.5 字符"/>
    <w:basedOn w:val="1"/>
    <w:qFormat/>
    <w:uiPriority w:val="0"/>
    <w:pPr>
      <w:ind w:left="525" w:hanging="525" w:hangingChars="250"/>
    </w:pPr>
    <w:rPr>
      <w:szCs w:val="20"/>
    </w:rPr>
  </w:style>
  <w:style w:type="paragraph" w:customStyle="1" w:styleId="68">
    <w:name w:val="标题 5（有编号）（绿盟科技）"/>
    <w:basedOn w:val="1"/>
    <w:next w:val="60"/>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9">
    <w:name w:val="图例"/>
    <w:basedOn w:val="1"/>
    <w:qFormat/>
    <w:uiPriority w:val="0"/>
    <w:pPr>
      <w:spacing w:before="120" w:beforeLines="0" w:after="120" w:afterLines="0" w:line="360" w:lineRule="auto"/>
      <w:jc w:val="center"/>
    </w:pPr>
    <w:rPr>
      <w:rFonts w:eastAsia="仿宋_GB2312"/>
      <w:b/>
      <w:sz w:val="24"/>
    </w:rPr>
  </w:style>
  <w:style w:type="character" w:customStyle="1" w:styleId="70">
    <w:name w:val="font71"/>
    <w:basedOn w:val="29"/>
    <w:qFormat/>
    <w:uiPriority w:val="0"/>
    <w:rPr>
      <w:rFonts w:hint="default" w:ascii="Calibri" w:hAnsi="Calibri" w:cs="Calibri"/>
      <w:b/>
      <w:bCs/>
      <w:color w:val="000000"/>
      <w:sz w:val="21"/>
      <w:szCs w:val="21"/>
      <w:u w:val="none"/>
    </w:rPr>
  </w:style>
  <w:style w:type="character" w:customStyle="1" w:styleId="71">
    <w:name w:val="font61"/>
    <w:basedOn w:val="29"/>
    <w:qFormat/>
    <w:uiPriority w:val="0"/>
    <w:rPr>
      <w:rFonts w:hint="eastAsia" w:ascii="华文仿宋" w:hAnsi="华文仿宋" w:eastAsia="华文仿宋" w:cs="华文仿宋"/>
      <w:color w:val="000000"/>
      <w:sz w:val="21"/>
      <w:szCs w:val="21"/>
      <w:u w:val="none"/>
    </w:rPr>
  </w:style>
  <w:style w:type="character" w:customStyle="1" w:styleId="72">
    <w:name w:val="font91"/>
    <w:basedOn w:val="29"/>
    <w:qFormat/>
    <w:uiPriority w:val="0"/>
    <w:rPr>
      <w:rFonts w:hint="default" w:ascii="Calibri" w:hAnsi="Calibri" w:cs="Calibri"/>
      <w:b/>
      <w:bCs/>
      <w:color w:val="FF0000"/>
      <w:sz w:val="21"/>
      <w:szCs w:val="21"/>
      <w:u w:val="none"/>
    </w:rPr>
  </w:style>
  <w:style w:type="character" w:customStyle="1" w:styleId="73">
    <w:name w:val="font101"/>
    <w:basedOn w:val="29"/>
    <w:qFormat/>
    <w:uiPriority w:val="0"/>
    <w:rPr>
      <w:rFonts w:hint="eastAsia" w:ascii="宋体" w:hAnsi="宋体" w:eastAsia="宋体" w:cs="宋体"/>
      <w:color w:val="000000"/>
      <w:sz w:val="21"/>
      <w:szCs w:val="21"/>
      <w:u w:val="none"/>
    </w:rPr>
  </w:style>
  <w:style w:type="character" w:customStyle="1" w:styleId="74">
    <w:name w:val="font81"/>
    <w:basedOn w:val="29"/>
    <w:qFormat/>
    <w:uiPriority w:val="0"/>
    <w:rPr>
      <w:rFonts w:hint="default" w:ascii="Calibri" w:hAnsi="Calibri" w:cs="Calibri"/>
      <w:color w:val="000000"/>
      <w:sz w:val="21"/>
      <w:szCs w:val="21"/>
      <w:u w:val="none"/>
    </w:rPr>
  </w:style>
  <w:style w:type="character" w:customStyle="1" w:styleId="75">
    <w:name w:val="first-child"/>
    <w:basedOn w:val="29"/>
    <w:qFormat/>
    <w:uiPriority w:val="0"/>
  </w:style>
  <w:style w:type="character" w:customStyle="1" w:styleId="76">
    <w:name w:val="layui-layer-tabnow"/>
    <w:basedOn w:val="29"/>
    <w:qFormat/>
    <w:uiPriority w:val="0"/>
    <w:rPr>
      <w:bdr w:val="single" w:color="CCCCCC" w:sz="6" w:space="0"/>
      <w:shd w:val="clear" w:color="auto" w:fill="FFFFFF"/>
    </w:rPr>
  </w:style>
  <w:style w:type="paragraph" w:customStyle="1" w:styleId="77">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8">
    <w:name w:val="答复表头"/>
    <w:basedOn w:val="79"/>
    <w:next w:val="1"/>
    <w:qFormat/>
    <w:uiPriority w:val="0"/>
    <w:pPr>
      <w:tabs>
        <w:tab w:val="left" w:pos="480"/>
      </w:tabs>
    </w:pPr>
    <w:rPr>
      <w:b/>
    </w:rPr>
  </w:style>
  <w:style w:type="paragraph" w:customStyle="1" w:styleId="79">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80">
    <w:name w:val="NormalCharacter"/>
    <w:semiHidden/>
    <w:qFormat/>
    <w:uiPriority w:val="0"/>
  </w:style>
  <w:style w:type="paragraph" w:customStyle="1" w:styleId="81">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2">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3">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table" w:customStyle="1" w:styleId="84">
    <w:name w:val="Table Normal"/>
    <w:unhideWhenUsed/>
    <w:qFormat/>
    <w:uiPriority w:val="0"/>
    <w:tblPr>
      <w:tblStyle w:val="27"/>
      <w:tblCellMar>
        <w:top w:w="0" w:type="dxa"/>
        <w:left w:w="0" w:type="dxa"/>
        <w:bottom w:w="0" w:type="dxa"/>
        <w:right w:w="0" w:type="dxa"/>
      </w:tblCellMar>
    </w:tblPr>
  </w:style>
  <w:style w:type="character" w:customStyle="1" w:styleId="85">
    <w:name w:val="font112"/>
    <w:basedOn w:val="29"/>
    <w:qFormat/>
    <w:uiPriority w:val="0"/>
    <w:rPr>
      <w:rFonts w:hint="eastAsia" w:ascii="宋体" w:hAnsi="宋体" w:eastAsia="宋体" w:cs="宋体"/>
      <w:color w:val="FF0000"/>
      <w:sz w:val="18"/>
      <w:szCs w:val="18"/>
      <w:u w:val="none"/>
    </w:rPr>
  </w:style>
  <w:style w:type="character" w:customStyle="1" w:styleId="86">
    <w:name w:val="font21"/>
    <w:basedOn w:val="29"/>
    <w:qFormat/>
    <w:uiPriority w:val="0"/>
    <w:rPr>
      <w:rFonts w:hint="eastAsia" w:ascii="宋体" w:hAnsi="宋体" w:eastAsia="宋体" w:cs="宋体"/>
      <w:color w:val="000000"/>
      <w:sz w:val="18"/>
      <w:szCs w:val="18"/>
      <w:u w:val="none"/>
    </w:rPr>
  </w:style>
  <w:style w:type="character" w:customStyle="1" w:styleId="87">
    <w:name w:val="font41"/>
    <w:basedOn w:val="29"/>
    <w:qFormat/>
    <w:uiPriority w:val="0"/>
    <w:rPr>
      <w:rFonts w:hint="eastAsia" w:ascii="宋体" w:hAnsi="宋体" w:eastAsia="宋体" w:cs="宋体"/>
      <w:b/>
      <w:bCs/>
      <w:color w:val="000000"/>
      <w:sz w:val="18"/>
      <w:szCs w:val="18"/>
      <w:u w:val="none"/>
    </w:rPr>
  </w:style>
  <w:style w:type="character" w:customStyle="1" w:styleId="88">
    <w:name w:val="font11"/>
    <w:basedOn w:val="29"/>
    <w:qFormat/>
    <w:uiPriority w:val="0"/>
    <w:rPr>
      <w:rFonts w:hint="eastAsia" w:ascii="宋体" w:hAnsi="宋体" w:eastAsia="宋体" w:cs="宋体"/>
      <w:color w:val="000000"/>
      <w:sz w:val="18"/>
      <w:szCs w:val="18"/>
      <w:u w:val="none"/>
    </w:rPr>
  </w:style>
  <w:style w:type="paragraph" w:customStyle="1" w:styleId="89">
    <w:name w:val="列出段落1"/>
    <w:basedOn w:val="1"/>
    <w:qFormat/>
    <w:uiPriority w:val="0"/>
    <w:pPr>
      <w:ind w:firstLine="420" w:firstLineChars="200"/>
    </w:pPr>
  </w:style>
  <w:style w:type="character" w:customStyle="1" w:styleId="90">
    <w:name w:val="font51"/>
    <w:basedOn w:val="29"/>
    <w:qFormat/>
    <w:uiPriority w:val="0"/>
    <w:rPr>
      <w:rFonts w:hint="eastAsia" w:ascii="微软雅黑" w:hAnsi="微软雅黑" w:eastAsia="微软雅黑" w:cs="微软雅黑"/>
      <w:color w:val="000000"/>
      <w:sz w:val="18"/>
      <w:szCs w:val="18"/>
      <w:u w:val="none"/>
    </w:rPr>
  </w:style>
  <w:style w:type="paragraph" w:customStyle="1" w:styleId="91">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74</Pages>
  <Words>42115</Words>
  <Characters>44640</Characters>
  <Lines>310</Lines>
  <Paragraphs>87</Paragraphs>
  <TotalTime>0</TotalTime>
  <ScaleCrop>false</ScaleCrop>
  <LinksUpToDate>false</LinksUpToDate>
  <CharactersWithSpaces>47830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ℓ</cp:lastModifiedBy>
  <cp:lastPrinted>2024-03-11T03:08:46Z</cp:lastPrinted>
  <dcterms:modified xsi:type="dcterms:W3CDTF">2024-03-19T08:13:44Z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538D2F2367154A3B95555D74620171ED_13</vt:lpwstr>
  </property>
</Properties>
</file>